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body>
    <w:p w14:paraId="5C247706" w14:textId="77777777" w:rsidP="005A2C98" w:rsidR="005A2C98" w:rsidRDefault="005A2C98" w:rsidRPr="00780AA8">
      <w:pPr>
        <w:spacing w:after="0" w:line="240" w:lineRule="auto"/>
        <w:rPr>
          <w:rFonts w:cs="Arial"/>
          <w:noProof/>
          <w:lang w:eastAsia="fr-FR"/>
        </w:rPr>
      </w:pPr>
      <w:r>
        <w:rPr>
          <w:rFonts w:cs="Arial"/>
          <w:noProof/>
          <w:lang w:eastAsia="fr-FR"/>
        </w:rPr>
        <mc:AlternateContent>
          <mc:Choice Requires="wps">
            <w:drawing>
              <wp:anchor allowOverlap="1" behindDoc="0" distB="0" distL="114300" distR="114300" distT="0" layoutInCell="1" locked="0" relativeHeight="251659264" simplePos="0" wp14:anchorId="022F4189" wp14:editId="69F1D373">
                <wp:simplePos x="0" y="0"/>
                <wp:positionH relativeFrom="margin">
                  <wp:posOffset>67945</wp:posOffset>
                </wp:positionH>
                <wp:positionV relativeFrom="paragraph">
                  <wp:posOffset>40640</wp:posOffset>
                </wp:positionV>
                <wp:extent cx="6444615" cy="1426210"/>
                <wp:effectExtent b="2540" l="0" r="0" t="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4615" cy="142621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filled="f" id="Rectangle 1"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xyjBCjQIAAHcFAAAOAAAAZHJzL2Uyb0RvYy54bWysVEtvGyEQvlfqf0Dcm/VaG7dZZR1ZiVJV spIoTpUzYcFGYRkK2Gv313dgH05Sn6peEMM8v+GbubzaN5rshPMKTEXzswklwnColVlX9OfT7Zdv lPjATM00GFHRg/D0av7502VrSzGFDehaOIJBjC9bW9FNCLbMMs83omH+DKwwqJTgGhZQdOusdqzF 6I3OppPJLGvB1dYBF97j602npPMUX0rBw72UXgSiK4q1hXS6dL7EM5tfsnLtmN0o3pfB/qGKhimD ScdQNywwsnXqr1CN4g48yHDGoclASsVFwoBo8skHNKsNsyJhweZ4O7bJ/7+w/G734Iiq8e8oMazB L3rEpjGz1oLksT2t9SVareyDiwC9XQJ/9ajI3mmi4HubvXRNtEV4ZJ96fRh7LfaBcHycFUUxy88p 4ajLi+lsmqffyFg5uFvnw3cBDYmXijqsK/WY7ZY+xAJYOZjEbAZuldbpQ7VJpYJWdXxLQmSUuNaO 7BhyIewTOAzhj1YoRc8ErMOSUIWDFjGENo9CYq+w+mkqJLH0GJNxLkyYxaalSGgd3SRWMDrmpxx1 GIrpbaObSOwdHSenHN9nHD1SVjBhdG6UAXcqQP06Zu7sB/Qd5gj/BeoDUsRBNzve8luF/7FkPjww h8OCY4ULINzjITW0FYX+RskG3O9T79EeOYxaSlocvor6X1vmBCX6h0F2X+RFEac1CcX51ykK7q3m 5a3GbJtrwD9FBmN16Rrtgx6u0kHzjHtiEbOiihmOuSvKgxuE69AtBdw0XCwWyQwn1LKwNCvLY/DY 1ci3p/0zc7YnZUA+38EwqKz8wM3ONnoaWGwDSJWIe+xr32+c7kSafhPF9fFWTlbHfTn/AwAA//8D AFBLAwQUAAYACAAAACEARxMPzd0AAAAJAQAADwAAAGRycy9kb3ducmV2LnhtbEyPwW7CMBBE70j9 B2srcQM7oaRVGgdVqEXiRlM+wMRLEjVep7HB4e9rTu1xNKOZN8VmMj274ug6SxKSpQCGVFvdUSPh +PWxeAHmvCKtekso4YYONuXDrFC5toE+8Vr5hsUScrmS0Ho/5Jy7ukWj3NIOSNE729EoH+XYcD2q EMtNz1MhMm5UR3GhVQNuW6y/q4uREOz7D+7C9rAb/LG6Vftz2Cdcyvnj9PYKzOPk/8Jwx4/oUEam k72QdqyPWjzHpITsCdjdFuk6A3aSkK4SAbws+P8H5S8AAAD//wMAUEsBAi0AFAAGAAgAAAAhALaD OJL+AAAA4QEAABMAAAAAAAAAAAAAAAAAAAAAAFtDb250ZW50X1R5cGVzXS54bWxQSwECLQAUAAYA CAAAACEAOP0h/9YAAACUAQAACwAAAAAAAAAAAAAAAAAvAQAAX3JlbHMvLnJlbHNQSwECLQAUAAYA CAAAACEAMcowQo0CAAB3BQAADgAAAAAAAAAAAAAAAAAuAgAAZHJzL2Uyb0RvYy54bWxQSwECLQAU AAYACAAAACEARxMPzd0AAAAJAQAADwAAAAAAAAAAAAAAAADnBAAAZHJzL2Rvd25yZXYueG1sUEsF BgAAAAAEAAQA8wAAAPEFAAAAAA== " o:spid="_x0000_s1026" strokecolor="black [3213]" strokeweight="1pt" style="position:absolute;margin-left:5.35pt;margin-top:3.2pt;width:507.45pt;height:112.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w14:anchorId="1A4686F5">
                <v:path arrowok="t"/>
                <w10:wrap anchorx="margin"/>
              </v:rect>
            </w:pict>
          </mc:Fallback>
        </mc:AlternateContent>
      </w:r>
    </w:p>
    <w:p w14:paraId="1453194D" w14:textId="07785227" w:rsidP="00A03BFF" w:rsidR="005A2C98" w:rsidRDefault="005A2C98" w:rsidRPr="00A03BFF">
      <w:pPr>
        <w:spacing w:after="0" w:line="240" w:lineRule="auto"/>
        <w:jc w:val="center"/>
        <w:rPr>
          <w:rFonts w:cs="Arial"/>
          <w:b/>
          <w:noProof/>
          <w:sz w:val="40"/>
          <w:szCs w:val="40"/>
          <w:lang w:eastAsia="fr-FR"/>
        </w:rPr>
      </w:pPr>
      <w:bookmarkStart w:id="0" w:name="_Hlk11249068"/>
      <w:r w:rsidRPr="00D93738">
        <w:rPr>
          <w:rFonts w:cs="Arial"/>
          <w:b/>
          <w:noProof/>
          <w:sz w:val="40"/>
          <w:szCs w:val="40"/>
          <w:lang w:eastAsia="fr-FR"/>
        </w:rPr>
        <w:t>ACCORD PORTANT SUR L’</w:t>
      </w:r>
      <w:r>
        <w:rPr>
          <w:rFonts w:cs="Arial"/>
          <w:b/>
          <w:noProof/>
          <w:sz w:val="40"/>
          <w:szCs w:val="40"/>
          <w:lang w:eastAsia="fr-FR"/>
        </w:rPr>
        <w:t>ÉGALITÉ PROFESSIONNELLE ENTRE LES FEMMES ET LES HOMMES ET LA QUALITÉ DE VIE AU TRAVAI</w:t>
      </w:r>
      <w:bookmarkEnd w:id="0"/>
      <w:r w:rsidR="00A03BFF">
        <w:rPr>
          <w:rFonts w:cs="Arial"/>
          <w:b/>
          <w:noProof/>
          <w:sz w:val="40"/>
          <w:szCs w:val="40"/>
          <w:lang w:eastAsia="fr-FR"/>
        </w:rPr>
        <w:t>L</w:t>
      </w:r>
    </w:p>
    <w:p w14:paraId="52FE50A6" w14:textId="77777777" w:rsidP="005A2C98" w:rsidR="005A2C98" w:rsidRDefault="005A2C98">
      <w:pPr>
        <w:spacing w:after="16" w:before="240" w:line="276" w:lineRule="auto"/>
        <w:rPr>
          <w:rFonts w:cs="Arial"/>
          <w:noProof/>
          <w:lang w:eastAsia="fr-FR"/>
        </w:rPr>
      </w:pPr>
    </w:p>
    <w:p w14:paraId="0168DA8F" w14:textId="73FF13E4" w:rsidP="005A2C98" w:rsidR="005A2C98" w:rsidRDefault="005A2C98">
      <w:pPr>
        <w:spacing w:after="16" w:before="240" w:line="276" w:lineRule="auto"/>
        <w:rPr>
          <w:rFonts w:cs="Arial"/>
          <w:noProof/>
          <w:lang w:eastAsia="fr-FR"/>
        </w:rPr>
      </w:pPr>
      <w:r w:rsidRPr="00D01CB5">
        <w:rPr>
          <w:rFonts w:cs="Arial"/>
          <w:noProof/>
          <w:lang w:eastAsia="fr-FR"/>
        </w:rPr>
        <w:t xml:space="preserve">Entre la société </w:t>
      </w:r>
      <w:r w:rsidR="00A03BFF">
        <w:rPr>
          <w:rFonts w:cs="Arial"/>
          <w:noProof/>
          <w:lang w:eastAsia="fr-FR"/>
        </w:rPr>
        <w:t>PARIS COUNTRY CLUB</w:t>
      </w:r>
      <w:r w:rsidRPr="00D01CB5">
        <w:rPr>
          <w:rFonts w:cs="Arial"/>
          <w:noProof/>
          <w:lang w:eastAsia="fr-FR"/>
        </w:rPr>
        <w:t xml:space="preserve">, </w:t>
      </w:r>
      <w:r w:rsidR="00846387">
        <w:rPr>
          <w:rFonts w:cs="Arial"/>
          <w:noProof/>
          <w:lang w:eastAsia="fr-FR"/>
        </w:rPr>
        <w:t xml:space="preserve">SA identifiée au SIREN sous le numéro 322 417 452 et immatriculée au RCS de NANTERRE </w:t>
      </w:r>
      <w:r w:rsidR="00A03BFF">
        <w:rPr>
          <w:rFonts w:cs="Arial"/>
          <w:noProof/>
          <w:lang w:eastAsia="fr-FR"/>
        </w:rPr>
        <w:t xml:space="preserve">dont le siège social est situé </w:t>
      </w:r>
      <w:r w:rsidR="00846387">
        <w:rPr>
          <w:rFonts w:cs="Arial"/>
          <w:noProof/>
          <w:lang w:eastAsia="fr-FR"/>
        </w:rPr>
        <w:t>121, rue du Lieutenant Colonel de Montbrison 92500 RUEIL-MALMAISON représentée par</w:t>
      </w:r>
      <w:r w:rsidR="000757F0">
        <w:rPr>
          <w:rFonts w:cs="Arial"/>
          <w:noProof/>
          <w:lang w:eastAsia="fr-FR"/>
        </w:rPr>
        <w:tab/>
      </w:r>
      <w:r w:rsidR="000757F0">
        <w:rPr>
          <w:rFonts w:cs="Arial"/>
          <w:noProof/>
          <w:lang w:eastAsia="fr-FR"/>
        </w:rPr>
        <w:tab/>
      </w:r>
      <w:r w:rsidR="00D0087E">
        <w:rPr>
          <w:rFonts w:cs="Arial"/>
          <w:noProof/>
          <w:lang w:eastAsia="fr-FR"/>
        </w:rPr>
        <w:t>, Directeur Général,</w:t>
      </w:r>
    </w:p>
    <w:p w14:paraId="2E9542CB" w14:textId="77777777" w:rsidP="005A2C98" w:rsidR="005A2C98" w:rsidRDefault="005A2C98">
      <w:pPr>
        <w:spacing w:after="16" w:before="240" w:line="276" w:lineRule="auto"/>
        <w:rPr>
          <w:rFonts w:cs="Arial"/>
          <w:noProof/>
          <w:lang w:eastAsia="fr-FR"/>
        </w:rPr>
      </w:pPr>
    </w:p>
    <w:p w14:paraId="2F302AFB" w14:textId="77777777" w:rsidP="005A2C98" w:rsidR="005A2C98" w:rsidRDefault="005A2C98" w:rsidRPr="00D01CB5">
      <w:pPr>
        <w:spacing w:after="16" w:before="240" w:line="276" w:lineRule="auto"/>
        <w:rPr>
          <w:rFonts w:cs="Arial"/>
          <w:noProof/>
          <w:lang w:eastAsia="fr-FR"/>
        </w:rPr>
      </w:pPr>
      <w:r w:rsidRPr="00D01CB5">
        <w:rPr>
          <w:rFonts w:cs="Arial"/>
          <w:noProof/>
          <w:lang w:eastAsia="fr-FR"/>
        </w:rPr>
        <w:t>Et</w:t>
      </w:r>
    </w:p>
    <w:p w14:paraId="65EDBE3A" w14:textId="77777777" w:rsidP="005A2C98" w:rsidR="005A2C98" w:rsidRDefault="005A2C98">
      <w:pPr>
        <w:spacing w:after="16" w:before="240" w:line="276" w:lineRule="auto"/>
        <w:rPr>
          <w:rFonts w:cs="Arial"/>
          <w:noProof/>
          <w:lang w:eastAsia="fr-FR"/>
        </w:rPr>
      </w:pPr>
    </w:p>
    <w:p w14:paraId="6CA7B3DC" w14:textId="607F0249" w:rsidP="005A2C98" w:rsidR="005A2C98" w:rsidRDefault="005A2C98">
      <w:pPr>
        <w:spacing w:after="16" w:before="240" w:line="276" w:lineRule="auto"/>
        <w:rPr>
          <w:rFonts w:cs="Arial"/>
          <w:noProof/>
          <w:lang w:eastAsia="fr-FR"/>
        </w:rPr>
      </w:pPr>
      <w:r w:rsidRPr="00D01CB5">
        <w:rPr>
          <w:rFonts w:cs="Arial"/>
          <w:noProof/>
          <w:lang w:eastAsia="fr-FR"/>
        </w:rPr>
        <w:t>L</w:t>
      </w:r>
      <w:r>
        <w:rPr>
          <w:rFonts w:cs="Arial"/>
          <w:noProof/>
          <w:lang w:eastAsia="fr-FR"/>
        </w:rPr>
        <w:t>es O</w:t>
      </w:r>
      <w:r w:rsidRPr="00D01CB5">
        <w:rPr>
          <w:rFonts w:cs="Arial"/>
          <w:noProof/>
          <w:lang w:eastAsia="fr-FR"/>
        </w:rPr>
        <w:t>rganisation</w:t>
      </w:r>
      <w:r>
        <w:rPr>
          <w:rFonts w:cs="Arial"/>
          <w:noProof/>
          <w:lang w:eastAsia="fr-FR"/>
        </w:rPr>
        <w:t>s</w:t>
      </w:r>
      <w:r w:rsidRPr="00D01CB5">
        <w:rPr>
          <w:rFonts w:cs="Arial"/>
          <w:noProof/>
          <w:lang w:eastAsia="fr-FR"/>
        </w:rPr>
        <w:t xml:space="preserve"> </w:t>
      </w:r>
      <w:r>
        <w:rPr>
          <w:rFonts w:cs="Arial"/>
          <w:noProof/>
          <w:lang w:eastAsia="fr-FR"/>
        </w:rPr>
        <w:t>S</w:t>
      </w:r>
      <w:r w:rsidRPr="00D01CB5">
        <w:rPr>
          <w:rFonts w:cs="Arial"/>
          <w:noProof/>
          <w:lang w:eastAsia="fr-FR"/>
        </w:rPr>
        <w:t>yndicale</w:t>
      </w:r>
      <w:r>
        <w:rPr>
          <w:rFonts w:cs="Arial"/>
          <w:noProof/>
          <w:lang w:eastAsia="fr-FR"/>
        </w:rPr>
        <w:t>s</w:t>
      </w:r>
      <w:r w:rsidRPr="00D01CB5">
        <w:rPr>
          <w:rFonts w:cs="Arial"/>
          <w:noProof/>
          <w:lang w:eastAsia="fr-FR"/>
        </w:rPr>
        <w:t xml:space="preserve"> </w:t>
      </w:r>
      <w:r w:rsidR="00A03BFF">
        <w:rPr>
          <w:rFonts w:cs="Arial"/>
          <w:noProof/>
          <w:lang w:eastAsia="fr-FR"/>
        </w:rPr>
        <w:t>représentatives dans l’entreprise, représentées respectivement par leur délégué syndical</w:t>
      </w:r>
      <w:r w:rsidRPr="00D01CB5">
        <w:rPr>
          <w:rFonts w:cs="Arial"/>
          <w:noProof/>
          <w:lang w:eastAsia="fr-FR"/>
        </w:rPr>
        <w:t>,</w:t>
      </w:r>
      <w:r>
        <w:rPr>
          <w:rFonts w:cs="Arial"/>
          <w:noProof/>
          <w:lang w:eastAsia="fr-FR"/>
        </w:rPr>
        <w:t>:</w:t>
      </w:r>
    </w:p>
    <w:p w14:paraId="78ABFFF2" w14:textId="1BAB073E" w:rsidP="005A2C98" w:rsidR="005A2C98" w:rsidRDefault="00CA4D58">
      <w:pPr>
        <w:spacing w:after="16" w:before="240" w:line="276" w:lineRule="auto"/>
        <w:ind w:firstLine="708"/>
        <w:rPr>
          <w:rFonts w:cs="Arial"/>
          <w:noProof/>
          <w:lang w:eastAsia="fr-FR"/>
        </w:rPr>
      </w:pPr>
      <w:r>
        <w:rPr>
          <w:rFonts w:cs="Arial"/>
          <w:noProof/>
          <w:lang w:eastAsia="fr-FR"/>
        </w:rPr>
        <w:t>SNPAC CFDT</w:t>
      </w:r>
      <w:r w:rsidR="005A2C98" w:rsidRPr="00CA4D58">
        <w:rPr>
          <w:rFonts w:cs="Arial"/>
          <w:noProof/>
          <w:lang w:eastAsia="fr-FR"/>
        </w:rPr>
        <w:t xml:space="preserve">, représentée par </w:t>
      </w:r>
    </w:p>
    <w:p w14:paraId="529D2F0C" w14:textId="7322BE24" w:rsidP="00CA4D58" w:rsidR="00CA4D58" w:rsidRDefault="00CA4D58">
      <w:pPr>
        <w:spacing w:after="16" w:before="240" w:line="276" w:lineRule="auto"/>
        <w:rPr>
          <w:rFonts w:cs="Arial"/>
          <w:noProof/>
          <w:lang w:eastAsia="fr-FR"/>
        </w:rPr>
      </w:pPr>
    </w:p>
    <w:p w14:paraId="7AEEB0FA" w14:textId="77777777" w:rsidP="00CA4D58" w:rsidR="00CA4D58" w:rsidRDefault="00CA4D58">
      <w:pPr>
        <w:spacing w:after="16" w:before="240" w:line="276" w:lineRule="auto"/>
        <w:rPr>
          <w:rFonts w:cs="Arial"/>
          <w:noProof/>
          <w:lang w:eastAsia="fr-FR"/>
        </w:rPr>
      </w:pPr>
      <w:r>
        <w:rPr>
          <w:rFonts w:cs="Arial"/>
          <w:noProof/>
          <w:lang w:eastAsia="fr-FR"/>
        </w:rPr>
        <w:t xml:space="preserve">Et </w:t>
      </w:r>
    </w:p>
    <w:p w14:paraId="16E562AB" w14:textId="568C2273" w:rsidP="00CA4D58" w:rsidR="00CA4D58" w:rsidRDefault="00CA4D58" w:rsidRPr="00CA4D58">
      <w:pPr>
        <w:spacing w:after="16" w:before="240" w:line="276" w:lineRule="auto"/>
        <w:ind w:firstLine="708"/>
        <w:rPr>
          <w:rFonts w:cs="Arial"/>
          <w:noProof/>
          <w:lang w:eastAsia="fr-FR"/>
        </w:rPr>
      </w:pPr>
      <w:r>
        <w:rPr>
          <w:rFonts w:cs="Arial"/>
          <w:noProof/>
          <w:lang w:eastAsia="fr-FR"/>
        </w:rPr>
        <w:t>M.</w:t>
      </w:r>
      <w:r w:rsidR="000757F0">
        <w:rPr>
          <w:rFonts w:cs="Arial"/>
          <w:noProof/>
          <w:lang w:eastAsia="fr-FR"/>
        </w:rPr>
        <w:tab/>
      </w:r>
      <w:r w:rsidR="000757F0">
        <w:rPr>
          <w:rFonts w:cs="Arial"/>
          <w:noProof/>
          <w:lang w:eastAsia="fr-FR"/>
        </w:rPr>
        <w:tab/>
      </w:r>
      <w:bookmarkStart w:id="1" w:name="_GoBack"/>
      <w:bookmarkEnd w:id="1"/>
      <w:r>
        <w:rPr>
          <w:rFonts w:cs="Arial"/>
          <w:noProof/>
          <w:lang w:eastAsia="fr-FR"/>
        </w:rPr>
        <w:t>– Membre Titulaire du CSE</w:t>
      </w:r>
    </w:p>
    <w:p w14:paraId="4626C99D" w14:textId="716B5903" w:rsidP="005A2C98" w:rsidR="005A2C98" w:rsidRDefault="005A2C98">
      <w:pPr>
        <w:spacing w:after="16" w:before="240" w:line="276" w:lineRule="auto"/>
        <w:rPr>
          <w:rFonts w:cs="Arial"/>
          <w:noProof/>
          <w:lang w:eastAsia="fr-FR"/>
        </w:rPr>
      </w:pPr>
      <w:r w:rsidRPr="00D01CB5">
        <w:rPr>
          <w:rFonts w:cs="Arial"/>
          <w:noProof/>
          <w:lang w:eastAsia="fr-FR"/>
        </w:rPr>
        <w:t xml:space="preserve">A été conclu le présent accord d’entreprise dans le cadre de la négociation </w:t>
      </w:r>
      <w:r>
        <w:rPr>
          <w:rFonts w:cs="Arial"/>
          <w:noProof/>
          <w:lang w:eastAsia="fr-FR"/>
        </w:rPr>
        <w:t>sur l’égalité professionnelle entre les femmes et les hommes et la qual</w:t>
      </w:r>
      <w:r w:rsidR="00392B89">
        <w:rPr>
          <w:rFonts w:cs="Arial"/>
          <w:noProof/>
          <w:lang w:eastAsia="fr-FR"/>
        </w:rPr>
        <w:t>i</w:t>
      </w:r>
      <w:r>
        <w:rPr>
          <w:rFonts w:cs="Arial"/>
          <w:noProof/>
          <w:lang w:eastAsia="fr-FR"/>
        </w:rPr>
        <w:t xml:space="preserve">té de vie au travail. </w:t>
      </w:r>
    </w:p>
    <w:p w14:paraId="59115D2E" w14:textId="77777777" w:rsidP="005A2C98" w:rsidR="005A2C98" w:rsidRDefault="005A2C98">
      <w:pPr>
        <w:rPr>
          <w:noProof/>
          <w:lang w:eastAsia="fr-FR"/>
        </w:rPr>
      </w:pPr>
      <w:r>
        <w:rPr>
          <w:noProof/>
          <w:lang w:eastAsia="fr-FR"/>
        </w:rPr>
        <w:br w:type="page"/>
      </w:r>
    </w:p>
    <w:p w14:paraId="0A30A30D" w14:textId="77777777" w:rsidP="005A2C98" w:rsidR="005A2C98" w:rsidRDefault="005A2C98" w:rsidRPr="00151D38">
      <w:pPr>
        <w:rPr>
          <w:lang w:eastAsia="fr-FR"/>
        </w:rPr>
      </w:pPr>
    </w:p>
    <w:sdt>
      <w:sdtPr>
        <w:rPr>
          <w:rFonts w:asciiTheme="minorHAnsi" w:cstheme="minorBidi" w:eastAsiaTheme="minorHAnsi" w:hAnsiTheme="minorHAnsi"/>
          <w:color w:val="auto"/>
          <w:sz w:val="22"/>
          <w:szCs w:val="22"/>
          <w:lang w:eastAsia="en-US"/>
        </w:rPr>
        <w:id w:val="631142999"/>
        <w:docPartObj>
          <w:docPartGallery w:val="Table of Contents"/>
          <w:docPartUnique/>
        </w:docPartObj>
      </w:sdtPr>
      <w:sdtEndPr>
        <w:rPr>
          <w:rFonts w:ascii="Arial" w:hAnsi="Arial"/>
          <w:b/>
          <w:bCs/>
        </w:rPr>
      </w:sdtEndPr>
      <w:sdtContent>
        <w:p w14:paraId="06EBEE70" w14:textId="77777777" w:rsidP="005A2C98" w:rsidR="005A2C98" w:rsidRDefault="005A2C98" w:rsidRPr="00BE35D9">
          <w:pPr>
            <w:pStyle w:val="En-ttedetabledesmatires"/>
            <w:jc w:val="center"/>
            <w:rPr>
              <w:rStyle w:val="TitreCar"/>
              <w:color w:val="auto"/>
            </w:rPr>
          </w:pPr>
          <w:r w:rsidRPr="00BE35D9">
            <w:rPr>
              <w:rStyle w:val="TitreCar"/>
              <w:color w:val="auto"/>
            </w:rPr>
            <w:t>Sommaire</w:t>
          </w:r>
        </w:p>
        <w:p w14:paraId="2426E175" w14:textId="77777777" w:rsidP="005A2C98" w:rsidR="005A2C98" w:rsidRDefault="005A2C98" w:rsidRPr="00BE35D9">
          <w:pPr>
            <w:rPr>
              <w:lang w:eastAsia="fr-FR"/>
            </w:rPr>
          </w:pPr>
        </w:p>
        <w:p w14:paraId="02A403C6" w14:textId="5273D19D" w:rsidP="005A2C98" w:rsidR="005A2C98" w:rsidRDefault="005A2C98">
          <w:pPr>
            <w:pStyle w:val="TM1"/>
            <w:tabs>
              <w:tab w:leader="dot" w:pos="10308" w:val="right"/>
            </w:tabs>
            <w:rPr>
              <w:rFonts w:asciiTheme="minorHAnsi" w:eastAsiaTheme="minorEastAsia" w:hAnsiTheme="minorHAnsi"/>
              <w:noProof/>
              <w:lang w:eastAsia="fr-FR"/>
            </w:rPr>
          </w:pPr>
          <w:r>
            <w:fldChar w:fldCharType="begin"/>
          </w:r>
          <w:r>
            <w:instrText xml:space="preserve"> TOC \o "1-3" \h \z \u </w:instrText>
          </w:r>
          <w:r>
            <w:fldChar w:fldCharType="separate"/>
          </w:r>
          <w:hyperlink w:anchor="_Toc19000997" w:history="1">
            <w:r w:rsidRPr="00895773">
              <w:rPr>
                <w:rStyle w:val="Lienhypertexte"/>
                <w:rFonts w:cs="Arial"/>
                <w:noProof/>
              </w:rPr>
              <w:t>Article 1 : Préambule</w:t>
            </w:r>
            <w:r w:rsidR="001D7FCD">
              <w:rPr>
                <w:rStyle w:val="Lienhypertexte"/>
                <w:rFonts w:cs="Arial"/>
                <w:noProof/>
              </w:rPr>
              <w:t xml:space="preserve"> – Objet de l’accord</w:t>
            </w:r>
            <w:r>
              <w:rPr>
                <w:noProof/>
                <w:webHidden/>
              </w:rPr>
              <w:tab/>
            </w:r>
            <w:r>
              <w:rPr>
                <w:noProof/>
                <w:webHidden/>
              </w:rPr>
              <w:fldChar w:fldCharType="begin"/>
            </w:r>
            <w:r>
              <w:rPr>
                <w:noProof/>
                <w:webHidden/>
              </w:rPr>
              <w:instrText xml:space="preserve"> PAGEREF _Toc19000997 \h </w:instrText>
            </w:r>
            <w:r>
              <w:rPr>
                <w:noProof/>
                <w:webHidden/>
              </w:rPr>
            </w:r>
            <w:r>
              <w:rPr>
                <w:noProof/>
                <w:webHidden/>
              </w:rPr>
              <w:fldChar w:fldCharType="separate"/>
            </w:r>
            <w:r w:rsidR="00CA4D58">
              <w:rPr>
                <w:noProof/>
                <w:webHidden/>
              </w:rPr>
              <w:t>2</w:t>
            </w:r>
            <w:r>
              <w:rPr>
                <w:noProof/>
                <w:webHidden/>
              </w:rPr>
              <w:fldChar w:fldCharType="end"/>
            </w:r>
          </w:hyperlink>
        </w:p>
        <w:p w14:paraId="6931743B" w14:textId="7D8C2A71" w:rsidP="005A2C98" w:rsidR="005A2C98" w:rsidRDefault="000F0CD2">
          <w:pPr>
            <w:pStyle w:val="TM1"/>
            <w:tabs>
              <w:tab w:leader="dot" w:pos="10308" w:val="right"/>
            </w:tabs>
            <w:rPr>
              <w:rFonts w:asciiTheme="minorHAnsi" w:eastAsiaTheme="minorEastAsia" w:hAnsiTheme="minorHAnsi"/>
              <w:noProof/>
              <w:lang w:eastAsia="fr-FR"/>
            </w:rPr>
          </w:pPr>
          <w:hyperlink w:anchor="_Toc19000998" w:history="1">
            <w:r w:rsidR="005A2C98" w:rsidRPr="00895773">
              <w:rPr>
                <w:rStyle w:val="Lienhypertexte"/>
                <w:rFonts w:cs="Arial"/>
                <w:noProof/>
              </w:rPr>
              <w:t>Article 2 : Embauche</w:t>
            </w:r>
            <w:r w:rsidR="001D7FCD">
              <w:rPr>
                <w:rStyle w:val="Lienhypertexte"/>
                <w:rFonts w:cs="Arial"/>
                <w:noProof/>
              </w:rPr>
              <w:t xml:space="preserve"> et Recrutement</w:t>
            </w:r>
            <w:r w:rsidR="005A2C98">
              <w:rPr>
                <w:noProof/>
                <w:webHidden/>
              </w:rPr>
              <w:tab/>
            </w:r>
            <w:r w:rsidR="005A2C98">
              <w:rPr>
                <w:noProof/>
                <w:webHidden/>
              </w:rPr>
              <w:fldChar w:fldCharType="begin"/>
            </w:r>
            <w:r w:rsidR="005A2C98">
              <w:rPr>
                <w:noProof/>
                <w:webHidden/>
              </w:rPr>
              <w:instrText xml:space="preserve"> PAGEREF _Toc19000998 \h </w:instrText>
            </w:r>
            <w:r w:rsidR="005A2C98">
              <w:rPr>
                <w:noProof/>
                <w:webHidden/>
              </w:rPr>
            </w:r>
            <w:r w:rsidR="005A2C98">
              <w:rPr>
                <w:noProof/>
                <w:webHidden/>
              </w:rPr>
              <w:fldChar w:fldCharType="separate"/>
            </w:r>
            <w:r w:rsidR="00CA4D58">
              <w:rPr>
                <w:noProof/>
                <w:webHidden/>
              </w:rPr>
              <w:t>3</w:t>
            </w:r>
            <w:r w:rsidR="005A2C98">
              <w:rPr>
                <w:noProof/>
                <w:webHidden/>
              </w:rPr>
              <w:fldChar w:fldCharType="end"/>
            </w:r>
          </w:hyperlink>
        </w:p>
        <w:p w14:paraId="2944E935" w14:textId="489C7216" w:rsidP="005A2C98" w:rsidR="005A2C98" w:rsidRDefault="000F0CD2">
          <w:pPr>
            <w:pStyle w:val="TM1"/>
            <w:tabs>
              <w:tab w:leader="dot" w:pos="10308" w:val="right"/>
            </w:tabs>
            <w:rPr>
              <w:rFonts w:asciiTheme="minorHAnsi" w:eastAsiaTheme="minorEastAsia" w:hAnsiTheme="minorHAnsi"/>
              <w:noProof/>
              <w:lang w:eastAsia="fr-FR"/>
            </w:rPr>
          </w:pPr>
          <w:hyperlink w:anchor="_Toc19000999" w:history="1">
            <w:r w:rsidR="005A2C98" w:rsidRPr="00895773">
              <w:rPr>
                <w:rStyle w:val="Lienhypertexte"/>
                <w:rFonts w:cs="Arial"/>
                <w:noProof/>
              </w:rPr>
              <w:t>Article 3 : Égalité d’accès à la formation professionnelle</w:t>
            </w:r>
            <w:r w:rsidR="005A2C98">
              <w:rPr>
                <w:noProof/>
                <w:webHidden/>
              </w:rPr>
              <w:tab/>
            </w:r>
            <w:r w:rsidR="005A2C98">
              <w:rPr>
                <w:noProof/>
                <w:webHidden/>
              </w:rPr>
              <w:fldChar w:fldCharType="begin"/>
            </w:r>
            <w:r w:rsidR="005A2C98">
              <w:rPr>
                <w:noProof/>
                <w:webHidden/>
              </w:rPr>
              <w:instrText xml:space="preserve"> PAGEREF _Toc19000999 \h </w:instrText>
            </w:r>
            <w:r w:rsidR="005A2C98">
              <w:rPr>
                <w:noProof/>
                <w:webHidden/>
              </w:rPr>
            </w:r>
            <w:r w:rsidR="005A2C98">
              <w:rPr>
                <w:noProof/>
                <w:webHidden/>
              </w:rPr>
              <w:fldChar w:fldCharType="separate"/>
            </w:r>
            <w:r w:rsidR="00CA4D58">
              <w:rPr>
                <w:noProof/>
                <w:webHidden/>
              </w:rPr>
              <w:t>3</w:t>
            </w:r>
            <w:r w:rsidR="005A2C98">
              <w:rPr>
                <w:noProof/>
                <w:webHidden/>
              </w:rPr>
              <w:fldChar w:fldCharType="end"/>
            </w:r>
          </w:hyperlink>
        </w:p>
        <w:p w14:paraId="53B364B4" w14:textId="67A65C67" w:rsidP="005A2C98" w:rsidR="005A2C98" w:rsidRDefault="000F0CD2">
          <w:pPr>
            <w:pStyle w:val="TM1"/>
            <w:tabs>
              <w:tab w:leader="dot" w:pos="10308" w:val="right"/>
            </w:tabs>
            <w:rPr>
              <w:rFonts w:asciiTheme="minorHAnsi" w:eastAsiaTheme="minorEastAsia" w:hAnsiTheme="minorHAnsi"/>
              <w:noProof/>
              <w:lang w:eastAsia="fr-FR"/>
            </w:rPr>
          </w:pPr>
          <w:hyperlink w:anchor="_Toc19001000" w:history="1">
            <w:r w:rsidR="005A2C98" w:rsidRPr="00895773">
              <w:rPr>
                <w:rStyle w:val="Lienhypertexte"/>
                <w:rFonts w:cs="Arial"/>
                <w:noProof/>
              </w:rPr>
              <w:t xml:space="preserve">Article 4 : Rémunération </w:t>
            </w:r>
            <w:r w:rsidR="00A71A78">
              <w:rPr>
                <w:rStyle w:val="Lienhypertexte"/>
                <w:rFonts w:cs="Arial"/>
                <w:noProof/>
              </w:rPr>
              <w:t>et évolution professionnelle</w:t>
            </w:r>
            <w:r w:rsidR="005A2C98">
              <w:rPr>
                <w:noProof/>
                <w:webHidden/>
              </w:rPr>
              <w:tab/>
            </w:r>
            <w:r w:rsidR="00072A09">
              <w:rPr>
                <w:noProof/>
                <w:webHidden/>
              </w:rPr>
              <w:t>4</w:t>
            </w:r>
          </w:hyperlink>
        </w:p>
        <w:p w14:paraId="61AAF231" w14:textId="67C6C1B2" w:rsidP="00A71A78" w:rsidR="005A2C98" w:rsidRDefault="000F0CD2">
          <w:pPr>
            <w:pStyle w:val="TM1"/>
            <w:tabs>
              <w:tab w:leader="dot" w:pos="10308" w:val="right"/>
            </w:tabs>
            <w:rPr>
              <w:rFonts w:asciiTheme="minorHAnsi" w:eastAsiaTheme="minorEastAsia" w:hAnsiTheme="minorHAnsi"/>
              <w:noProof/>
              <w:lang w:eastAsia="fr-FR"/>
            </w:rPr>
          </w:pPr>
          <w:hyperlink w:anchor="_Toc19001004" w:history="1">
            <w:r w:rsidR="005A2C98" w:rsidRPr="00895773">
              <w:rPr>
                <w:rStyle w:val="Lienhypertexte"/>
                <w:rFonts w:cs="Arial"/>
                <w:noProof/>
              </w:rPr>
              <w:t xml:space="preserve">Article </w:t>
            </w:r>
            <w:r w:rsidR="00A71A78">
              <w:rPr>
                <w:rStyle w:val="Lienhypertexte"/>
                <w:rFonts w:cs="Arial"/>
                <w:noProof/>
              </w:rPr>
              <w:t>5</w:t>
            </w:r>
            <w:r w:rsidR="005A2C98" w:rsidRPr="00895773">
              <w:rPr>
                <w:rStyle w:val="Lienhypertexte"/>
                <w:rFonts w:cs="Arial"/>
                <w:noProof/>
              </w:rPr>
              <w:t> : Articulation activité professionnelle et vie personnelle</w:t>
            </w:r>
            <w:r w:rsidR="005A2C98">
              <w:rPr>
                <w:noProof/>
                <w:webHidden/>
              </w:rPr>
              <w:tab/>
            </w:r>
            <w:r w:rsidR="005A2C98">
              <w:rPr>
                <w:noProof/>
                <w:webHidden/>
              </w:rPr>
              <w:fldChar w:fldCharType="begin"/>
            </w:r>
            <w:r w:rsidR="005A2C98">
              <w:rPr>
                <w:noProof/>
                <w:webHidden/>
              </w:rPr>
              <w:instrText xml:space="preserve"> PAGEREF _Toc19001004 \h </w:instrText>
            </w:r>
            <w:r w:rsidR="005A2C98">
              <w:rPr>
                <w:noProof/>
                <w:webHidden/>
              </w:rPr>
            </w:r>
            <w:r w:rsidR="005A2C98">
              <w:rPr>
                <w:noProof/>
                <w:webHidden/>
              </w:rPr>
              <w:fldChar w:fldCharType="separate"/>
            </w:r>
            <w:r w:rsidR="00CA4D58">
              <w:rPr>
                <w:noProof/>
                <w:webHidden/>
              </w:rPr>
              <w:t>4</w:t>
            </w:r>
            <w:r w:rsidR="005A2C98">
              <w:rPr>
                <w:noProof/>
                <w:webHidden/>
              </w:rPr>
              <w:fldChar w:fldCharType="end"/>
            </w:r>
          </w:hyperlink>
        </w:p>
        <w:p w14:paraId="761A31E4" w14:textId="0027A65C" w:rsidP="005A2C98" w:rsidR="005A2C98" w:rsidRDefault="000F0CD2">
          <w:pPr>
            <w:pStyle w:val="TM1"/>
            <w:tabs>
              <w:tab w:leader="dot" w:pos="10308" w:val="right"/>
            </w:tabs>
            <w:rPr>
              <w:rFonts w:asciiTheme="minorHAnsi" w:eastAsiaTheme="minorEastAsia" w:hAnsiTheme="minorHAnsi"/>
              <w:noProof/>
              <w:lang w:eastAsia="fr-FR"/>
            </w:rPr>
          </w:pPr>
          <w:hyperlink w:anchor="_Toc19001009" w:history="1">
            <w:r w:rsidR="005A2C98" w:rsidRPr="00895773">
              <w:rPr>
                <w:rStyle w:val="Lienhypertexte"/>
                <w:rFonts w:cs="Arial"/>
                <w:noProof/>
              </w:rPr>
              <w:t xml:space="preserve">Article </w:t>
            </w:r>
            <w:r w:rsidR="00A71A78">
              <w:rPr>
                <w:rStyle w:val="Lienhypertexte"/>
                <w:rFonts w:cs="Arial"/>
                <w:noProof/>
              </w:rPr>
              <w:t>6</w:t>
            </w:r>
            <w:r w:rsidR="005A2C98" w:rsidRPr="00895773">
              <w:rPr>
                <w:rStyle w:val="Lienhypertexte"/>
                <w:rFonts w:cs="Arial"/>
                <w:noProof/>
              </w:rPr>
              <w:t>: Droit à la déconnexion</w:t>
            </w:r>
            <w:r w:rsidR="005A2C98">
              <w:rPr>
                <w:noProof/>
                <w:webHidden/>
              </w:rPr>
              <w:tab/>
            </w:r>
            <w:r w:rsidR="00072A09">
              <w:rPr>
                <w:noProof/>
                <w:webHidden/>
              </w:rPr>
              <w:t>5</w:t>
            </w:r>
          </w:hyperlink>
        </w:p>
        <w:p w14:paraId="65F8EDD7" w14:textId="0D493945" w:rsidP="005A2C98" w:rsidR="005A2C98" w:rsidRDefault="000F0CD2">
          <w:pPr>
            <w:pStyle w:val="TM1"/>
            <w:tabs>
              <w:tab w:leader="dot" w:pos="10308" w:val="right"/>
            </w:tabs>
            <w:rPr>
              <w:rFonts w:asciiTheme="minorHAnsi" w:eastAsiaTheme="minorEastAsia" w:hAnsiTheme="minorHAnsi"/>
              <w:noProof/>
              <w:lang w:eastAsia="fr-FR"/>
            </w:rPr>
          </w:pPr>
          <w:hyperlink w:anchor="_Toc19001010" w:history="1">
            <w:r w:rsidR="005A2C98" w:rsidRPr="00895773">
              <w:rPr>
                <w:rStyle w:val="Lienhypertexte"/>
                <w:rFonts w:cs="Arial"/>
                <w:noProof/>
              </w:rPr>
              <w:t xml:space="preserve">Article </w:t>
            </w:r>
            <w:r w:rsidR="00A71A78">
              <w:rPr>
                <w:rStyle w:val="Lienhypertexte"/>
                <w:rFonts w:cs="Arial"/>
                <w:noProof/>
              </w:rPr>
              <w:t>7</w:t>
            </w:r>
            <w:r w:rsidR="005A2C98" w:rsidRPr="00895773">
              <w:rPr>
                <w:rStyle w:val="Lienhypertexte"/>
                <w:rFonts w:cs="Arial"/>
                <w:noProof/>
              </w:rPr>
              <w:t xml:space="preserve"> : </w:t>
            </w:r>
            <w:r w:rsidR="00072A09">
              <w:rPr>
                <w:rStyle w:val="Lienhypertexte"/>
                <w:rFonts w:cs="Arial"/>
                <w:noProof/>
              </w:rPr>
              <w:t>Lutte contre les discriminations et le harcèlement sexuel</w:t>
            </w:r>
            <w:r w:rsidR="005A2C98">
              <w:rPr>
                <w:noProof/>
                <w:webHidden/>
              </w:rPr>
              <w:tab/>
            </w:r>
            <w:r w:rsidR="005A2C98">
              <w:rPr>
                <w:noProof/>
                <w:webHidden/>
              </w:rPr>
              <w:fldChar w:fldCharType="begin"/>
            </w:r>
            <w:r w:rsidR="005A2C98">
              <w:rPr>
                <w:noProof/>
                <w:webHidden/>
              </w:rPr>
              <w:instrText xml:space="preserve"> PAGEREF _Toc19001010 \h </w:instrText>
            </w:r>
            <w:r w:rsidR="005A2C98">
              <w:rPr>
                <w:noProof/>
                <w:webHidden/>
              </w:rPr>
            </w:r>
            <w:r w:rsidR="005A2C98">
              <w:rPr>
                <w:noProof/>
                <w:webHidden/>
              </w:rPr>
              <w:fldChar w:fldCharType="separate"/>
            </w:r>
            <w:r w:rsidR="00CA4D58">
              <w:rPr>
                <w:noProof/>
                <w:webHidden/>
              </w:rPr>
              <w:t>5</w:t>
            </w:r>
            <w:r w:rsidR="005A2C98">
              <w:rPr>
                <w:noProof/>
                <w:webHidden/>
              </w:rPr>
              <w:fldChar w:fldCharType="end"/>
            </w:r>
          </w:hyperlink>
        </w:p>
        <w:p w14:paraId="19C92E3E" w14:textId="651B8BCF" w:rsidP="005A2C98" w:rsidR="005A2C98" w:rsidRDefault="000F0CD2">
          <w:pPr>
            <w:pStyle w:val="TM1"/>
            <w:tabs>
              <w:tab w:leader="dot" w:pos="10308" w:val="right"/>
            </w:tabs>
            <w:rPr>
              <w:rFonts w:asciiTheme="minorHAnsi" w:eastAsiaTheme="minorEastAsia" w:hAnsiTheme="minorHAnsi"/>
              <w:noProof/>
              <w:lang w:eastAsia="fr-FR"/>
            </w:rPr>
          </w:pPr>
          <w:hyperlink w:anchor="_Toc19001011" w:history="1">
            <w:r w:rsidR="005A2C98" w:rsidRPr="00895773">
              <w:rPr>
                <w:rStyle w:val="Lienhypertexte"/>
                <w:rFonts w:cs="Arial"/>
                <w:noProof/>
              </w:rPr>
              <w:t xml:space="preserve">Article </w:t>
            </w:r>
            <w:r w:rsidR="00A71A78">
              <w:rPr>
                <w:rStyle w:val="Lienhypertexte"/>
                <w:rFonts w:cs="Arial"/>
                <w:noProof/>
              </w:rPr>
              <w:t>8</w:t>
            </w:r>
            <w:r w:rsidR="005A2C98" w:rsidRPr="00895773">
              <w:rPr>
                <w:rStyle w:val="Lienhypertexte"/>
                <w:rFonts w:cs="Arial"/>
                <w:noProof/>
              </w:rPr>
              <w:t xml:space="preserve"> : </w:t>
            </w:r>
            <w:r w:rsidR="00072A09">
              <w:rPr>
                <w:rStyle w:val="Lienhypertexte"/>
                <w:rFonts w:cs="Arial"/>
                <w:noProof/>
              </w:rPr>
              <w:t>Dépôt</w:t>
            </w:r>
            <w:r w:rsidR="005A2C98" w:rsidRPr="00895773">
              <w:rPr>
                <w:rStyle w:val="Lienhypertexte"/>
                <w:rFonts w:cs="Arial"/>
                <w:noProof/>
              </w:rPr>
              <w:t xml:space="preserve"> de l’accord</w:t>
            </w:r>
            <w:r w:rsidR="005A2C98">
              <w:rPr>
                <w:noProof/>
                <w:webHidden/>
              </w:rPr>
              <w:tab/>
            </w:r>
            <w:r w:rsidR="005A2C98">
              <w:rPr>
                <w:noProof/>
                <w:webHidden/>
              </w:rPr>
              <w:fldChar w:fldCharType="begin"/>
            </w:r>
            <w:r w:rsidR="005A2C98">
              <w:rPr>
                <w:noProof/>
                <w:webHidden/>
              </w:rPr>
              <w:instrText xml:space="preserve"> PAGEREF _Toc19001011 \h </w:instrText>
            </w:r>
            <w:r w:rsidR="005A2C98">
              <w:rPr>
                <w:noProof/>
                <w:webHidden/>
              </w:rPr>
            </w:r>
            <w:r w:rsidR="005A2C98">
              <w:rPr>
                <w:noProof/>
                <w:webHidden/>
              </w:rPr>
              <w:fldChar w:fldCharType="separate"/>
            </w:r>
            <w:r w:rsidR="00CA4D58">
              <w:rPr>
                <w:noProof/>
                <w:webHidden/>
              </w:rPr>
              <w:t>6</w:t>
            </w:r>
            <w:r w:rsidR="005A2C98">
              <w:rPr>
                <w:noProof/>
                <w:webHidden/>
              </w:rPr>
              <w:fldChar w:fldCharType="end"/>
            </w:r>
          </w:hyperlink>
        </w:p>
        <w:p w14:paraId="55FFD1E5" w14:textId="6DCFAF57" w:rsidP="005A2C98" w:rsidR="005A2C98" w:rsidRDefault="000F0CD2">
          <w:pPr>
            <w:pStyle w:val="TM1"/>
            <w:tabs>
              <w:tab w:leader="dot" w:pos="10308" w:val="right"/>
            </w:tabs>
            <w:rPr>
              <w:rFonts w:asciiTheme="minorHAnsi" w:eastAsiaTheme="minorEastAsia" w:hAnsiTheme="minorHAnsi"/>
              <w:noProof/>
              <w:lang w:eastAsia="fr-FR"/>
            </w:rPr>
          </w:pPr>
          <w:hyperlink w:anchor="_Toc19001012" w:history="1">
            <w:r w:rsidR="005A2C98" w:rsidRPr="00895773">
              <w:rPr>
                <w:rStyle w:val="Lienhypertexte"/>
                <w:rFonts w:cs="Arial"/>
                <w:noProof/>
              </w:rPr>
              <w:t xml:space="preserve">Article </w:t>
            </w:r>
            <w:r w:rsidR="00A71A78">
              <w:rPr>
                <w:rStyle w:val="Lienhypertexte"/>
                <w:rFonts w:cs="Arial"/>
                <w:noProof/>
              </w:rPr>
              <w:t>9</w:t>
            </w:r>
            <w:r w:rsidR="005A2C98" w:rsidRPr="00895773">
              <w:rPr>
                <w:rStyle w:val="Lienhypertexte"/>
                <w:rFonts w:cs="Arial"/>
                <w:noProof/>
              </w:rPr>
              <w:t xml:space="preserve"> : </w:t>
            </w:r>
            <w:r w:rsidR="00072A09">
              <w:rPr>
                <w:rStyle w:val="Lienhypertexte"/>
                <w:rFonts w:cs="Arial"/>
                <w:noProof/>
              </w:rPr>
              <w:t>Suivi de l’accord</w:t>
            </w:r>
            <w:r w:rsidR="005A2C98">
              <w:rPr>
                <w:noProof/>
                <w:webHidden/>
              </w:rPr>
              <w:tab/>
            </w:r>
            <w:r w:rsidR="005A2C98">
              <w:rPr>
                <w:noProof/>
                <w:webHidden/>
              </w:rPr>
              <w:fldChar w:fldCharType="begin"/>
            </w:r>
            <w:r w:rsidR="005A2C98">
              <w:rPr>
                <w:noProof/>
                <w:webHidden/>
              </w:rPr>
              <w:instrText xml:space="preserve"> PAGEREF _Toc19001012 \h </w:instrText>
            </w:r>
            <w:r w:rsidR="005A2C98">
              <w:rPr>
                <w:noProof/>
                <w:webHidden/>
              </w:rPr>
            </w:r>
            <w:r w:rsidR="005A2C98">
              <w:rPr>
                <w:noProof/>
                <w:webHidden/>
              </w:rPr>
              <w:fldChar w:fldCharType="separate"/>
            </w:r>
            <w:r w:rsidR="00CA4D58">
              <w:rPr>
                <w:noProof/>
                <w:webHidden/>
              </w:rPr>
              <w:t>6</w:t>
            </w:r>
            <w:r w:rsidR="005A2C98">
              <w:rPr>
                <w:noProof/>
                <w:webHidden/>
              </w:rPr>
              <w:fldChar w:fldCharType="end"/>
            </w:r>
          </w:hyperlink>
        </w:p>
        <w:p w14:paraId="52242212" w14:textId="76A606DB" w:rsidP="005A2C98" w:rsidR="005A2C98" w:rsidRDefault="005A2C98" w:rsidRPr="00182FC9">
          <w:r>
            <w:rPr>
              <w:b/>
              <w:bCs/>
            </w:rPr>
            <w:fldChar w:fldCharType="end"/>
          </w:r>
          <w:r w:rsidR="00072A09" w:rsidRPr="00072A09">
            <w:t>Article 10 : Durée et dénonciation de l’accord</w:t>
          </w:r>
          <w:r w:rsidR="00072A09">
            <w:rPr>
              <w:b/>
              <w:bCs/>
            </w:rPr>
            <w:tab/>
          </w:r>
          <w:r w:rsidR="00072A09">
            <w:rPr>
              <w:b/>
              <w:bCs/>
            </w:rPr>
            <w:tab/>
          </w:r>
          <w:r w:rsidR="00072A09">
            <w:rPr>
              <w:b/>
              <w:bCs/>
            </w:rPr>
            <w:tab/>
          </w:r>
          <w:r w:rsidR="00072A09">
            <w:rPr>
              <w:b/>
              <w:bCs/>
            </w:rPr>
            <w:tab/>
          </w:r>
          <w:r w:rsidR="00072A09">
            <w:rPr>
              <w:b/>
              <w:bCs/>
            </w:rPr>
            <w:tab/>
          </w:r>
          <w:r w:rsidR="00072A09">
            <w:rPr>
              <w:b/>
              <w:bCs/>
            </w:rPr>
            <w:tab/>
          </w:r>
          <w:r w:rsidR="00072A09">
            <w:rPr>
              <w:b/>
              <w:bCs/>
            </w:rPr>
            <w:tab/>
            <w:t xml:space="preserve">                </w:t>
          </w:r>
          <w:r w:rsidR="00072A09" w:rsidRPr="00072A09">
            <w:t>6</w:t>
          </w:r>
        </w:p>
      </w:sdtContent>
    </w:sdt>
    <w:p w14:paraId="7CBD4C3C" w14:textId="77777777" w:rsidP="00A71A78" w:rsidR="00072A09" w:rsidRDefault="00072A09">
      <w:pPr>
        <w:ind w:firstLine="284"/>
        <w:jc w:val="left"/>
        <w:rPr>
          <w:rFonts w:cs="Arial"/>
          <w:b/>
          <w:bCs/>
          <w:smallCaps/>
          <w:u w:val="single"/>
        </w:rPr>
      </w:pPr>
      <w:bookmarkStart w:id="2" w:name="_Toc10628198"/>
      <w:bookmarkStart w:id="3" w:name="_Toc19000997"/>
    </w:p>
    <w:p w14:paraId="2D6319E0" w14:textId="5A620095" w:rsidP="00A71A78" w:rsidR="005A2C98" w:rsidRDefault="005A2C98" w:rsidRPr="00A71A78">
      <w:pPr>
        <w:ind w:firstLine="284"/>
        <w:jc w:val="left"/>
        <w:rPr>
          <w:rFonts w:cs="Arial"/>
          <w:b/>
          <w:bCs/>
          <w:smallCaps/>
          <w:u w:val="single"/>
        </w:rPr>
      </w:pPr>
      <w:r w:rsidRPr="00A71A78">
        <w:rPr>
          <w:rFonts w:cs="Arial"/>
          <w:b/>
          <w:bCs/>
          <w:smallCaps/>
          <w:u w:val="single"/>
        </w:rPr>
        <w:t>Article 1 : Préambule</w:t>
      </w:r>
      <w:bookmarkEnd w:id="2"/>
      <w:bookmarkEnd w:id="3"/>
      <w:r w:rsidR="00A03BFF" w:rsidRPr="00A71A78">
        <w:rPr>
          <w:rFonts w:cs="Arial"/>
          <w:b/>
          <w:bCs/>
          <w:smallCaps/>
          <w:u w:val="single"/>
        </w:rPr>
        <w:t xml:space="preserve"> – </w:t>
      </w:r>
      <w:r w:rsidR="00A71A78" w:rsidRPr="00A71A78">
        <w:rPr>
          <w:rFonts w:cs="Arial"/>
          <w:b/>
          <w:bCs/>
          <w:smallCaps/>
          <w:u w:val="single"/>
        </w:rPr>
        <w:t>O</w:t>
      </w:r>
      <w:r w:rsidR="00A03BFF" w:rsidRPr="00A71A78">
        <w:rPr>
          <w:rFonts w:cs="Arial"/>
          <w:b/>
          <w:bCs/>
          <w:smallCaps/>
          <w:u w:val="single"/>
        </w:rPr>
        <w:t>bjet de l’accord</w:t>
      </w:r>
    </w:p>
    <w:p w14:paraId="5D11BDB3" w14:textId="0C443764" w:rsidP="005A2C98" w:rsidR="00A03BFF" w:rsidRDefault="005A2C98">
      <w:pPr>
        <w:spacing w:after="120" w:before="120" w:line="276" w:lineRule="auto"/>
      </w:pPr>
      <w:r>
        <w:t xml:space="preserve">Le </w:t>
      </w:r>
      <w:r w:rsidR="00A03BFF">
        <w:t xml:space="preserve">présent accord est conclu en application des dispositions des articles L. 2242-1 et suivants du </w:t>
      </w:r>
      <w:r>
        <w:t xml:space="preserve">Code du travail </w:t>
      </w:r>
      <w:r w:rsidR="00A03BFF">
        <w:t>garantissant</w:t>
      </w:r>
      <w:r>
        <w:t xml:space="preserve"> le respect du principe d’égalité entre les femmes et les hommes lors de l’embauche, de l’exécution du contrat ou de la rupture de ce dernier.</w:t>
      </w:r>
    </w:p>
    <w:p w14:paraId="0F41C186" w14:textId="5220ADDB" w:rsidP="005A2C98" w:rsidR="00A03BFF" w:rsidRDefault="00A03BFF" w:rsidRPr="00201DA5">
      <w:pPr>
        <w:spacing w:after="120" w:before="120" w:line="276" w:lineRule="auto"/>
      </w:pPr>
      <w:r>
        <w:t xml:space="preserve">PARIS COUNTRY CLUB (ci-après PCC) </w:t>
      </w:r>
      <w:r w:rsidR="005A2C98">
        <w:t>réaffirme de son côté, par le présent accord, sa volonté</w:t>
      </w:r>
      <w:r w:rsidR="00392B89">
        <w:t xml:space="preserve"> d’inscrire l’égalité professionnelle entre les femmes et les hommes dans la culture générale de l’entreprise,</w:t>
      </w:r>
      <w:r w:rsidR="005A2C98">
        <w:t xml:space="preserve"> de combattre les représentations et les préjugés et d’assurer une égalité professionnelle et salariale entre les femmes et les hommes. </w:t>
      </w:r>
    </w:p>
    <w:p w14:paraId="44205C40" w14:textId="77777777" w:rsidP="005A2C98" w:rsidR="00392B89" w:rsidRDefault="00A03BFF">
      <w:pPr>
        <w:spacing w:after="120" w:before="120" w:line="276" w:lineRule="auto"/>
      </w:pPr>
      <w:r>
        <w:t>Dans ce cadre</w:t>
      </w:r>
      <w:r w:rsidR="005A2C98">
        <w:t xml:space="preserve">, </w:t>
      </w:r>
      <w:r w:rsidR="00392B89">
        <w:t>elle s’engage dans une politique volontariste en faveur de l’égalité des chances entre les femmes et les hommes dès l’embauche et à tous les stades de la vie professionnelle.</w:t>
      </w:r>
    </w:p>
    <w:p w14:paraId="5367D849" w14:textId="77FB365B" w:rsidP="005A2C98" w:rsidR="005A2C98" w:rsidRDefault="00392B89">
      <w:pPr>
        <w:spacing w:after="120" w:before="120" w:line="276" w:lineRule="auto"/>
      </w:pPr>
      <w:r>
        <w:t>L</w:t>
      </w:r>
      <w:r w:rsidR="005A2C98">
        <w:t xml:space="preserve">es parties </w:t>
      </w:r>
      <w:r w:rsidR="00A03BFF">
        <w:t xml:space="preserve">conviennent </w:t>
      </w:r>
      <w:r>
        <w:t xml:space="preserve">ainsi </w:t>
      </w:r>
      <w:r w:rsidR="00A03BFF">
        <w:t>de mettre en place des actions concrètes afin de</w:t>
      </w:r>
      <w:r w:rsidR="005A2C98">
        <w:t xml:space="preserve"> : </w:t>
      </w:r>
    </w:p>
    <w:p w14:paraId="51E154F1" w14:textId="1906095B" w:rsidP="00A03BFF" w:rsidR="005A2C98" w:rsidRDefault="005A2C98">
      <w:pPr>
        <w:spacing w:after="120" w:before="120" w:line="276" w:lineRule="auto"/>
        <w:ind w:left="567"/>
      </w:pPr>
      <w:r>
        <w:t xml:space="preserve"> - </w:t>
      </w:r>
      <w:r w:rsidR="00A03BFF">
        <w:t>améliorer l’égalité professionnelle lors de l</w:t>
      </w:r>
      <w:r>
        <w:t>’embauche,</w:t>
      </w:r>
    </w:p>
    <w:p w14:paraId="2BFC133B" w14:textId="4079C9B3" w:rsidP="00A03BFF" w:rsidR="00A03BFF" w:rsidRDefault="005A2C98">
      <w:pPr>
        <w:spacing w:after="120" w:before="120" w:line="276" w:lineRule="auto"/>
        <w:ind w:left="567"/>
      </w:pPr>
      <w:r>
        <w:t xml:space="preserve"> - </w:t>
      </w:r>
      <w:r w:rsidR="00A03BFF">
        <w:t>garantir l</w:t>
      </w:r>
      <w:r>
        <w:t>’égalité d’accès à la formation professionnelle</w:t>
      </w:r>
      <w:r w:rsidR="00A03BFF">
        <w:t>,</w:t>
      </w:r>
    </w:p>
    <w:p w14:paraId="1F2D19AF" w14:textId="06DA875B" w:rsidP="000F6C38" w:rsidR="005A2C98" w:rsidRDefault="005A2C98">
      <w:pPr>
        <w:spacing w:after="120" w:before="120" w:line="276" w:lineRule="auto"/>
        <w:ind w:left="567"/>
      </w:pPr>
      <w:r>
        <w:t xml:space="preserve"> - </w:t>
      </w:r>
      <w:r w:rsidR="00A03BFF">
        <w:t>garantir l’égalité salariale hommes-femmes,</w:t>
      </w:r>
    </w:p>
    <w:p w14:paraId="5A83AD49" w14:textId="029BC02B" w:rsidP="00A71A78" w:rsidR="00A03BFF" w:rsidRDefault="005A2C98">
      <w:pPr>
        <w:spacing w:after="120" w:before="120" w:line="276" w:lineRule="auto"/>
        <w:ind w:left="567"/>
      </w:pPr>
      <w:r>
        <w:t xml:space="preserve"> - </w:t>
      </w:r>
      <w:r w:rsidR="00A03BFF">
        <w:t>développer des actions en faveur de l</w:t>
      </w:r>
      <w:r>
        <w:t>’articulation entre l’activité professionnelle et la vie personnelle</w:t>
      </w:r>
      <w:r w:rsidR="007D7EEF">
        <w:t>,</w:t>
      </w:r>
    </w:p>
    <w:p w14:paraId="2C27DAAF" w14:textId="74EE650A" w:rsidP="00A71A78" w:rsidR="007D7EEF" w:rsidRDefault="007D7EEF">
      <w:pPr>
        <w:spacing w:after="120" w:before="120" w:line="276" w:lineRule="auto"/>
        <w:ind w:left="567"/>
      </w:pPr>
      <w:r>
        <w:t xml:space="preserve"> - lutter contre les discriminations et le harcèlement sexuel.</w:t>
      </w:r>
    </w:p>
    <w:p w14:paraId="36A36989" w14:textId="5BAF4C9E" w:rsidP="005A2C98" w:rsidR="005A2C98" w:rsidRDefault="005A2C98">
      <w:pPr>
        <w:spacing w:after="120" w:before="120" w:line="276" w:lineRule="auto"/>
      </w:pPr>
      <w:r>
        <w:lastRenderedPageBreak/>
        <w:t xml:space="preserve">Il a ainsi été arrêté et convenu ce qui suit, à la suite des réunions de négociation qui se sont tenues les </w:t>
      </w:r>
      <w:r w:rsidR="00CA4D58" w:rsidRPr="00CA4D58">
        <w:t>11/09/2019</w:t>
      </w:r>
      <w:r w:rsidR="00A03BFF" w:rsidRPr="00CA4D58">
        <w:t xml:space="preserve"> et </w:t>
      </w:r>
      <w:r w:rsidR="00CA4D58">
        <w:t>15/11/</w:t>
      </w:r>
      <w:r w:rsidR="00A03BFF">
        <w:t>2019</w:t>
      </w:r>
      <w:r>
        <w:t>.</w:t>
      </w:r>
    </w:p>
    <w:p w14:paraId="361487E2" w14:textId="2530E0A7" w:rsidP="005A2C98" w:rsidR="005A2C98" w:rsidRDefault="00846387">
      <w:pPr>
        <w:spacing w:after="120" w:before="120" w:line="276" w:lineRule="auto"/>
      </w:pPr>
      <w:r>
        <w:t xml:space="preserve">Les dispositions du présent accord sont applicables à l’ensemble du personnel de la SA PCC, quel que soit </w:t>
      </w:r>
      <w:r w:rsidR="00353ACD">
        <w:t>leur</w:t>
      </w:r>
      <w:r>
        <w:t xml:space="preserve"> lieu de travail.</w:t>
      </w:r>
    </w:p>
    <w:p w14:paraId="0226C406" w14:textId="77777777" w:rsidP="005A2C98" w:rsidR="00A71A78" w:rsidRDefault="00A71A78">
      <w:pPr>
        <w:spacing w:after="120" w:before="120" w:line="276" w:lineRule="auto"/>
      </w:pPr>
    </w:p>
    <w:p w14:paraId="4CADBE25" w14:textId="0C1D7602" w:rsidP="00A71A78" w:rsidR="005A2C98" w:rsidRDefault="005A2C98" w:rsidRPr="00A71A78">
      <w:pPr>
        <w:ind w:firstLine="284"/>
        <w:jc w:val="left"/>
        <w:rPr>
          <w:rFonts w:cs="Arial"/>
          <w:b/>
          <w:bCs/>
          <w:smallCaps/>
          <w:u w:val="single"/>
        </w:rPr>
      </w:pPr>
      <w:bookmarkStart w:id="4" w:name="_Toc19000998"/>
      <w:r w:rsidRPr="00A71A78">
        <w:rPr>
          <w:rFonts w:cs="Arial"/>
          <w:b/>
          <w:bCs/>
          <w:smallCaps/>
          <w:u w:val="single"/>
        </w:rPr>
        <w:t>Article 2 : Embauche</w:t>
      </w:r>
      <w:bookmarkEnd w:id="4"/>
      <w:r w:rsidR="001D7FCD" w:rsidRPr="00A71A78">
        <w:rPr>
          <w:rFonts w:cs="Arial"/>
          <w:b/>
          <w:bCs/>
          <w:smallCaps/>
          <w:u w:val="single"/>
        </w:rPr>
        <w:t xml:space="preserve"> et recrutement</w:t>
      </w:r>
    </w:p>
    <w:p w14:paraId="55A376E4" w14:textId="2FE7C1D3" w:rsidP="005A2C98" w:rsidR="00094119" w:rsidRDefault="00094119">
      <w:pPr>
        <w:spacing w:after="120" w:before="120" w:line="276" w:lineRule="auto"/>
      </w:pPr>
      <w:r w:rsidRPr="00094119">
        <w:rPr>
          <w:u w:val="single"/>
        </w:rPr>
        <w:t>Constat</w:t>
      </w:r>
      <w:r>
        <w:t xml:space="preserve"> : </w:t>
      </w:r>
      <w:r w:rsidRPr="00D0087E">
        <w:t>Il est constaté que le nombre de femmes au sein de la société est inférieur à celui des hommes</w:t>
      </w:r>
      <w:r w:rsidR="00D0087E">
        <w:t>.</w:t>
      </w:r>
      <w:r w:rsidRPr="00D0087E">
        <w:t xml:space="preserve"> </w:t>
      </w:r>
    </w:p>
    <w:p w14:paraId="6912546E" w14:textId="2FA48588" w:rsidP="005A2C98" w:rsidR="001D7FCD" w:rsidRDefault="005A2C98">
      <w:pPr>
        <w:spacing w:after="120" w:before="120" w:line="276" w:lineRule="auto"/>
      </w:pPr>
      <w:r>
        <w:t xml:space="preserve">L’égalité professionnelle entre les femmes et les hommes en matière d’effectif et de recrutement consiste à bannir toute discrimination en matière d’embauche. </w:t>
      </w:r>
    </w:p>
    <w:p w14:paraId="32266BCA" w14:textId="77777777" w:rsidP="005A2C98" w:rsidR="001D7FCD" w:rsidRDefault="001D7FCD">
      <w:pPr>
        <w:spacing w:after="120" w:before="120" w:line="276" w:lineRule="auto"/>
      </w:pPr>
      <w:r>
        <w:t>Les parties conviennent qu’il n’y a pas de métiers spécifiquement masculins ou féminins.</w:t>
      </w:r>
    </w:p>
    <w:p w14:paraId="40647180" w14:textId="0B3CF6B4" w:rsidP="005A2C98" w:rsidR="005A2C98" w:rsidRDefault="001D7FCD">
      <w:pPr>
        <w:spacing w:after="120" w:before="120" w:line="276" w:lineRule="auto"/>
      </w:pPr>
      <w:r>
        <w:t>En conséquence, PCC</w:t>
      </w:r>
      <w:r w:rsidR="005A2C98">
        <w:t xml:space="preserve"> fonde ses recrutements sur les seules compétence, aptitude, expérience professionnelle, formation et qualification des candidats.</w:t>
      </w:r>
    </w:p>
    <w:p w14:paraId="68631018" w14:textId="3871DA9E" w:rsidP="005A2C98" w:rsidR="005A2C98" w:rsidRDefault="001D7FCD">
      <w:pPr>
        <w:spacing w:after="120" w:before="120" w:line="276" w:lineRule="auto"/>
      </w:pPr>
      <w:r>
        <w:t>PCC</w:t>
      </w:r>
      <w:r w:rsidR="005A2C98">
        <w:t xml:space="preserve"> réaffirme son engagement à respecter une parfaite neutralité dans les procédures de recrutement, tant dans la rédaction des offres d’emploi, qu’il s’agisse de postes disponibles à l’interne comme à l’externe, ou de la façon de mener des entretiens avec les candidats. </w:t>
      </w:r>
    </w:p>
    <w:p w14:paraId="3B6D4555" w14:textId="77777777" w:rsidP="005A2C98" w:rsidR="005A2C98" w:rsidRDefault="005A2C98">
      <w:pPr>
        <w:spacing w:after="120" w:before="120" w:line="276" w:lineRule="auto"/>
      </w:pPr>
      <w:r>
        <w:t>Ainsi, la société veillera à ce que les stéréotypes liés au sexe ne soient pas véhiculés dans ses offres d’emploi ni pendant le processus de recrutement. De manière générale, la société favorisera des intitulés et des formulations qui rendent les offres accessibles et attractives autant aux femmes qu’aux hommes.</w:t>
      </w:r>
    </w:p>
    <w:p w14:paraId="69D1FE49" w14:textId="77777777" w:rsidP="005A2C98" w:rsidR="001D7FCD" w:rsidRDefault="001D7FCD">
      <w:pPr>
        <w:spacing w:after="120" w:before="120" w:line="276" w:lineRule="auto"/>
        <w:rPr>
          <w:b/>
          <w:bCs/>
          <w:u w:val="single"/>
        </w:rPr>
      </w:pPr>
    </w:p>
    <w:p w14:paraId="6A0994D5" w14:textId="02DCC082" w:rsidP="005A2C98" w:rsidR="005A2C98" w:rsidRDefault="005A2C98" w:rsidRPr="00846387">
      <w:pPr>
        <w:spacing w:after="120" w:before="120" w:line="276" w:lineRule="auto"/>
      </w:pPr>
      <w:r w:rsidRPr="00846387">
        <w:rPr>
          <w:u w:val="single"/>
        </w:rPr>
        <w:t>Indicateurs de suivi</w:t>
      </w:r>
      <w:r w:rsidRPr="00846387">
        <w:t xml:space="preserve"> :</w:t>
      </w:r>
    </w:p>
    <w:p w14:paraId="6533D7E5" w14:textId="77777777" w:rsidP="005A2C98" w:rsidR="005A2C98" w:rsidRDefault="005A2C98">
      <w:pPr>
        <w:pStyle w:val="Paragraphedeliste"/>
        <w:numPr>
          <w:ilvl w:val="0"/>
          <w:numId w:val="2"/>
        </w:numPr>
        <w:spacing w:after="120" w:before="120" w:line="276" w:lineRule="auto"/>
      </w:pPr>
      <w:r>
        <w:t>Rapport de répartition des embauches par sexe, type de contrat et catégorie socio-professionnelle,</w:t>
      </w:r>
    </w:p>
    <w:p w14:paraId="10EE4F1A" w14:textId="77777777" w:rsidP="005A2C98" w:rsidR="005A2C98" w:rsidRDefault="005A2C98">
      <w:pPr>
        <w:pStyle w:val="Paragraphedeliste"/>
        <w:numPr>
          <w:ilvl w:val="0"/>
          <w:numId w:val="2"/>
        </w:numPr>
        <w:spacing w:after="120" w:before="120" w:line="276" w:lineRule="auto"/>
      </w:pPr>
      <w:r>
        <w:t>Rapport entre le nombre de femmes reçues en entretien par rapport au nombre d’embauche,</w:t>
      </w:r>
    </w:p>
    <w:p w14:paraId="215D42EF" w14:textId="77777777" w:rsidP="005A2C98" w:rsidR="005A2C98" w:rsidRDefault="005A2C98">
      <w:pPr>
        <w:pStyle w:val="Paragraphedeliste"/>
        <w:numPr>
          <w:ilvl w:val="0"/>
          <w:numId w:val="2"/>
        </w:numPr>
        <w:spacing w:after="120" w:before="120" w:line="276" w:lineRule="auto"/>
      </w:pPr>
      <w:r>
        <w:t>Rapport sur l'âge et l'ancienneté.</w:t>
      </w:r>
    </w:p>
    <w:p w14:paraId="11DD7DEE" w14:textId="77777777" w:rsidP="005A2C98" w:rsidR="005A2C98" w:rsidRDefault="005A2C98">
      <w:pPr>
        <w:spacing w:after="120" w:before="120" w:line="276" w:lineRule="auto"/>
      </w:pPr>
    </w:p>
    <w:p w14:paraId="11526BF6" w14:textId="4FD2ADC0" w:rsidP="00094119" w:rsidR="00094119" w:rsidRDefault="005A2C98" w:rsidRPr="00094119">
      <w:pPr>
        <w:ind w:firstLine="284"/>
        <w:jc w:val="left"/>
        <w:rPr>
          <w:rFonts w:cs="Arial"/>
          <w:b/>
          <w:bCs/>
          <w:smallCaps/>
          <w:u w:val="single"/>
        </w:rPr>
      </w:pPr>
      <w:bookmarkStart w:id="5" w:name="_Toc19000999"/>
      <w:r w:rsidRPr="00A71A78">
        <w:rPr>
          <w:rFonts w:cs="Arial"/>
          <w:b/>
          <w:bCs/>
          <w:smallCaps/>
          <w:u w:val="single"/>
        </w:rPr>
        <w:t>Article 3 : Égalité d’accès à la formation professionnelle</w:t>
      </w:r>
      <w:bookmarkEnd w:id="5"/>
    </w:p>
    <w:p w14:paraId="0A971197" w14:textId="69038C46" w:rsidP="005A2C98" w:rsidR="00094119" w:rsidRDefault="00094119">
      <w:pPr>
        <w:spacing w:after="120" w:before="120" w:line="276" w:lineRule="auto"/>
      </w:pPr>
      <w:r w:rsidRPr="00094119">
        <w:rPr>
          <w:u w:val="single"/>
        </w:rPr>
        <w:t>Constat </w:t>
      </w:r>
      <w:r>
        <w:t xml:space="preserve">: </w:t>
      </w:r>
      <w:r w:rsidRPr="00D0087E">
        <w:t>Il est constaté que les formations sont principalement dispensé</w:t>
      </w:r>
      <w:r w:rsidR="00D0087E">
        <w:t>e</w:t>
      </w:r>
      <w:r w:rsidRPr="00D0087E">
        <w:t>s aux hommes par exemple</w:t>
      </w:r>
    </w:p>
    <w:p w14:paraId="780E7EE0" w14:textId="6551B4EF" w:rsidP="005A2C98" w:rsidR="005A2C98" w:rsidRDefault="005A2C98">
      <w:pPr>
        <w:spacing w:after="120" w:before="120" w:line="276" w:lineRule="auto"/>
      </w:pPr>
      <w:r>
        <w:t xml:space="preserve">La formation professionnelle est un vecteur essentiel pour l’employabilité des salariés et du développement de leurs compétences. </w:t>
      </w:r>
    </w:p>
    <w:p w14:paraId="5F264A17" w14:textId="027C24B8" w:rsidP="005A2C98" w:rsidR="005A2C98" w:rsidRDefault="001D7FCD">
      <w:pPr>
        <w:spacing w:after="120" w:before="120" w:line="276" w:lineRule="auto"/>
      </w:pPr>
      <w:r>
        <w:t>PCC</w:t>
      </w:r>
      <w:r w:rsidR="005A2C98">
        <w:t xml:space="preserve"> garantit le principe d’égalité d’accès à la formation professionnelle à tous ses salariés</w:t>
      </w:r>
      <w:r>
        <w:t xml:space="preserve">, </w:t>
      </w:r>
      <w:r w:rsidR="005A2C98">
        <w:t xml:space="preserve">élément déterminant pour assurer aux femmes et aux hommes une réelle égalité de traitement dans leur déroulement de carrière et la dynamisation de leur parcours professionnel. </w:t>
      </w:r>
    </w:p>
    <w:p w14:paraId="5AF531CA" w14:textId="77777777" w:rsidP="005A2C98" w:rsidR="005A2C98" w:rsidRDefault="005A2C98">
      <w:pPr>
        <w:spacing w:after="120" w:before="120" w:line="276" w:lineRule="auto"/>
      </w:pPr>
      <w:r>
        <w:t xml:space="preserve">La société examinera, par ailleurs, prioritairement les actions de formation qui pourraient s’avérer utiles pour les salariés de retour de congé maternité, de congé d’adoption ou de congé parental d’éducation. </w:t>
      </w:r>
    </w:p>
    <w:p w14:paraId="0B83FFA2" w14:textId="77777777" w:rsidP="005A2C98" w:rsidR="005A2C98" w:rsidRDefault="005A2C98" w:rsidRPr="00846387">
      <w:pPr>
        <w:spacing w:after="120" w:before="120" w:line="276" w:lineRule="auto"/>
      </w:pPr>
      <w:r w:rsidRPr="00846387">
        <w:rPr>
          <w:u w:val="single"/>
        </w:rPr>
        <w:t>Indicateur de suivi</w:t>
      </w:r>
      <w:r w:rsidRPr="00846387">
        <w:t xml:space="preserve"> :</w:t>
      </w:r>
    </w:p>
    <w:p w14:paraId="61F296E2" w14:textId="77777777" w:rsidP="005A2C98" w:rsidR="005A2C98" w:rsidRDefault="005A2C98">
      <w:pPr>
        <w:pStyle w:val="Paragraphedeliste"/>
        <w:numPr>
          <w:ilvl w:val="0"/>
          <w:numId w:val="2"/>
        </w:numPr>
        <w:spacing w:after="120" w:before="120" w:line="276" w:lineRule="auto"/>
      </w:pPr>
      <w:r>
        <w:lastRenderedPageBreak/>
        <w:t>Rapport sur le nombre d'heures de formation réalisées.</w:t>
      </w:r>
    </w:p>
    <w:p w14:paraId="32933C50" w14:textId="77777777" w:rsidP="005A2C98" w:rsidR="005A2C98" w:rsidRDefault="005A2C98" w:rsidRPr="0056120F">
      <w:pPr>
        <w:spacing w:after="120" w:before="120" w:line="276" w:lineRule="auto"/>
      </w:pPr>
    </w:p>
    <w:p w14:paraId="557D853B" w14:textId="382139F4" w:rsidP="00A71A78" w:rsidR="005A2C98" w:rsidRDefault="005A2C98" w:rsidRPr="00A71A78">
      <w:pPr>
        <w:ind w:firstLine="284"/>
        <w:jc w:val="left"/>
        <w:rPr>
          <w:rFonts w:cs="Arial"/>
          <w:b/>
          <w:bCs/>
          <w:smallCaps/>
          <w:u w:val="single"/>
        </w:rPr>
      </w:pPr>
      <w:bookmarkStart w:id="6" w:name="_Toc19001000"/>
      <w:r w:rsidRPr="00A71A78">
        <w:rPr>
          <w:rFonts w:cs="Arial"/>
          <w:b/>
          <w:bCs/>
          <w:smallCaps/>
          <w:u w:val="single"/>
        </w:rPr>
        <w:t xml:space="preserve">Article 4 : Rémunération </w:t>
      </w:r>
      <w:bookmarkEnd w:id="6"/>
      <w:r w:rsidR="000F6C38" w:rsidRPr="00A71A78">
        <w:rPr>
          <w:rFonts w:cs="Arial"/>
          <w:b/>
          <w:bCs/>
          <w:smallCaps/>
          <w:u w:val="single"/>
        </w:rPr>
        <w:t>et évolution professionnelle</w:t>
      </w:r>
    </w:p>
    <w:p w14:paraId="3454719A" w14:textId="1841A4DC" w:rsidP="005A2C98" w:rsidR="00094119" w:rsidRDefault="00094119">
      <w:pPr>
        <w:spacing w:after="120" w:before="120" w:line="276" w:lineRule="auto"/>
      </w:pPr>
      <w:r w:rsidRPr="000F4CAC">
        <w:rPr>
          <w:u w:val="single"/>
        </w:rPr>
        <w:t>Constat </w:t>
      </w:r>
      <w:r>
        <w:t xml:space="preserve">: </w:t>
      </w:r>
      <w:r w:rsidR="000F4CAC">
        <w:t>Chaque année, un examen des salaires est réalisé afin de vérifier qu’il n’y a pas d’écarts importants de salaires entre les femmes et les hommes ne pouvant être expliqués par l’âge, l’ancienneté ou des compétences spécifiques.</w:t>
      </w:r>
    </w:p>
    <w:p w14:paraId="2F2B328B" w14:textId="0A31D210" w:rsidP="005A2C98" w:rsidR="005A2C98" w:rsidRDefault="000F6C38">
      <w:pPr>
        <w:spacing w:after="120" w:before="120" w:line="276" w:lineRule="auto"/>
      </w:pPr>
      <w:r>
        <w:t>PCC</w:t>
      </w:r>
      <w:r w:rsidR="005A2C98">
        <w:t xml:space="preserve"> réaffirme, dans le présent accord, garantir un niveau de classification et de salaire à l’embauche identiques entre les femmes et les hommes pour des situations comparables, c’est-à-dire notamment à compétences et expériences équivalentes. </w:t>
      </w:r>
    </w:p>
    <w:p w14:paraId="273ED1D1" w14:textId="77777777" w:rsidP="005A2C98" w:rsidR="005A2C98" w:rsidRDefault="005A2C98">
      <w:pPr>
        <w:spacing w:after="120" w:before="120" w:line="276" w:lineRule="auto"/>
      </w:pPr>
      <w:r>
        <w:t xml:space="preserve">En vue de favoriser l’égalité professionnelle entre les femmes et les hommes en termes de rémunération, une attention particulière sera portée sur plusieurs axes : </w:t>
      </w:r>
    </w:p>
    <w:p w14:paraId="3004182B" w14:textId="13E1DB63" w:rsidP="005A2C98" w:rsidR="005A2C98" w:rsidRDefault="005A2C98">
      <w:pPr>
        <w:spacing w:after="120" w:before="120" w:line="276" w:lineRule="auto"/>
      </w:pPr>
      <w:r>
        <w:t xml:space="preserve"> - L’évolution de rémunération des femmes et des hommes repose sur des critères identiques </w:t>
      </w:r>
      <w:r w:rsidR="00A71A78">
        <w:t>fondés</w:t>
      </w:r>
      <w:r>
        <w:t xml:space="preserve"> sur les performances de la personne, ses compétences et son expérience.</w:t>
      </w:r>
    </w:p>
    <w:p w14:paraId="281FE9E9" w14:textId="77777777" w:rsidP="005A2C98" w:rsidR="005A2C98" w:rsidRDefault="005A2C98">
      <w:pPr>
        <w:spacing w:after="120" w:before="120" w:line="276" w:lineRule="auto"/>
      </w:pPr>
      <w:r>
        <w:t xml:space="preserve"> - Afin d’éviter l’apparition éventuelle d’écarts de rémunération, il est rappelé que ne sont pas pris en compte les périodes d’absence liées aux congés maternité et parentaux dans la révision des rémunérations.</w:t>
      </w:r>
    </w:p>
    <w:p w14:paraId="21DD031D" w14:textId="77777777" w:rsidP="00A71A78" w:rsidR="00A71A78" w:rsidRDefault="005A2C98">
      <w:pPr>
        <w:spacing w:after="120" w:before="120" w:line="276" w:lineRule="auto"/>
      </w:pPr>
      <w:r>
        <w:t xml:space="preserve"> </w:t>
      </w:r>
      <w:r w:rsidRPr="00D0087E">
        <w:t>- Les effectifs à temps partiel étant constitués d’une part significative de femmes, une vigilance sera portée lors des révisions de rémunérations aux salariés travaillant à temps partiel afin de ne pas les pénaliser par rapport aux salariés travaillant à temps complet.</w:t>
      </w:r>
      <w:r>
        <w:t xml:space="preserve"> </w:t>
      </w:r>
    </w:p>
    <w:p w14:paraId="7B29819B" w14:textId="1062FBF6" w:rsidP="00A71A78" w:rsidR="00A71A78" w:rsidRDefault="00A71A78">
      <w:pPr>
        <w:spacing w:after="120" w:before="120" w:line="276" w:lineRule="auto"/>
      </w:pPr>
      <w:r>
        <w:t>Les salariés en cours de congé maternité, paternité, d’adoption ou de congé parental d’éducation compris dans le champ d’application d’une mesure collective d’augmentation des rémunérations bénéficient pendant ce congé, et aux mêmes dates que l’ensemble des salariés de la société, des augmentations générales décidées dans le cadre de la négociation annuelle des salaires de la société.</w:t>
      </w:r>
    </w:p>
    <w:p w14:paraId="025E0203" w14:textId="6AF1A465" w:rsidP="00A71A78" w:rsidR="00A71A78" w:rsidRDefault="00A71A78">
      <w:pPr>
        <w:spacing w:after="120" w:before="120" w:line="276" w:lineRule="auto"/>
      </w:pPr>
      <w:r>
        <w:t>PCC garantit le principe général d’égalité dans les évolutions promotionnelles (changement de coefficient ou d’indice, de catégorie professionnelle, accès à un niveau de responsabilité supérieur…) et réaffirme dans le présent accord que, sous réserve de l’acceptation de la personne, les évolutions promotionnelles sont uniquement fondées sur les compétences et les résultats obtenus sans tenir compte d’autres caractéristiques.</w:t>
      </w:r>
    </w:p>
    <w:p w14:paraId="6B5D63A3" w14:textId="77777777" w:rsidP="005A2C98" w:rsidR="005A2C98" w:rsidRDefault="005A2C98">
      <w:pPr>
        <w:spacing w:after="120" w:before="120" w:line="276" w:lineRule="auto"/>
      </w:pPr>
    </w:p>
    <w:p w14:paraId="78C455CE" w14:textId="77777777" w:rsidP="005A2C98" w:rsidR="005A2C98" w:rsidRDefault="005A2C98" w:rsidRPr="00846387">
      <w:pPr>
        <w:spacing w:after="120" w:before="120" w:line="276" w:lineRule="auto"/>
      </w:pPr>
      <w:r w:rsidRPr="00846387">
        <w:rPr>
          <w:u w:val="single"/>
        </w:rPr>
        <w:t>Indicateur de suivi</w:t>
      </w:r>
      <w:r w:rsidRPr="00846387">
        <w:t xml:space="preserve"> :</w:t>
      </w:r>
    </w:p>
    <w:p w14:paraId="1F1CA7C4" w14:textId="77777777" w:rsidP="005A2C98" w:rsidR="005A2C98" w:rsidRDefault="005A2C98">
      <w:pPr>
        <w:pStyle w:val="Paragraphedeliste"/>
        <w:numPr>
          <w:ilvl w:val="0"/>
          <w:numId w:val="2"/>
        </w:numPr>
        <w:spacing w:after="120" w:before="120" w:line="276" w:lineRule="auto"/>
      </w:pPr>
      <w:r>
        <w:t>Rapport des salaires moyens.</w:t>
      </w:r>
    </w:p>
    <w:p w14:paraId="3E990270" w14:textId="77777777" w:rsidP="00A71A78" w:rsidR="00A71A78" w:rsidRDefault="00A71A78">
      <w:pPr>
        <w:pStyle w:val="Paragraphedeliste"/>
        <w:numPr>
          <w:ilvl w:val="0"/>
          <w:numId w:val="2"/>
        </w:numPr>
        <w:spacing w:after="120" w:before="120" w:line="276" w:lineRule="auto"/>
      </w:pPr>
      <w:r>
        <w:t>Rapport sur les promotions internes.</w:t>
      </w:r>
    </w:p>
    <w:p w14:paraId="2E0CD983" w14:textId="77777777" w:rsidP="005A2C98" w:rsidR="005A2C98" w:rsidRDefault="005A2C98">
      <w:pPr>
        <w:spacing w:after="120" w:before="120" w:line="276" w:lineRule="auto"/>
      </w:pPr>
    </w:p>
    <w:p w14:paraId="1C86B36D" w14:textId="7DA06CB0" w:rsidP="00A71A78" w:rsidR="005A2C98" w:rsidRDefault="005A2C98" w:rsidRPr="00A71A78">
      <w:pPr>
        <w:ind w:firstLine="284"/>
        <w:jc w:val="left"/>
        <w:rPr>
          <w:rFonts w:cs="Arial"/>
          <w:b/>
          <w:bCs/>
          <w:smallCaps/>
          <w:u w:val="single"/>
        </w:rPr>
      </w:pPr>
      <w:bookmarkStart w:id="7" w:name="_Toc19001004"/>
      <w:r w:rsidRPr="00A71A78">
        <w:rPr>
          <w:rFonts w:cs="Arial"/>
          <w:b/>
          <w:bCs/>
          <w:smallCaps/>
          <w:u w:val="single"/>
        </w:rPr>
        <w:t xml:space="preserve">Article </w:t>
      </w:r>
      <w:r w:rsidR="00A71A78" w:rsidRPr="00A71A78">
        <w:rPr>
          <w:rFonts w:cs="Arial"/>
          <w:b/>
          <w:bCs/>
          <w:smallCaps/>
          <w:u w:val="single"/>
        </w:rPr>
        <w:t>5</w:t>
      </w:r>
      <w:r w:rsidRPr="00A71A78">
        <w:rPr>
          <w:rFonts w:cs="Arial"/>
          <w:b/>
          <w:bCs/>
          <w:smallCaps/>
          <w:u w:val="single"/>
        </w:rPr>
        <w:t> : Articulation activité professionnelle et vie personnelle</w:t>
      </w:r>
      <w:bookmarkEnd w:id="7"/>
    </w:p>
    <w:p w14:paraId="29E1A3A4" w14:textId="77777777" w:rsidP="005A2C98" w:rsidR="000F4CAC" w:rsidRDefault="000F4CAC">
      <w:pPr>
        <w:spacing w:after="120" w:before="120" w:line="276" w:lineRule="auto"/>
      </w:pPr>
      <w:r>
        <w:t>Les parties s’entendent pour constater que les différentes mesures actuellement en vigueur au sein de l’entreprise favorisent une bonne conciliation entre vie personnelle et vie professionnelle.</w:t>
      </w:r>
    </w:p>
    <w:p w14:paraId="769E2101" w14:textId="30E3AFF2" w:rsidP="005A2C98" w:rsidR="005A2C98" w:rsidRDefault="00A71A78">
      <w:pPr>
        <w:spacing w:after="120" w:before="120" w:line="276" w:lineRule="auto"/>
      </w:pPr>
      <w:r>
        <w:lastRenderedPageBreak/>
        <w:t>PCC</w:t>
      </w:r>
      <w:r w:rsidR="005A2C98">
        <w:t xml:space="preserve"> réaffirme sa volonté d’accompagner au mieux ses salariés pour trouver un réel équilibre entre leur carrière professionnelle et leur vie personnelle et familiale.</w:t>
      </w:r>
    </w:p>
    <w:p w14:paraId="648F5F3E" w14:textId="03022AAC" w:rsidP="005A2C98" w:rsidR="005A2C98" w:rsidRDefault="00A71A78">
      <w:pPr>
        <w:spacing w:after="120" w:before="120" w:line="276" w:lineRule="auto"/>
      </w:pPr>
      <w:r>
        <w:t>PCC</w:t>
      </w:r>
      <w:r w:rsidR="005A2C98">
        <w:t xml:space="preserve"> entend </w:t>
      </w:r>
      <w:r w:rsidR="000F4CAC">
        <w:t xml:space="preserve">poursuivre dans cette voie et </w:t>
      </w:r>
      <w:r w:rsidR="005A2C98">
        <w:t xml:space="preserve">prendre des mesures visant à favoriser la sensibilisation des responsables hiérarchiques aux dispositifs permettant une meilleure articulation entre activité professionnelle et vie personnelle. </w:t>
      </w:r>
    </w:p>
    <w:p w14:paraId="6B45CBB3" w14:textId="7F5D1FFA" w:rsidP="005A2C98" w:rsidR="005A2C98" w:rsidRDefault="005A2C98">
      <w:pPr>
        <w:spacing w:after="120" w:before="120" w:line="276" w:lineRule="auto"/>
      </w:pPr>
      <w:r>
        <w:t>Il sera par ailleurs rappelé aux responsables hiérarchiques, avant la période de tenue des entretiens annuels, que l’entretien des salariés en forfait jours doit notamment porter sur l’articulation entre l’activité professionnelle et la vie personnelle du salarié.</w:t>
      </w:r>
    </w:p>
    <w:p w14:paraId="32A0C557" w14:textId="1269E893" w:rsidP="005A2C98" w:rsidR="00A71A78" w:rsidRDefault="00A71A78">
      <w:pPr>
        <w:spacing w:after="120" w:before="120" w:line="276" w:lineRule="auto"/>
      </w:pPr>
      <w:r>
        <w:t>PCC réaffirme sa volonté de développer le télétravail dès que cela est possible.</w:t>
      </w:r>
    </w:p>
    <w:p w14:paraId="6FA48DBB" w14:textId="77777777" w:rsidP="005A2C98" w:rsidR="005A2C98" w:rsidRDefault="005A2C98">
      <w:pPr>
        <w:spacing w:after="120" w:before="120" w:line="276" w:lineRule="auto"/>
      </w:pPr>
    </w:p>
    <w:p w14:paraId="16DE3AF1" w14:textId="5ABDF272" w:rsidP="00A71A78" w:rsidR="005A2C98" w:rsidRDefault="005A2C98" w:rsidRPr="00A71A78">
      <w:pPr>
        <w:ind w:firstLine="284"/>
        <w:jc w:val="left"/>
        <w:rPr>
          <w:rFonts w:cs="Arial"/>
          <w:b/>
          <w:bCs/>
          <w:smallCaps/>
          <w:u w:val="single"/>
        </w:rPr>
      </w:pPr>
      <w:bookmarkStart w:id="8" w:name="_Toc19001009"/>
      <w:r w:rsidRPr="00A71A78">
        <w:rPr>
          <w:rFonts w:cs="Arial"/>
          <w:b/>
          <w:bCs/>
          <w:smallCaps/>
          <w:u w:val="single"/>
        </w:rPr>
        <w:t xml:space="preserve">Article </w:t>
      </w:r>
      <w:r w:rsidR="00A71A78" w:rsidRPr="00A71A78">
        <w:rPr>
          <w:rFonts w:cs="Arial"/>
          <w:b/>
          <w:bCs/>
          <w:smallCaps/>
          <w:u w:val="single"/>
        </w:rPr>
        <w:t>6</w:t>
      </w:r>
      <w:r w:rsidRPr="00A71A78">
        <w:rPr>
          <w:rFonts w:cs="Arial"/>
          <w:b/>
          <w:bCs/>
          <w:smallCaps/>
          <w:u w:val="single"/>
        </w:rPr>
        <w:t> : Droit à la déconnexion</w:t>
      </w:r>
      <w:bookmarkEnd w:id="8"/>
    </w:p>
    <w:p w14:paraId="6687FAB4" w14:textId="77777777" w:rsidP="005A2C98" w:rsidR="005A2C98" w:rsidRDefault="005A2C98">
      <w:pPr>
        <w:spacing w:after="120" w:before="120" w:line="276" w:lineRule="auto"/>
      </w:pPr>
      <w:r>
        <w:t xml:space="preserve">Le droit à la déconnexion vise à assurer à la fois le respect des temps de repos et un équilibre entre activité professionnelle et vie personnelle. Dans une société tendant au tout numérique et à une connexion permanente, dans la vie professionnelle comme dans la vie privée, ce droit est une garantie nécessaire à la préservation de la santé.  </w:t>
      </w:r>
    </w:p>
    <w:p w14:paraId="09A9AC5A" w14:textId="77777777" w:rsidP="005A2C98" w:rsidR="005A2C98" w:rsidRDefault="005A2C98">
      <w:pPr>
        <w:spacing w:after="120" w:before="120" w:line="276" w:lineRule="auto"/>
      </w:pPr>
      <w:r>
        <w:t>Les salariés ne sont pas tenus de lire ou de répondre aux courriels et aux appels adressés pendant les périodes de suspension du contrat de travail et le temps de repos quotidien et hebdomadaire. A ce titre, les salariés ne peuvent se voir reprocher de ne pas avoir utilisé les outils mis à leur disposition en dehors de ces plages habituelles de travail.</w:t>
      </w:r>
    </w:p>
    <w:p w14:paraId="4D45ADD2" w14:textId="77777777" w:rsidP="005A2C98" w:rsidR="005A2C98" w:rsidRDefault="005A2C98">
      <w:pPr>
        <w:spacing w:after="120" w:before="120" w:line="276" w:lineRule="auto"/>
      </w:pPr>
      <w:r>
        <w:t>Chaque salarié, quel que soit son niveau hiérarchique, veillera à se déconnecter du réseau et à ne pas envoyer de courriels en dehors des heures habituelles de travail.</w:t>
      </w:r>
    </w:p>
    <w:p w14:paraId="052A22D1" w14:textId="77777777" w:rsidP="005A2C98" w:rsidR="005A2C98" w:rsidRDefault="005A2C98">
      <w:pPr>
        <w:spacing w:after="120" w:before="120" w:line="276" w:lineRule="auto"/>
      </w:pPr>
      <w:r>
        <w:t>Le manager veillera au respect de ce droit, notamment en s’attachant à ne pas envoyer de courriels ou à passer d’appels pendant la période concernée (temps de repos, période de vacances…)</w:t>
      </w:r>
    </w:p>
    <w:p w14:paraId="3C865104" w14:textId="77777777" w:rsidP="005A2C98" w:rsidR="005A2C98" w:rsidRDefault="005A2C98">
      <w:pPr>
        <w:spacing w:after="120" w:before="120" w:line="276" w:lineRule="auto"/>
      </w:pPr>
      <w:r>
        <w:t>Il est également rappelé que le droit à la déconnexion suppose, à titre liminaire, que chacun ne soit pas submergé de messages ne le concernant pas. Les parties conviennent donc d’une vigilance accrue quant à l’établissement de la liste des destinataires des messages ou fichiers qui ne doit comprendre que les seules personnes intéressées.</w:t>
      </w:r>
    </w:p>
    <w:p w14:paraId="07DEDCED" w14:textId="77777777" w:rsidP="005A2C98" w:rsidR="005A2C98" w:rsidRDefault="005A2C98" w:rsidRPr="00C36E59">
      <w:pPr>
        <w:spacing w:after="120" w:before="120" w:line="276" w:lineRule="auto"/>
      </w:pPr>
      <w:r>
        <w:t>Chaque salarié ayant une adresse mail professionnelle dispose d’un outil de paramétrage permettant l’envoi de réponse automatique pour prévenir de son absence et informer, s’il le souhaite, les personnes à contacter.</w:t>
      </w:r>
    </w:p>
    <w:p w14:paraId="0BCE14BE" w14:textId="77777777" w:rsidP="005A2C98" w:rsidR="005A2C98" w:rsidRDefault="005A2C98" w:rsidRPr="00C042F0">
      <w:pPr>
        <w:spacing w:after="120" w:before="120" w:line="276" w:lineRule="auto"/>
      </w:pPr>
    </w:p>
    <w:p w14:paraId="680B0FC0" w14:textId="77777777" w:rsidP="00A71A78" w:rsidR="007D7EEF" w:rsidRDefault="005A2C98">
      <w:pPr>
        <w:ind w:firstLine="284"/>
        <w:jc w:val="left"/>
        <w:rPr>
          <w:rFonts w:cs="Arial"/>
          <w:b/>
          <w:bCs/>
          <w:smallCaps/>
          <w:u w:val="single"/>
        </w:rPr>
      </w:pPr>
      <w:bookmarkStart w:id="9" w:name="_Toc10628214"/>
      <w:bookmarkStart w:id="10" w:name="_Toc19001010"/>
      <w:r w:rsidRPr="00A71A78">
        <w:rPr>
          <w:rFonts w:cs="Arial"/>
          <w:b/>
          <w:bCs/>
          <w:smallCaps/>
          <w:u w:val="single"/>
        </w:rPr>
        <w:t xml:space="preserve">Article </w:t>
      </w:r>
      <w:r w:rsidR="00A71A78" w:rsidRPr="00A71A78">
        <w:rPr>
          <w:rFonts w:cs="Arial"/>
          <w:b/>
          <w:bCs/>
          <w:smallCaps/>
          <w:u w:val="single"/>
        </w:rPr>
        <w:t>7</w:t>
      </w:r>
      <w:r w:rsidRPr="00A71A78">
        <w:rPr>
          <w:rFonts w:cs="Arial"/>
          <w:b/>
          <w:bCs/>
          <w:smallCaps/>
          <w:u w:val="single"/>
        </w:rPr>
        <w:t xml:space="preserve"> : </w:t>
      </w:r>
      <w:r w:rsidR="007D7EEF">
        <w:rPr>
          <w:rFonts w:cs="Arial"/>
          <w:b/>
          <w:bCs/>
          <w:smallCaps/>
          <w:u w:val="single"/>
        </w:rPr>
        <w:t>Lutte contre les discriminations et le harcèlement sexuel</w:t>
      </w:r>
    </w:p>
    <w:p w14:paraId="128EA485" w14:textId="79726472" w:rsidP="007D7EEF" w:rsidR="007D7EEF" w:rsidRDefault="007D7EEF">
      <w:pPr>
        <w:spacing w:after="120" w:before="120" w:line="276" w:lineRule="auto"/>
      </w:pPr>
      <w:r w:rsidRPr="007D7EEF">
        <w:t xml:space="preserve">Les parties rappellent leur engagement à lutter contre toute discrimination et </w:t>
      </w:r>
      <w:r w:rsidR="0002527B">
        <w:t>à</w:t>
      </w:r>
      <w:r w:rsidRPr="007D7EEF">
        <w:t xml:space="preserve"> prendre toutes les mesures pour prévenir le harcèlement moral ou sexuel, y compris contre les propos sexistes.</w:t>
      </w:r>
    </w:p>
    <w:p w14:paraId="35B78890" w14:textId="1BACAB39" w:rsidP="007D7EEF" w:rsidR="00A91F5B" w:rsidRDefault="00A91F5B">
      <w:pPr>
        <w:spacing w:after="120" w:before="120" w:line="276" w:lineRule="auto"/>
      </w:pPr>
      <w:r>
        <w:lastRenderedPageBreak/>
        <w:t xml:space="preserve">Tout salarié concerné ou ayant été témoin de faits de discrimination ou de harcèlement doit immédiatement </w:t>
      </w:r>
      <w:r w:rsidR="0002527B">
        <w:t xml:space="preserve">les </w:t>
      </w:r>
      <w:r>
        <w:t>porter à la connaissance de l’entreprise</w:t>
      </w:r>
      <w:r w:rsidR="0002527B">
        <w:t>.</w:t>
      </w:r>
    </w:p>
    <w:p w14:paraId="5419597E" w14:textId="20E18170" w:rsidP="007D7EEF" w:rsidR="0002527B" w:rsidRDefault="0002527B" w:rsidRPr="007D7EEF">
      <w:pPr>
        <w:spacing w:after="120" w:before="120" w:line="276" w:lineRule="auto"/>
      </w:pPr>
      <w:r>
        <w:t>Les faits seront traités en concertation avec la Commission Santé, Sécurité et Conditions de Travail (CSSCT)</w:t>
      </w:r>
    </w:p>
    <w:p w14:paraId="7634A0BD" w14:textId="77777777" w:rsidP="00A91F5B" w:rsidR="00A91F5B" w:rsidRDefault="00A91F5B" w:rsidRPr="00846387">
      <w:pPr>
        <w:spacing w:after="120" w:before="120" w:line="276" w:lineRule="auto"/>
      </w:pPr>
      <w:r w:rsidRPr="00846387">
        <w:rPr>
          <w:u w:val="single"/>
        </w:rPr>
        <w:t>Indicateur de suivi</w:t>
      </w:r>
      <w:r w:rsidRPr="00846387">
        <w:t xml:space="preserve"> :</w:t>
      </w:r>
    </w:p>
    <w:p w14:paraId="5C0771AA" w14:textId="615F09D7" w:rsidP="00A91F5B" w:rsidR="00A91F5B" w:rsidRDefault="00A91F5B">
      <w:pPr>
        <w:pStyle w:val="Paragraphedeliste"/>
        <w:numPr>
          <w:ilvl w:val="0"/>
          <w:numId w:val="2"/>
        </w:numPr>
        <w:spacing w:after="120" w:before="120" w:line="276" w:lineRule="auto"/>
      </w:pPr>
      <w:r>
        <w:t xml:space="preserve">Rapport </w:t>
      </w:r>
      <w:r w:rsidR="0002527B">
        <w:t>sur les formations de prévention</w:t>
      </w:r>
      <w:r>
        <w:t>.</w:t>
      </w:r>
    </w:p>
    <w:p w14:paraId="24A05C1A" w14:textId="7BACAFFB" w:rsidP="00A91F5B" w:rsidR="00A91F5B" w:rsidRDefault="00A91F5B">
      <w:pPr>
        <w:pStyle w:val="Paragraphedeliste"/>
        <w:numPr>
          <w:ilvl w:val="0"/>
          <w:numId w:val="2"/>
        </w:numPr>
        <w:spacing w:after="120" w:before="120" w:line="276" w:lineRule="auto"/>
      </w:pPr>
      <w:r>
        <w:t xml:space="preserve">Rapport </w:t>
      </w:r>
      <w:r w:rsidR="0002527B">
        <w:t>sur les actes de harcèlement et de discrimination</w:t>
      </w:r>
      <w:r>
        <w:t>.</w:t>
      </w:r>
    </w:p>
    <w:p w14:paraId="0AA2828F" w14:textId="77777777" w:rsidP="007D7EEF" w:rsidR="007D7EEF" w:rsidRDefault="007D7EEF">
      <w:pPr>
        <w:jc w:val="left"/>
        <w:rPr>
          <w:rFonts w:cs="Arial"/>
          <w:b/>
          <w:bCs/>
          <w:smallCaps/>
          <w:u w:val="single"/>
        </w:rPr>
      </w:pPr>
    </w:p>
    <w:p w14:paraId="7BFE69AD" w14:textId="6CD1C452" w:rsidP="00A71A78" w:rsidR="005A2C98" w:rsidRDefault="007D7EEF" w:rsidRPr="00A71A78">
      <w:pPr>
        <w:ind w:firstLine="284"/>
        <w:jc w:val="left"/>
        <w:rPr>
          <w:rFonts w:cs="Arial"/>
          <w:b/>
          <w:bCs/>
          <w:smallCaps/>
          <w:u w:val="single"/>
        </w:rPr>
      </w:pPr>
      <w:r>
        <w:rPr>
          <w:rFonts w:cs="Arial"/>
          <w:b/>
          <w:bCs/>
          <w:smallCaps/>
          <w:u w:val="single"/>
        </w:rPr>
        <w:t xml:space="preserve">Article 8 : </w:t>
      </w:r>
      <w:r w:rsidR="005A2C98" w:rsidRPr="00A71A78">
        <w:rPr>
          <w:rFonts w:cs="Arial"/>
          <w:b/>
          <w:bCs/>
          <w:smallCaps/>
          <w:u w:val="single"/>
        </w:rPr>
        <w:t>Dépôt de l’accord</w:t>
      </w:r>
      <w:bookmarkEnd w:id="9"/>
      <w:bookmarkEnd w:id="10"/>
    </w:p>
    <w:p w14:paraId="6A291BF0" w14:textId="33909868" w:rsidP="005A2C98" w:rsidR="005A2C98" w:rsidRDefault="005A2C98">
      <w:pPr>
        <w:spacing w:after="120" w:before="120" w:line="276" w:lineRule="auto"/>
        <w:rPr>
          <w:rFonts w:cs="Arial"/>
        </w:rPr>
      </w:pPr>
      <w:r>
        <w:rPr>
          <w:rFonts w:cs="Arial"/>
        </w:rPr>
        <w:t xml:space="preserve">Le présent accord sera déposé par l’employeur auprès de la DIRECCTE de </w:t>
      </w:r>
      <w:r w:rsidR="00A71A78">
        <w:rPr>
          <w:rFonts w:cs="Arial"/>
        </w:rPr>
        <w:t>Nanterre</w:t>
      </w:r>
      <w:r>
        <w:rPr>
          <w:rFonts w:cs="Arial"/>
        </w:rPr>
        <w:t xml:space="preserve"> ainsi qu’auprès du secrétariat du Conseil des prud’hommes </w:t>
      </w:r>
      <w:r w:rsidR="00A71A78">
        <w:rPr>
          <w:rFonts w:cs="Arial"/>
        </w:rPr>
        <w:t>de Nanterre</w:t>
      </w:r>
      <w:r>
        <w:rPr>
          <w:rFonts w:cs="Arial"/>
        </w:rPr>
        <w:t xml:space="preserve"> à l’expiration d’un délai de 8 jours courant à compter de la date de notification de l’accord à l’ensemble des organisations syndicales représentatives au niveau de l’entreprise.</w:t>
      </w:r>
    </w:p>
    <w:p w14:paraId="4621BD66" w14:textId="77777777" w:rsidP="005A2C98" w:rsidR="005A2C98" w:rsidRDefault="005A2C98">
      <w:pPr>
        <w:spacing w:after="120" w:before="120" w:line="276" w:lineRule="auto"/>
        <w:rPr>
          <w:rFonts w:cs="Arial"/>
        </w:rPr>
      </w:pPr>
      <w:r>
        <w:rPr>
          <w:rFonts w:cs="Arial"/>
        </w:rPr>
        <w:t>Le présent accord entrera en vigueur le jour suivant son dépôt auprès des services mentionnés ci-dessus.</w:t>
      </w:r>
    </w:p>
    <w:p w14:paraId="176BCB86" w14:textId="77777777" w:rsidP="005A2C98" w:rsidR="005A2C98" w:rsidRDefault="005A2C98" w:rsidRPr="00C042F0">
      <w:pPr>
        <w:spacing w:after="120" w:before="120" w:line="276" w:lineRule="auto"/>
      </w:pPr>
    </w:p>
    <w:p w14:paraId="1D6B8283" w14:textId="5C7E5A85" w:rsidP="00A71A78" w:rsidR="005A2C98" w:rsidRDefault="005A2C98" w:rsidRPr="00A71A78">
      <w:pPr>
        <w:ind w:firstLine="284"/>
        <w:jc w:val="left"/>
        <w:rPr>
          <w:rFonts w:cs="Arial"/>
          <w:b/>
          <w:bCs/>
          <w:smallCaps/>
          <w:u w:val="single"/>
        </w:rPr>
      </w:pPr>
      <w:bookmarkStart w:id="11" w:name="_Toc14866883"/>
      <w:bookmarkStart w:id="12" w:name="_Toc19001011"/>
      <w:r w:rsidRPr="00A71A78">
        <w:rPr>
          <w:rFonts w:cs="Arial"/>
          <w:b/>
          <w:bCs/>
          <w:smallCaps/>
          <w:u w:val="single"/>
        </w:rPr>
        <w:t xml:space="preserve">Article </w:t>
      </w:r>
      <w:r w:rsidR="007D7EEF">
        <w:rPr>
          <w:rFonts w:cs="Arial"/>
          <w:b/>
          <w:bCs/>
          <w:smallCaps/>
          <w:u w:val="single"/>
        </w:rPr>
        <w:t>9</w:t>
      </w:r>
      <w:r w:rsidRPr="00A71A78">
        <w:rPr>
          <w:rFonts w:cs="Arial"/>
          <w:b/>
          <w:bCs/>
          <w:smallCaps/>
          <w:u w:val="single"/>
        </w:rPr>
        <w:t xml:space="preserve"> : </w:t>
      </w:r>
      <w:bookmarkEnd w:id="11"/>
      <w:r w:rsidRPr="00A71A78">
        <w:rPr>
          <w:rFonts w:cs="Arial"/>
          <w:b/>
          <w:bCs/>
          <w:smallCaps/>
          <w:u w:val="single"/>
        </w:rPr>
        <w:t>Suivi de l’accord</w:t>
      </w:r>
      <w:bookmarkEnd w:id="12"/>
    </w:p>
    <w:p w14:paraId="407AA339" w14:textId="77777777" w:rsidP="005A2C98" w:rsidR="005A2C98" w:rsidRDefault="005A2C98">
      <w:pPr>
        <w:spacing w:after="120" w:before="120" w:line="276" w:lineRule="auto"/>
      </w:pPr>
      <w:r>
        <w:t xml:space="preserve">Pendant la durée de l’application de l’accord, les Parties se réuniront annuellement afin de s’assurer de l’application et du suivi du présent accord. Pour cela, elles pourront notamment s’appuyer sur l’index de l’égalité F/H en application de la loi du 5 septembre 2018 pour la liberté de choisir son avenir professionnel. </w:t>
      </w:r>
    </w:p>
    <w:p w14:paraId="3BD48E0F" w14:textId="77777777" w:rsidP="005A2C98" w:rsidR="005A2C98" w:rsidRDefault="005A2C98">
      <w:pPr>
        <w:spacing w:after="120" w:before="120" w:line="276" w:lineRule="auto"/>
      </w:pPr>
    </w:p>
    <w:p w14:paraId="645AB2CF" w14:textId="77777777" w:rsidP="005A2C98" w:rsidR="005A2C98" w:rsidRDefault="005A2C98">
      <w:pPr>
        <w:spacing w:after="120" w:before="120" w:line="240" w:lineRule="auto"/>
      </w:pPr>
      <w:r>
        <w:t xml:space="preserve">Elles veilleront en particulier : </w:t>
      </w:r>
    </w:p>
    <w:p w14:paraId="068A957B" w14:textId="77777777" w:rsidP="005A2C98" w:rsidR="005A2C98" w:rsidRDefault="005A2C98">
      <w:pPr>
        <w:spacing w:after="120" w:before="120" w:line="240" w:lineRule="auto"/>
      </w:pPr>
      <w:r>
        <w:t xml:space="preserve"> - Au suivi des indicateurs susmentionnés,</w:t>
      </w:r>
    </w:p>
    <w:p w14:paraId="0D9540D7" w14:textId="77777777" w:rsidP="005A2C98" w:rsidR="005A2C98" w:rsidRDefault="005A2C98">
      <w:pPr>
        <w:spacing w:after="120" w:before="120" w:line="240" w:lineRule="auto"/>
      </w:pPr>
      <w:r>
        <w:t xml:space="preserve"> - A l’examen d’éventuels dysfonctionnements ou difficultés d’interprétation,</w:t>
      </w:r>
    </w:p>
    <w:p w14:paraId="31E53194" w14:textId="77777777" w:rsidP="005A2C98" w:rsidR="005A2C98" w:rsidRDefault="005A2C98" w:rsidRPr="00710AF8">
      <w:pPr>
        <w:spacing w:after="120" w:before="120" w:line="240" w:lineRule="auto"/>
      </w:pPr>
      <w:r>
        <w:t xml:space="preserve"> - A l’examen de l’évolution de la législation en la matière.</w:t>
      </w:r>
    </w:p>
    <w:p w14:paraId="40ABBA74" w14:textId="77777777" w:rsidP="005A2C98" w:rsidR="005A2C98" w:rsidRDefault="005A2C98">
      <w:pPr>
        <w:spacing w:after="120" w:before="120" w:line="276" w:lineRule="auto"/>
        <w:rPr>
          <w:rFonts w:cs="Arial"/>
        </w:rPr>
      </w:pPr>
    </w:p>
    <w:p w14:paraId="171CDD1E" w14:textId="2B763967" w:rsidP="00A71A78" w:rsidR="005A2C98" w:rsidRDefault="005A2C98" w:rsidRPr="00A71A78">
      <w:pPr>
        <w:ind w:firstLine="284"/>
        <w:jc w:val="left"/>
        <w:rPr>
          <w:rFonts w:cs="Arial"/>
          <w:b/>
          <w:bCs/>
          <w:smallCaps/>
          <w:u w:val="single"/>
        </w:rPr>
      </w:pPr>
      <w:bookmarkStart w:id="13" w:name="_Toc10628215"/>
      <w:bookmarkStart w:id="14" w:name="_Toc19001012"/>
      <w:r w:rsidRPr="00A71A78">
        <w:rPr>
          <w:rFonts w:cs="Arial"/>
          <w:b/>
          <w:bCs/>
          <w:smallCaps/>
          <w:u w:val="single"/>
        </w:rPr>
        <w:t xml:space="preserve">Article </w:t>
      </w:r>
      <w:r w:rsidR="007D7EEF">
        <w:rPr>
          <w:rFonts w:cs="Arial"/>
          <w:b/>
          <w:bCs/>
          <w:smallCaps/>
          <w:u w:val="single"/>
        </w:rPr>
        <w:t>10</w:t>
      </w:r>
      <w:r w:rsidRPr="00A71A78">
        <w:rPr>
          <w:rFonts w:cs="Arial"/>
          <w:b/>
          <w:bCs/>
          <w:smallCaps/>
          <w:u w:val="single"/>
        </w:rPr>
        <w:t> : Durée et dénonciation de l’accord</w:t>
      </w:r>
      <w:bookmarkEnd w:id="13"/>
      <w:bookmarkEnd w:id="14"/>
    </w:p>
    <w:p w14:paraId="495B8DBB" w14:textId="77777777" w:rsidP="005A2C98" w:rsidR="005A2C98" w:rsidRDefault="005A2C98" w:rsidRPr="00151D38">
      <w:pPr>
        <w:spacing w:after="120" w:before="120" w:line="276" w:lineRule="auto"/>
        <w:rPr>
          <w:rFonts w:cs="Arial"/>
        </w:rPr>
      </w:pPr>
      <w:r w:rsidRPr="00151D38">
        <w:rPr>
          <w:rFonts w:cs="Arial"/>
        </w:rPr>
        <w:t xml:space="preserve">Le présent accord est conclu pour une durée </w:t>
      </w:r>
      <w:r w:rsidRPr="007E675D">
        <w:rPr>
          <w:rFonts w:cs="Arial"/>
        </w:rPr>
        <w:t>déterminée de 3 ans à compter</w:t>
      </w:r>
      <w:r w:rsidRPr="00151D38">
        <w:rPr>
          <w:rFonts w:cs="Arial"/>
        </w:rPr>
        <w:t xml:space="preserve"> de sa date d’entrée en vigueur.</w:t>
      </w:r>
    </w:p>
    <w:p w14:paraId="585923DC" w14:textId="77777777" w:rsidP="005A2C98" w:rsidR="005A2C98" w:rsidRDefault="005A2C98" w:rsidRPr="00F82B2F">
      <w:pPr>
        <w:spacing w:after="120" w:before="120" w:line="276" w:lineRule="auto"/>
        <w:rPr>
          <w:rFonts w:cs="Arial"/>
        </w:rPr>
      </w:pPr>
      <w:r w:rsidRPr="00151D38">
        <w:rPr>
          <w:rFonts w:cs="Arial"/>
        </w:rPr>
        <w:t>Il est convenu que tout ou partie signataire aura possibilité de dénoncer cet accord en cas de changement de loi, de convention collective</w:t>
      </w:r>
      <w:r w:rsidRPr="00BE35D9">
        <w:rPr>
          <w:rFonts w:cs="Arial"/>
        </w:rPr>
        <w:t>, de CSE ou d’organisation. Cette dénonciation devra s’inscrire dans les conditions prévues par le Code du travail</w:t>
      </w:r>
      <w:r>
        <w:rPr>
          <w:rFonts w:cs="Arial"/>
        </w:rPr>
        <w:t xml:space="preserve"> à l’article L2261-10 et suivants. </w:t>
      </w:r>
    </w:p>
    <w:p w14:paraId="6EC1A275" w14:textId="77777777" w:rsidP="005A2C98" w:rsidR="005A2C98" w:rsidRDefault="005A2C98">
      <w:pPr>
        <w:spacing w:after="120" w:before="120" w:line="240" w:lineRule="auto"/>
        <w:rPr>
          <w:rFonts w:cs="Arial"/>
          <w:b/>
        </w:rPr>
      </w:pPr>
    </w:p>
    <w:p w14:paraId="4813F34F" w14:textId="77777777" w:rsidP="005A2C98" w:rsidR="00CA4D58" w:rsidRDefault="00CA4D58">
      <w:pPr>
        <w:spacing w:after="120" w:before="120" w:line="240" w:lineRule="auto"/>
        <w:rPr>
          <w:rFonts w:cs="Arial"/>
          <w:b/>
        </w:rPr>
      </w:pPr>
    </w:p>
    <w:p w14:paraId="3D52AEE8" w14:textId="77777777" w:rsidP="005A2C98" w:rsidR="00CA4D58" w:rsidRDefault="00CA4D58">
      <w:pPr>
        <w:spacing w:after="120" w:before="120" w:line="240" w:lineRule="auto"/>
        <w:rPr>
          <w:rFonts w:cs="Arial"/>
          <w:b/>
        </w:rPr>
      </w:pPr>
    </w:p>
    <w:p w14:paraId="0FCDB3F4" w14:textId="77777777" w:rsidP="005A2C98" w:rsidR="00CA4D58" w:rsidRDefault="00CA4D58">
      <w:pPr>
        <w:spacing w:after="120" w:before="120" w:line="240" w:lineRule="auto"/>
        <w:rPr>
          <w:rFonts w:cs="Arial"/>
          <w:b/>
        </w:rPr>
      </w:pPr>
    </w:p>
    <w:p w14:paraId="15826628" w14:textId="280CD82B" w:rsidP="005A2C98" w:rsidR="005A2C98" w:rsidRDefault="005A2C98" w:rsidRPr="00B24343">
      <w:pPr>
        <w:spacing w:after="120" w:before="120" w:line="240" w:lineRule="auto"/>
        <w:rPr>
          <w:rFonts w:cs="Arial"/>
          <w:b/>
        </w:rPr>
      </w:pPr>
      <w:r w:rsidRPr="00B24343">
        <w:rPr>
          <w:rFonts w:cs="Arial"/>
          <w:b/>
        </w:rPr>
        <w:t xml:space="preserve">Fait à </w:t>
      </w:r>
      <w:r w:rsidR="001D7FCD">
        <w:rPr>
          <w:rFonts w:cs="Arial"/>
          <w:b/>
        </w:rPr>
        <w:t>Rueil-Malmaison</w:t>
      </w:r>
      <w:r w:rsidRPr="00B24343">
        <w:rPr>
          <w:rFonts w:cs="Arial"/>
          <w:b/>
        </w:rPr>
        <w:t xml:space="preserve">, le </w:t>
      </w:r>
    </w:p>
    <w:p w14:paraId="4695C58D" w14:textId="77777777" w:rsidP="005A2C98" w:rsidR="005A2C98" w:rsidRDefault="005A2C98" w:rsidRPr="00B24343">
      <w:pPr>
        <w:spacing w:after="120" w:before="120" w:line="240" w:lineRule="auto"/>
        <w:rPr>
          <w:rFonts w:cs="Arial"/>
        </w:rPr>
      </w:pPr>
    </w:p>
    <w:p w14:paraId="7AC894D3" w14:textId="36DC5842" w:rsidP="005A2C98" w:rsidR="005A2C98" w:rsidRDefault="005A2C98" w:rsidRPr="00CA4D58">
      <w:pPr>
        <w:tabs>
          <w:tab w:pos="5954" w:val="left"/>
        </w:tabs>
        <w:spacing w:after="120" w:before="120" w:line="240" w:lineRule="auto"/>
        <w:rPr>
          <w:rFonts w:cs="Arial"/>
          <w:b/>
          <w:u w:val="single"/>
        </w:rPr>
      </w:pPr>
      <w:r w:rsidRPr="00CA4D58">
        <w:rPr>
          <w:rFonts w:cs="Arial"/>
          <w:b/>
          <w:u w:val="single"/>
        </w:rPr>
        <w:t xml:space="preserve">Pour la </w:t>
      </w:r>
      <w:r w:rsidR="00CA4D58" w:rsidRPr="00CA4D58">
        <w:rPr>
          <w:rFonts w:cs="Arial"/>
          <w:b/>
          <w:u w:val="single"/>
        </w:rPr>
        <w:t>SNAPAC CFDT</w:t>
      </w:r>
      <w:r w:rsidRPr="00CA4D58">
        <w:rPr>
          <w:rFonts w:cs="Arial"/>
          <w:b/>
          <w:u w:val="single"/>
        </w:rPr>
        <w:t>, la Délégation</w:t>
      </w:r>
      <w:r w:rsidRPr="00CA4D58">
        <w:rPr>
          <w:rFonts w:cs="Arial"/>
          <w:b/>
        </w:rPr>
        <w:tab/>
      </w:r>
      <w:r w:rsidRPr="00CA4D58">
        <w:rPr>
          <w:rFonts w:cs="Arial"/>
          <w:b/>
          <w:u w:val="single"/>
        </w:rPr>
        <w:t xml:space="preserve">Pour </w:t>
      </w:r>
      <w:r w:rsidR="00846387" w:rsidRPr="00CA4D58">
        <w:rPr>
          <w:rFonts w:cs="Arial"/>
          <w:b/>
          <w:u w:val="single"/>
        </w:rPr>
        <w:t>la société PARIS COUNTRY CLUB</w:t>
      </w:r>
    </w:p>
    <w:p w14:paraId="7C02645A" w14:textId="70B393B4" w:rsidP="005A2C98" w:rsidR="005A2C98" w:rsidRDefault="005A2C98" w:rsidRPr="00CA4D58">
      <w:pPr>
        <w:tabs>
          <w:tab w:pos="5954" w:val="left"/>
        </w:tabs>
        <w:spacing w:after="0" w:line="240" w:lineRule="auto"/>
        <w:rPr>
          <w:rFonts w:cs="Arial"/>
        </w:rPr>
      </w:pPr>
      <w:r w:rsidRPr="00CA4D58">
        <w:rPr>
          <w:rFonts w:cs="Arial"/>
        </w:rPr>
        <w:t>M</w:t>
      </w:r>
      <w:r w:rsidR="00CA4D58" w:rsidRPr="00CA4D58">
        <w:rPr>
          <w:rFonts w:cs="Arial"/>
        </w:rPr>
        <w:t>me Isabelle REIGNOUX</w:t>
      </w:r>
      <w:r w:rsidRPr="00CA4D58">
        <w:rPr>
          <w:rFonts w:cs="Arial"/>
        </w:rPr>
        <w:tab/>
        <w:t xml:space="preserve">M. </w:t>
      </w:r>
      <w:r w:rsidR="00CA4D58" w:rsidRPr="00CA4D58">
        <w:rPr>
          <w:rFonts w:cs="Arial"/>
        </w:rPr>
        <w:t>Selim LEVY</w:t>
      </w:r>
    </w:p>
    <w:p w14:paraId="29326DF5" w14:textId="6DE2F50F" w:rsidP="00846387" w:rsidR="005A2C98" w:rsidRDefault="005A2C98" w:rsidRPr="00CA4D58">
      <w:pPr>
        <w:tabs>
          <w:tab w:pos="5954" w:val="left"/>
        </w:tabs>
        <w:spacing w:after="0" w:line="240" w:lineRule="auto"/>
        <w:rPr>
          <w:rFonts w:cs="Arial"/>
          <w:i/>
        </w:rPr>
      </w:pPr>
      <w:r w:rsidRPr="00CA4D58">
        <w:rPr>
          <w:rFonts w:cs="Arial"/>
          <w:i/>
        </w:rPr>
        <w:t>Délégué Syndical</w:t>
      </w:r>
      <w:r w:rsidRPr="00CA4D58">
        <w:rPr>
          <w:rFonts w:cs="Arial"/>
          <w:i/>
        </w:rPr>
        <w:tab/>
        <w:t>Directeur Général</w:t>
      </w:r>
    </w:p>
    <w:p w14:paraId="0EB11BD6" w14:textId="77777777" w:rsidP="005A2C98" w:rsidR="005A2C98" w:rsidRDefault="005A2C98" w:rsidRPr="00846387">
      <w:pPr>
        <w:spacing w:after="0" w:line="240" w:lineRule="auto"/>
        <w:rPr>
          <w:rFonts w:cs="Arial"/>
          <w:highlight w:val="yellow"/>
        </w:rPr>
      </w:pPr>
    </w:p>
    <w:p w14:paraId="3B858D53" w14:textId="77777777" w:rsidP="005A2C98" w:rsidR="005A2C98" w:rsidRDefault="005A2C98" w:rsidRPr="00846387">
      <w:pPr>
        <w:spacing w:after="0" w:line="240" w:lineRule="auto"/>
        <w:rPr>
          <w:rFonts w:cs="Arial"/>
          <w:highlight w:val="yellow"/>
        </w:rPr>
      </w:pPr>
    </w:p>
    <w:p w14:paraId="0D8B85EB" w14:textId="77777777" w:rsidP="005A2C98" w:rsidR="005A2C98" w:rsidRDefault="005A2C98" w:rsidRPr="00846387">
      <w:pPr>
        <w:spacing w:after="0" w:line="240" w:lineRule="auto"/>
        <w:rPr>
          <w:rFonts w:cs="Arial"/>
          <w:highlight w:val="yellow"/>
        </w:rPr>
      </w:pPr>
    </w:p>
    <w:p w14:paraId="3C9D36E7" w14:textId="08188700" w:rsidP="005A2C98" w:rsidR="005A2C98" w:rsidRDefault="005A2C98" w:rsidRPr="00CA4D58">
      <w:pPr>
        <w:spacing w:after="0" w:line="240" w:lineRule="auto"/>
        <w:rPr>
          <w:rFonts w:cs="Arial"/>
          <w:b/>
          <w:u w:val="single"/>
        </w:rPr>
      </w:pPr>
      <w:r w:rsidRPr="00CA4D58">
        <w:rPr>
          <w:rFonts w:cs="Arial"/>
          <w:b/>
          <w:u w:val="single"/>
        </w:rPr>
        <w:t xml:space="preserve">Pour </w:t>
      </w:r>
      <w:r w:rsidR="00CA4D58" w:rsidRPr="00CA4D58">
        <w:rPr>
          <w:rFonts w:cs="Arial"/>
          <w:b/>
          <w:u w:val="single"/>
        </w:rPr>
        <w:t>le CSE</w:t>
      </w:r>
    </w:p>
    <w:p w14:paraId="76500E09" w14:textId="3576E2B4" w:rsidP="005A2C98" w:rsidR="005A2C98" w:rsidRDefault="005A2C98" w:rsidRPr="00CA4D58">
      <w:pPr>
        <w:spacing w:after="0" w:line="240" w:lineRule="auto"/>
        <w:rPr>
          <w:rFonts w:cs="Arial"/>
        </w:rPr>
      </w:pPr>
      <w:r w:rsidRPr="00CA4D58">
        <w:rPr>
          <w:rFonts w:cs="Arial"/>
        </w:rPr>
        <w:t xml:space="preserve">M. </w:t>
      </w:r>
      <w:r w:rsidR="00CA4D58" w:rsidRPr="00CA4D58">
        <w:rPr>
          <w:rFonts w:cs="Arial"/>
        </w:rPr>
        <w:t>Eric PERNATON</w:t>
      </w:r>
    </w:p>
    <w:p w14:paraId="78377277" w14:textId="1255AE16" w:rsidP="005A2C98" w:rsidR="005A2C98" w:rsidRDefault="00CA4D58" w:rsidRPr="00563785">
      <w:pPr>
        <w:spacing w:after="0" w:line="240" w:lineRule="auto"/>
        <w:rPr>
          <w:rFonts w:cs="Arial"/>
          <w:i/>
        </w:rPr>
      </w:pPr>
      <w:r>
        <w:rPr>
          <w:rFonts w:cs="Arial"/>
          <w:i/>
        </w:rPr>
        <w:t>Membre Titulaire du CSE</w:t>
      </w:r>
    </w:p>
    <w:p w14:paraId="78757ABA" w14:textId="77777777" w:rsidR="00FB36D9" w:rsidRDefault="00FB36D9"/>
    <w:sectPr w:rsidR="00FB36D9" w:rsidSect="007D7EEF">
      <w:headerReference r:id="rId7" w:type="default"/>
      <w:footerReference r:id="rId8" w:type="default"/>
      <w:pgSz w:h="16838" w:w="11906"/>
      <w:pgMar w:bottom="794" w:footer="709" w:gutter="0" w:header="709" w:left="794" w:right="794" w:top="79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1F91F" w14:textId="77777777" w:rsidR="000F0CD2" w:rsidRDefault="000F0CD2" w:rsidP="005A2C98">
      <w:pPr>
        <w:spacing w:after="0" w:line="240" w:lineRule="auto"/>
      </w:pPr>
      <w:r>
        <w:separator/>
      </w:r>
    </w:p>
  </w:endnote>
  <w:endnote w:type="continuationSeparator" w:id="0">
    <w:p w14:paraId="65869405" w14:textId="77777777" w:rsidR="000F0CD2" w:rsidRDefault="000F0CD2" w:rsidP="005A2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p w14:paraId="61D4DF90" w14:textId="77777777" w:rsidP="00A03BFF" w:rsidR="0002527B" w:rsidRDefault="0002527B" w:rsidRPr="00A03BFF">
    <w:pPr>
      <w:pStyle w:val="Pieddepage"/>
      <w:pBdr>
        <w:top w:color="auto" w:space="1" w:sz="4" w:val="single"/>
      </w:pBdr>
      <w:jc w:val="center"/>
      <w:rPr>
        <w:rFonts w:cs="Arial"/>
      </w:rPr>
    </w:pPr>
    <w:r w:rsidRPr="00A03BFF">
      <w:rPr>
        <w:rFonts w:cs="Arial"/>
      </w:rPr>
      <w:t>Accord portant sur l’égalité entre les femmes et les hommes et la qualité de vie au travail</w:t>
    </w:r>
    <w:r w:rsidRPr="00A03BFF">
      <w:rPr>
        <w:rFonts w:cs="Arial"/>
      </w:rPr>
      <w:ptab w:alignment="right" w:leader="none" w:relativeTo="margin"/>
    </w:r>
    <w:r w:rsidRPr="00A03BFF">
      <w:rPr>
        <w:rFonts w:cs="Arial"/>
      </w:rPr>
      <w:t xml:space="preserve">Page </w:t>
    </w:r>
    <w:r w:rsidRPr="00A03BFF">
      <w:rPr>
        <w:rFonts w:cs="Arial"/>
      </w:rPr>
      <w:fldChar w:fldCharType="begin"/>
    </w:r>
    <w:r w:rsidRPr="00A03BFF">
      <w:rPr>
        <w:rFonts w:cs="Arial"/>
      </w:rPr>
      <w:instrText xml:space="preserve"> PAGE   \* MERGEFORMAT </w:instrText>
    </w:r>
    <w:r w:rsidRPr="00A03BFF">
      <w:rPr>
        <w:rFonts w:cs="Arial"/>
      </w:rPr>
      <w:fldChar w:fldCharType="separate"/>
    </w:r>
    <w:r w:rsidRPr="00A03BFF">
      <w:rPr>
        <w:rFonts w:cs="Arial"/>
        <w:noProof/>
      </w:rPr>
      <w:t>7</w:t>
    </w:r>
    <w:r w:rsidRPr="00A03BFF">
      <w:rPr>
        <w:rFonts w:cs="Arial"/>
        <w:noProof/>
      </w:rPr>
      <w:fldChar w:fldCharType="end"/>
    </w:r>
    <w:r w:rsidRPr="00A03BFF">
      <w:rPr>
        <w:rFonts w:cs="Arial"/>
        <w:noProof/>
      </w:rPr>
      <w:t>/7</w:t>
    </w: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footnote w:id="-1" w:type="separator">
    <w:p w14:paraId="16BCA3BD" w14:textId="77777777" w:rsidP="005A2C98" w:rsidR="000F0CD2" w:rsidRDefault="000F0CD2">
      <w:pPr>
        <w:spacing w:after="0" w:line="240" w:lineRule="auto"/>
      </w:pPr>
      <w:r>
        <w:separator/>
      </w:r>
    </w:p>
  </w:footnote>
  <w:footnote w:id="0" w:type="continuationSeparator">
    <w:p w14:paraId="4AA3C125" w14:textId="77777777" w:rsidP="005A2C98" w:rsidR="000F0CD2" w:rsidRDefault="000F0CD2">
      <w:pPr>
        <w:spacing w:after="0" w:line="240" w:lineRule="auto"/>
      </w:pPr>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p w14:paraId="73832CA8" w14:textId="77777777" w:rsidP="005A2C98" w:rsidR="0002527B" w:rsidRDefault="0002527B">
    <w:pPr>
      <w:rPr>
        <w:rFonts w:ascii="Times New Roman" w:hAnsi="Times New Roman"/>
      </w:rPr>
    </w:pPr>
  </w:p>
  <w:p w14:paraId="0A551981" w14:textId="77777777" w:rsidP="005A2C98" w:rsidR="0002527B" w:rsidRDefault="0002527B"/>
  <w:tbl>
    <w:tblPr>
      <w:tblW w:type="auto" w:w="0"/>
      <w:tblBorders>
        <w:bottom w:color="auto" w:space="0" w:sz="4" w:val="single"/>
      </w:tblBorders>
      <w:tblLook w:firstColumn="1" w:firstRow="1" w:lastColumn="1" w:lastRow="1" w:noHBand="0" w:noVBand="0" w:val="01E0"/>
    </w:tblPr>
    <w:tblGrid>
      <w:gridCol w:w="4606"/>
      <w:gridCol w:w="5600"/>
    </w:tblGrid>
    <w:tr w14:paraId="39585B86" w14:textId="77777777" w:rsidR="0002527B" w:rsidTr="005A2C98">
      <w:tc>
        <w:tcPr>
          <w:tcW w:type="dxa" w:w="4606"/>
          <w:tcBorders>
            <w:top w:val="nil"/>
            <w:left w:val="nil"/>
            <w:bottom w:color="auto" w:space="0" w:sz="4" w:val="single"/>
            <w:right w:val="nil"/>
          </w:tcBorders>
        </w:tcPr>
        <w:p w14:paraId="7DC00FB3" w14:textId="77777777" w:rsidP="005A2C98" w:rsidR="0002527B" w:rsidRDefault="0002527B">
          <w:pPr>
            <w:pStyle w:val="En-tte"/>
            <w:spacing w:line="276" w:lineRule="auto"/>
            <w:rPr>
              <w:rFonts w:ascii="Tahoma" w:cs="Tahoma" w:hAnsi="Tahoma"/>
              <w:sz w:val="16"/>
              <w:szCs w:val="16"/>
            </w:rPr>
          </w:pPr>
          <w:r>
            <w:rPr>
              <w:rFonts w:ascii="Tahoma" w:cs="Tahoma" w:hAnsi="Tahoma"/>
              <w:sz w:val="16"/>
              <w:szCs w:val="16"/>
            </w:rPr>
            <w:t>PARIS COUNTRY CLUB</w:t>
          </w:r>
        </w:p>
        <w:p w14:paraId="4C273BD0" w14:textId="77777777" w:rsidP="005A2C98" w:rsidR="0002527B" w:rsidRDefault="0002527B">
          <w:pPr>
            <w:pStyle w:val="En-tte"/>
            <w:spacing w:line="276" w:lineRule="auto"/>
            <w:rPr>
              <w:rFonts w:ascii="Tahoma" w:cs="Tahoma" w:hAnsi="Tahoma"/>
              <w:sz w:val="16"/>
              <w:szCs w:val="16"/>
            </w:rPr>
          </w:pPr>
          <w:r>
            <w:rPr>
              <w:rFonts w:ascii="Tahoma" w:cs="Tahoma" w:hAnsi="Tahoma"/>
              <w:sz w:val="16"/>
              <w:szCs w:val="16"/>
            </w:rPr>
            <w:t>121, rue du lieutenant colonel de Montbrison</w:t>
          </w:r>
        </w:p>
        <w:p w14:paraId="182E8916" w14:textId="77777777" w:rsidP="005A2C98" w:rsidR="0002527B" w:rsidRDefault="0002527B">
          <w:pPr>
            <w:pStyle w:val="En-tte"/>
            <w:spacing w:line="276" w:lineRule="auto"/>
            <w:rPr>
              <w:rFonts w:ascii="Tahoma" w:cs="Tahoma" w:hAnsi="Tahoma"/>
              <w:sz w:val="16"/>
              <w:szCs w:val="16"/>
            </w:rPr>
          </w:pPr>
          <w:r>
            <w:rPr>
              <w:rFonts w:ascii="Tahoma" w:cs="Tahoma" w:hAnsi="Tahoma"/>
              <w:sz w:val="16"/>
              <w:szCs w:val="16"/>
            </w:rPr>
            <w:t>92500 RUEIL MALMAISON</w:t>
          </w:r>
        </w:p>
        <w:p w14:paraId="4C4DC165" w14:textId="77777777" w:rsidP="005A2C98" w:rsidR="0002527B" w:rsidRDefault="0002527B">
          <w:pPr>
            <w:pStyle w:val="En-tte"/>
            <w:spacing w:line="276" w:lineRule="auto"/>
            <w:rPr>
              <w:rFonts w:ascii="Tahoma" w:cs="Tahoma" w:hAnsi="Tahoma"/>
              <w:sz w:val="16"/>
              <w:szCs w:val="16"/>
            </w:rPr>
          </w:pPr>
          <w:r>
            <w:rPr>
              <w:rFonts w:ascii="Tahoma" w:cs="Tahoma" w:hAnsi="Tahoma"/>
              <w:sz w:val="16"/>
              <w:szCs w:val="16"/>
            </w:rPr>
            <w:t>T : + 33 (0) 1 47 77 64 00</w:t>
          </w:r>
        </w:p>
        <w:p w14:paraId="5E012691" w14:textId="77777777" w:rsidP="005A2C98" w:rsidR="0002527B" w:rsidRDefault="0002527B">
          <w:pPr>
            <w:pStyle w:val="En-tte"/>
            <w:spacing w:line="276" w:lineRule="auto"/>
            <w:rPr>
              <w:rFonts w:ascii="Tahoma" w:cs="Tahoma" w:hAnsi="Tahoma"/>
              <w:sz w:val="16"/>
              <w:szCs w:val="16"/>
            </w:rPr>
          </w:pPr>
          <w:r>
            <w:rPr>
              <w:rFonts w:ascii="Tahoma" w:cs="Tahoma" w:hAnsi="Tahoma"/>
              <w:sz w:val="16"/>
              <w:szCs w:val="16"/>
            </w:rPr>
            <w:t>F : + 33 (0) 1 47 32 19 80</w:t>
          </w:r>
        </w:p>
        <w:p w14:paraId="6D317193" w14:textId="77777777" w:rsidP="005A2C98" w:rsidR="0002527B" w:rsidRDefault="0002527B">
          <w:pPr>
            <w:pStyle w:val="En-tte"/>
            <w:spacing w:line="276" w:lineRule="auto"/>
            <w:rPr>
              <w:rFonts w:ascii="Tahoma" w:cs="Tahoma" w:hAnsi="Tahoma"/>
              <w:sz w:val="16"/>
              <w:szCs w:val="16"/>
            </w:rPr>
          </w:pPr>
          <w:r>
            <w:rPr>
              <w:rFonts w:ascii="Tahoma" w:cs="Tahoma" w:hAnsi="Tahoma"/>
              <w:sz w:val="16"/>
              <w:szCs w:val="16"/>
            </w:rPr>
            <w:t xml:space="preserve">E : </w:t>
          </w:r>
          <w:hyperlink r:id="rId1" w:history="1">
            <w:r>
              <w:rPr>
                <w:rStyle w:val="Lienhypertexte"/>
                <w:rFonts w:ascii="Tahoma" w:cs="Tahoma" w:hAnsi="Tahoma"/>
                <w:sz w:val="16"/>
                <w:szCs w:val="16"/>
              </w:rPr>
              <w:t>info@pariscountryclub.com</w:t>
            </w:r>
          </w:hyperlink>
        </w:p>
        <w:p w14:paraId="1CDEF9A2" w14:textId="77777777" w:rsidP="005A2C98" w:rsidR="0002527B" w:rsidRDefault="0002527B">
          <w:pPr>
            <w:pStyle w:val="En-tte"/>
            <w:spacing w:line="276" w:lineRule="auto"/>
            <w:rPr>
              <w:rFonts w:ascii="Tahoma" w:cs="Tahoma" w:hAnsi="Tahoma"/>
              <w:sz w:val="16"/>
              <w:szCs w:val="16"/>
            </w:rPr>
          </w:pPr>
          <w:r>
            <w:rPr>
              <w:rFonts w:ascii="Tahoma" w:cs="Tahoma" w:hAnsi="Tahoma"/>
              <w:sz w:val="16"/>
              <w:szCs w:val="16"/>
            </w:rPr>
            <w:t>www.pariscoutryclub.com</w:t>
          </w:r>
        </w:p>
        <w:p w14:paraId="311B7E9D" w14:textId="77777777" w:rsidP="005A2C98" w:rsidR="0002527B" w:rsidRDefault="0002527B">
          <w:pPr>
            <w:pStyle w:val="En-tte"/>
            <w:spacing w:line="276" w:lineRule="auto"/>
            <w:rPr>
              <w:rFonts w:ascii="Tahoma" w:cs="Tahoma" w:hAnsi="Tahoma"/>
              <w:sz w:val="16"/>
              <w:szCs w:val="16"/>
            </w:rPr>
          </w:pPr>
        </w:p>
      </w:tc>
      <w:tc>
        <w:tcPr>
          <w:tcW w:type="dxa" w:w="5600"/>
          <w:tcBorders>
            <w:top w:val="nil"/>
            <w:left w:val="nil"/>
            <w:bottom w:color="auto" w:space="0" w:sz="4" w:val="single"/>
            <w:right w:val="nil"/>
          </w:tcBorders>
          <w:hideMark/>
        </w:tcPr>
        <w:p w14:paraId="06D520CF" w14:textId="53C26481" w:rsidP="005A2C98" w:rsidR="0002527B" w:rsidRDefault="0002527B">
          <w:pPr>
            <w:pStyle w:val="En-tte"/>
            <w:spacing w:line="276" w:lineRule="auto"/>
            <w:jc w:val="right"/>
            <w:rPr>
              <w:rFonts w:ascii="Tahoma" w:cs="Tahoma" w:hAnsi="Tahoma"/>
              <w:sz w:val="16"/>
              <w:szCs w:val="16"/>
            </w:rPr>
          </w:pPr>
          <w:r>
            <w:rPr>
              <w:rFonts w:ascii="Times New Roman" w:cs="Times New Roman" w:hAnsi="Times New Roman"/>
              <w:noProof/>
              <w:sz w:val="24"/>
              <w:szCs w:val="24"/>
            </w:rPr>
            <w:drawing>
              <wp:anchor allowOverlap="1" behindDoc="0" distB="0" distL="114300" distR="114300" distT="0" layoutInCell="1" locked="0" relativeHeight="251659264" simplePos="0" wp14:anchorId="4FC27EB1" wp14:editId="7E64B66C">
                <wp:simplePos x="0" y="0"/>
                <wp:positionH relativeFrom="column">
                  <wp:posOffset>2134870</wp:posOffset>
                </wp:positionH>
                <wp:positionV relativeFrom="paragraph">
                  <wp:posOffset>-44450</wp:posOffset>
                </wp:positionV>
                <wp:extent cx="978535" cy="989330"/>
                <wp:effectExtent b="1270" l="0" r="0" t="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rrowheads="1"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8535" cy="989330"/>
                        </a:xfrm>
                        <a:prstGeom prst="rect">
                          <a:avLst/>
                        </a:prstGeom>
                        <a:noFill/>
                      </pic:spPr>
                    </pic:pic>
                  </a:graphicData>
                </a:graphic>
                <wp14:sizeRelH relativeFrom="page">
                  <wp14:pctWidth>0</wp14:pctWidth>
                </wp14:sizeRelH>
                <wp14:sizeRelV relativeFrom="page">
                  <wp14:pctHeight>0</wp14:pctHeight>
                </wp14:sizeRelV>
              </wp:anchor>
            </w:drawing>
          </w:r>
        </w:p>
      </w:tc>
    </w:tr>
  </w:tbl>
  <w:p w14:paraId="39231827" w14:textId="77777777" w:rsidR="0002527B" w:rsidRDefault="0002527B">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abstractNum w15:restartNumberingAfterBreak="0" w:abstractNumId="0">
    <w:nsid w:val="258D3B09"/>
    <w:multiLevelType w:val="hybridMultilevel"/>
    <w:tmpl w:val="57B41D4E"/>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
    <w:nsid w:val="5C707FAF"/>
    <w:multiLevelType w:val="hybridMultilevel"/>
    <w:tmpl w:val="661CABC8"/>
    <w:lvl w:ilvl="0" w:tplc="040C0001">
      <w:start w:val="1"/>
      <w:numFmt w:val="bullet"/>
      <w:lvlText w:val=""/>
      <w:lvlJc w:val="left"/>
      <w:pPr>
        <w:ind w:hanging="360" w:left="720"/>
      </w:pPr>
      <w:rPr>
        <w:rFonts w:ascii="Symbol" w:hAnsi="Symbo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numId="1">
    <w:abstractNumId w:val="0"/>
  </w:num>
  <w:num w:numId="2">
    <w:abstractNumId w:val="1"/>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mc:Ignorable="w14 w15 w16se w16cid">
  <w:zoom w:percent="100"/>
  <w:proofState w:grammar="clean" w:spelling="clean"/>
  <w:defaultTabStop w:val="708"/>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9D9"/>
    <w:rsid w:val="0002527B"/>
    <w:rsid w:val="00072A09"/>
    <w:rsid w:val="000757F0"/>
    <w:rsid w:val="00094119"/>
    <w:rsid w:val="000F0CD2"/>
    <w:rsid w:val="000F4CAC"/>
    <w:rsid w:val="000F6C38"/>
    <w:rsid w:val="00180A2A"/>
    <w:rsid w:val="001D7FCD"/>
    <w:rsid w:val="002D69D9"/>
    <w:rsid w:val="00353ACD"/>
    <w:rsid w:val="00392B89"/>
    <w:rsid w:val="005A2C98"/>
    <w:rsid w:val="00667220"/>
    <w:rsid w:val="007B56D6"/>
    <w:rsid w:val="007D7EEF"/>
    <w:rsid w:val="00846387"/>
    <w:rsid w:val="00A03BFF"/>
    <w:rsid w:val="00A71A78"/>
    <w:rsid w:val="00A7344A"/>
    <w:rsid w:val="00A91F5B"/>
    <w:rsid w:val="00CA4D58"/>
    <w:rsid w:val="00D0087E"/>
    <w:rsid w:val="00D622ED"/>
    <w:rsid w:val="00FB36D9"/>
  </w:rsids>
  <m:mathPr>
    <m:mathFont m:val="Cambria Math"/>
    <m:brkBin m:val="before"/>
    <m:brkBinSub m:val="--"/>
    <m:smallFrac m:val="0"/>
    <m:dispDef/>
    <m:lMargin m:val="0"/>
    <m:rMargin m:val="0"/>
    <m:defJc m:val="centerGroup"/>
    <m:wrapIndent m:val="1440"/>
    <m:intLim m:val="subSup"/>
    <m:naryLim m:val="undOvr"/>
  </m:mathPr>
  <w:themeFontLang w:val="fr-FR"/>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4:docId w14:val="6021629A"/>
  <w15:chartTrackingRefBased/>
  <w15:docId w15:val="{C839CB6B-9B7D-4998-9A38-40A3BE3DD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cstheme="minorBidi" w:eastAsiaTheme="minorHAnsi" w:hAnsiTheme="minorHAnsi"/>
        <w:sz w:val="22"/>
        <w:szCs w:val="22"/>
        <w:lang w:bidi="ar-SA" w:eastAsia="en-US" w:val="fr-FR"/>
      </w:rPr>
    </w:rPrDefault>
    <w:pPrDefault>
      <w:pPr>
        <w:spacing w:after="160" w:line="259" w:lineRule="auto"/>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5A2C98"/>
    <w:pPr>
      <w:jc w:val="both"/>
    </w:pPr>
    <w:rPr>
      <w:rFonts w:ascii="Arial" w:hAnsi="Arial"/>
    </w:rPr>
  </w:style>
  <w:style w:styleId="Titre1" w:type="paragraph">
    <w:name w:val="heading 1"/>
    <w:basedOn w:val="Normal"/>
    <w:next w:val="Normal"/>
    <w:link w:val="Titre1Car"/>
    <w:uiPriority w:val="9"/>
    <w:qFormat/>
    <w:rsid w:val="005A2C98"/>
    <w:pPr>
      <w:keepNext/>
      <w:keepLines/>
      <w:spacing w:after="360" w:before="360"/>
      <w:outlineLvl w:val="0"/>
    </w:pPr>
    <w:rPr>
      <w:rFonts w:asciiTheme="majorHAnsi" w:cstheme="majorBidi" w:eastAsiaTheme="majorEastAsia" w:hAnsiTheme="majorHAnsi"/>
      <w:b/>
      <w:smallCaps/>
      <w:sz w:val="28"/>
      <w:szCs w:val="32"/>
      <w:u w:val="single"/>
    </w:rPr>
  </w:style>
  <w:style w:styleId="Titre2" w:type="paragraph">
    <w:name w:val="heading 2"/>
    <w:basedOn w:val="Normal"/>
    <w:next w:val="Normal"/>
    <w:link w:val="Titre2Car"/>
    <w:uiPriority w:val="9"/>
    <w:unhideWhenUsed/>
    <w:qFormat/>
    <w:rsid w:val="005A2C98"/>
    <w:pPr>
      <w:keepNext/>
      <w:keepLines/>
      <w:spacing w:after="120" w:before="120"/>
      <w:ind w:left="708"/>
      <w:outlineLvl w:val="1"/>
    </w:pPr>
    <w:rPr>
      <w:rFonts w:asciiTheme="majorHAnsi" w:cstheme="majorBidi" w:eastAsiaTheme="majorEastAsia" w:hAnsiTheme="majorHAnsi"/>
      <w:b/>
      <w:sz w:val="26"/>
      <w:szCs w:val="26"/>
      <w:u w:val="single"/>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Titre1Car" w:type="character">
    <w:name w:val="Titre 1 Car"/>
    <w:basedOn w:val="Policepardfaut"/>
    <w:link w:val="Titre1"/>
    <w:uiPriority w:val="9"/>
    <w:rsid w:val="005A2C98"/>
    <w:rPr>
      <w:rFonts w:asciiTheme="majorHAnsi" w:cstheme="majorBidi" w:eastAsiaTheme="majorEastAsia" w:hAnsiTheme="majorHAnsi"/>
      <w:b/>
      <w:smallCaps/>
      <w:sz w:val="28"/>
      <w:szCs w:val="32"/>
      <w:u w:val="single"/>
    </w:rPr>
  </w:style>
  <w:style w:customStyle="1" w:styleId="Titre2Car" w:type="character">
    <w:name w:val="Titre 2 Car"/>
    <w:basedOn w:val="Policepardfaut"/>
    <w:link w:val="Titre2"/>
    <w:uiPriority w:val="9"/>
    <w:rsid w:val="005A2C98"/>
    <w:rPr>
      <w:rFonts w:asciiTheme="majorHAnsi" w:cstheme="majorBidi" w:eastAsiaTheme="majorEastAsia" w:hAnsiTheme="majorHAnsi"/>
      <w:b/>
      <w:sz w:val="26"/>
      <w:szCs w:val="26"/>
      <w:u w:val="single"/>
    </w:rPr>
  </w:style>
  <w:style w:styleId="Paragraphedeliste" w:type="paragraph">
    <w:name w:val="List Paragraph"/>
    <w:basedOn w:val="Normal"/>
    <w:uiPriority w:val="34"/>
    <w:qFormat/>
    <w:rsid w:val="005A2C98"/>
    <w:pPr>
      <w:ind w:left="720"/>
      <w:contextualSpacing/>
    </w:pPr>
  </w:style>
  <w:style w:styleId="Titre" w:type="paragraph">
    <w:name w:val="Title"/>
    <w:basedOn w:val="Normal"/>
    <w:next w:val="Normal"/>
    <w:link w:val="TitreCar"/>
    <w:uiPriority w:val="10"/>
    <w:qFormat/>
    <w:rsid w:val="005A2C98"/>
    <w:pPr>
      <w:spacing w:after="0" w:line="240" w:lineRule="auto"/>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5A2C98"/>
    <w:rPr>
      <w:rFonts w:asciiTheme="majorHAnsi" w:cstheme="majorBidi" w:eastAsiaTheme="majorEastAsia" w:hAnsiTheme="majorHAnsi"/>
      <w:spacing w:val="-10"/>
      <w:kern w:val="28"/>
      <w:sz w:val="56"/>
      <w:szCs w:val="56"/>
    </w:rPr>
  </w:style>
  <w:style w:styleId="Grilledutableau" w:type="table">
    <w:name w:val="Table Grid"/>
    <w:basedOn w:val="TableauNormal"/>
    <w:uiPriority w:val="39"/>
    <w:rsid w:val="005A2C9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En-tte" w:type="paragraph">
    <w:name w:val="header"/>
    <w:basedOn w:val="Normal"/>
    <w:link w:val="En-tteCar"/>
    <w:unhideWhenUsed/>
    <w:rsid w:val="005A2C98"/>
    <w:pPr>
      <w:tabs>
        <w:tab w:pos="4536" w:val="center"/>
        <w:tab w:pos="9072" w:val="right"/>
      </w:tabs>
      <w:spacing w:after="0" w:line="240" w:lineRule="auto"/>
    </w:pPr>
  </w:style>
  <w:style w:customStyle="1" w:styleId="En-tteCar" w:type="character">
    <w:name w:val="En-tête Car"/>
    <w:basedOn w:val="Policepardfaut"/>
    <w:link w:val="En-tte"/>
    <w:rsid w:val="005A2C98"/>
    <w:rPr>
      <w:rFonts w:ascii="Arial" w:hAnsi="Arial"/>
    </w:rPr>
  </w:style>
  <w:style w:styleId="Pieddepage" w:type="paragraph">
    <w:name w:val="footer"/>
    <w:basedOn w:val="Normal"/>
    <w:link w:val="PieddepageCar"/>
    <w:uiPriority w:val="99"/>
    <w:unhideWhenUsed/>
    <w:rsid w:val="005A2C98"/>
    <w:pPr>
      <w:tabs>
        <w:tab w:pos="4536" w:val="center"/>
        <w:tab w:pos="9072" w:val="right"/>
      </w:tabs>
      <w:spacing w:after="0" w:line="240" w:lineRule="auto"/>
    </w:pPr>
  </w:style>
  <w:style w:customStyle="1" w:styleId="PieddepageCar" w:type="character">
    <w:name w:val="Pied de page Car"/>
    <w:basedOn w:val="Policepardfaut"/>
    <w:link w:val="Pieddepage"/>
    <w:uiPriority w:val="99"/>
    <w:rsid w:val="005A2C98"/>
    <w:rPr>
      <w:rFonts w:ascii="Arial" w:hAnsi="Arial"/>
    </w:rPr>
  </w:style>
  <w:style w:styleId="TM1" w:type="paragraph">
    <w:name w:val="toc 1"/>
    <w:basedOn w:val="Normal"/>
    <w:next w:val="Normal"/>
    <w:autoRedefine/>
    <w:uiPriority w:val="39"/>
    <w:unhideWhenUsed/>
    <w:rsid w:val="005A2C98"/>
    <w:pPr>
      <w:spacing w:after="100"/>
    </w:pPr>
  </w:style>
  <w:style w:styleId="TM2" w:type="paragraph">
    <w:name w:val="toc 2"/>
    <w:basedOn w:val="Normal"/>
    <w:next w:val="Normal"/>
    <w:autoRedefine/>
    <w:uiPriority w:val="39"/>
    <w:unhideWhenUsed/>
    <w:rsid w:val="005A2C98"/>
    <w:pPr>
      <w:spacing w:after="100"/>
      <w:ind w:left="220"/>
    </w:pPr>
  </w:style>
  <w:style w:styleId="Lienhypertexte" w:type="character">
    <w:name w:val="Hyperlink"/>
    <w:basedOn w:val="Policepardfaut"/>
    <w:uiPriority w:val="99"/>
    <w:unhideWhenUsed/>
    <w:rsid w:val="005A2C98"/>
    <w:rPr>
      <w:color w:themeColor="hyperlink" w:val="0563C1"/>
      <w:u w:val="single"/>
    </w:rPr>
  </w:style>
  <w:style w:styleId="En-ttedetabledesmatires" w:type="paragraph">
    <w:name w:val="TOC Heading"/>
    <w:basedOn w:val="Titre1"/>
    <w:next w:val="Normal"/>
    <w:uiPriority w:val="39"/>
    <w:unhideWhenUsed/>
    <w:qFormat/>
    <w:rsid w:val="005A2C98"/>
    <w:pPr>
      <w:spacing w:after="0" w:before="240"/>
      <w:jc w:val="left"/>
      <w:outlineLvl w:val="9"/>
    </w:pPr>
    <w:rPr>
      <w:b w:val="0"/>
      <w:smallCaps w:val="0"/>
      <w:color w:themeColor="accent1" w:themeShade="BF" w:val="2E74B5"/>
      <w:sz w:val="32"/>
      <w:u w:val="none"/>
      <w:lang w:eastAsia="fr-FR"/>
    </w:rPr>
  </w:style>
  <w:style w:styleId="Textedebulles" w:type="paragraph">
    <w:name w:val="Balloon Text"/>
    <w:basedOn w:val="Normal"/>
    <w:link w:val="TextedebullesCar"/>
    <w:uiPriority w:val="99"/>
    <w:semiHidden/>
    <w:unhideWhenUsed/>
    <w:rsid w:val="00392B89"/>
    <w:pPr>
      <w:spacing w:after="0" w:line="240" w:lineRule="auto"/>
    </w:pPr>
    <w:rPr>
      <w:rFonts w:ascii="Segoe UI" w:cs="Segoe UI" w:hAnsi="Segoe UI"/>
      <w:sz w:val="18"/>
      <w:szCs w:val="18"/>
    </w:rPr>
  </w:style>
  <w:style w:customStyle="1" w:styleId="TextedebullesCar" w:type="character">
    <w:name w:val="Texte de bulles Car"/>
    <w:basedOn w:val="Policepardfaut"/>
    <w:link w:val="Textedebulles"/>
    <w:uiPriority w:val="99"/>
    <w:semiHidden/>
    <w:rsid w:val="00392B89"/>
    <w:rPr>
      <w:rFonts w:ascii="Segoe UI" w:cs="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430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_rels/header1.xml.rels><?xml version="1.0" encoding="UTF-8" standalone="no"?><Relationships xmlns="http://schemas.openxmlformats.org/package/2006/relationships"><Relationship Id="rId1" Target="mailto:info@pariscountryclub.com" TargetMode="External" Type="http://schemas.openxmlformats.org/officeDocument/2006/relationships/hyperlink"/><Relationship Id="rId2" Target="media/image1.jpe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1971</Words>
  <Characters>10843</Characters>
  <Application>Microsoft Office Word</Application>
  <DocSecurity>0</DocSecurity>
  <Lines>90</Lines>
  <Paragraphs>25</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12789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2019-12-06T07:48:00Z</dcterms:created>
  <cp:lastPrinted>2019-12-19T14:44:00Z</cp:lastPrinted>
  <dcterms:modified xsi:type="dcterms:W3CDTF">2019-12-26T15:24:00Z</dcterms:modified>
  <cp:revision>5</cp:revision>
</cp:coreProperties>
</file>