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body>
    <w:p w:rsidR="00B54959" w:rsidRDefault="00B54959"/>
    <w:p w:rsidR="00755E45" w:rsidRDefault="00755E45"/>
    <w:p w:rsidR="00773D47" w:rsidRDefault="00773D47"/>
    <w:p w:rsidP="00773D47" w:rsidR="00975BA8" w:rsidRDefault="00975BA8">
      <w:pPr>
        <w:pStyle w:val="Sansinterligne"/>
        <w:rPr>
          <w:b/>
          <w:u w:val="single"/>
        </w:rPr>
      </w:pPr>
    </w:p>
    <w:p w:rsidP="006050FF" w:rsidR="00755E45" w:rsidRDefault="00755E45" w:rsidRPr="006050FF">
      <w:pPr>
        <w:pStyle w:val="Sansinterligne"/>
        <w:ind w:left="-142"/>
        <w:jc w:val="center"/>
        <w:rPr>
          <w:b/>
          <w:sz w:val="20"/>
          <w:u w:val="single"/>
        </w:rPr>
      </w:pPr>
      <w:r w:rsidRPr="006050FF">
        <w:rPr>
          <w:b/>
          <w:sz w:val="20"/>
          <w:u w:val="single"/>
        </w:rPr>
        <w:t>ACCORD PERMETTANT LE VERSEMENT DE LA PRIME EXCEPTIONNELLE DE POUVOIR D’ACHAT</w:t>
      </w:r>
      <w:r w:rsidR="006050FF" w:rsidRPr="006050FF">
        <w:rPr>
          <w:b/>
          <w:sz w:val="20"/>
          <w:u w:val="single"/>
        </w:rPr>
        <w:t xml:space="preserve"> (PEPA)</w:t>
      </w:r>
    </w:p>
    <w:p w:rsidP="00755E45" w:rsidR="00755E45" w:rsidRDefault="00755E45">
      <w:pPr>
        <w:pStyle w:val="Sansinterligne"/>
      </w:pPr>
    </w:p>
    <w:p w:rsidP="00755E45" w:rsidR="00755E45" w:rsidRDefault="00755E45" w:rsidRPr="00356305">
      <w:pPr>
        <w:pStyle w:val="Sansinterligne"/>
        <w:rPr>
          <w:b/>
          <w:sz w:val="24"/>
        </w:rPr>
      </w:pPr>
      <w:r w:rsidRPr="00356305">
        <w:rPr>
          <w:b/>
          <w:sz w:val="24"/>
        </w:rPr>
        <w:t>Entre les soussignés</w:t>
      </w:r>
    </w:p>
    <w:p w:rsidP="00755E45" w:rsidR="00755E45" w:rsidRDefault="00755E45">
      <w:pPr>
        <w:pStyle w:val="Sansinterligne"/>
      </w:pPr>
    </w:p>
    <w:p w:rsidP="00755E45" w:rsidR="00755E45" w:rsidRDefault="00850E0A">
      <w:pPr>
        <w:pStyle w:val="Sansinterligne"/>
        <w:jc w:val="both"/>
      </w:pPr>
      <w:r>
        <w:t>La Société SCEA LES SERRES DU MERIOT</w:t>
      </w:r>
      <w:r w:rsidR="00755E45">
        <w:t xml:space="preserve"> dont le siège social est situé </w:t>
      </w:r>
      <w:r>
        <w:t xml:space="preserve">au 5 rue Jean Jaurès – BP 56 – 10400 NOGENT SUR SEINE </w:t>
      </w:r>
      <w:r w:rsidR="00755E45">
        <w:t xml:space="preserve">immatriculée au RCS </w:t>
      </w:r>
      <w:r>
        <w:t>de Troyes sous le n° 334 147 071</w:t>
      </w:r>
      <w:r w:rsidR="00755E45">
        <w:t xml:space="preserve"> représentée par </w:t>
      </w:r>
      <w:proofErr w:type="gramStart"/>
      <w:r w:rsidR="001900E4">
        <w:t xml:space="preserve">… </w:t>
      </w:r>
      <w:r>
        <w:t>,</w:t>
      </w:r>
      <w:proofErr w:type="gramEnd"/>
      <w:r>
        <w:t xml:space="preserve"> en qualité de Gérant</w:t>
      </w:r>
    </w:p>
    <w:p w:rsidP="00755E45" w:rsidR="00755E45" w:rsidRDefault="00755E45" w:rsidRPr="00356305">
      <w:pPr>
        <w:pStyle w:val="Sansinterligne"/>
        <w:jc w:val="both"/>
        <w:rPr>
          <w:b/>
          <w:sz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56305">
        <w:rPr>
          <w:b/>
          <w:sz w:val="24"/>
        </w:rPr>
        <w:t>D’une part,</w:t>
      </w:r>
    </w:p>
    <w:p w:rsidP="00755E45" w:rsidR="00755E45" w:rsidRDefault="00755E45" w:rsidRPr="00356305">
      <w:pPr>
        <w:pStyle w:val="Sansinterligne"/>
        <w:jc w:val="both"/>
        <w:rPr>
          <w:b/>
          <w:sz w:val="24"/>
        </w:rPr>
      </w:pPr>
      <w:r w:rsidRPr="00356305">
        <w:rPr>
          <w:b/>
          <w:sz w:val="24"/>
        </w:rPr>
        <w:t>Et</w:t>
      </w:r>
    </w:p>
    <w:p w:rsidP="00755E45" w:rsidR="00755E45" w:rsidRDefault="00755E45">
      <w:pPr>
        <w:pStyle w:val="Sansinterligne"/>
        <w:jc w:val="both"/>
      </w:pPr>
    </w:p>
    <w:p w:rsidP="00755E45" w:rsidR="00755E45" w:rsidRDefault="00755E45">
      <w:pPr>
        <w:pStyle w:val="Sansinterligne"/>
        <w:jc w:val="both"/>
      </w:pPr>
      <w:r>
        <w:t xml:space="preserve">L’ensemble des </w:t>
      </w:r>
      <w:r w:rsidRPr="00356305">
        <w:rPr>
          <w:b/>
        </w:rPr>
        <w:t xml:space="preserve">membres du personnel </w:t>
      </w:r>
      <w:r>
        <w:t>statuant à la major</w:t>
      </w:r>
      <w:r w:rsidR="0045437D">
        <w:t>ité des deux tiers, selon la liste ci-dessous</w:t>
      </w:r>
    </w:p>
    <w:p w:rsidP="00755E45" w:rsidR="00755E45" w:rsidRDefault="00755E45">
      <w:pPr>
        <w:pStyle w:val="Sansinterligne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P="00755E45" w:rsidR="00755E45" w:rsidRDefault="00755E45" w:rsidRPr="00703C9E">
      <w:pPr>
        <w:pStyle w:val="Sansinterligne"/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56305">
        <w:rPr>
          <w:b/>
          <w:sz w:val="24"/>
        </w:rPr>
        <w:t>D’autre part,</w:t>
      </w:r>
    </w:p>
    <w:p w:rsidP="00755E45" w:rsidR="00755E45" w:rsidRDefault="00755E45" w:rsidRPr="00356305">
      <w:pPr>
        <w:pStyle w:val="Sansinterligne"/>
        <w:jc w:val="both"/>
        <w:rPr>
          <w:b/>
          <w:sz w:val="24"/>
        </w:rPr>
      </w:pPr>
      <w:r w:rsidRPr="00356305">
        <w:rPr>
          <w:b/>
          <w:sz w:val="24"/>
        </w:rPr>
        <w:t>Il a été conclu le présent accord </w:t>
      </w:r>
    </w:p>
    <w:p w:rsidP="00755E45" w:rsidR="0045437D" w:rsidRDefault="0045437D">
      <w:pPr>
        <w:pStyle w:val="Sansinterligne"/>
        <w:jc w:val="both"/>
      </w:pPr>
    </w:p>
    <w:p w:rsidP="00755E45" w:rsidR="00755E45" w:rsidRDefault="00755E45" w:rsidRPr="00356305">
      <w:pPr>
        <w:pStyle w:val="Sansinterligne"/>
        <w:jc w:val="both"/>
        <w:rPr>
          <w:b/>
          <w:u w:val="single"/>
        </w:rPr>
      </w:pPr>
      <w:r w:rsidRPr="00356305">
        <w:rPr>
          <w:b/>
          <w:u w:val="single"/>
        </w:rPr>
        <w:t xml:space="preserve">Article 1 -  objet </w:t>
      </w:r>
    </w:p>
    <w:p w:rsidP="00755E45" w:rsidR="00755E45" w:rsidRDefault="00755E45">
      <w:pPr>
        <w:pStyle w:val="Sansinterligne"/>
        <w:jc w:val="both"/>
      </w:pPr>
      <w:r>
        <w:t xml:space="preserve">Le présent accord s’inscrit dans le cadre de la loi </w:t>
      </w:r>
      <w:r w:rsidR="000B2FBB">
        <w:t>2019-1446 du 24 décembre 2019 de financement de la sécurité sociale pour 2020 qui prévoit, en son article 7</w:t>
      </w:r>
      <w:r>
        <w:t>, la possibilité de verser une prime exceptionnelle de pouvoir d’achat, selon les conditions et modalités définies ci-dessous.</w:t>
      </w:r>
    </w:p>
    <w:p w:rsidP="00755E45" w:rsidR="00755E45" w:rsidRDefault="00755E45">
      <w:pPr>
        <w:pStyle w:val="Sansinterligne"/>
        <w:jc w:val="both"/>
      </w:pPr>
    </w:p>
    <w:p w:rsidP="00755E45" w:rsidR="00755E45" w:rsidRDefault="00755E45" w:rsidRPr="00356305">
      <w:pPr>
        <w:pStyle w:val="Sansinterligne"/>
        <w:jc w:val="both"/>
        <w:rPr>
          <w:b/>
          <w:u w:val="single"/>
        </w:rPr>
      </w:pPr>
      <w:r w:rsidRPr="00356305">
        <w:rPr>
          <w:b/>
          <w:u w:val="single"/>
        </w:rPr>
        <w:t>Article 2 – Champ d’application </w:t>
      </w:r>
    </w:p>
    <w:p w:rsidP="00755E45" w:rsidR="00755E45" w:rsidRDefault="00ED62B6">
      <w:pPr>
        <w:pStyle w:val="Sansinterligne"/>
        <w:jc w:val="both"/>
      </w:pPr>
      <w:r>
        <w:t>Le présent accord s’applique à tous les salariés à temps complet ou à temps partiel, quelle que soit la nature du contrat de travail, inscrits à l’effectif</w:t>
      </w:r>
      <w:r w:rsidR="000B2FBB">
        <w:t xml:space="preserve"> au 31 décembre 2019 et ayant perçu en 2019</w:t>
      </w:r>
      <w:r>
        <w:t xml:space="preserve"> une rémunération inférieure à 3 fois la valeur annuelle du SMIC calculée pour un an sur la base de la durée légale de travail.</w:t>
      </w:r>
    </w:p>
    <w:p w:rsidP="00755E45" w:rsidR="00ED62B6" w:rsidRDefault="00ED62B6">
      <w:pPr>
        <w:pStyle w:val="Sansinterligne"/>
        <w:jc w:val="both"/>
      </w:pPr>
    </w:p>
    <w:p w:rsidP="00755E45" w:rsidR="00ED62B6" w:rsidRDefault="00ED62B6" w:rsidRPr="00356305">
      <w:pPr>
        <w:pStyle w:val="Sansinterligne"/>
        <w:jc w:val="both"/>
        <w:rPr>
          <w:b/>
          <w:u w:val="single"/>
        </w:rPr>
      </w:pPr>
      <w:r w:rsidRPr="00356305">
        <w:rPr>
          <w:b/>
          <w:u w:val="single"/>
        </w:rPr>
        <w:t>Article 3 – Montant de la prime </w:t>
      </w:r>
    </w:p>
    <w:p w:rsidP="00755E45" w:rsidR="00ED62B6" w:rsidRDefault="00ED62B6">
      <w:pPr>
        <w:pStyle w:val="Sansinterligne"/>
        <w:jc w:val="both"/>
      </w:pPr>
      <w:r>
        <w:t>La prime exceptionnelle de pouvoir d’ach</w:t>
      </w:r>
      <w:r w:rsidR="00975BA8">
        <w:t>at</w:t>
      </w:r>
      <w:r w:rsidR="006050FF">
        <w:t>, d’un montant égalitaire,</w:t>
      </w:r>
      <w:r>
        <w:t xml:space="preserve">  est d’u</w:t>
      </w:r>
      <w:r w:rsidR="000B2FBB">
        <w:t>n montant brut de 300</w:t>
      </w:r>
      <w:r w:rsidR="006050FF">
        <w:t xml:space="preserve"> (trois cent)</w:t>
      </w:r>
      <w:r>
        <w:t xml:space="preserve"> euros pour chaque salarié permanent embauché depuis plus d’un an dans l’entreprise</w:t>
      </w:r>
      <w:r w:rsidR="00850E0A">
        <w:t xml:space="preserve"> correspondant à une durée de travail à temps complet</w:t>
      </w:r>
      <w:r>
        <w:t>.</w:t>
      </w:r>
    </w:p>
    <w:p w:rsidP="00755E45" w:rsidR="00850E0A" w:rsidRDefault="00850E0A">
      <w:pPr>
        <w:pStyle w:val="Sansinterligne"/>
        <w:jc w:val="both"/>
      </w:pPr>
    </w:p>
    <w:p w:rsidP="00755E45" w:rsidR="00850E0A" w:rsidRDefault="00850E0A">
      <w:pPr>
        <w:pStyle w:val="Sansinterligne"/>
        <w:jc w:val="both"/>
      </w:pPr>
      <w:r>
        <w:t>Les salariés à temps partiel perçoivent la prime visée au présent article calculée au prorata de leur durée de travail.</w:t>
      </w:r>
    </w:p>
    <w:p w:rsidP="00755E45" w:rsidR="00ED62B6" w:rsidRDefault="00ED62B6">
      <w:pPr>
        <w:pStyle w:val="Sansinterligne"/>
        <w:jc w:val="both"/>
      </w:pPr>
    </w:p>
    <w:p w:rsidP="00755E45" w:rsidR="00ED62B6" w:rsidRDefault="00ED62B6" w:rsidRPr="00356305">
      <w:pPr>
        <w:pStyle w:val="Sansinterligne"/>
        <w:jc w:val="both"/>
        <w:rPr>
          <w:b/>
          <w:u w:val="single"/>
        </w:rPr>
      </w:pPr>
      <w:r w:rsidRPr="00356305">
        <w:rPr>
          <w:b/>
          <w:u w:val="single"/>
        </w:rPr>
        <w:t>Article 4 – Principe de non-substitution </w:t>
      </w:r>
    </w:p>
    <w:p w:rsidP="00755E45" w:rsidR="00975BA8" w:rsidRDefault="00ED62B6" w:rsidRPr="00975BA8">
      <w:pPr>
        <w:pStyle w:val="Sansinterligne"/>
        <w:jc w:val="both"/>
      </w:pPr>
      <w:r>
        <w:t>La prime exceptionnelle de pouvoir d’achat ne peut se substituer à des augmentations de rémunération ni à des primes prévues par un accord salarial, le contrat de travail ou les usages en vigueur dans l’entreprise. Elle ne peut pas non plus se substituer à les éléments de rémunération au sens de l’article L. 242-1 du code de la sécurité sociale versés par l’employeur ou qui deviennent obligatoires en vertu des règles légales, contractuelles ou d’usage.</w:t>
      </w:r>
    </w:p>
    <w:p w:rsidP="00755E45" w:rsidR="00975BA8" w:rsidRDefault="00975BA8">
      <w:pPr>
        <w:pStyle w:val="Sansinterligne"/>
        <w:jc w:val="both"/>
        <w:rPr>
          <w:b/>
          <w:u w:val="single"/>
        </w:rPr>
      </w:pPr>
    </w:p>
    <w:p w:rsidP="00755E45" w:rsidR="00975BA8" w:rsidRDefault="00ED62B6">
      <w:pPr>
        <w:pStyle w:val="Sansinterligne"/>
        <w:jc w:val="both"/>
        <w:rPr>
          <w:b/>
          <w:u w:val="single"/>
        </w:rPr>
      </w:pPr>
      <w:r w:rsidRPr="00356305">
        <w:rPr>
          <w:b/>
          <w:u w:val="single"/>
        </w:rPr>
        <w:t>Article 5 – Modalité de versement</w:t>
      </w:r>
    </w:p>
    <w:p w:rsidP="00755E45" w:rsidR="00C873CF" w:rsidRDefault="00ED62B6">
      <w:pPr>
        <w:pStyle w:val="Sansinterligne"/>
        <w:jc w:val="both"/>
      </w:pPr>
      <w:r>
        <w:t>La prime exceptionnelle de pouvoir d’achat</w:t>
      </w:r>
      <w:r w:rsidR="00C335BC">
        <w:t xml:space="preserve"> </w:t>
      </w:r>
      <w:r w:rsidR="000B2FBB">
        <w:t xml:space="preserve">doit être versée jusqu’au 31 août 2020 (contre le 30 juin 2020 initialement) en application de l’article 11 de la loi du 23 mars 2020 d’urgence pour faire face à l’épidémie de COVID-19 </w:t>
      </w:r>
      <w:r w:rsidR="00C335BC">
        <w:t>en un versement unique</w:t>
      </w:r>
      <w:r w:rsidR="00356305">
        <w:t xml:space="preserve"> et figurera sur une ligne spécifique du bulletin de </w:t>
      </w:r>
      <w:r w:rsidR="00356305">
        <w:lastRenderedPageBreak/>
        <w:t>salaire. Cette prime est exonérée de charges sociales salariales et patronales, de CSG-CRDS et d’impôt sur le revenu.</w:t>
      </w:r>
    </w:p>
    <w:p w:rsidP="00755E45" w:rsidR="00773D47" w:rsidRDefault="00773D47">
      <w:pPr>
        <w:pStyle w:val="Sansinterligne"/>
        <w:jc w:val="both"/>
        <w:rPr>
          <w:b/>
          <w:u w:val="single"/>
        </w:rPr>
      </w:pPr>
    </w:p>
    <w:p w:rsidP="00755E45" w:rsidR="00C335BC" w:rsidRDefault="00C335BC" w:rsidRPr="00356305">
      <w:pPr>
        <w:pStyle w:val="Sansinterligne"/>
        <w:jc w:val="both"/>
        <w:rPr>
          <w:b/>
          <w:u w:val="single"/>
        </w:rPr>
      </w:pPr>
      <w:r w:rsidRPr="00356305">
        <w:rPr>
          <w:b/>
          <w:u w:val="single"/>
        </w:rPr>
        <w:t>Article 6 – Durée de l’accord</w:t>
      </w:r>
    </w:p>
    <w:p w:rsidP="00755E45" w:rsidR="00356305" w:rsidRDefault="00C335BC">
      <w:pPr>
        <w:pStyle w:val="Sansinterligne"/>
        <w:jc w:val="both"/>
      </w:pPr>
      <w:r>
        <w:t xml:space="preserve">Le présent accord produit un effet à durée déterminée jusqu’au 31 </w:t>
      </w:r>
      <w:r w:rsidR="006050FF">
        <w:t>août</w:t>
      </w:r>
      <w:r>
        <w:t xml:space="preserve"> </w:t>
      </w:r>
      <w:r w:rsidR="000B2FBB">
        <w:t>2020</w:t>
      </w:r>
      <w:r>
        <w:t xml:space="preserve"> au plus tard. Il ne saurait créer un droit acquis au bénéfice des sa</w:t>
      </w:r>
      <w:r w:rsidR="00356305">
        <w:t>lariés, ni constituer un usage.</w:t>
      </w:r>
    </w:p>
    <w:p w:rsidP="00755E45" w:rsidR="0045437D" w:rsidRDefault="0045437D">
      <w:pPr>
        <w:pStyle w:val="Sansinterligne"/>
        <w:jc w:val="both"/>
      </w:pPr>
    </w:p>
    <w:p w:rsidP="0045437D" w:rsidR="00356305" w:rsidRDefault="00356305">
      <w:pPr>
        <w:pStyle w:val="Sansinterligne"/>
        <w:jc w:val="center"/>
        <w:rPr>
          <w:b/>
          <w:u w:val="single"/>
        </w:rPr>
      </w:pPr>
      <w:r w:rsidRPr="0045437D">
        <w:rPr>
          <w:b/>
          <w:u w:val="single"/>
        </w:rPr>
        <w:t>RATIFICATION DE L’ACCORD</w:t>
      </w:r>
    </w:p>
    <w:p w:rsidP="00703C9E" w:rsidR="0045437D" w:rsidRDefault="0045437D" w:rsidRPr="0045437D">
      <w:pPr>
        <w:pStyle w:val="Sansinterligne"/>
        <w:jc w:val="center"/>
        <w:rPr>
          <w:b/>
          <w:u w:val="single"/>
        </w:rPr>
      </w:pPr>
    </w:p>
    <w:p w:rsidP="00703C9E" w:rsidR="00356305" w:rsidRDefault="00356305">
      <w:pPr>
        <w:pStyle w:val="Sansinterligne"/>
        <w:jc w:val="center"/>
      </w:pPr>
      <w:r>
        <w:t xml:space="preserve">Liste nominative du personnel figurant à l’effectif de l’entreprise au </w:t>
      </w:r>
      <w:r w:rsidR="00703C9E">
        <w:t>31 décembre 201</w:t>
      </w:r>
      <w:r w:rsidR="000B2FBB">
        <w:t>9</w:t>
      </w:r>
    </w:p>
    <w:p w:rsidP="00755E45" w:rsidR="00356305" w:rsidRDefault="00356305">
      <w:pPr>
        <w:pStyle w:val="Sansinterligne"/>
        <w:jc w:val="both"/>
      </w:pP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652"/>
        <w:gridCol w:w="962"/>
        <w:gridCol w:w="881"/>
        <w:gridCol w:w="3733"/>
      </w:tblGrid>
      <w:tr w:rsidR="0045437D" w:rsidTr="0021503B">
        <w:trPr>
          <w:trHeight w:val="272"/>
        </w:trPr>
        <w:tc>
          <w:tcPr>
            <w:tcW w:type="dxa" w:w="3652"/>
          </w:tcPr>
          <w:p w:rsidP="0021503B" w:rsidR="0045437D" w:rsidRDefault="0045437D">
            <w:pPr>
              <w:pStyle w:val="Sansinterligne"/>
            </w:pPr>
            <w:r>
              <w:t>Salariés</w:t>
            </w:r>
          </w:p>
        </w:tc>
        <w:tc>
          <w:tcPr>
            <w:tcW w:type="dxa" w:w="962"/>
          </w:tcPr>
          <w:p w:rsidP="00755E45" w:rsidR="0045437D" w:rsidRDefault="0045437D">
            <w:pPr>
              <w:pStyle w:val="Sansinterligne"/>
              <w:jc w:val="both"/>
            </w:pPr>
            <w:r>
              <w:t>Oui</w:t>
            </w:r>
          </w:p>
        </w:tc>
        <w:tc>
          <w:tcPr>
            <w:tcW w:type="dxa" w:w="881"/>
          </w:tcPr>
          <w:p w:rsidP="00755E45" w:rsidR="0045437D" w:rsidRDefault="0045437D">
            <w:pPr>
              <w:pStyle w:val="Sansinterligne"/>
              <w:jc w:val="both"/>
            </w:pPr>
            <w:r>
              <w:t>Non</w:t>
            </w:r>
          </w:p>
        </w:tc>
        <w:tc>
          <w:tcPr>
            <w:tcW w:type="dxa" w:w="3733"/>
          </w:tcPr>
          <w:p w:rsidP="0021503B" w:rsidR="0045437D" w:rsidRDefault="0045437D">
            <w:pPr>
              <w:pStyle w:val="Sansinterligne"/>
              <w:jc w:val="center"/>
            </w:pPr>
            <w:r>
              <w:t>Signature</w:t>
            </w:r>
          </w:p>
        </w:tc>
      </w:tr>
      <w:tr w:rsidR="0045437D" w:rsidTr="00191465">
        <w:trPr>
          <w:trHeight w:val="454"/>
        </w:trPr>
        <w:tc>
          <w:tcPr>
            <w:tcW w:type="dxa" w:w="3652"/>
          </w:tcPr>
          <w:p w:rsidP="00755E45" w:rsidR="0045437D" w:rsidRDefault="0045437D">
            <w:pPr>
              <w:pStyle w:val="Sansinterligne"/>
              <w:jc w:val="both"/>
            </w:pPr>
            <w:bookmarkStart w:id="0" w:name="_GoBack"/>
            <w:bookmarkEnd w:id="0"/>
          </w:p>
        </w:tc>
        <w:tc>
          <w:tcPr>
            <w:tcW w:type="dxa" w:w="962"/>
          </w:tcPr>
          <w:p w:rsidP="00755E45" w:rsidR="0045437D" w:rsidRDefault="0045437D">
            <w:pPr>
              <w:pStyle w:val="Sansinterligne"/>
              <w:jc w:val="both"/>
            </w:pPr>
          </w:p>
        </w:tc>
        <w:tc>
          <w:tcPr>
            <w:tcW w:type="dxa" w:w="881"/>
          </w:tcPr>
          <w:p w:rsidP="00755E45" w:rsidR="0045437D" w:rsidRDefault="0045437D">
            <w:pPr>
              <w:pStyle w:val="Sansinterligne"/>
              <w:jc w:val="both"/>
            </w:pPr>
          </w:p>
        </w:tc>
        <w:tc>
          <w:tcPr>
            <w:tcW w:type="dxa" w:w="3733"/>
          </w:tcPr>
          <w:p w:rsidP="00755E45" w:rsidR="0045437D" w:rsidRDefault="0045437D">
            <w:pPr>
              <w:pStyle w:val="Sansinterligne"/>
              <w:jc w:val="both"/>
            </w:pPr>
          </w:p>
        </w:tc>
      </w:tr>
      <w:tr w:rsidR="0045437D" w:rsidTr="00191465">
        <w:trPr>
          <w:trHeight w:val="454"/>
        </w:trPr>
        <w:tc>
          <w:tcPr>
            <w:tcW w:type="dxa" w:w="3652"/>
          </w:tcPr>
          <w:p w:rsidP="00755E45" w:rsidR="0045437D" w:rsidRDefault="0045437D">
            <w:pPr>
              <w:pStyle w:val="Sansinterligne"/>
              <w:jc w:val="both"/>
            </w:pPr>
          </w:p>
        </w:tc>
        <w:tc>
          <w:tcPr>
            <w:tcW w:type="dxa" w:w="962"/>
          </w:tcPr>
          <w:p w:rsidP="00755E45" w:rsidR="0045437D" w:rsidRDefault="0045437D">
            <w:pPr>
              <w:pStyle w:val="Sansinterligne"/>
              <w:jc w:val="both"/>
            </w:pPr>
          </w:p>
        </w:tc>
        <w:tc>
          <w:tcPr>
            <w:tcW w:type="dxa" w:w="881"/>
          </w:tcPr>
          <w:p w:rsidP="00755E45" w:rsidR="0045437D" w:rsidRDefault="0045437D">
            <w:pPr>
              <w:pStyle w:val="Sansinterligne"/>
              <w:jc w:val="both"/>
            </w:pPr>
          </w:p>
        </w:tc>
        <w:tc>
          <w:tcPr>
            <w:tcW w:type="dxa" w:w="3733"/>
          </w:tcPr>
          <w:p w:rsidP="00755E45" w:rsidR="0045437D" w:rsidRDefault="0045437D">
            <w:pPr>
              <w:pStyle w:val="Sansinterligne"/>
              <w:jc w:val="both"/>
            </w:pPr>
          </w:p>
        </w:tc>
      </w:tr>
      <w:tr w:rsidR="00130840" w:rsidTr="00191465">
        <w:trPr>
          <w:trHeight w:val="454"/>
        </w:trPr>
        <w:tc>
          <w:tcPr>
            <w:tcW w:type="dxa" w:w="3652"/>
          </w:tcPr>
          <w:p w:rsidP="00755E45" w:rsidR="00130840" w:rsidRDefault="00130840">
            <w:pPr>
              <w:pStyle w:val="Sansinterligne"/>
              <w:jc w:val="both"/>
            </w:pPr>
          </w:p>
        </w:tc>
        <w:tc>
          <w:tcPr>
            <w:tcW w:type="dxa" w:w="962"/>
          </w:tcPr>
          <w:p w:rsidP="00755E45" w:rsidR="00130840" w:rsidRDefault="00130840">
            <w:pPr>
              <w:pStyle w:val="Sansinterligne"/>
              <w:jc w:val="both"/>
            </w:pPr>
          </w:p>
        </w:tc>
        <w:tc>
          <w:tcPr>
            <w:tcW w:type="dxa" w:w="881"/>
          </w:tcPr>
          <w:p w:rsidP="00755E45" w:rsidR="00130840" w:rsidRDefault="00130840">
            <w:pPr>
              <w:pStyle w:val="Sansinterligne"/>
              <w:jc w:val="both"/>
            </w:pPr>
          </w:p>
        </w:tc>
        <w:tc>
          <w:tcPr>
            <w:tcW w:type="dxa" w:w="3733"/>
          </w:tcPr>
          <w:p w:rsidP="00755E45" w:rsidR="00130840" w:rsidRDefault="00130840">
            <w:pPr>
              <w:pStyle w:val="Sansinterligne"/>
              <w:jc w:val="both"/>
            </w:pPr>
          </w:p>
        </w:tc>
      </w:tr>
      <w:tr w:rsidR="0045437D" w:rsidTr="00191465">
        <w:trPr>
          <w:trHeight w:val="454"/>
        </w:trPr>
        <w:tc>
          <w:tcPr>
            <w:tcW w:type="dxa" w:w="3652"/>
          </w:tcPr>
          <w:p w:rsidP="00755E45" w:rsidR="0045437D" w:rsidRDefault="0045437D">
            <w:pPr>
              <w:pStyle w:val="Sansinterligne"/>
              <w:jc w:val="both"/>
            </w:pPr>
          </w:p>
        </w:tc>
        <w:tc>
          <w:tcPr>
            <w:tcW w:type="dxa" w:w="962"/>
          </w:tcPr>
          <w:p w:rsidP="00755E45" w:rsidR="0045437D" w:rsidRDefault="0045437D">
            <w:pPr>
              <w:pStyle w:val="Sansinterligne"/>
              <w:jc w:val="both"/>
            </w:pPr>
          </w:p>
        </w:tc>
        <w:tc>
          <w:tcPr>
            <w:tcW w:type="dxa" w:w="881"/>
          </w:tcPr>
          <w:p w:rsidP="00755E45" w:rsidR="0045437D" w:rsidRDefault="0045437D">
            <w:pPr>
              <w:pStyle w:val="Sansinterligne"/>
              <w:jc w:val="both"/>
            </w:pPr>
          </w:p>
        </w:tc>
        <w:tc>
          <w:tcPr>
            <w:tcW w:type="dxa" w:w="3733"/>
          </w:tcPr>
          <w:p w:rsidP="00755E45" w:rsidR="0045437D" w:rsidRDefault="0045437D">
            <w:pPr>
              <w:pStyle w:val="Sansinterligne"/>
              <w:jc w:val="both"/>
            </w:pPr>
          </w:p>
        </w:tc>
      </w:tr>
      <w:tr w:rsidR="0045437D" w:rsidTr="00191465">
        <w:trPr>
          <w:trHeight w:val="454"/>
        </w:trPr>
        <w:tc>
          <w:tcPr>
            <w:tcW w:type="dxa" w:w="3652"/>
          </w:tcPr>
          <w:p w:rsidP="00755E45" w:rsidR="0045437D" w:rsidRDefault="0045437D">
            <w:pPr>
              <w:pStyle w:val="Sansinterligne"/>
              <w:jc w:val="both"/>
            </w:pPr>
          </w:p>
        </w:tc>
        <w:tc>
          <w:tcPr>
            <w:tcW w:type="dxa" w:w="962"/>
          </w:tcPr>
          <w:p w:rsidP="00755E45" w:rsidR="0045437D" w:rsidRDefault="0045437D">
            <w:pPr>
              <w:pStyle w:val="Sansinterligne"/>
              <w:jc w:val="both"/>
            </w:pPr>
          </w:p>
        </w:tc>
        <w:tc>
          <w:tcPr>
            <w:tcW w:type="dxa" w:w="881"/>
          </w:tcPr>
          <w:p w:rsidP="00755E45" w:rsidR="0045437D" w:rsidRDefault="0045437D">
            <w:pPr>
              <w:pStyle w:val="Sansinterligne"/>
              <w:jc w:val="both"/>
            </w:pPr>
          </w:p>
        </w:tc>
        <w:tc>
          <w:tcPr>
            <w:tcW w:type="dxa" w:w="3733"/>
          </w:tcPr>
          <w:p w:rsidP="00755E45" w:rsidR="0045437D" w:rsidRDefault="0045437D">
            <w:pPr>
              <w:pStyle w:val="Sansinterligne"/>
              <w:jc w:val="both"/>
            </w:pPr>
          </w:p>
        </w:tc>
      </w:tr>
      <w:tr w:rsidR="0045437D" w:rsidTr="00191465">
        <w:trPr>
          <w:trHeight w:val="454"/>
        </w:trPr>
        <w:tc>
          <w:tcPr>
            <w:tcW w:type="dxa" w:w="3652"/>
          </w:tcPr>
          <w:p w:rsidP="00755E45" w:rsidR="0045437D" w:rsidRDefault="0045437D">
            <w:pPr>
              <w:pStyle w:val="Sansinterligne"/>
              <w:jc w:val="both"/>
            </w:pPr>
          </w:p>
        </w:tc>
        <w:tc>
          <w:tcPr>
            <w:tcW w:type="dxa" w:w="962"/>
          </w:tcPr>
          <w:p w:rsidP="00755E45" w:rsidR="0045437D" w:rsidRDefault="0045437D">
            <w:pPr>
              <w:pStyle w:val="Sansinterligne"/>
              <w:jc w:val="both"/>
            </w:pPr>
          </w:p>
        </w:tc>
        <w:tc>
          <w:tcPr>
            <w:tcW w:type="dxa" w:w="881"/>
          </w:tcPr>
          <w:p w:rsidP="00755E45" w:rsidR="0045437D" w:rsidRDefault="0045437D">
            <w:pPr>
              <w:pStyle w:val="Sansinterligne"/>
              <w:jc w:val="both"/>
            </w:pPr>
          </w:p>
        </w:tc>
        <w:tc>
          <w:tcPr>
            <w:tcW w:type="dxa" w:w="3733"/>
          </w:tcPr>
          <w:p w:rsidP="00755E45" w:rsidR="0045437D" w:rsidRDefault="0045437D">
            <w:pPr>
              <w:pStyle w:val="Sansinterligne"/>
              <w:jc w:val="both"/>
            </w:pPr>
          </w:p>
        </w:tc>
      </w:tr>
      <w:tr w:rsidR="0045437D" w:rsidTr="00191465">
        <w:trPr>
          <w:trHeight w:val="454"/>
        </w:trPr>
        <w:tc>
          <w:tcPr>
            <w:tcW w:type="dxa" w:w="3652"/>
          </w:tcPr>
          <w:p w:rsidP="00755E45" w:rsidR="0045437D" w:rsidRDefault="0045437D">
            <w:pPr>
              <w:pStyle w:val="Sansinterligne"/>
              <w:jc w:val="both"/>
            </w:pPr>
          </w:p>
        </w:tc>
        <w:tc>
          <w:tcPr>
            <w:tcW w:type="dxa" w:w="962"/>
          </w:tcPr>
          <w:p w:rsidP="00755E45" w:rsidR="0045437D" w:rsidRDefault="0045437D">
            <w:pPr>
              <w:pStyle w:val="Sansinterligne"/>
              <w:jc w:val="both"/>
            </w:pPr>
          </w:p>
        </w:tc>
        <w:tc>
          <w:tcPr>
            <w:tcW w:type="dxa" w:w="881"/>
          </w:tcPr>
          <w:p w:rsidP="00755E45" w:rsidR="0045437D" w:rsidRDefault="0045437D">
            <w:pPr>
              <w:pStyle w:val="Sansinterligne"/>
              <w:jc w:val="both"/>
            </w:pPr>
          </w:p>
        </w:tc>
        <w:tc>
          <w:tcPr>
            <w:tcW w:type="dxa" w:w="3733"/>
          </w:tcPr>
          <w:p w:rsidP="00755E45" w:rsidR="0045437D" w:rsidRDefault="0045437D">
            <w:pPr>
              <w:pStyle w:val="Sansinterligne"/>
              <w:jc w:val="both"/>
            </w:pPr>
          </w:p>
        </w:tc>
      </w:tr>
      <w:tr w:rsidR="0021503B" w:rsidTr="00191465">
        <w:trPr>
          <w:trHeight w:val="454"/>
        </w:trPr>
        <w:tc>
          <w:tcPr>
            <w:tcW w:type="dxa" w:w="3652"/>
          </w:tcPr>
          <w:p w:rsidP="00755E45" w:rsidR="0021503B" w:rsidRDefault="0021503B">
            <w:pPr>
              <w:pStyle w:val="Sansinterligne"/>
              <w:jc w:val="both"/>
            </w:pPr>
          </w:p>
        </w:tc>
        <w:tc>
          <w:tcPr>
            <w:tcW w:type="dxa" w:w="962"/>
          </w:tcPr>
          <w:p w:rsidP="00755E45" w:rsidR="0021503B" w:rsidRDefault="0021503B">
            <w:pPr>
              <w:pStyle w:val="Sansinterligne"/>
              <w:jc w:val="both"/>
            </w:pPr>
          </w:p>
        </w:tc>
        <w:tc>
          <w:tcPr>
            <w:tcW w:type="dxa" w:w="881"/>
          </w:tcPr>
          <w:p w:rsidP="00755E45" w:rsidR="0021503B" w:rsidRDefault="0021503B">
            <w:pPr>
              <w:pStyle w:val="Sansinterligne"/>
              <w:jc w:val="both"/>
            </w:pPr>
          </w:p>
        </w:tc>
        <w:tc>
          <w:tcPr>
            <w:tcW w:type="dxa" w:w="3733"/>
          </w:tcPr>
          <w:p w:rsidP="00755E45" w:rsidR="0021503B" w:rsidRDefault="0021503B">
            <w:pPr>
              <w:pStyle w:val="Sansinterligne"/>
              <w:jc w:val="both"/>
            </w:pPr>
          </w:p>
        </w:tc>
      </w:tr>
      <w:tr w:rsidR="00130840" w:rsidTr="00191465">
        <w:trPr>
          <w:trHeight w:val="454"/>
        </w:trPr>
        <w:tc>
          <w:tcPr>
            <w:tcW w:type="dxa" w:w="3652"/>
          </w:tcPr>
          <w:p w:rsidP="00755E45" w:rsidR="00130840" w:rsidRDefault="00130840">
            <w:pPr>
              <w:pStyle w:val="Sansinterligne"/>
              <w:jc w:val="both"/>
            </w:pPr>
          </w:p>
        </w:tc>
        <w:tc>
          <w:tcPr>
            <w:tcW w:type="dxa" w:w="962"/>
          </w:tcPr>
          <w:p w:rsidP="00755E45" w:rsidR="00130840" w:rsidRDefault="00130840">
            <w:pPr>
              <w:pStyle w:val="Sansinterligne"/>
              <w:jc w:val="both"/>
            </w:pPr>
          </w:p>
        </w:tc>
        <w:tc>
          <w:tcPr>
            <w:tcW w:type="dxa" w:w="881"/>
          </w:tcPr>
          <w:p w:rsidP="00755E45" w:rsidR="00130840" w:rsidRDefault="00130840">
            <w:pPr>
              <w:pStyle w:val="Sansinterligne"/>
              <w:jc w:val="both"/>
            </w:pPr>
          </w:p>
        </w:tc>
        <w:tc>
          <w:tcPr>
            <w:tcW w:type="dxa" w:w="3733"/>
          </w:tcPr>
          <w:p w:rsidP="00755E45" w:rsidR="00130840" w:rsidRDefault="00130840">
            <w:pPr>
              <w:pStyle w:val="Sansinterligne"/>
              <w:jc w:val="both"/>
            </w:pPr>
          </w:p>
        </w:tc>
      </w:tr>
      <w:tr w:rsidR="0021503B" w:rsidTr="00191465">
        <w:trPr>
          <w:trHeight w:val="454"/>
        </w:trPr>
        <w:tc>
          <w:tcPr>
            <w:tcW w:type="dxa" w:w="3652"/>
          </w:tcPr>
          <w:p w:rsidP="00755E45" w:rsidR="0021503B" w:rsidRDefault="0021503B">
            <w:pPr>
              <w:pStyle w:val="Sansinterligne"/>
              <w:jc w:val="both"/>
            </w:pPr>
          </w:p>
        </w:tc>
        <w:tc>
          <w:tcPr>
            <w:tcW w:type="dxa" w:w="962"/>
          </w:tcPr>
          <w:p w:rsidP="00755E45" w:rsidR="0021503B" w:rsidRDefault="0021503B">
            <w:pPr>
              <w:pStyle w:val="Sansinterligne"/>
              <w:jc w:val="both"/>
            </w:pPr>
          </w:p>
        </w:tc>
        <w:tc>
          <w:tcPr>
            <w:tcW w:type="dxa" w:w="881"/>
          </w:tcPr>
          <w:p w:rsidP="00755E45" w:rsidR="0021503B" w:rsidRDefault="0021503B">
            <w:pPr>
              <w:pStyle w:val="Sansinterligne"/>
              <w:jc w:val="both"/>
            </w:pPr>
          </w:p>
        </w:tc>
        <w:tc>
          <w:tcPr>
            <w:tcW w:type="dxa" w:w="3733"/>
          </w:tcPr>
          <w:p w:rsidP="00755E45" w:rsidR="0021503B" w:rsidRDefault="0021503B">
            <w:pPr>
              <w:pStyle w:val="Sansinterligne"/>
              <w:jc w:val="both"/>
            </w:pPr>
          </w:p>
        </w:tc>
      </w:tr>
      <w:tr w:rsidR="0021503B" w:rsidTr="00191465">
        <w:trPr>
          <w:trHeight w:val="454"/>
        </w:trPr>
        <w:tc>
          <w:tcPr>
            <w:tcW w:type="dxa" w:w="3652"/>
          </w:tcPr>
          <w:p w:rsidP="00755E45" w:rsidR="0021503B" w:rsidRDefault="0021503B">
            <w:pPr>
              <w:pStyle w:val="Sansinterligne"/>
              <w:jc w:val="both"/>
            </w:pPr>
          </w:p>
        </w:tc>
        <w:tc>
          <w:tcPr>
            <w:tcW w:type="dxa" w:w="962"/>
          </w:tcPr>
          <w:p w:rsidP="00755E45" w:rsidR="0021503B" w:rsidRDefault="0021503B">
            <w:pPr>
              <w:pStyle w:val="Sansinterligne"/>
              <w:jc w:val="both"/>
            </w:pPr>
          </w:p>
        </w:tc>
        <w:tc>
          <w:tcPr>
            <w:tcW w:type="dxa" w:w="881"/>
          </w:tcPr>
          <w:p w:rsidP="00755E45" w:rsidR="0021503B" w:rsidRDefault="0021503B">
            <w:pPr>
              <w:pStyle w:val="Sansinterligne"/>
              <w:jc w:val="both"/>
            </w:pPr>
          </w:p>
        </w:tc>
        <w:tc>
          <w:tcPr>
            <w:tcW w:type="dxa" w:w="3733"/>
          </w:tcPr>
          <w:p w:rsidP="00755E45" w:rsidR="0021503B" w:rsidRDefault="0021503B">
            <w:pPr>
              <w:pStyle w:val="Sansinterligne"/>
              <w:jc w:val="both"/>
            </w:pPr>
          </w:p>
        </w:tc>
      </w:tr>
      <w:tr w:rsidR="0021503B" w:rsidTr="00191465">
        <w:trPr>
          <w:trHeight w:val="454"/>
        </w:trPr>
        <w:tc>
          <w:tcPr>
            <w:tcW w:type="dxa" w:w="3652"/>
          </w:tcPr>
          <w:p w:rsidP="00755E45" w:rsidR="0021503B" w:rsidRDefault="0021503B">
            <w:pPr>
              <w:pStyle w:val="Sansinterligne"/>
              <w:jc w:val="both"/>
            </w:pPr>
          </w:p>
        </w:tc>
        <w:tc>
          <w:tcPr>
            <w:tcW w:type="dxa" w:w="962"/>
          </w:tcPr>
          <w:p w:rsidP="00755E45" w:rsidR="0021503B" w:rsidRDefault="0021503B">
            <w:pPr>
              <w:pStyle w:val="Sansinterligne"/>
              <w:jc w:val="both"/>
            </w:pPr>
          </w:p>
        </w:tc>
        <w:tc>
          <w:tcPr>
            <w:tcW w:type="dxa" w:w="881"/>
          </w:tcPr>
          <w:p w:rsidP="00755E45" w:rsidR="0021503B" w:rsidRDefault="0021503B">
            <w:pPr>
              <w:pStyle w:val="Sansinterligne"/>
              <w:jc w:val="both"/>
            </w:pPr>
          </w:p>
        </w:tc>
        <w:tc>
          <w:tcPr>
            <w:tcW w:type="dxa" w:w="3733"/>
          </w:tcPr>
          <w:p w:rsidP="00755E45" w:rsidR="0021503B" w:rsidRDefault="0021503B">
            <w:pPr>
              <w:pStyle w:val="Sansinterligne"/>
              <w:jc w:val="both"/>
            </w:pPr>
          </w:p>
        </w:tc>
      </w:tr>
      <w:tr w:rsidR="0021503B" w:rsidTr="00191465">
        <w:trPr>
          <w:trHeight w:val="454"/>
        </w:trPr>
        <w:tc>
          <w:tcPr>
            <w:tcW w:type="dxa" w:w="3652"/>
          </w:tcPr>
          <w:p w:rsidP="00755E45" w:rsidR="0021503B" w:rsidRDefault="0021503B">
            <w:pPr>
              <w:pStyle w:val="Sansinterligne"/>
              <w:jc w:val="both"/>
            </w:pPr>
          </w:p>
        </w:tc>
        <w:tc>
          <w:tcPr>
            <w:tcW w:type="dxa" w:w="962"/>
          </w:tcPr>
          <w:p w:rsidP="00755E45" w:rsidR="0021503B" w:rsidRDefault="0021503B">
            <w:pPr>
              <w:pStyle w:val="Sansinterligne"/>
              <w:jc w:val="both"/>
            </w:pPr>
          </w:p>
        </w:tc>
        <w:tc>
          <w:tcPr>
            <w:tcW w:type="dxa" w:w="881"/>
          </w:tcPr>
          <w:p w:rsidP="00755E45" w:rsidR="0021503B" w:rsidRDefault="0021503B">
            <w:pPr>
              <w:pStyle w:val="Sansinterligne"/>
              <w:jc w:val="both"/>
            </w:pPr>
          </w:p>
        </w:tc>
        <w:tc>
          <w:tcPr>
            <w:tcW w:type="dxa" w:w="3733"/>
          </w:tcPr>
          <w:p w:rsidP="00755E45" w:rsidR="0021503B" w:rsidRDefault="0021503B">
            <w:pPr>
              <w:pStyle w:val="Sansinterligne"/>
              <w:jc w:val="both"/>
            </w:pPr>
          </w:p>
        </w:tc>
      </w:tr>
      <w:tr w:rsidR="0021503B" w:rsidTr="00191465">
        <w:trPr>
          <w:trHeight w:val="454"/>
        </w:trPr>
        <w:tc>
          <w:tcPr>
            <w:tcW w:type="dxa" w:w="3652"/>
          </w:tcPr>
          <w:p w:rsidP="00755E45" w:rsidR="0021503B" w:rsidRDefault="0021503B">
            <w:pPr>
              <w:pStyle w:val="Sansinterligne"/>
              <w:jc w:val="both"/>
            </w:pPr>
          </w:p>
        </w:tc>
        <w:tc>
          <w:tcPr>
            <w:tcW w:type="dxa" w:w="962"/>
          </w:tcPr>
          <w:p w:rsidP="00755E45" w:rsidR="0021503B" w:rsidRDefault="0021503B">
            <w:pPr>
              <w:pStyle w:val="Sansinterligne"/>
              <w:jc w:val="both"/>
            </w:pPr>
          </w:p>
        </w:tc>
        <w:tc>
          <w:tcPr>
            <w:tcW w:type="dxa" w:w="881"/>
          </w:tcPr>
          <w:p w:rsidP="00755E45" w:rsidR="0021503B" w:rsidRDefault="0021503B">
            <w:pPr>
              <w:pStyle w:val="Sansinterligne"/>
              <w:jc w:val="both"/>
            </w:pPr>
          </w:p>
        </w:tc>
        <w:tc>
          <w:tcPr>
            <w:tcW w:type="dxa" w:w="3733"/>
          </w:tcPr>
          <w:p w:rsidP="00755E45" w:rsidR="0021503B" w:rsidRDefault="0021503B">
            <w:pPr>
              <w:pStyle w:val="Sansinterligne"/>
              <w:jc w:val="both"/>
            </w:pPr>
          </w:p>
        </w:tc>
      </w:tr>
      <w:tr w:rsidR="0021503B" w:rsidTr="00191465">
        <w:trPr>
          <w:trHeight w:val="454"/>
        </w:trPr>
        <w:tc>
          <w:tcPr>
            <w:tcW w:type="dxa" w:w="3652"/>
          </w:tcPr>
          <w:p w:rsidP="00755E45" w:rsidR="0021503B" w:rsidRDefault="0021503B">
            <w:pPr>
              <w:pStyle w:val="Sansinterligne"/>
              <w:jc w:val="both"/>
            </w:pPr>
          </w:p>
        </w:tc>
        <w:tc>
          <w:tcPr>
            <w:tcW w:type="dxa" w:w="962"/>
          </w:tcPr>
          <w:p w:rsidP="00755E45" w:rsidR="0021503B" w:rsidRDefault="0021503B">
            <w:pPr>
              <w:pStyle w:val="Sansinterligne"/>
              <w:jc w:val="both"/>
            </w:pPr>
          </w:p>
        </w:tc>
        <w:tc>
          <w:tcPr>
            <w:tcW w:type="dxa" w:w="881"/>
          </w:tcPr>
          <w:p w:rsidP="00755E45" w:rsidR="0021503B" w:rsidRDefault="0021503B">
            <w:pPr>
              <w:pStyle w:val="Sansinterligne"/>
              <w:jc w:val="both"/>
            </w:pPr>
          </w:p>
        </w:tc>
        <w:tc>
          <w:tcPr>
            <w:tcW w:type="dxa" w:w="3733"/>
          </w:tcPr>
          <w:p w:rsidP="00755E45" w:rsidR="0021503B" w:rsidRDefault="0021503B">
            <w:pPr>
              <w:pStyle w:val="Sansinterligne"/>
              <w:jc w:val="both"/>
            </w:pPr>
          </w:p>
        </w:tc>
      </w:tr>
    </w:tbl>
    <w:p w:rsidP="00773D47" w:rsidR="00703C9E" w:rsidRDefault="00703C9E" w:rsidRPr="00C873CF">
      <w:pPr>
        <w:pStyle w:val="Sansinterligne"/>
        <w:jc w:val="center"/>
        <w:rPr>
          <w:b/>
          <w:sz w:val="24"/>
        </w:rPr>
      </w:pPr>
      <w:r w:rsidRPr="00C873CF">
        <w:rPr>
          <w:b/>
          <w:sz w:val="24"/>
        </w:rPr>
        <w:t>Nombre de salariés :</w:t>
      </w:r>
      <w:r w:rsidR="00975BA8">
        <w:rPr>
          <w:b/>
          <w:sz w:val="24"/>
        </w:rPr>
        <w:t xml:space="preserve"> 15</w:t>
      </w:r>
      <w:r w:rsidR="00C873CF" w:rsidRPr="00C873CF">
        <w:rPr>
          <w:b/>
          <w:sz w:val="24"/>
        </w:rPr>
        <w:t xml:space="preserve"> - </w:t>
      </w:r>
      <w:r w:rsidRPr="00C873CF">
        <w:rPr>
          <w:b/>
          <w:sz w:val="24"/>
        </w:rPr>
        <w:t>Nombre de ratifications (oui) :</w:t>
      </w:r>
    </w:p>
    <w:p w:rsidP="00755E45" w:rsidR="00703C9E" w:rsidRDefault="00703C9E">
      <w:pPr>
        <w:pStyle w:val="Sansinterligne"/>
        <w:jc w:val="both"/>
      </w:pPr>
    </w:p>
    <w:p w:rsidP="00755E45" w:rsidR="00703C9E" w:rsidRDefault="00703C9E">
      <w:pPr>
        <w:pStyle w:val="Sansinterligne"/>
        <w:jc w:val="both"/>
      </w:pPr>
      <w:r>
        <w:t xml:space="preserve">La majorité des 2/3 requise étant atteinte, le projet d’accord permettant le versement de la prime exceptionnelle de pouvoir d’achat est ratifié (la Société ne dispose pas de délégués syndicaux ou de </w:t>
      </w:r>
      <w:proofErr w:type="gramStart"/>
      <w:r>
        <w:t>salariés</w:t>
      </w:r>
      <w:proofErr w:type="gramEnd"/>
      <w:r>
        <w:t xml:space="preserve"> mandatés par les organisations syndicales représentatives).</w:t>
      </w:r>
    </w:p>
    <w:p w:rsidP="00755E45" w:rsidR="00703C9E" w:rsidRDefault="00703C9E">
      <w:pPr>
        <w:pStyle w:val="Sansinterligne"/>
        <w:jc w:val="both"/>
      </w:pPr>
    </w:p>
    <w:p w:rsidP="00755E45" w:rsidR="00703C9E" w:rsidRDefault="00703C9E">
      <w:pPr>
        <w:pStyle w:val="Sansinterligne"/>
        <w:jc w:val="both"/>
      </w:pPr>
      <w:r>
        <w:t xml:space="preserve">L’accord d’entreprise est déposé sur la plateforme en ligne </w:t>
      </w:r>
      <w:proofErr w:type="spellStart"/>
      <w:r>
        <w:t>TéléAccords</w:t>
      </w:r>
      <w:proofErr w:type="spellEnd"/>
      <w:r>
        <w:t xml:space="preserve"> (https </w:t>
      </w:r>
      <w:proofErr w:type="gramStart"/>
      <w:r>
        <w:t>:www.teleaccords.travail</w:t>
      </w:r>
      <w:proofErr w:type="gramEnd"/>
      <w:r>
        <w:t>-emploi.gouv.fr/PortailTeleprocedure/) conformément à la réglementation en vigueur à ce jour.</w:t>
      </w:r>
    </w:p>
    <w:p w:rsidP="00755E45" w:rsidR="00703C9E" w:rsidRDefault="00703C9E">
      <w:pPr>
        <w:pStyle w:val="Sansinterligne"/>
        <w:jc w:val="both"/>
      </w:pPr>
    </w:p>
    <w:p w:rsidP="00755E45" w:rsidR="00703C9E" w:rsidRDefault="00703C9E">
      <w:pPr>
        <w:pStyle w:val="Sansinterligne"/>
        <w:jc w:val="both"/>
      </w:pPr>
      <w:r>
        <w:t xml:space="preserve">Fait à Le </w:t>
      </w:r>
      <w:proofErr w:type="spellStart"/>
      <w:r>
        <w:t>Mériot</w:t>
      </w:r>
      <w:proofErr w:type="spellEnd"/>
      <w:r>
        <w:t xml:space="preserve">, le </w:t>
      </w:r>
      <w:r w:rsidR="000B2FBB">
        <w:t>08 juin 2020</w:t>
      </w:r>
    </w:p>
    <w:p w:rsidP="00755E45" w:rsidR="00703C9E" w:rsidRDefault="00703C9E">
      <w:pPr>
        <w:pStyle w:val="Sansinterligne"/>
        <w:jc w:val="both"/>
      </w:pPr>
    </w:p>
    <w:p w:rsidP="00755E45" w:rsidR="00703C9E" w:rsidRDefault="001900E4">
      <w:pPr>
        <w:pStyle w:val="Sansinterligne"/>
        <w:jc w:val="both"/>
      </w:pPr>
      <w:r>
        <w:t xml:space="preserve"> …..</w:t>
      </w:r>
      <w:r w:rsidR="00703C9E">
        <w:t>,</w:t>
      </w:r>
    </w:p>
    <w:p w:rsidP="00755E45" w:rsidR="00703C9E" w:rsidRDefault="006050FF" w:rsidRPr="006050FF">
      <w:pPr>
        <w:pStyle w:val="Sansinterligne"/>
        <w:jc w:val="both"/>
      </w:pPr>
      <w:r w:rsidRPr="006050FF">
        <w:t>Gérant</w:t>
      </w:r>
    </w:p>
    <w:sectPr w:rsidR="00703C9E" w:rsidRPr="006050FF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mc:Ignorable="w14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E45"/>
    <w:rsid w:val="000B2FBB"/>
    <w:rsid w:val="00130840"/>
    <w:rsid w:val="001900E4"/>
    <w:rsid w:val="00191465"/>
    <w:rsid w:val="0021503B"/>
    <w:rsid w:val="00356305"/>
    <w:rsid w:val="0045437D"/>
    <w:rsid w:val="006050FF"/>
    <w:rsid w:val="00703C9E"/>
    <w:rsid w:val="00755E45"/>
    <w:rsid w:val="00773D47"/>
    <w:rsid w:val="00850E0A"/>
    <w:rsid w:val="00975BA8"/>
    <w:rsid w:val="00B54959"/>
    <w:rsid w:val="00C335BC"/>
    <w:rsid w:val="00C873CF"/>
    <w:rsid w:val="00ED6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Sansinterligne" w:type="paragraph">
    <w:name w:val="No Spacing"/>
    <w:uiPriority w:val="1"/>
    <w:qFormat/>
    <w:rsid w:val="00755E45"/>
    <w:pPr>
      <w:spacing w:after="0" w:line="240" w:lineRule="auto"/>
    </w:pPr>
  </w:style>
  <w:style w:styleId="Grilledutableau" w:type="table">
    <w:name w:val="Table Grid"/>
    <w:basedOn w:val="TableauNormal"/>
    <w:uiPriority w:val="59"/>
    <w:rsid w:val="0045437D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755E45"/>
    <w:pPr>
      <w:spacing w:after="0" w:line="240" w:lineRule="auto"/>
    </w:pPr>
  </w:style>
  <w:style w:type="table" w:styleId="Grilledutableau">
    <w:name w:val="Table Grid"/>
    <w:basedOn w:val="TableauNormal"/>
    <w:uiPriority w:val="59"/>
    <w:rsid w:val="004543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tylesWithEffects.xml" Type="http://schemas.microsoft.com/office/2007/relationships/stylesWithEffect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545</Words>
  <Characters>3002</Characters>
  <Application>Microsoft Office Word</Application>
  <DocSecurity>4</DocSecurity>
  <Lines>25</Lines>
  <Paragraphs>7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>SARL BANRY PERE ET FILS</Company>
  <LinksUpToDate>false</LinksUpToDate>
  <CharactersWithSpaces>3540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2020-06-23T08:17:00Z</dcterms:created>
  <cp:lastPrinted>2020-05-18T12:55:00Z</cp:lastPrinted>
  <dcterms:modified xsi:type="dcterms:W3CDTF">2020-06-23T08:17:00Z</dcterms:modified>
  <cp:revision>2</cp:revision>
</cp:coreProperties>
</file>