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pBdr>
          <w:top w:val="single" w:sz="4" w:space="1" w:color="000000"/>
          <w:left w:val="single" w:sz="4" w:space="4" w:color="000000"/>
          <w:bottom w:val="single" w:sz="4" w:space="1" w:color="000000"/>
          <w:right w:val="single" w:sz="4" w:space="4" w:color="000000"/>
        </w:pBdr>
        <w:spacing w:before="120" w:after="120"/>
        <w:jc w:val="center"/>
        <w:rPr>
          <w:rFonts w:ascii="Arial Narrow" w:hAnsi="Arial Narrow" w:eastAsia="" w:cs="Arial" w:eastAsiaTheme="majorEastAsia"/>
          <w:b/>
          <w:bCs/>
          <w:spacing w:val="5"/>
          <w:kern w:val="2"/>
          <w:lang w:val="fr-FR" w:eastAsia="fr-FR"/>
        </w:rPr>
      </w:pPr>
      <w:bookmarkStart w:id="0" w:name="_Hlk198131085"/>
      <w:r>
        <w:rPr>
          <w:rFonts w:eastAsia="" w:cs="Arial" w:ascii="Arial Narrow" w:hAnsi="Arial Narrow" w:eastAsiaTheme="majorEastAsia"/>
          <w:b/>
          <w:bCs/>
          <w:spacing w:val="5"/>
          <w:kern w:val="2"/>
          <w:lang w:val="fr-FR" w:eastAsia="fr-FR"/>
        </w:rPr>
        <w:t>SOCIETE PRYSMIAN CABLES ET SYSTEMES FRANCE</w:t>
      </w:r>
      <w:bookmarkEnd w:id="0"/>
    </w:p>
    <w:p>
      <w:pPr>
        <w:pStyle w:val="Normal"/>
        <w:pBdr>
          <w:top w:val="single" w:sz="4" w:space="1" w:color="000000"/>
          <w:left w:val="single" w:sz="4" w:space="4" w:color="000000"/>
          <w:bottom w:val="single" w:sz="4" w:space="1" w:color="000000"/>
          <w:right w:val="single" w:sz="4" w:space="4" w:color="000000"/>
        </w:pBdr>
        <w:spacing w:before="120" w:after="120"/>
        <w:jc w:val="center"/>
        <w:rPr>
          <w:rStyle w:val="Strong"/>
          <w:rFonts w:ascii="Arial Narrow" w:hAnsi="Arial Narrow" w:eastAsia="" w:cs="Arial" w:eastAsiaTheme="majorEastAsia"/>
          <w:spacing w:val="5"/>
          <w:kern w:val="2"/>
          <w:lang w:val="fr-FR" w:eastAsia="fr-FR"/>
        </w:rPr>
      </w:pPr>
      <w:r>
        <w:rPr>
          <w:rStyle w:val="Strong"/>
          <w:rFonts w:eastAsia="" w:cs="Arial" w:ascii="Arial Narrow" w:hAnsi="Arial Narrow" w:eastAsiaTheme="majorEastAsia"/>
          <w:spacing w:val="5"/>
          <w:kern w:val="2"/>
          <w:lang w:val="fr-FR" w:eastAsia="fr-FR"/>
        </w:rPr>
        <w:t>ACCORD D’ENTREPRISE</w:t>
      </w:r>
    </w:p>
    <w:p>
      <w:pPr>
        <w:pStyle w:val="Normal"/>
        <w:pBdr>
          <w:top w:val="single" w:sz="4" w:space="1" w:color="000000"/>
          <w:left w:val="single" w:sz="4" w:space="4" w:color="000000"/>
          <w:bottom w:val="single" w:sz="4" w:space="1" w:color="000000"/>
          <w:right w:val="single" w:sz="4" w:space="4" w:color="000000"/>
        </w:pBdr>
        <w:spacing w:before="120" w:after="120"/>
        <w:jc w:val="center"/>
        <w:rPr>
          <w:rFonts w:ascii="Arial Narrow" w:hAnsi="Arial Narrow" w:cs="Arial"/>
          <w:lang w:val="fr-FR"/>
        </w:rPr>
      </w:pPr>
      <w:r>
        <w:rPr>
          <w:rStyle w:val="Strong"/>
          <w:rFonts w:eastAsia="" w:cs="Arial" w:ascii="Arial Narrow" w:hAnsi="Arial Narrow" w:eastAsiaTheme="majorEastAsia"/>
          <w:spacing w:val="5"/>
          <w:kern w:val="2"/>
          <w:lang w:val="fr-FR" w:eastAsia="fr-FR"/>
        </w:rPr>
        <w:t xml:space="preserve">PORTANT SUR LE DISPOSITIF BE IN POUR L’ANNEE 2025 </w:t>
      </w:r>
    </w:p>
    <w:p>
      <w:pPr>
        <w:pStyle w:val="Normal"/>
        <w:jc w:val="both"/>
        <w:rPr>
          <w:rFonts w:ascii="Arial Narrow" w:hAnsi="Arial Narrow" w:cs="Tahoma"/>
          <w:b/>
          <w:bCs/>
          <w:u w:val="single"/>
        </w:rPr>
      </w:pPr>
      <w:r>
        <w:rPr>
          <w:rFonts w:cs="Tahoma" w:ascii="Arial Narrow" w:hAnsi="Arial Narrow"/>
          <w:b/>
          <w:bCs/>
          <w:u w:val="single"/>
        </w:rPr>
      </w:r>
    </w:p>
    <w:p>
      <w:pPr>
        <w:pStyle w:val="Normal"/>
        <w:jc w:val="both"/>
        <w:rPr>
          <w:rFonts w:ascii="Arial Narrow" w:hAnsi="Arial Narrow" w:cs="Arial"/>
          <w:b/>
          <w:bCs/>
          <w:u w:val="single"/>
        </w:rPr>
      </w:pPr>
      <w:r>
        <w:rPr>
          <w:rFonts w:cs="Arial" w:ascii="Arial Narrow" w:hAnsi="Arial Narrow"/>
          <w:b/>
          <w:bCs/>
          <w:u w:val="single"/>
        </w:rPr>
      </w:r>
    </w:p>
    <w:p>
      <w:pPr>
        <w:pStyle w:val="Normal"/>
        <w:jc w:val="both"/>
        <w:rPr>
          <w:rFonts w:ascii="Arial Narrow" w:hAnsi="Arial Narrow" w:cs="Arial"/>
          <w:b/>
          <w:bCs/>
          <w:u w:val="single"/>
        </w:rPr>
      </w:pPr>
      <w:r>
        <w:rPr>
          <w:rFonts w:cs="Arial" w:ascii="Arial Narrow" w:hAnsi="Arial Narrow"/>
          <w:b/>
          <w:bCs/>
          <w:u w:val="single"/>
        </w:rPr>
        <w:t xml:space="preserve">ENTRE-LES SOUSSIGNES : </w:t>
      </w:r>
    </w:p>
    <w:p>
      <w:pPr>
        <w:pStyle w:val="Normal"/>
        <w:jc w:val="both"/>
        <w:rPr>
          <w:rFonts w:ascii="Arial Narrow" w:hAnsi="Arial Narrow" w:cs="Arial"/>
          <w:b/>
          <w:bCs/>
          <w:u w:val="single"/>
        </w:rPr>
      </w:pPr>
      <w:r>
        <w:rPr>
          <w:rFonts w:cs="Arial" w:ascii="Arial Narrow" w:hAnsi="Arial Narrow"/>
          <w:b/>
          <w:bCs/>
          <w:u w:val="single"/>
        </w:rPr>
      </w:r>
    </w:p>
    <w:p>
      <w:pPr>
        <w:pStyle w:val="Normal"/>
        <w:keepLines/>
        <w:numPr>
          <w:ilvl w:val="0"/>
          <w:numId w:val="0"/>
        </w:numPr>
        <w:spacing w:lineRule="exact" w:line="300" w:before="240" w:after="0"/>
        <w:ind w:left="0" w:right="509" w:hanging="0"/>
        <w:jc w:val="both"/>
        <w:rPr>
          <w:rFonts w:ascii="Arial Narrow" w:hAnsi="Arial Narrow" w:cs="Arial"/>
        </w:rPr>
      </w:pPr>
      <w:r>
        <w:rPr>
          <w:rFonts w:cs="Arial" w:ascii="Arial Narrow" w:hAnsi="Arial Narrow"/>
          <w:b/>
          <w:bCs/>
        </w:rPr>
        <w:t xml:space="preserve">La société PRYSMIAN CABLES ET SYSTEMES FRANCE </w:t>
      </w:r>
      <w:r>
        <w:rPr>
          <w:rFonts w:cs="Arial" w:ascii="Arial Narrow" w:hAnsi="Arial Narrow"/>
        </w:rPr>
        <w:t>dont le siège est situé 23 rue Aristide Briand à Paron, 89108 SENS, immatriculée au RCS de Sens sous le Nº B 095 750 311, représentée par Madame, agissant en qualité de DRH France, Belgique &amp; Afrique dûment habilitée pour la signature des présentes,</w:t>
      </w:r>
    </w:p>
    <w:p>
      <w:pPr>
        <w:pStyle w:val="Normal"/>
        <w:keepLines/>
        <w:numPr>
          <w:ilvl w:val="0"/>
          <w:numId w:val="0"/>
        </w:numPr>
        <w:spacing w:lineRule="exact" w:line="300" w:before="240" w:after="0"/>
        <w:ind w:left="0" w:right="509" w:hanging="0"/>
        <w:jc w:val="both"/>
        <w:rPr>
          <w:rFonts w:ascii="Arial Narrow" w:hAnsi="Arial Narrow" w:cs="Arial"/>
          <w:lang w:val="fr-FR"/>
        </w:rPr>
      </w:pPr>
      <w:r>
        <w:rPr>
          <w:rFonts w:cs="Arial" w:ascii="Arial Narrow" w:hAnsi="Arial Narrow"/>
          <w:lang w:val="fr-FR"/>
        </w:rPr>
      </w:r>
    </w:p>
    <w:p>
      <w:pPr>
        <w:pStyle w:val="Normal"/>
        <w:numPr>
          <w:ilvl w:val="0"/>
          <w:numId w:val="0"/>
        </w:numPr>
        <w:overflowPunct w:val="true"/>
        <w:ind w:left="0" w:hanging="0"/>
        <w:jc w:val="right"/>
        <w:textAlignment w:val="baseline"/>
        <w:rPr>
          <w:rFonts w:ascii="Arial Narrow" w:hAnsi="Arial Narrow" w:cs="Arial"/>
        </w:rPr>
      </w:pPr>
      <w:r>
        <w:rPr>
          <w:rFonts w:cs="Arial" w:ascii="Arial Narrow" w:hAnsi="Arial Narrow"/>
        </w:rPr>
        <w:t>Ci-après dénommée « la Société »</w:t>
      </w:r>
    </w:p>
    <w:p>
      <w:pPr>
        <w:pStyle w:val="Normal"/>
        <w:numPr>
          <w:ilvl w:val="0"/>
          <w:numId w:val="0"/>
        </w:numPr>
        <w:overflowPunct w:val="true"/>
        <w:ind w:left="0" w:hanging="0"/>
        <w:jc w:val="right"/>
        <w:textAlignment w:val="baseline"/>
        <w:rPr>
          <w:rFonts w:ascii="Arial Narrow" w:hAnsi="Arial Narrow" w:cs="Arial"/>
        </w:rPr>
      </w:pPr>
      <w:r>
        <w:rPr>
          <w:rFonts w:cs="Arial" w:ascii="Arial Narrow" w:hAnsi="Arial Narrow"/>
        </w:rPr>
      </w:r>
    </w:p>
    <w:p>
      <w:pPr>
        <w:pStyle w:val="Normal"/>
        <w:numPr>
          <w:ilvl w:val="0"/>
          <w:numId w:val="0"/>
        </w:numPr>
        <w:overflowPunct w:val="true"/>
        <w:ind w:left="0" w:hanging="0"/>
        <w:textAlignment w:val="baseline"/>
        <w:rPr>
          <w:rFonts w:ascii="Arial Narrow" w:hAnsi="Arial Narrow" w:cs="Arial"/>
        </w:rPr>
      </w:pPr>
      <w:r>
        <w:rPr>
          <w:rFonts w:cs="Arial" w:ascii="Arial Narrow" w:hAnsi="Arial Narrow"/>
        </w:rPr>
        <w:t>D’une part,</w:t>
      </w:r>
    </w:p>
    <w:p>
      <w:pPr>
        <w:pStyle w:val="Normal"/>
        <w:numPr>
          <w:ilvl w:val="0"/>
          <w:numId w:val="0"/>
        </w:numPr>
        <w:overflowPunct w:val="true"/>
        <w:ind w:left="0" w:hanging="0"/>
        <w:jc w:val="both"/>
        <w:textAlignment w:val="baseline"/>
        <w:rPr>
          <w:rFonts w:ascii="Arial Narrow" w:hAnsi="Arial Narrow" w:cs="Arial"/>
        </w:rPr>
      </w:pPr>
      <w:r>
        <w:rPr>
          <w:rFonts w:cs="Arial" w:ascii="Arial Narrow" w:hAnsi="Arial Narrow"/>
        </w:rPr>
      </w:r>
    </w:p>
    <w:p>
      <w:pPr>
        <w:pStyle w:val="Normal"/>
        <w:numPr>
          <w:ilvl w:val="0"/>
          <w:numId w:val="0"/>
        </w:numPr>
        <w:overflowPunct w:val="true"/>
        <w:ind w:left="0" w:hanging="0"/>
        <w:jc w:val="both"/>
        <w:textAlignment w:val="baseline"/>
        <w:rPr>
          <w:rFonts w:ascii="Arial Narrow" w:hAnsi="Arial Narrow" w:cs="Arial"/>
        </w:rPr>
      </w:pPr>
      <w:r>
        <w:rPr>
          <w:rFonts w:cs="Arial" w:ascii="Arial Narrow" w:hAnsi="Arial Narrow"/>
        </w:rPr>
        <w:t>ET :</w:t>
      </w:r>
    </w:p>
    <w:p>
      <w:pPr>
        <w:pStyle w:val="Normal"/>
        <w:numPr>
          <w:ilvl w:val="0"/>
          <w:numId w:val="0"/>
        </w:numPr>
        <w:overflowPunct w:val="true"/>
        <w:ind w:left="0" w:hanging="0"/>
        <w:jc w:val="both"/>
        <w:textAlignment w:val="baseline"/>
        <w:rPr>
          <w:rFonts w:ascii="Arial Narrow" w:hAnsi="Arial Narrow" w:cs="Arial"/>
        </w:rPr>
      </w:pPr>
      <w:r>
        <w:rPr>
          <w:rFonts w:cs="Arial" w:ascii="Arial Narrow" w:hAnsi="Arial Narrow"/>
        </w:rPr>
      </w:r>
    </w:p>
    <w:p>
      <w:pPr>
        <w:pStyle w:val="Normal"/>
        <w:overflowPunct w:val="true"/>
        <w:jc w:val="both"/>
        <w:textAlignment w:val="baseline"/>
        <w:rPr>
          <w:rFonts w:ascii="Arial Narrow" w:hAnsi="Arial Narrow" w:cs="Arial"/>
        </w:rPr>
      </w:pPr>
      <w:r>
        <w:rPr>
          <w:rFonts w:cs="Arial" w:ascii="Arial Narrow" w:hAnsi="Arial Narrow"/>
          <w:b/>
          <w:bCs/>
        </w:rPr>
        <w:t>Les organisations syndicales représentatives</w:t>
      </w:r>
      <w:r>
        <w:rPr>
          <w:rFonts w:cs="Arial" w:ascii="Arial Narrow" w:hAnsi="Arial Narrow"/>
        </w:rPr>
        <w:t xml:space="preserve"> : </w:t>
      </w:r>
    </w:p>
    <w:p>
      <w:pPr>
        <w:pStyle w:val="Normal"/>
        <w:overflowPunct w:val="true"/>
        <w:jc w:val="both"/>
        <w:textAlignment w:val="baseline"/>
        <w:rPr>
          <w:rFonts w:ascii="Arial Narrow" w:hAnsi="Arial Narrow" w:cs="Arial"/>
        </w:rPr>
      </w:pPr>
      <w:r>
        <w:rPr>
          <w:rFonts w:cs="Arial" w:ascii="Arial Narrow" w:hAnsi="Arial Narrow"/>
        </w:rPr>
      </w:r>
    </w:p>
    <w:p>
      <w:pPr>
        <w:pStyle w:val="ListParagraph"/>
        <w:numPr>
          <w:ilvl w:val="0"/>
          <w:numId w:val="5"/>
        </w:numPr>
        <w:overflowPunct w:val="true"/>
        <w:jc w:val="both"/>
        <w:textAlignment w:val="baseline"/>
        <w:rPr>
          <w:rFonts w:ascii="Arial Narrow" w:hAnsi="Arial Narrow" w:cs="Arial"/>
        </w:rPr>
      </w:pPr>
      <w:r>
        <w:rPr>
          <w:rFonts w:cs="Arial" w:ascii="Arial Narrow" w:hAnsi="Arial Narrow"/>
        </w:rPr>
        <w:t xml:space="preserve">Le syndicat C.F.D.T, représenté par Monsieur agissant en qualité de Délégué Syndical Central,  </w:t>
      </w:r>
    </w:p>
    <w:p>
      <w:pPr>
        <w:pStyle w:val="ListParagraph"/>
        <w:numPr>
          <w:ilvl w:val="0"/>
          <w:numId w:val="5"/>
        </w:numPr>
        <w:overflowPunct w:val="true"/>
        <w:jc w:val="both"/>
        <w:textAlignment w:val="baseline"/>
        <w:rPr>
          <w:rFonts w:ascii="Arial Narrow" w:hAnsi="Arial Narrow" w:cs="Arial"/>
        </w:rPr>
      </w:pPr>
      <w:r>
        <w:rPr>
          <w:rFonts w:cs="Arial" w:ascii="Arial Narrow" w:hAnsi="Arial Narrow"/>
        </w:rPr>
        <w:t>Le syndicat C.F.E C.G.C, représenté par Monsieur agissant en qualité de Délégué</w:t>
      </w:r>
    </w:p>
    <w:p>
      <w:pPr>
        <w:pStyle w:val="Normal"/>
        <w:overflowPunct w:val="true"/>
        <w:ind w:left="360" w:firstLine="349"/>
        <w:jc w:val="both"/>
        <w:textAlignment w:val="baseline"/>
        <w:rPr>
          <w:rFonts w:ascii="Arial Narrow" w:hAnsi="Arial Narrow" w:cs="Arial"/>
        </w:rPr>
      </w:pPr>
      <w:r>
        <w:rPr>
          <w:rFonts w:cs="Arial" w:ascii="Arial Narrow" w:hAnsi="Arial Narrow"/>
        </w:rPr>
        <w:t xml:space="preserve">Syndical Central,  </w:t>
      </w:r>
    </w:p>
    <w:p>
      <w:pPr>
        <w:pStyle w:val="ListParagraph"/>
        <w:numPr>
          <w:ilvl w:val="0"/>
          <w:numId w:val="5"/>
        </w:numPr>
        <w:overflowPunct w:val="true"/>
        <w:jc w:val="both"/>
        <w:textAlignment w:val="baseline"/>
        <w:rPr>
          <w:rFonts w:ascii="Arial Narrow" w:hAnsi="Arial Narrow" w:cs="Arial"/>
        </w:rPr>
      </w:pPr>
      <w:r>
        <w:rPr>
          <w:rFonts w:cs="Arial" w:ascii="Arial Narrow" w:hAnsi="Arial Narrow"/>
        </w:rPr>
        <w:t xml:space="preserve">Le syndicat C.G.T, représenté par Monsieur agissant en qualité de Délégué Syndical Central, </w:t>
      </w:r>
    </w:p>
    <w:p>
      <w:pPr>
        <w:pStyle w:val="ListParagraph"/>
        <w:numPr>
          <w:ilvl w:val="0"/>
          <w:numId w:val="5"/>
        </w:numPr>
        <w:overflowPunct w:val="true"/>
        <w:jc w:val="both"/>
        <w:textAlignment w:val="baseline"/>
        <w:rPr>
          <w:rFonts w:ascii="Arial Narrow" w:hAnsi="Arial Narrow" w:cs="Arial"/>
        </w:rPr>
      </w:pPr>
      <w:r>
        <w:rPr>
          <w:rFonts w:cs="Arial" w:ascii="Arial Narrow" w:hAnsi="Arial Narrow"/>
        </w:rPr>
        <w:t>Le syndicat F.O, représenté par Monsieur agissant en qualité de Délégué Syndical Central;</w:t>
      </w:r>
    </w:p>
    <w:p>
      <w:pPr>
        <w:pStyle w:val="ListParagraph"/>
        <w:tabs>
          <w:tab w:val="clear" w:pos="709"/>
          <w:tab w:val="left" w:pos="-3544" w:leader="none"/>
          <w:tab w:val="left" w:pos="-108" w:leader="none"/>
        </w:tabs>
        <w:jc w:val="both"/>
        <w:rPr>
          <w:rFonts w:ascii="Arial Narrow" w:hAnsi="Arial Narrow"/>
        </w:rPr>
      </w:pPr>
      <w:r>
        <w:rPr>
          <w:rFonts w:ascii="Arial Narrow" w:hAnsi="Arial Narrow"/>
        </w:rPr>
      </w:r>
    </w:p>
    <w:p>
      <w:pPr>
        <w:pStyle w:val="24"/>
        <w:tabs>
          <w:tab w:val="clear" w:pos="709"/>
          <w:tab w:val="left" w:pos="-3544" w:leader="none"/>
          <w:tab w:val="left" w:pos="-108" w:leader="none"/>
        </w:tabs>
        <w:spacing w:lineRule="auto" w:line="240" w:before="0" w:after="0"/>
        <w:rPr>
          <w:rFonts w:ascii="Arial Narrow" w:hAnsi="Arial Narrow"/>
          <w:b/>
          <w:sz w:val="24"/>
          <w:szCs w:val="24"/>
        </w:rPr>
      </w:pPr>
      <w:r>
        <w:rPr>
          <w:rFonts w:ascii="Arial Narrow" w:hAnsi="Arial Narrow"/>
          <w:b/>
          <w:sz w:val="24"/>
          <w:szCs w:val="24"/>
        </w:rPr>
        <w:t>Il a été convenu ce qui suit :</w:t>
      </w:r>
    </w:p>
    <w:p>
      <w:pPr>
        <w:pStyle w:val="24"/>
        <w:tabs>
          <w:tab w:val="clear" w:pos="709"/>
          <w:tab w:val="left" w:pos="-3544" w:leader="none"/>
          <w:tab w:val="left" w:pos="-108" w:leader="none"/>
        </w:tabs>
        <w:spacing w:lineRule="auto" w:line="240" w:before="0" w:after="0"/>
        <w:rPr>
          <w:rFonts w:ascii="Arial Narrow" w:hAnsi="Arial Narrow"/>
          <w:b/>
          <w:sz w:val="24"/>
          <w:szCs w:val="24"/>
        </w:rPr>
      </w:pPr>
      <w:r>
        <w:rPr>
          <w:rFonts w:ascii="Arial Narrow" w:hAnsi="Arial Narrow"/>
          <w:b/>
          <w:sz w:val="24"/>
          <w:szCs w:val="24"/>
        </w:rPr>
      </w:r>
    </w:p>
    <w:p>
      <w:pPr>
        <w:pStyle w:val="24"/>
        <w:tabs>
          <w:tab w:val="clear" w:pos="709"/>
          <w:tab w:val="left" w:pos="-3544" w:leader="none"/>
          <w:tab w:val="left" w:pos="-108" w:leader="none"/>
        </w:tabs>
        <w:spacing w:lineRule="auto" w:line="240" w:before="0" w:after="0"/>
        <w:rPr>
          <w:rFonts w:ascii="Arial Narrow" w:hAnsi="Arial Narrow"/>
          <w:b/>
          <w:color w:val="4472C4"/>
          <w:sz w:val="24"/>
          <w:szCs w:val="24"/>
        </w:rPr>
      </w:pPr>
      <w:r>
        <w:rPr>
          <w:rFonts w:ascii="Arial Narrow" w:hAnsi="Arial Narrow"/>
          <w:b/>
          <w:color w:val="4472C4"/>
          <w:sz w:val="24"/>
          <w:szCs w:val="24"/>
        </w:rPr>
      </w:r>
    </w:p>
    <w:p>
      <w:pPr>
        <w:pStyle w:val="24"/>
        <w:tabs>
          <w:tab w:val="clear" w:pos="709"/>
          <w:tab w:val="left" w:pos="-3544" w:leader="none"/>
          <w:tab w:val="left" w:pos="-108" w:leader="none"/>
        </w:tabs>
        <w:spacing w:lineRule="auto" w:line="240" w:before="0" w:after="0"/>
        <w:rPr>
          <w:rFonts w:ascii="Arial Narrow" w:hAnsi="Arial Narrow"/>
          <w:b/>
          <w:color w:val="4472C4"/>
          <w:sz w:val="24"/>
          <w:szCs w:val="24"/>
        </w:rPr>
      </w:pPr>
      <w:r>
        <w:rPr>
          <w:rFonts w:ascii="Arial Narrow" w:hAnsi="Arial Narrow"/>
          <w:b/>
          <w:color w:val="4472C4"/>
          <w:sz w:val="24"/>
          <w:szCs w:val="24"/>
        </w:rPr>
      </w:r>
    </w:p>
    <w:p>
      <w:pPr>
        <w:pStyle w:val="Normal"/>
        <w:jc w:val="both"/>
        <w:rPr>
          <w:rFonts w:ascii="Arial Narrow" w:hAnsi="Arial Narrow" w:cs="Arial"/>
          <w:b/>
          <w:color w:val="4F81BD" w:themeColor="accent1"/>
        </w:rPr>
      </w:pPr>
      <w:r>
        <w:rPr>
          <w:rFonts w:cs="Arial" w:ascii="Arial Narrow" w:hAnsi="Arial Narrow"/>
          <w:b/>
          <w:color w:val="4F81BD" w:themeColor="accent1"/>
        </w:rPr>
        <w:t>PREAMBULE</w:t>
      </w:r>
    </w:p>
    <w:p>
      <w:pPr>
        <w:pStyle w:val="Normal"/>
        <w:jc w:val="both"/>
        <w:rPr>
          <w:rFonts w:ascii="Arial Narrow" w:hAnsi="Arial Narrow" w:cs="Arial"/>
          <w:b/>
          <w:color w:val="4F81BD" w:themeColor="accent1"/>
        </w:rPr>
      </w:pPr>
      <w:r>
        <w:rPr>
          <w:rFonts w:cs="Arial" w:ascii="Arial Narrow" w:hAnsi="Arial Narrow"/>
          <w:b/>
          <w:color w:val="4F81BD" w:themeColor="accent1"/>
        </w:rPr>
      </w:r>
    </w:p>
    <w:p>
      <w:pPr>
        <w:pStyle w:val="Normal"/>
        <w:jc w:val="both"/>
        <w:rPr>
          <w:rFonts w:ascii="Arial Narrow" w:hAnsi="Arial Narrow" w:cs="Arial"/>
          <w:lang w:val="fr-FR"/>
        </w:rPr>
      </w:pPr>
      <w:bookmarkStart w:id="1" w:name="_Hlk33439263"/>
      <w:bookmarkEnd w:id="1"/>
      <w:r>
        <w:rPr>
          <w:rFonts w:cs="Arial" w:ascii="Arial Narrow" w:hAnsi="Arial Narrow"/>
          <w:lang w:val="fr-FR"/>
        </w:rPr>
        <w:t xml:space="preserve">L’outil Be IN est un plan d'actionnariat salarié, qui est distinct et complémentaire du programme YES. Ce nouvel outil a été conçu pour apporter des avantages supplémentaires, en partageant la création de valeur et en récompensant l'engagement et l'alignement accrus sur les performances de chaque établissement. Ce programme a été renouvelé par le Groupe en 2025 pour les années 2026 à 2028. </w:t>
      </w:r>
    </w:p>
    <w:p>
      <w:pPr>
        <w:pStyle w:val="Normal"/>
        <w:jc w:val="both"/>
        <w:rPr>
          <w:rFonts w:ascii="Arial Narrow" w:hAnsi="Arial Narrow" w:cs="Arial"/>
          <w:lang w:val="fr-FR"/>
        </w:rPr>
      </w:pPr>
      <w:r>
        <w:rPr>
          <w:rFonts w:cs="Arial" w:ascii="Arial Narrow" w:hAnsi="Arial Narrow"/>
          <w:lang w:val="fr-FR"/>
        </w:rPr>
      </w:r>
    </w:p>
    <w:p>
      <w:pPr>
        <w:pStyle w:val="Normal"/>
        <w:jc w:val="both"/>
        <w:rPr>
          <w:rFonts w:ascii="Arial Narrow" w:hAnsi="Arial Narrow" w:cs="Arial"/>
          <w:lang w:val="fr-FR"/>
        </w:rPr>
      </w:pPr>
      <w:r>
        <w:rPr>
          <w:rFonts w:cs="Arial" w:ascii="Arial Narrow" w:hAnsi="Arial Narrow"/>
          <w:lang w:val="fr-FR"/>
        </w:rPr>
        <w:t>Les organisations syndicales représentatives et la Direction de PRYSMIAN CABLES ET SYSTEMES FRANCE ont souhaité faire bénéficier de nouveau les salariés éligibles de cet avantage pour l’année 2025.</w:t>
      </w:r>
    </w:p>
    <w:p>
      <w:pPr>
        <w:pStyle w:val="Normal"/>
        <w:jc w:val="both"/>
        <w:rPr>
          <w:rFonts w:ascii="Arial Narrow" w:hAnsi="Arial Narrow" w:cs="Arial"/>
          <w:lang w:val="fr-FR"/>
        </w:rPr>
      </w:pPr>
      <w:r>
        <w:rPr>
          <w:rFonts w:cs="Arial" w:ascii="Arial Narrow" w:hAnsi="Arial Narrow"/>
          <w:lang w:val="fr-FR"/>
        </w:rPr>
      </w:r>
    </w:p>
    <w:p>
      <w:pPr>
        <w:pStyle w:val="Normal"/>
        <w:jc w:val="both"/>
        <w:rPr>
          <w:rFonts w:ascii="Arial Narrow" w:hAnsi="Arial Narrow" w:cs="Arial"/>
          <w:lang w:val="fr-FR"/>
        </w:rPr>
      </w:pPr>
      <w:r>
        <w:rPr>
          <w:rFonts w:cs="Arial" w:ascii="Arial Narrow" w:hAnsi="Arial Narrow"/>
          <w:lang w:val="fr-FR"/>
        </w:rPr>
        <w:t>C’est dans ce contexte que les parties se sont rencontrés le 13/11/2025 et ont convenu ce qui suit :</w:t>
      </w:r>
    </w:p>
    <w:p>
      <w:pPr>
        <w:pStyle w:val="Normal"/>
        <w:jc w:val="both"/>
        <w:rPr>
          <w:rFonts w:ascii="Arial Narrow" w:hAnsi="Arial Narrow" w:cs="Arial"/>
          <w:lang w:val="fr-FR"/>
        </w:rPr>
      </w:pPr>
      <w:r>
        <w:rPr>
          <w:rFonts w:cs="Arial" w:ascii="Arial Narrow" w:hAnsi="Arial Narrow"/>
          <w:lang w:val="fr-FR"/>
        </w:rPr>
      </w:r>
    </w:p>
    <w:p>
      <w:pPr>
        <w:pStyle w:val="Normal"/>
        <w:jc w:val="both"/>
        <w:rPr>
          <w:rFonts w:ascii="Arial Narrow" w:hAnsi="Arial Narrow" w:cs="Arial"/>
          <w:lang w:val="fr-FR"/>
        </w:rPr>
      </w:pPr>
      <w:r>
        <w:rPr>
          <w:rFonts w:cs="Arial" w:ascii="Arial Narrow" w:hAnsi="Arial Narrow"/>
          <w:lang w:val="fr-FR"/>
        </w:rPr>
      </w:r>
    </w:p>
    <w:p>
      <w:pPr>
        <w:pStyle w:val="Normal"/>
        <w:jc w:val="both"/>
        <w:rPr>
          <w:rFonts w:ascii="Arial Narrow" w:hAnsi="Arial Narrow" w:cs="Arial"/>
          <w:lang w:val="fr-FR"/>
        </w:rPr>
      </w:pPr>
      <w:r>
        <w:rPr>
          <w:rFonts w:cs="Arial" w:ascii="Arial Narrow" w:hAnsi="Arial Narrow"/>
          <w:lang w:val="fr-FR"/>
        </w:rPr>
      </w:r>
    </w:p>
    <w:p>
      <w:pPr>
        <w:pStyle w:val="Normal"/>
        <w:jc w:val="both"/>
        <w:rPr>
          <w:rFonts w:ascii="Arial Narrow" w:hAnsi="Arial Narrow" w:cs="Arial"/>
          <w:lang w:val="fr-FR"/>
        </w:rPr>
      </w:pPr>
      <w:r>
        <w:rPr>
          <w:rFonts w:cs="Arial" w:ascii="Arial Narrow" w:hAnsi="Arial Narrow"/>
          <w:lang w:val="fr-FR"/>
        </w:rPr>
      </w:r>
    </w:p>
    <w:p>
      <w:pPr>
        <w:pStyle w:val="Normal"/>
        <w:jc w:val="both"/>
        <w:rPr>
          <w:rFonts w:ascii="Arial Narrow" w:hAnsi="Arial Narrow" w:cs="Arial"/>
          <w:b/>
          <w:color w:val="4F81BD" w:themeColor="accent1"/>
        </w:rPr>
      </w:pPr>
      <w:bookmarkStart w:id="2" w:name="_Hlk33439263"/>
      <w:bookmarkStart w:id="3" w:name="_Hlk33636332"/>
      <w:bookmarkEnd w:id="2"/>
      <w:bookmarkEnd w:id="3"/>
      <w:r>
        <w:rPr>
          <w:rFonts w:cs="Arial" w:ascii="Arial Narrow" w:hAnsi="Arial Narrow"/>
          <w:b/>
          <w:color w:val="4F81BD" w:themeColor="accent1"/>
        </w:rPr>
        <w:t>Article 1 : Champ d’application et éligibilité des salariés  au dispositif “Be In 2025”</w:t>
      </w:r>
    </w:p>
    <w:p>
      <w:pPr>
        <w:pStyle w:val="Normal"/>
        <w:jc w:val="both"/>
        <w:rPr>
          <w:rFonts w:ascii="Arial Narrow" w:hAnsi="Arial Narrow" w:cs="Arial"/>
          <w:lang w:val="fr-FR"/>
        </w:rPr>
      </w:pPr>
      <w:r>
        <w:rPr>
          <w:rFonts w:cs="Arial" w:ascii="Arial Narrow" w:hAnsi="Arial Narrow"/>
          <w:lang w:val="fr-FR"/>
        </w:rPr>
      </w:r>
      <w:bookmarkStart w:id="4" w:name="_Hlk33631114"/>
      <w:bookmarkStart w:id="5" w:name="_Hlk33631114"/>
      <w:bookmarkEnd w:id="5"/>
    </w:p>
    <w:p>
      <w:pPr>
        <w:pStyle w:val="Normal"/>
        <w:jc w:val="both"/>
        <w:rPr>
          <w:rFonts w:ascii="Arial Narrow" w:hAnsi="Arial Narrow" w:cs="Arial"/>
          <w:lang w:val="fr-FR"/>
        </w:rPr>
      </w:pPr>
      <w:r>
        <w:rPr>
          <w:rFonts w:cs="Arial" w:ascii="Arial Narrow" w:hAnsi="Arial Narrow"/>
          <w:lang w:val="fr-FR"/>
        </w:rPr>
        <w:t>Sont éligibles au dispositif « Be In 2025 », les salariés présents et remplissant l’ensemble des conditions suivantes à la date du 31 décembre 2025 :</w:t>
      </w:r>
    </w:p>
    <w:p>
      <w:pPr>
        <w:pStyle w:val="Normal"/>
        <w:jc w:val="both"/>
        <w:rPr>
          <w:rFonts w:ascii="Arial Narrow" w:hAnsi="Arial Narrow" w:cs="Arial"/>
          <w:lang w:val="fr-FR"/>
        </w:rPr>
      </w:pPr>
      <w:r>
        <w:rPr>
          <w:rFonts w:cs="Arial" w:ascii="Arial Narrow" w:hAnsi="Arial Narrow"/>
          <w:lang w:val="fr-FR"/>
        </w:rPr>
      </w:r>
    </w:p>
    <w:p>
      <w:pPr>
        <w:pStyle w:val="Normal"/>
        <w:numPr>
          <w:ilvl w:val="0"/>
          <w:numId w:val="2"/>
        </w:numPr>
        <w:jc w:val="both"/>
        <w:rPr>
          <w:rFonts w:ascii="Arial Narrow" w:hAnsi="Arial Narrow" w:cs="Arial"/>
          <w:lang w:val="fr-FR"/>
        </w:rPr>
      </w:pPr>
      <w:r>
        <w:rPr>
          <w:rFonts w:cs="Arial" w:ascii="Arial Narrow" w:hAnsi="Arial Narrow"/>
          <w:lang w:val="fr-FR"/>
        </w:rPr>
        <w:t>Être titulaire d’un contrat à durée indéterminée (CDI) au sein de l’entreprise ;</w:t>
      </w:r>
    </w:p>
    <w:p>
      <w:pPr>
        <w:pStyle w:val="Normal"/>
        <w:numPr>
          <w:ilvl w:val="0"/>
          <w:numId w:val="2"/>
        </w:numPr>
        <w:jc w:val="both"/>
        <w:rPr>
          <w:rFonts w:ascii="Arial Narrow" w:hAnsi="Arial Narrow" w:cs="Arial"/>
          <w:lang w:val="fr-FR"/>
        </w:rPr>
      </w:pPr>
      <w:r>
        <w:rPr>
          <w:rFonts w:cs="Arial" w:ascii="Arial Narrow" w:hAnsi="Arial Narrow"/>
          <w:lang w:val="fr-FR"/>
        </w:rPr>
        <w:t>Ne plus être en période d’essai, qu’elle soit initiale ou renouvelée ;</w:t>
      </w:r>
    </w:p>
    <w:p>
      <w:pPr>
        <w:pStyle w:val="Normal"/>
        <w:numPr>
          <w:ilvl w:val="0"/>
          <w:numId w:val="2"/>
        </w:numPr>
        <w:jc w:val="both"/>
        <w:rPr>
          <w:rFonts w:ascii="Arial Narrow" w:hAnsi="Arial Narrow" w:cs="Arial"/>
          <w:lang w:val="fr-FR"/>
        </w:rPr>
      </w:pPr>
      <w:r>
        <w:rPr>
          <w:rFonts w:cs="Arial" w:ascii="Arial Narrow" w:hAnsi="Arial Narrow"/>
          <w:lang w:val="fr-FR"/>
        </w:rPr>
        <w:t xml:space="preserve">Date d’entrée effective </w:t>
      </w:r>
      <w:r>
        <w:rPr>
          <w:rFonts w:cs="Arial" w:ascii="Arial Narrow" w:hAnsi="Arial Narrow"/>
          <w:i/>
          <w:iCs/>
          <w:lang w:val="fr-FR"/>
        </w:rPr>
        <w:t xml:space="preserve">(aucune reprise d’ancienneté ne sera prise en compte) </w:t>
      </w:r>
      <w:r>
        <w:rPr>
          <w:rFonts w:cs="Arial" w:ascii="Arial Narrow" w:hAnsi="Arial Narrow"/>
          <w:lang w:val="fr-FR"/>
        </w:rPr>
        <w:t>au plus tard 30 septembre 2025 ;</w:t>
      </w:r>
    </w:p>
    <w:p>
      <w:pPr>
        <w:pStyle w:val="Normal"/>
        <w:numPr>
          <w:ilvl w:val="0"/>
          <w:numId w:val="2"/>
        </w:numPr>
        <w:jc w:val="both"/>
        <w:rPr>
          <w:rFonts w:ascii="Arial Narrow" w:hAnsi="Arial Narrow" w:cs="Arial"/>
          <w:lang w:val="fr-FR"/>
        </w:rPr>
      </w:pPr>
      <w:r>
        <w:rPr>
          <w:rFonts w:cs="Arial" w:ascii="Arial Narrow" w:hAnsi="Arial Narrow"/>
          <w:lang w:val="fr-FR"/>
        </w:rPr>
        <w:t>Ne pas être bénéficiaire, au titre de l’année 2025, d’un dispositif de rémunération variable de type MBO (Management by Objectives), SMBO (Senior Management by Objectives) ou LTI (Long Term Incentive).</w:t>
      </w:r>
    </w:p>
    <w:p>
      <w:pPr>
        <w:pStyle w:val="Normal"/>
        <w:jc w:val="both"/>
        <w:rPr>
          <w:rFonts w:ascii="Arial Narrow" w:hAnsi="Arial Narrow" w:cs="Arial"/>
          <w:lang w:val="fr-FR"/>
        </w:rPr>
      </w:pPr>
      <w:r>
        <w:rPr>
          <w:rFonts w:cs="Arial" w:ascii="Arial Narrow" w:hAnsi="Arial Narrow"/>
          <w:lang w:val="fr-FR"/>
        </w:rPr>
      </w:r>
    </w:p>
    <w:p>
      <w:pPr>
        <w:pStyle w:val="Normal"/>
        <w:jc w:val="both"/>
        <w:rPr>
          <w:rFonts w:ascii="Arial Narrow" w:hAnsi="Arial Narrow" w:cs="Arial"/>
          <w:lang w:val="fr-FR"/>
        </w:rPr>
      </w:pPr>
      <w:r>
        <w:rPr>
          <w:rFonts w:cs="Arial" w:ascii="Arial Narrow" w:hAnsi="Arial Narrow"/>
          <w:lang w:val="fr-FR"/>
        </w:rPr>
        <w:t>Par ailleurs, les salariés détachés, qu’ils soient en situation de détachement entrant (In) ou sortant (Out), ainsi que les expatriés, ne sont pas éligibles au dispositif.</w:t>
      </w:r>
    </w:p>
    <w:p>
      <w:pPr>
        <w:pStyle w:val="Normal"/>
        <w:jc w:val="both"/>
        <w:rPr>
          <w:rFonts w:ascii="Arial Narrow" w:hAnsi="Arial Narrow" w:cs="Arial"/>
          <w:lang w:val="fr-FR"/>
        </w:rPr>
      </w:pPr>
      <w:r>
        <w:rPr>
          <w:rFonts w:cs="Arial" w:ascii="Arial Narrow" w:hAnsi="Arial Narrow"/>
          <w:lang w:val="fr-FR"/>
        </w:rPr>
      </w:r>
    </w:p>
    <w:p>
      <w:pPr>
        <w:pStyle w:val="Normal"/>
        <w:jc w:val="both"/>
        <w:rPr>
          <w:rFonts w:ascii="Arial Narrow" w:hAnsi="Arial Narrow" w:cs="Arial"/>
          <w:u w:val="single"/>
          <w:lang w:val="fr-FR"/>
        </w:rPr>
      </w:pPr>
      <w:r>
        <w:rPr>
          <w:rFonts w:cs="Arial" w:ascii="Arial Narrow" w:hAnsi="Arial Narrow"/>
          <w:u w:val="single"/>
          <w:lang w:val="fr-FR"/>
        </w:rPr>
      </w:r>
      <w:bookmarkStart w:id="6" w:name="_Hlk33636332"/>
      <w:bookmarkStart w:id="7" w:name="_Hlk33631114"/>
      <w:bookmarkStart w:id="8" w:name="_Hlk33636332"/>
      <w:bookmarkStart w:id="9" w:name="_Hlk33631114"/>
      <w:bookmarkEnd w:id="8"/>
      <w:bookmarkEnd w:id="9"/>
    </w:p>
    <w:p>
      <w:pPr>
        <w:pStyle w:val="Normal"/>
        <w:jc w:val="both"/>
        <w:rPr>
          <w:rFonts w:ascii="Arial Narrow" w:hAnsi="Arial Narrow" w:cs="Arial"/>
          <w:b/>
          <w:color w:val="4F81BD" w:themeColor="accent1"/>
          <w:lang w:val="fr-FR"/>
        </w:rPr>
      </w:pPr>
      <w:r>
        <w:rPr>
          <w:rFonts w:cs="Arial" w:ascii="Arial Narrow" w:hAnsi="Arial Narrow"/>
          <w:b/>
          <w:color w:val="4F81BD" w:themeColor="accent1"/>
        </w:rPr>
        <w:t xml:space="preserve">Article 2 : Montant et </w:t>
      </w:r>
      <w:r>
        <w:rPr>
          <w:rFonts w:cs="Arial" w:ascii="Arial Narrow" w:hAnsi="Arial Narrow"/>
          <w:b/>
          <w:bCs/>
          <w:color w:val="4F81BD" w:themeColor="accent1"/>
          <w:lang w:val="fr-FR"/>
        </w:rPr>
        <w:t>modalités d’attribution de la prime liée à l’atteinte de l’objectif de production par Etablissement</w:t>
      </w:r>
    </w:p>
    <w:p>
      <w:pPr>
        <w:pStyle w:val="Normal"/>
        <w:jc w:val="both"/>
        <w:rPr>
          <w:rFonts w:ascii="Arial Narrow" w:hAnsi="Arial Narrow" w:cs="Arial"/>
          <w:b/>
          <w:color w:val="4F81BD" w:themeColor="accent1"/>
          <w:lang w:val="fr-FR"/>
        </w:rPr>
      </w:pPr>
      <w:r>
        <w:rPr>
          <w:rFonts w:cs="Arial" w:ascii="Arial Narrow" w:hAnsi="Arial Narrow"/>
          <w:b/>
          <w:color w:val="4F81BD" w:themeColor="accent1"/>
          <w:lang w:val="fr-FR"/>
        </w:rPr>
      </w:r>
    </w:p>
    <w:p>
      <w:pPr>
        <w:pStyle w:val="Normal"/>
        <w:jc w:val="both"/>
        <w:rPr>
          <w:rFonts w:ascii="Arial Narrow" w:hAnsi="Arial Narrow" w:cs="Tahoma"/>
          <w:iCs/>
          <w:lang w:val="fr-FR"/>
        </w:rPr>
      </w:pPr>
      <w:r>
        <w:rPr>
          <w:rFonts w:cs="Tahoma" w:ascii="Arial Narrow" w:hAnsi="Arial Narrow"/>
          <w:iCs/>
          <w:lang w:val="fr-FR"/>
        </w:rPr>
        <w:t>Dans le cadre du présent accord, une prime sera versée de manière uniforme aux salariés éligibles, en fonction du taux d’atteinte global France des objectifs de production pour l’année 2025 défini ci-dessous. Ce taux d’atteinte global France sera déterminé par la moyenne des taux d’atteintes de chaque établissement (hors établissement du Siège).</w:t>
      </w:r>
    </w:p>
    <w:p>
      <w:pPr>
        <w:pStyle w:val="Normal"/>
        <w:jc w:val="both"/>
        <w:rPr>
          <w:rFonts w:ascii="Arial Narrow" w:hAnsi="Arial Narrow" w:cs="Tahoma"/>
          <w:iCs/>
          <w:lang w:val="fr-FR"/>
        </w:rPr>
      </w:pPr>
      <w:r>
        <w:rPr>
          <w:rFonts w:cs="Tahoma" w:ascii="Arial Narrow" w:hAnsi="Arial Narrow"/>
          <w:iCs/>
          <w:lang w:val="fr-FR"/>
        </w:rPr>
      </w:r>
    </w:p>
    <w:p>
      <w:pPr>
        <w:pStyle w:val="Normal"/>
        <w:jc w:val="both"/>
        <w:rPr>
          <w:rFonts w:ascii="Arial Narrow" w:hAnsi="Arial Narrow" w:cs="Tahoma"/>
          <w:iCs/>
          <w:sz w:val="20"/>
          <w:szCs w:val="20"/>
          <w:lang w:val="fr-FR"/>
        </w:rPr>
      </w:pPr>
      <w:r>
        <w:rPr>
          <w:rFonts w:cs="Tahoma" w:ascii="Arial Narrow" w:hAnsi="Arial Narrow"/>
          <w:iCs/>
          <w:sz w:val="20"/>
          <w:szCs w:val="20"/>
          <w:lang w:val="fr-FR"/>
        </w:rPr>
      </w:r>
    </w:p>
    <w:tbl>
      <w:tblPr>
        <w:tblStyle w:val="Grilledutableau"/>
        <w:tblW w:w="10349" w:type="dxa"/>
        <w:jc w:val="left"/>
        <w:tblInd w:w="-289" w:type="dxa"/>
        <w:tblLayout w:type="fixed"/>
        <w:tblCellMar>
          <w:top w:w="0" w:type="dxa"/>
          <w:left w:w="108" w:type="dxa"/>
          <w:bottom w:w="0" w:type="dxa"/>
          <w:right w:w="108" w:type="dxa"/>
        </w:tblCellMar>
        <w:tblLook w:firstRow="1" w:noVBand="1" w:lastRow="0" w:firstColumn="1" w:lastColumn="0" w:noHBand="0" w:val="04a0"/>
      </w:tblPr>
      <w:tblGrid>
        <w:gridCol w:w="1892"/>
        <w:gridCol w:w="1605"/>
        <w:gridCol w:w="1606"/>
        <w:gridCol w:w="1605"/>
        <w:gridCol w:w="1605"/>
        <w:gridCol w:w="2035"/>
      </w:tblGrid>
      <w:tr>
        <w:trPr/>
        <w:tc>
          <w:tcPr>
            <w:tcW w:w="10348" w:type="dxa"/>
            <w:gridSpan w:val="6"/>
            <w:tcBorders/>
          </w:tcPr>
          <w:p>
            <w:pPr>
              <w:pStyle w:val="Normal"/>
              <w:widowControl/>
              <w:spacing w:before="0" w:after="0"/>
              <w:jc w:val="both"/>
              <w:rPr>
                <w:rFonts w:ascii="Montserrat SemiBold" w:hAnsi="Montserrat SemiBold" w:cs="Tahoma"/>
                <w:iCs/>
                <w:sz w:val="20"/>
                <w:szCs w:val="20"/>
                <w:lang w:val="fr-FR"/>
              </w:rPr>
            </w:pPr>
            <w:r>
              <w:rPr>
                <w:rFonts w:eastAsia="Cambria" w:cs="Tahoma" w:ascii="Montserrat SemiBold" w:hAnsi="Montserrat SemiBold"/>
                <w:iCs/>
                <w:kern w:val="0"/>
                <w:sz w:val="20"/>
                <w:szCs w:val="20"/>
                <w:lang w:val="fr-FR" w:eastAsia="en-US" w:bidi="ar-SA"/>
              </w:rPr>
              <w:t>Objectifs de production des établissement PCSF</w:t>
            </w:r>
          </w:p>
        </w:tc>
      </w:tr>
      <w:tr>
        <w:trPr>
          <w:trHeight w:val="561" w:hRule="atLeast"/>
        </w:trPr>
        <w:tc>
          <w:tcPr>
            <w:tcW w:w="1892" w:type="dxa"/>
            <w:tcBorders/>
            <w:vAlign w:val="center"/>
          </w:tcPr>
          <w:p>
            <w:pPr>
              <w:pStyle w:val="Normal"/>
              <w:widowControl/>
              <w:spacing w:before="0" w:after="0"/>
              <w:jc w:val="center"/>
              <w:rPr>
                <w:rFonts w:ascii="Montserrat SemiBold" w:hAnsi="Montserrat SemiBold" w:cs="Tahoma"/>
                <w:iCs/>
                <w:sz w:val="20"/>
                <w:szCs w:val="20"/>
                <w:lang w:val="fr-FR"/>
              </w:rPr>
            </w:pPr>
            <w:r>
              <w:rPr>
                <w:rFonts w:eastAsia="Cambria" w:cs="Tahoma" w:ascii="Montserrat SemiBold" w:hAnsi="Montserrat SemiBold"/>
                <w:iCs/>
                <w:kern w:val="0"/>
                <w:sz w:val="20"/>
                <w:szCs w:val="20"/>
                <w:lang w:val="fr-FR" w:eastAsia="en-US" w:bidi="ar-SA"/>
              </w:rPr>
              <w:t>Etablissements</w:t>
            </w:r>
          </w:p>
        </w:tc>
        <w:tc>
          <w:tcPr>
            <w:tcW w:w="8456" w:type="dxa"/>
            <w:gridSpan w:val="5"/>
            <w:tcBorders/>
            <w:vAlign w:val="center"/>
          </w:tcPr>
          <w:p>
            <w:pPr>
              <w:pStyle w:val="Normal"/>
              <w:widowControl/>
              <w:spacing w:before="0" w:after="0"/>
              <w:jc w:val="center"/>
              <w:rPr>
                <w:rFonts w:ascii="Montserrat SemiBold" w:hAnsi="Montserrat SemiBold" w:cs="Tahoma"/>
                <w:iCs/>
                <w:sz w:val="20"/>
                <w:szCs w:val="20"/>
                <w:lang w:val="fr-FR"/>
              </w:rPr>
            </w:pPr>
            <w:r>
              <w:rPr>
                <w:rFonts w:eastAsia="Cambria" w:cs="Tahoma" w:ascii="Montserrat SemiBold" w:hAnsi="Montserrat SemiBold"/>
                <w:iCs/>
                <w:kern w:val="0"/>
                <w:sz w:val="20"/>
                <w:szCs w:val="20"/>
                <w:lang w:val="fr-FR" w:eastAsia="en-US" w:bidi="ar-SA"/>
              </w:rPr>
              <w:t>Objectifs de production 2025</w:t>
            </w:r>
          </w:p>
        </w:tc>
      </w:tr>
      <w:tr>
        <w:trPr/>
        <w:tc>
          <w:tcPr>
            <w:tcW w:w="1892" w:type="dxa"/>
            <w:tcBorders/>
          </w:tcPr>
          <w:p>
            <w:pPr>
              <w:pStyle w:val="Normal"/>
              <w:widowControl/>
              <w:spacing w:before="0" w:after="0"/>
              <w:jc w:val="both"/>
              <w:rPr>
                <w:rFonts w:ascii="Montserrat SemiBold" w:hAnsi="Montserrat SemiBold" w:cs="Tahoma"/>
                <w:iCs/>
                <w:sz w:val="16"/>
                <w:szCs w:val="16"/>
                <w:lang w:val="fr-FR"/>
              </w:rPr>
            </w:pPr>
            <w:r>
              <w:rPr>
                <w:rFonts w:eastAsia="Cambria" w:cs="Tahoma" w:ascii="Montserrat SemiBold" w:hAnsi="Montserrat SemiBold"/>
                <w:iCs/>
                <w:kern w:val="0"/>
                <w:sz w:val="16"/>
                <w:szCs w:val="16"/>
                <w:lang w:val="fr-FR" w:eastAsia="en-US" w:bidi="ar-SA"/>
              </w:rPr>
            </w:r>
          </w:p>
        </w:tc>
        <w:tc>
          <w:tcPr>
            <w:tcW w:w="1605" w:type="dxa"/>
            <w:tcBorders/>
          </w:tcPr>
          <w:p>
            <w:pPr>
              <w:pStyle w:val="Normal"/>
              <w:widowControl/>
              <w:spacing w:before="0" w:after="0"/>
              <w:jc w:val="both"/>
              <w:rPr>
                <w:rFonts w:ascii="Montserrat SemiBold" w:hAnsi="Montserrat SemiBold" w:cs="Tahoma"/>
                <w:iCs/>
                <w:sz w:val="16"/>
                <w:szCs w:val="16"/>
                <w:lang w:val="fr-FR"/>
              </w:rPr>
            </w:pPr>
            <w:r>
              <w:rPr>
                <w:rFonts w:eastAsia="Cambria" w:cs="Tahoma" w:ascii="Montserrat SemiBold" w:hAnsi="Montserrat SemiBold"/>
                <w:iCs/>
                <w:kern w:val="0"/>
                <w:sz w:val="16"/>
                <w:szCs w:val="16"/>
                <w:lang w:val="fr-FR" w:eastAsia="en-US" w:bidi="ar-SA"/>
              </w:rPr>
              <w:t>Tonnes câbles</w:t>
            </w:r>
          </w:p>
        </w:tc>
        <w:tc>
          <w:tcPr>
            <w:tcW w:w="1606" w:type="dxa"/>
            <w:tcBorders/>
          </w:tcPr>
          <w:p>
            <w:pPr>
              <w:pStyle w:val="Normal"/>
              <w:widowControl/>
              <w:spacing w:before="0" w:after="0"/>
              <w:jc w:val="both"/>
              <w:rPr>
                <w:rFonts w:ascii="Montserrat SemiBold" w:hAnsi="Montserrat SemiBold" w:cs="Tahoma"/>
                <w:iCs/>
                <w:sz w:val="16"/>
                <w:szCs w:val="16"/>
                <w:lang w:val="fr-FR"/>
              </w:rPr>
            </w:pPr>
            <w:r>
              <w:rPr>
                <w:rFonts w:eastAsia="Cambria" w:cs="Tahoma" w:ascii="Montserrat SemiBold" w:hAnsi="Montserrat SemiBold"/>
                <w:iCs/>
                <w:kern w:val="0"/>
                <w:sz w:val="16"/>
                <w:szCs w:val="16"/>
                <w:lang w:val="fr-FR" w:eastAsia="en-US" w:bidi="ar-SA"/>
              </w:rPr>
              <w:t>Km pairs cuivre</w:t>
            </w:r>
          </w:p>
        </w:tc>
        <w:tc>
          <w:tcPr>
            <w:tcW w:w="1605" w:type="dxa"/>
            <w:tcBorders/>
          </w:tcPr>
          <w:p>
            <w:pPr>
              <w:pStyle w:val="Normal"/>
              <w:widowControl/>
              <w:spacing w:before="0" w:after="0"/>
              <w:jc w:val="both"/>
              <w:rPr>
                <w:rFonts w:ascii="Montserrat SemiBold" w:hAnsi="Montserrat SemiBold" w:cs="Tahoma"/>
                <w:iCs/>
                <w:sz w:val="16"/>
                <w:szCs w:val="16"/>
                <w:lang w:val="fr-FR"/>
              </w:rPr>
            </w:pPr>
            <w:r>
              <w:rPr>
                <w:rFonts w:eastAsia="Cambria" w:cs="Tahoma" w:ascii="Montserrat SemiBold" w:hAnsi="Montserrat SemiBold"/>
                <w:iCs/>
                <w:kern w:val="0"/>
                <w:sz w:val="16"/>
                <w:szCs w:val="16"/>
                <w:lang w:val="fr-FR" w:eastAsia="en-US" w:bidi="ar-SA"/>
              </w:rPr>
              <w:t>Km câbles drop</w:t>
            </w:r>
          </w:p>
        </w:tc>
        <w:tc>
          <w:tcPr>
            <w:tcW w:w="1605" w:type="dxa"/>
            <w:tcBorders/>
          </w:tcPr>
          <w:p>
            <w:pPr>
              <w:pStyle w:val="Normal"/>
              <w:widowControl/>
              <w:spacing w:before="0" w:after="0"/>
              <w:jc w:val="both"/>
              <w:rPr>
                <w:rFonts w:ascii="Montserrat SemiBold" w:hAnsi="Montserrat SemiBold" w:cs="Tahoma"/>
                <w:iCs/>
                <w:sz w:val="16"/>
                <w:szCs w:val="16"/>
                <w:lang w:val="fr-FR"/>
              </w:rPr>
            </w:pPr>
            <w:r>
              <w:rPr>
                <w:rFonts w:eastAsia="Cambria" w:cs="Tahoma" w:ascii="Montserrat SemiBold" w:hAnsi="Montserrat SemiBold"/>
                <w:iCs/>
                <w:kern w:val="0"/>
                <w:sz w:val="16"/>
                <w:szCs w:val="16"/>
                <w:lang w:val="fr-FR" w:eastAsia="en-US" w:bidi="ar-SA"/>
              </w:rPr>
              <w:t>Km fibres</w:t>
            </w:r>
          </w:p>
        </w:tc>
        <w:tc>
          <w:tcPr>
            <w:tcW w:w="2035" w:type="dxa"/>
            <w:tcBorders/>
          </w:tcPr>
          <w:p>
            <w:pPr>
              <w:pStyle w:val="Normal"/>
              <w:widowControl/>
              <w:spacing w:before="0" w:after="0"/>
              <w:jc w:val="both"/>
              <w:rPr>
                <w:rFonts w:ascii="Montserrat SemiBold" w:hAnsi="Montserrat SemiBold" w:cs="Tahoma"/>
                <w:iCs/>
                <w:sz w:val="16"/>
                <w:szCs w:val="16"/>
                <w:lang w:val="fr-FR"/>
              </w:rPr>
            </w:pPr>
            <w:r>
              <w:rPr>
                <w:rFonts w:eastAsia="Cambria" w:cs="Tahoma" w:ascii="Montserrat SemiBold" w:hAnsi="Montserrat SemiBold"/>
                <w:iCs/>
                <w:kern w:val="0"/>
                <w:sz w:val="16"/>
                <w:szCs w:val="16"/>
                <w:lang w:val="fr-FR" w:eastAsia="en-US" w:bidi="ar-SA"/>
              </w:rPr>
              <w:t>Nombre de pièces</w:t>
            </w:r>
          </w:p>
        </w:tc>
      </w:tr>
      <w:tr>
        <w:trPr/>
        <w:tc>
          <w:tcPr>
            <w:tcW w:w="1892" w:type="dxa"/>
            <w:tcBorders/>
          </w:tcPr>
          <w:p>
            <w:pPr>
              <w:pStyle w:val="Normal"/>
              <w:widowControl/>
              <w:spacing w:before="0" w:after="0"/>
              <w:jc w:val="both"/>
              <w:rPr>
                <w:rFonts w:ascii="Montserrat SemiBold" w:hAnsi="Montserrat SemiBold" w:cs="Tahoma"/>
                <w:iCs/>
                <w:sz w:val="16"/>
                <w:szCs w:val="16"/>
                <w:lang w:val="fr-FR"/>
              </w:rPr>
            </w:pPr>
            <w:r>
              <w:rPr>
                <w:rFonts w:eastAsia="Cambria" w:cs="Tahoma" w:ascii="Montserrat SemiBold" w:hAnsi="Montserrat SemiBold"/>
                <w:iCs/>
                <w:kern w:val="0"/>
                <w:sz w:val="16"/>
                <w:szCs w:val="16"/>
                <w:lang w:val="fr-FR" w:eastAsia="en-US" w:bidi="ar-SA"/>
              </w:rPr>
              <w:t xml:space="preserve">Amfreville </w:t>
            </w:r>
          </w:p>
        </w:tc>
        <w:tc>
          <w:tcPr>
            <w:tcW w:w="1605" w:type="dxa"/>
            <w:tcBorders/>
          </w:tcPr>
          <w:p>
            <w:pPr>
              <w:pStyle w:val="Normal"/>
              <w:widowControl/>
              <w:spacing w:before="0" w:after="0"/>
              <w:jc w:val="center"/>
              <w:rPr>
                <w:rFonts w:ascii="Montserrat Light" w:hAnsi="Montserrat Light" w:cs="Tahoma"/>
                <w:iCs/>
                <w:sz w:val="20"/>
                <w:szCs w:val="20"/>
                <w:lang w:val="fr-FR"/>
              </w:rPr>
            </w:pPr>
            <w:r>
              <w:rPr>
                <w:rFonts w:eastAsia="Cambria" w:cs="Tahoma" w:ascii="Montserrat Light" w:hAnsi="Montserrat Light"/>
                <w:iCs/>
                <w:kern w:val="0"/>
                <w:sz w:val="20"/>
                <w:szCs w:val="20"/>
                <w:lang w:val="fr-FR" w:eastAsia="en-US" w:bidi="ar-SA"/>
              </w:rPr>
              <w:t>13 000</w:t>
            </w:r>
          </w:p>
        </w:tc>
        <w:tc>
          <w:tcPr>
            <w:tcW w:w="1606" w:type="dxa"/>
            <w:tcBorders/>
          </w:tcPr>
          <w:p>
            <w:pPr>
              <w:pStyle w:val="Normal"/>
              <w:widowControl/>
              <w:spacing w:before="0" w:after="0"/>
              <w:jc w:val="center"/>
              <w:rPr>
                <w:rFonts w:ascii="Montserrat Light" w:hAnsi="Montserrat Light" w:cs="Tahoma"/>
                <w:iCs/>
                <w:sz w:val="20"/>
                <w:szCs w:val="20"/>
                <w:lang w:val="fr-FR"/>
              </w:rPr>
            </w:pPr>
            <w:r>
              <w:rPr>
                <w:rFonts w:eastAsia="Cambria" w:cs="Tahoma" w:ascii="Montserrat Light" w:hAnsi="Montserrat Light"/>
                <w:iCs/>
                <w:kern w:val="0"/>
                <w:sz w:val="20"/>
                <w:szCs w:val="20"/>
                <w:lang w:val="fr-FR" w:eastAsia="en-US" w:bidi="ar-SA"/>
              </w:rPr>
            </w:r>
          </w:p>
        </w:tc>
        <w:tc>
          <w:tcPr>
            <w:tcW w:w="1605" w:type="dxa"/>
            <w:tcBorders/>
          </w:tcPr>
          <w:p>
            <w:pPr>
              <w:pStyle w:val="Normal"/>
              <w:widowControl/>
              <w:spacing w:before="0" w:after="0"/>
              <w:jc w:val="center"/>
              <w:rPr>
                <w:rFonts w:ascii="Montserrat Light" w:hAnsi="Montserrat Light" w:cs="Tahoma"/>
                <w:iCs/>
                <w:sz w:val="20"/>
                <w:szCs w:val="20"/>
                <w:lang w:val="fr-FR"/>
              </w:rPr>
            </w:pPr>
            <w:r>
              <w:rPr>
                <w:rFonts w:eastAsia="Cambria" w:cs="Tahoma" w:ascii="Montserrat Light" w:hAnsi="Montserrat Light"/>
                <w:iCs/>
                <w:kern w:val="0"/>
                <w:sz w:val="20"/>
                <w:szCs w:val="20"/>
                <w:lang w:val="fr-FR" w:eastAsia="en-US" w:bidi="ar-SA"/>
              </w:rPr>
            </w:r>
          </w:p>
        </w:tc>
        <w:tc>
          <w:tcPr>
            <w:tcW w:w="1605" w:type="dxa"/>
            <w:tcBorders/>
          </w:tcPr>
          <w:p>
            <w:pPr>
              <w:pStyle w:val="Normal"/>
              <w:widowControl/>
              <w:spacing w:before="0" w:after="0"/>
              <w:jc w:val="center"/>
              <w:rPr>
                <w:rFonts w:ascii="Montserrat Light" w:hAnsi="Montserrat Light" w:cs="Tahoma"/>
                <w:iCs/>
                <w:sz w:val="20"/>
                <w:szCs w:val="20"/>
                <w:lang w:val="fr-FR"/>
              </w:rPr>
            </w:pPr>
            <w:r>
              <w:rPr>
                <w:rFonts w:eastAsia="Cambria" w:cs="Tahoma" w:ascii="Montserrat Light" w:hAnsi="Montserrat Light"/>
                <w:iCs/>
                <w:kern w:val="0"/>
                <w:sz w:val="20"/>
                <w:szCs w:val="20"/>
                <w:lang w:val="fr-FR" w:eastAsia="en-US" w:bidi="ar-SA"/>
              </w:rPr>
            </w:r>
          </w:p>
        </w:tc>
        <w:tc>
          <w:tcPr>
            <w:tcW w:w="2035" w:type="dxa"/>
            <w:tcBorders/>
          </w:tcPr>
          <w:p>
            <w:pPr>
              <w:pStyle w:val="Normal"/>
              <w:widowControl/>
              <w:spacing w:before="0" w:after="0"/>
              <w:jc w:val="center"/>
              <w:rPr>
                <w:rFonts w:ascii="Montserrat Light" w:hAnsi="Montserrat Light" w:cs="Tahoma"/>
                <w:iCs/>
                <w:sz w:val="20"/>
                <w:szCs w:val="20"/>
                <w:lang w:val="fr-FR"/>
              </w:rPr>
            </w:pPr>
            <w:r>
              <w:rPr>
                <w:rFonts w:eastAsia="Cambria" w:cs="Tahoma" w:ascii="Montserrat Light" w:hAnsi="Montserrat Light"/>
                <w:iCs/>
                <w:kern w:val="0"/>
                <w:sz w:val="20"/>
                <w:szCs w:val="20"/>
                <w:lang w:val="fr-FR" w:eastAsia="en-US" w:bidi="ar-SA"/>
              </w:rPr>
            </w:r>
          </w:p>
        </w:tc>
      </w:tr>
      <w:tr>
        <w:trPr/>
        <w:tc>
          <w:tcPr>
            <w:tcW w:w="1892" w:type="dxa"/>
            <w:tcBorders/>
          </w:tcPr>
          <w:p>
            <w:pPr>
              <w:pStyle w:val="Normal"/>
              <w:widowControl/>
              <w:spacing w:before="0" w:after="0"/>
              <w:jc w:val="both"/>
              <w:rPr>
                <w:rFonts w:ascii="Montserrat SemiBold" w:hAnsi="Montserrat SemiBold" w:cs="Tahoma"/>
                <w:iCs/>
                <w:sz w:val="16"/>
                <w:szCs w:val="16"/>
                <w:lang w:val="fr-FR"/>
              </w:rPr>
            </w:pPr>
            <w:r>
              <w:rPr>
                <w:rFonts w:eastAsia="Cambria" w:cs="Tahoma" w:ascii="Montserrat SemiBold" w:hAnsi="Montserrat SemiBold"/>
                <w:iCs/>
                <w:kern w:val="0"/>
                <w:sz w:val="16"/>
                <w:szCs w:val="16"/>
                <w:lang w:val="fr-FR" w:eastAsia="en-US" w:bidi="ar-SA"/>
              </w:rPr>
              <w:t>Charvieu</w:t>
            </w:r>
          </w:p>
        </w:tc>
        <w:tc>
          <w:tcPr>
            <w:tcW w:w="1605" w:type="dxa"/>
            <w:tcBorders/>
          </w:tcPr>
          <w:p>
            <w:pPr>
              <w:pStyle w:val="Normal"/>
              <w:widowControl/>
              <w:spacing w:before="0" w:after="0"/>
              <w:jc w:val="center"/>
              <w:rPr>
                <w:rFonts w:ascii="Montserrat Light" w:hAnsi="Montserrat Light" w:cs="Tahoma"/>
                <w:iCs/>
                <w:sz w:val="20"/>
                <w:szCs w:val="20"/>
                <w:lang w:val="fr-FR"/>
              </w:rPr>
            </w:pPr>
            <w:r>
              <w:rPr>
                <w:rFonts w:eastAsia="Cambria" w:cs="Tahoma" w:ascii="Montserrat Light" w:hAnsi="Montserrat Light"/>
                <w:iCs/>
                <w:kern w:val="0"/>
                <w:sz w:val="20"/>
                <w:szCs w:val="20"/>
                <w:lang w:val="fr-FR" w:eastAsia="en-US" w:bidi="ar-SA"/>
              </w:rPr>
              <w:t>17 700</w:t>
            </w:r>
          </w:p>
        </w:tc>
        <w:tc>
          <w:tcPr>
            <w:tcW w:w="1606" w:type="dxa"/>
            <w:tcBorders/>
          </w:tcPr>
          <w:p>
            <w:pPr>
              <w:pStyle w:val="Normal"/>
              <w:widowControl/>
              <w:spacing w:before="0" w:after="0"/>
              <w:jc w:val="center"/>
              <w:rPr>
                <w:rFonts w:ascii="Montserrat Light" w:hAnsi="Montserrat Light" w:cs="Tahoma"/>
                <w:iCs/>
                <w:sz w:val="20"/>
                <w:szCs w:val="20"/>
                <w:lang w:val="fr-FR"/>
              </w:rPr>
            </w:pPr>
            <w:r>
              <w:rPr>
                <w:rFonts w:eastAsia="Cambria" w:cs="Tahoma" w:ascii="Montserrat Light" w:hAnsi="Montserrat Light"/>
                <w:iCs/>
                <w:kern w:val="0"/>
                <w:sz w:val="20"/>
                <w:szCs w:val="20"/>
                <w:lang w:val="fr-FR" w:eastAsia="en-US" w:bidi="ar-SA"/>
              </w:rPr>
            </w:r>
          </w:p>
        </w:tc>
        <w:tc>
          <w:tcPr>
            <w:tcW w:w="1605" w:type="dxa"/>
            <w:tcBorders/>
          </w:tcPr>
          <w:p>
            <w:pPr>
              <w:pStyle w:val="Normal"/>
              <w:widowControl/>
              <w:spacing w:before="0" w:after="0"/>
              <w:jc w:val="center"/>
              <w:rPr>
                <w:rFonts w:ascii="Montserrat Light" w:hAnsi="Montserrat Light" w:cs="Tahoma"/>
                <w:iCs/>
                <w:sz w:val="20"/>
                <w:szCs w:val="20"/>
                <w:lang w:val="fr-FR"/>
              </w:rPr>
            </w:pPr>
            <w:r>
              <w:rPr>
                <w:rFonts w:eastAsia="Cambria" w:cs="Tahoma" w:ascii="Montserrat Light" w:hAnsi="Montserrat Light"/>
                <w:iCs/>
                <w:kern w:val="0"/>
                <w:sz w:val="20"/>
                <w:szCs w:val="20"/>
                <w:lang w:val="fr-FR" w:eastAsia="en-US" w:bidi="ar-SA"/>
              </w:rPr>
            </w:r>
          </w:p>
        </w:tc>
        <w:tc>
          <w:tcPr>
            <w:tcW w:w="1605" w:type="dxa"/>
            <w:tcBorders/>
          </w:tcPr>
          <w:p>
            <w:pPr>
              <w:pStyle w:val="Normal"/>
              <w:widowControl/>
              <w:spacing w:before="0" w:after="0"/>
              <w:jc w:val="center"/>
              <w:rPr>
                <w:rFonts w:ascii="Montserrat Light" w:hAnsi="Montserrat Light" w:cs="Tahoma"/>
                <w:iCs/>
                <w:sz w:val="20"/>
                <w:szCs w:val="20"/>
                <w:lang w:val="fr-FR"/>
              </w:rPr>
            </w:pPr>
            <w:r>
              <w:rPr>
                <w:rFonts w:eastAsia="Cambria" w:cs="Tahoma" w:ascii="Montserrat Light" w:hAnsi="Montserrat Light"/>
                <w:iCs/>
                <w:kern w:val="0"/>
                <w:sz w:val="20"/>
                <w:szCs w:val="20"/>
                <w:lang w:val="fr-FR" w:eastAsia="en-US" w:bidi="ar-SA"/>
              </w:rPr>
            </w:r>
          </w:p>
        </w:tc>
        <w:tc>
          <w:tcPr>
            <w:tcW w:w="2035" w:type="dxa"/>
            <w:tcBorders/>
          </w:tcPr>
          <w:p>
            <w:pPr>
              <w:pStyle w:val="Normal"/>
              <w:widowControl/>
              <w:spacing w:before="0" w:after="0"/>
              <w:jc w:val="center"/>
              <w:rPr>
                <w:rFonts w:ascii="Montserrat Light" w:hAnsi="Montserrat Light" w:cs="Tahoma"/>
                <w:iCs/>
                <w:sz w:val="20"/>
                <w:szCs w:val="20"/>
                <w:lang w:val="fr-FR"/>
              </w:rPr>
            </w:pPr>
            <w:r>
              <w:rPr>
                <w:rFonts w:eastAsia="Cambria" w:cs="Tahoma" w:ascii="Montserrat Light" w:hAnsi="Montserrat Light"/>
                <w:iCs/>
                <w:kern w:val="0"/>
                <w:sz w:val="20"/>
                <w:szCs w:val="20"/>
                <w:lang w:val="fr-FR" w:eastAsia="en-US" w:bidi="ar-SA"/>
              </w:rPr>
            </w:r>
          </w:p>
        </w:tc>
      </w:tr>
      <w:tr>
        <w:trPr/>
        <w:tc>
          <w:tcPr>
            <w:tcW w:w="1892" w:type="dxa"/>
            <w:tcBorders/>
          </w:tcPr>
          <w:p>
            <w:pPr>
              <w:pStyle w:val="Normal"/>
              <w:widowControl/>
              <w:spacing w:before="0" w:after="0"/>
              <w:jc w:val="both"/>
              <w:rPr>
                <w:rFonts w:ascii="Montserrat SemiBold" w:hAnsi="Montserrat SemiBold" w:cs="Tahoma"/>
                <w:iCs/>
                <w:sz w:val="16"/>
                <w:szCs w:val="16"/>
                <w:lang w:val="fr-FR"/>
              </w:rPr>
            </w:pPr>
            <w:r>
              <w:rPr>
                <w:rFonts w:eastAsia="Cambria" w:cs="Tahoma" w:ascii="Montserrat SemiBold" w:hAnsi="Montserrat SemiBold"/>
                <w:iCs/>
                <w:kern w:val="0"/>
                <w:sz w:val="16"/>
                <w:szCs w:val="16"/>
                <w:lang w:val="fr-FR" w:eastAsia="en-US" w:bidi="ar-SA"/>
              </w:rPr>
              <w:t>Gron</w:t>
            </w:r>
          </w:p>
        </w:tc>
        <w:tc>
          <w:tcPr>
            <w:tcW w:w="1605" w:type="dxa"/>
            <w:tcBorders/>
          </w:tcPr>
          <w:p>
            <w:pPr>
              <w:pStyle w:val="Normal"/>
              <w:widowControl/>
              <w:spacing w:before="0" w:after="0"/>
              <w:jc w:val="center"/>
              <w:rPr>
                <w:rFonts w:ascii="Montserrat Light" w:hAnsi="Montserrat Light" w:cs="Tahoma"/>
                <w:iCs/>
                <w:sz w:val="20"/>
                <w:szCs w:val="20"/>
                <w:lang w:val="fr-FR"/>
              </w:rPr>
            </w:pPr>
            <w:r>
              <w:rPr>
                <w:rFonts w:eastAsia="Cambria" w:cs="Tahoma" w:ascii="Montserrat Light" w:hAnsi="Montserrat Light"/>
                <w:iCs/>
                <w:kern w:val="0"/>
                <w:sz w:val="20"/>
                <w:szCs w:val="20"/>
                <w:lang w:val="fr-FR" w:eastAsia="en-US" w:bidi="ar-SA"/>
              </w:rPr>
              <w:t>48 700</w:t>
            </w:r>
          </w:p>
        </w:tc>
        <w:tc>
          <w:tcPr>
            <w:tcW w:w="1606" w:type="dxa"/>
            <w:tcBorders/>
          </w:tcPr>
          <w:p>
            <w:pPr>
              <w:pStyle w:val="Normal"/>
              <w:widowControl/>
              <w:spacing w:before="0" w:after="0"/>
              <w:jc w:val="center"/>
              <w:rPr>
                <w:rFonts w:ascii="Montserrat Light" w:hAnsi="Montserrat Light" w:cs="Tahoma"/>
                <w:iCs/>
                <w:sz w:val="20"/>
                <w:szCs w:val="20"/>
                <w:lang w:val="fr-FR"/>
              </w:rPr>
            </w:pPr>
            <w:r>
              <w:rPr>
                <w:rFonts w:eastAsia="Cambria" w:cs="Tahoma" w:ascii="Montserrat Light" w:hAnsi="Montserrat Light"/>
                <w:iCs/>
                <w:kern w:val="0"/>
                <w:sz w:val="20"/>
                <w:szCs w:val="20"/>
                <w:lang w:val="fr-FR" w:eastAsia="en-US" w:bidi="ar-SA"/>
              </w:rPr>
            </w:r>
          </w:p>
        </w:tc>
        <w:tc>
          <w:tcPr>
            <w:tcW w:w="1605" w:type="dxa"/>
            <w:tcBorders/>
          </w:tcPr>
          <w:p>
            <w:pPr>
              <w:pStyle w:val="Normal"/>
              <w:widowControl/>
              <w:spacing w:before="0" w:after="0"/>
              <w:jc w:val="center"/>
              <w:rPr>
                <w:rFonts w:ascii="Montserrat Light" w:hAnsi="Montserrat Light" w:cs="Tahoma"/>
                <w:iCs/>
                <w:sz w:val="20"/>
                <w:szCs w:val="20"/>
                <w:lang w:val="fr-FR"/>
              </w:rPr>
            </w:pPr>
            <w:r>
              <w:rPr>
                <w:rFonts w:eastAsia="Cambria" w:cs="Tahoma" w:ascii="Montserrat Light" w:hAnsi="Montserrat Light"/>
                <w:iCs/>
                <w:kern w:val="0"/>
                <w:sz w:val="20"/>
                <w:szCs w:val="20"/>
                <w:lang w:val="fr-FR" w:eastAsia="en-US" w:bidi="ar-SA"/>
              </w:rPr>
            </w:r>
          </w:p>
        </w:tc>
        <w:tc>
          <w:tcPr>
            <w:tcW w:w="1605" w:type="dxa"/>
            <w:tcBorders/>
          </w:tcPr>
          <w:p>
            <w:pPr>
              <w:pStyle w:val="Normal"/>
              <w:widowControl/>
              <w:spacing w:before="0" w:after="0"/>
              <w:jc w:val="center"/>
              <w:rPr>
                <w:rFonts w:ascii="Montserrat Light" w:hAnsi="Montserrat Light" w:cs="Tahoma"/>
                <w:iCs/>
                <w:sz w:val="20"/>
                <w:szCs w:val="20"/>
                <w:lang w:val="fr-FR"/>
              </w:rPr>
            </w:pPr>
            <w:r>
              <w:rPr>
                <w:rFonts w:eastAsia="Cambria" w:cs="Tahoma" w:ascii="Montserrat Light" w:hAnsi="Montserrat Light"/>
                <w:iCs/>
                <w:kern w:val="0"/>
                <w:sz w:val="20"/>
                <w:szCs w:val="20"/>
                <w:lang w:val="fr-FR" w:eastAsia="en-US" w:bidi="ar-SA"/>
              </w:rPr>
            </w:r>
          </w:p>
        </w:tc>
        <w:tc>
          <w:tcPr>
            <w:tcW w:w="2035" w:type="dxa"/>
            <w:tcBorders/>
          </w:tcPr>
          <w:p>
            <w:pPr>
              <w:pStyle w:val="Normal"/>
              <w:widowControl/>
              <w:spacing w:before="0" w:after="0"/>
              <w:jc w:val="center"/>
              <w:rPr>
                <w:rFonts w:ascii="Montserrat Light" w:hAnsi="Montserrat Light" w:cs="Tahoma"/>
                <w:iCs/>
                <w:sz w:val="20"/>
                <w:szCs w:val="20"/>
                <w:lang w:val="fr-FR"/>
              </w:rPr>
            </w:pPr>
            <w:r>
              <w:rPr>
                <w:rFonts w:eastAsia="Cambria" w:cs="Tahoma" w:ascii="Montserrat Light" w:hAnsi="Montserrat Light"/>
                <w:iCs/>
                <w:kern w:val="0"/>
                <w:sz w:val="20"/>
                <w:szCs w:val="20"/>
                <w:lang w:val="fr-FR" w:eastAsia="en-US" w:bidi="ar-SA"/>
              </w:rPr>
            </w:r>
          </w:p>
        </w:tc>
      </w:tr>
      <w:tr>
        <w:trPr/>
        <w:tc>
          <w:tcPr>
            <w:tcW w:w="1892" w:type="dxa"/>
            <w:tcBorders/>
          </w:tcPr>
          <w:p>
            <w:pPr>
              <w:pStyle w:val="Normal"/>
              <w:widowControl/>
              <w:spacing w:before="0" w:after="0"/>
              <w:jc w:val="both"/>
              <w:rPr>
                <w:rFonts w:ascii="Montserrat SemiBold" w:hAnsi="Montserrat SemiBold" w:cs="Tahoma"/>
                <w:iCs/>
                <w:sz w:val="16"/>
                <w:szCs w:val="16"/>
                <w:lang w:val="fr-FR"/>
              </w:rPr>
            </w:pPr>
            <w:r>
              <w:rPr>
                <w:rFonts w:eastAsia="Cambria" w:cs="Tahoma" w:ascii="Montserrat SemiBold" w:hAnsi="Montserrat SemiBold"/>
                <w:iCs/>
                <w:kern w:val="0"/>
                <w:sz w:val="16"/>
                <w:szCs w:val="16"/>
                <w:lang w:val="fr-FR" w:eastAsia="en-US" w:bidi="ar-SA"/>
              </w:rPr>
              <w:t>Paron</w:t>
            </w:r>
          </w:p>
        </w:tc>
        <w:tc>
          <w:tcPr>
            <w:tcW w:w="1605" w:type="dxa"/>
            <w:tcBorders/>
          </w:tcPr>
          <w:p>
            <w:pPr>
              <w:pStyle w:val="Normal"/>
              <w:widowControl/>
              <w:spacing w:before="0" w:after="0"/>
              <w:jc w:val="center"/>
              <w:rPr>
                <w:rFonts w:ascii="Montserrat Light" w:hAnsi="Montserrat Light" w:cs="Tahoma"/>
                <w:iCs/>
                <w:sz w:val="20"/>
                <w:szCs w:val="20"/>
                <w:lang w:val="fr-FR"/>
              </w:rPr>
            </w:pPr>
            <w:r>
              <w:rPr>
                <w:rFonts w:eastAsia="Cambria" w:cs="Tahoma" w:ascii="Montserrat Light" w:hAnsi="Montserrat Light"/>
                <w:iCs/>
                <w:kern w:val="0"/>
                <w:sz w:val="20"/>
                <w:szCs w:val="20"/>
                <w:lang w:val="fr-FR" w:eastAsia="en-US" w:bidi="ar-SA"/>
              </w:rPr>
              <w:t>3 100</w:t>
            </w:r>
          </w:p>
        </w:tc>
        <w:tc>
          <w:tcPr>
            <w:tcW w:w="1606" w:type="dxa"/>
            <w:tcBorders/>
          </w:tcPr>
          <w:p>
            <w:pPr>
              <w:pStyle w:val="Normal"/>
              <w:widowControl/>
              <w:spacing w:before="0" w:after="0"/>
              <w:jc w:val="center"/>
              <w:rPr>
                <w:rFonts w:ascii="Montserrat Light" w:hAnsi="Montserrat Light" w:cs="Tahoma"/>
                <w:iCs/>
                <w:sz w:val="20"/>
                <w:szCs w:val="20"/>
                <w:lang w:val="fr-FR"/>
              </w:rPr>
            </w:pPr>
            <w:r>
              <w:rPr>
                <w:rFonts w:eastAsia="Cambria" w:cs="Tahoma" w:ascii="Montserrat Light" w:hAnsi="Montserrat Light"/>
                <w:iCs/>
                <w:kern w:val="0"/>
                <w:sz w:val="20"/>
                <w:szCs w:val="20"/>
                <w:lang w:val="fr-FR" w:eastAsia="en-US" w:bidi="ar-SA"/>
              </w:rPr>
            </w:r>
          </w:p>
        </w:tc>
        <w:tc>
          <w:tcPr>
            <w:tcW w:w="1605" w:type="dxa"/>
            <w:tcBorders/>
          </w:tcPr>
          <w:p>
            <w:pPr>
              <w:pStyle w:val="Normal"/>
              <w:widowControl/>
              <w:spacing w:before="0" w:after="0"/>
              <w:jc w:val="center"/>
              <w:rPr>
                <w:rFonts w:ascii="Montserrat Light" w:hAnsi="Montserrat Light" w:cs="Tahoma"/>
                <w:iCs/>
                <w:sz w:val="20"/>
                <w:szCs w:val="20"/>
                <w:lang w:val="fr-FR"/>
              </w:rPr>
            </w:pPr>
            <w:r>
              <w:rPr>
                <w:rFonts w:eastAsia="Cambria" w:cs="Tahoma" w:ascii="Montserrat Light" w:hAnsi="Montserrat Light"/>
                <w:iCs/>
                <w:kern w:val="0"/>
                <w:sz w:val="20"/>
                <w:szCs w:val="20"/>
                <w:lang w:val="fr-FR" w:eastAsia="en-US" w:bidi="ar-SA"/>
              </w:rPr>
            </w:r>
          </w:p>
        </w:tc>
        <w:tc>
          <w:tcPr>
            <w:tcW w:w="1605" w:type="dxa"/>
            <w:tcBorders/>
          </w:tcPr>
          <w:p>
            <w:pPr>
              <w:pStyle w:val="Normal"/>
              <w:widowControl/>
              <w:spacing w:before="0" w:after="0"/>
              <w:jc w:val="center"/>
              <w:rPr>
                <w:rFonts w:ascii="Montserrat Light" w:hAnsi="Montserrat Light" w:cs="Tahoma"/>
                <w:iCs/>
                <w:sz w:val="20"/>
                <w:szCs w:val="20"/>
                <w:lang w:val="fr-FR"/>
              </w:rPr>
            </w:pPr>
            <w:r>
              <w:rPr>
                <w:rFonts w:eastAsia="Cambria" w:cs="Tahoma" w:ascii="Montserrat Light" w:hAnsi="Montserrat Light"/>
                <w:iCs/>
                <w:kern w:val="0"/>
                <w:sz w:val="20"/>
                <w:szCs w:val="20"/>
                <w:lang w:val="fr-FR" w:eastAsia="en-US" w:bidi="ar-SA"/>
              </w:rPr>
            </w:r>
          </w:p>
        </w:tc>
        <w:tc>
          <w:tcPr>
            <w:tcW w:w="2035" w:type="dxa"/>
            <w:tcBorders/>
          </w:tcPr>
          <w:p>
            <w:pPr>
              <w:pStyle w:val="Normal"/>
              <w:widowControl/>
              <w:spacing w:before="0" w:after="0"/>
              <w:jc w:val="center"/>
              <w:rPr>
                <w:rFonts w:ascii="Montserrat Light" w:hAnsi="Montserrat Light" w:cs="Tahoma"/>
                <w:iCs/>
                <w:sz w:val="20"/>
                <w:szCs w:val="20"/>
                <w:lang w:val="fr-FR"/>
              </w:rPr>
            </w:pPr>
            <w:r>
              <w:rPr>
                <w:rFonts w:eastAsia="Cambria" w:cs="Tahoma" w:ascii="Montserrat Light" w:hAnsi="Montserrat Light"/>
                <w:iCs/>
                <w:kern w:val="0"/>
                <w:sz w:val="20"/>
                <w:szCs w:val="20"/>
                <w:lang w:val="fr-FR" w:eastAsia="en-US" w:bidi="ar-SA"/>
              </w:rPr>
            </w:r>
          </w:p>
        </w:tc>
      </w:tr>
      <w:tr>
        <w:trPr/>
        <w:tc>
          <w:tcPr>
            <w:tcW w:w="1892" w:type="dxa"/>
            <w:tcBorders/>
          </w:tcPr>
          <w:p>
            <w:pPr>
              <w:pStyle w:val="Normal"/>
              <w:widowControl/>
              <w:spacing w:before="0" w:after="0"/>
              <w:jc w:val="both"/>
              <w:rPr>
                <w:rFonts w:ascii="Montserrat SemiBold" w:hAnsi="Montserrat SemiBold" w:cs="Tahoma"/>
                <w:iCs/>
                <w:sz w:val="16"/>
                <w:szCs w:val="16"/>
                <w:lang w:val="fr-FR"/>
              </w:rPr>
            </w:pPr>
            <w:r>
              <w:rPr>
                <w:rFonts w:eastAsia="Cambria" w:cs="Tahoma" w:ascii="Montserrat SemiBold" w:hAnsi="Montserrat SemiBold"/>
                <w:iCs/>
                <w:kern w:val="0"/>
                <w:sz w:val="16"/>
                <w:szCs w:val="16"/>
                <w:lang w:val="fr-FR" w:eastAsia="en-US" w:bidi="ar-SA"/>
              </w:rPr>
              <w:t>Chavanoz</w:t>
            </w:r>
          </w:p>
        </w:tc>
        <w:tc>
          <w:tcPr>
            <w:tcW w:w="1605" w:type="dxa"/>
            <w:tcBorders/>
          </w:tcPr>
          <w:p>
            <w:pPr>
              <w:pStyle w:val="Normal"/>
              <w:widowControl/>
              <w:spacing w:before="0" w:after="0"/>
              <w:jc w:val="center"/>
              <w:rPr>
                <w:rFonts w:ascii="Montserrat Light" w:hAnsi="Montserrat Light" w:cs="Tahoma"/>
                <w:iCs/>
                <w:sz w:val="20"/>
                <w:szCs w:val="20"/>
                <w:lang w:val="fr-FR"/>
              </w:rPr>
            </w:pPr>
            <w:r>
              <w:rPr>
                <w:rFonts w:eastAsia="Cambria" w:cs="Tahoma" w:ascii="Montserrat Light" w:hAnsi="Montserrat Light"/>
                <w:iCs/>
                <w:kern w:val="0"/>
                <w:sz w:val="20"/>
                <w:szCs w:val="20"/>
                <w:lang w:val="fr-FR" w:eastAsia="en-US" w:bidi="ar-SA"/>
              </w:rPr>
            </w:r>
          </w:p>
        </w:tc>
        <w:tc>
          <w:tcPr>
            <w:tcW w:w="1606" w:type="dxa"/>
            <w:tcBorders/>
          </w:tcPr>
          <w:p>
            <w:pPr>
              <w:pStyle w:val="Normal"/>
              <w:widowControl/>
              <w:spacing w:before="0" w:after="0"/>
              <w:jc w:val="center"/>
              <w:rPr>
                <w:rFonts w:ascii="Montserrat Light" w:hAnsi="Montserrat Light" w:cs="Tahoma"/>
                <w:iCs/>
                <w:sz w:val="20"/>
                <w:szCs w:val="20"/>
                <w:lang w:val="fr-FR"/>
              </w:rPr>
            </w:pPr>
            <w:r>
              <w:rPr>
                <w:rFonts w:eastAsia="Cambria" w:cs="Tahoma" w:ascii="Montserrat Light" w:hAnsi="Montserrat Light"/>
                <w:iCs/>
                <w:kern w:val="0"/>
                <w:sz w:val="20"/>
                <w:szCs w:val="20"/>
                <w:lang w:val="fr-FR" w:eastAsia="en-US" w:bidi="ar-SA"/>
              </w:rPr>
              <w:t>252 000</w:t>
            </w:r>
          </w:p>
        </w:tc>
        <w:tc>
          <w:tcPr>
            <w:tcW w:w="1605" w:type="dxa"/>
            <w:tcBorders/>
          </w:tcPr>
          <w:p>
            <w:pPr>
              <w:pStyle w:val="Normal"/>
              <w:widowControl/>
              <w:spacing w:before="0" w:after="0"/>
              <w:jc w:val="center"/>
              <w:rPr>
                <w:rFonts w:ascii="Montserrat Light" w:hAnsi="Montserrat Light" w:cs="Tahoma"/>
                <w:iCs/>
                <w:sz w:val="20"/>
                <w:szCs w:val="20"/>
                <w:lang w:val="fr-FR"/>
              </w:rPr>
            </w:pPr>
            <w:r>
              <w:rPr>
                <w:rFonts w:eastAsia="Cambria" w:cs="Tahoma" w:ascii="Montserrat Light" w:hAnsi="Montserrat Light"/>
                <w:iCs/>
                <w:kern w:val="0"/>
                <w:sz w:val="20"/>
                <w:szCs w:val="20"/>
                <w:lang w:val="fr-FR" w:eastAsia="en-US" w:bidi="ar-SA"/>
              </w:rPr>
              <w:t>46 000</w:t>
            </w:r>
          </w:p>
        </w:tc>
        <w:tc>
          <w:tcPr>
            <w:tcW w:w="1605" w:type="dxa"/>
            <w:tcBorders/>
          </w:tcPr>
          <w:p>
            <w:pPr>
              <w:pStyle w:val="Normal"/>
              <w:widowControl/>
              <w:spacing w:before="0" w:after="0"/>
              <w:jc w:val="center"/>
              <w:rPr>
                <w:rFonts w:ascii="Montserrat Light" w:hAnsi="Montserrat Light" w:cs="Tahoma"/>
                <w:iCs/>
                <w:sz w:val="20"/>
                <w:szCs w:val="20"/>
                <w:lang w:val="fr-FR"/>
              </w:rPr>
            </w:pPr>
            <w:r>
              <w:rPr>
                <w:rFonts w:eastAsia="Cambria" w:cs="Tahoma" w:ascii="Montserrat Light" w:hAnsi="Montserrat Light"/>
                <w:iCs/>
                <w:kern w:val="0"/>
                <w:sz w:val="20"/>
                <w:szCs w:val="20"/>
                <w:lang w:val="fr-FR" w:eastAsia="en-US" w:bidi="ar-SA"/>
              </w:rPr>
            </w:r>
          </w:p>
        </w:tc>
        <w:tc>
          <w:tcPr>
            <w:tcW w:w="2035" w:type="dxa"/>
            <w:tcBorders/>
          </w:tcPr>
          <w:p>
            <w:pPr>
              <w:pStyle w:val="Normal"/>
              <w:widowControl/>
              <w:spacing w:before="0" w:after="0"/>
              <w:jc w:val="center"/>
              <w:rPr>
                <w:rFonts w:ascii="Montserrat Light" w:hAnsi="Montserrat Light" w:cs="Tahoma"/>
                <w:iCs/>
                <w:sz w:val="20"/>
                <w:szCs w:val="20"/>
                <w:lang w:val="fr-FR"/>
              </w:rPr>
            </w:pPr>
            <w:r>
              <w:rPr>
                <w:rFonts w:eastAsia="Cambria" w:cs="Tahoma" w:ascii="Montserrat Light" w:hAnsi="Montserrat Light"/>
                <w:iCs/>
                <w:kern w:val="0"/>
                <w:sz w:val="20"/>
                <w:szCs w:val="20"/>
                <w:lang w:val="fr-FR" w:eastAsia="en-US" w:bidi="ar-SA"/>
              </w:rPr>
            </w:r>
          </w:p>
        </w:tc>
      </w:tr>
      <w:tr>
        <w:trPr/>
        <w:tc>
          <w:tcPr>
            <w:tcW w:w="1892" w:type="dxa"/>
            <w:tcBorders/>
          </w:tcPr>
          <w:p>
            <w:pPr>
              <w:pStyle w:val="Normal"/>
              <w:widowControl/>
              <w:spacing w:before="0" w:after="0"/>
              <w:jc w:val="both"/>
              <w:rPr>
                <w:rFonts w:ascii="Montserrat SemiBold" w:hAnsi="Montserrat SemiBold" w:cs="Tahoma"/>
                <w:iCs/>
                <w:sz w:val="16"/>
                <w:szCs w:val="16"/>
                <w:lang w:val="fr-FR"/>
              </w:rPr>
            </w:pPr>
            <w:r>
              <w:rPr>
                <w:rFonts w:eastAsia="Cambria" w:cs="Tahoma" w:ascii="Montserrat SemiBold" w:hAnsi="Montserrat SemiBold"/>
                <w:iCs/>
                <w:kern w:val="0"/>
                <w:sz w:val="16"/>
                <w:szCs w:val="16"/>
                <w:lang w:val="fr-FR" w:eastAsia="en-US" w:bidi="ar-SA"/>
              </w:rPr>
              <w:t>Cornimont</w:t>
            </w:r>
          </w:p>
        </w:tc>
        <w:tc>
          <w:tcPr>
            <w:tcW w:w="1605" w:type="dxa"/>
            <w:tcBorders/>
          </w:tcPr>
          <w:p>
            <w:pPr>
              <w:pStyle w:val="Normal"/>
              <w:widowControl/>
              <w:spacing w:before="0" w:after="0"/>
              <w:jc w:val="center"/>
              <w:rPr>
                <w:rFonts w:ascii="Montserrat Light" w:hAnsi="Montserrat Light" w:cs="Tahoma"/>
                <w:iCs/>
                <w:sz w:val="20"/>
                <w:szCs w:val="20"/>
                <w:lang w:val="fr-FR"/>
              </w:rPr>
            </w:pPr>
            <w:r>
              <w:rPr>
                <w:rFonts w:eastAsia="Cambria" w:cs="Tahoma" w:ascii="Montserrat Light" w:hAnsi="Montserrat Light"/>
                <w:iCs/>
                <w:kern w:val="0"/>
                <w:sz w:val="20"/>
                <w:szCs w:val="20"/>
                <w:lang w:val="fr-FR" w:eastAsia="en-US" w:bidi="ar-SA"/>
              </w:rPr>
            </w:r>
          </w:p>
        </w:tc>
        <w:tc>
          <w:tcPr>
            <w:tcW w:w="1606" w:type="dxa"/>
            <w:tcBorders/>
          </w:tcPr>
          <w:p>
            <w:pPr>
              <w:pStyle w:val="Normal"/>
              <w:widowControl/>
              <w:spacing w:before="0" w:after="0"/>
              <w:jc w:val="center"/>
              <w:rPr>
                <w:rFonts w:ascii="Montserrat Light" w:hAnsi="Montserrat Light" w:cs="Tahoma"/>
                <w:iCs/>
                <w:sz w:val="20"/>
                <w:szCs w:val="20"/>
                <w:lang w:val="fr-FR"/>
              </w:rPr>
            </w:pPr>
            <w:r>
              <w:rPr>
                <w:rFonts w:eastAsia="Cambria" w:cs="Tahoma" w:ascii="Montserrat Light" w:hAnsi="Montserrat Light"/>
                <w:iCs/>
                <w:kern w:val="0"/>
                <w:sz w:val="20"/>
                <w:szCs w:val="20"/>
                <w:lang w:val="fr-FR" w:eastAsia="en-US" w:bidi="ar-SA"/>
              </w:rPr>
            </w:r>
          </w:p>
        </w:tc>
        <w:tc>
          <w:tcPr>
            <w:tcW w:w="1605" w:type="dxa"/>
            <w:tcBorders/>
          </w:tcPr>
          <w:p>
            <w:pPr>
              <w:pStyle w:val="Normal"/>
              <w:widowControl/>
              <w:spacing w:before="0" w:after="0"/>
              <w:jc w:val="center"/>
              <w:rPr>
                <w:rFonts w:ascii="Montserrat Light" w:hAnsi="Montserrat Light" w:cs="Tahoma"/>
                <w:iCs/>
                <w:sz w:val="20"/>
                <w:szCs w:val="20"/>
                <w:lang w:val="fr-FR"/>
              </w:rPr>
            </w:pPr>
            <w:r>
              <w:rPr>
                <w:rFonts w:eastAsia="Cambria" w:cs="Tahoma" w:ascii="Montserrat Light" w:hAnsi="Montserrat Light"/>
                <w:iCs/>
                <w:kern w:val="0"/>
                <w:sz w:val="20"/>
                <w:szCs w:val="20"/>
                <w:lang w:val="fr-FR" w:eastAsia="en-US" w:bidi="ar-SA"/>
              </w:rPr>
            </w:r>
          </w:p>
        </w:tc>
        <w:tc>
          <w:tcPr>
            <w:tcW w:w="1605" w:type="dxa"/>
            <w:tcBorders/>
          </w:tcPr>
          <w:p>
            <w:pPr>
              <w:pStyle w:val="Normal"/>
              <w:widowControl/>
              <w:spacing w:before="0" w:after="0"/>
              <w:jc w:val="center"/>
              <w:rPr>
                <w:rFonts w:ascii="Montserrat Light" w:hAnsi="Montserrat Light" w:cs="Tahoma"/>
                <w:iCs/>
                <w:sz w:val="20"/>
                <w:szCs w:val="20"/>
                <w:lang w:val="fr-FR"/>
              </w:rPr>
            </w:pPr>
            <w:r>
              <w:rPr>
                <w:rFonts w:eastAsia="Cambria" w:cs="Tahoma" w:ascii="Montserrat Light" w:hAnsi="Montserrat Light"/>
                <w:iCs/>
                <w:kern w:val="0"/>
                <w:sz w:val="20"/>
                <w:szCs w:val="20"/>
                <w:lang w:val="fr-FR" w:eastAsia="en-US" w:bidi="ar-SA"/>
              </w:rPr>
            </w:r>
          </w:p>
        </w:tc>
        <w:tc>
          <w:tcPr>
            <w:tcW w:w="2035" w:type="dxa"/>
            <w:tcBorders/>
          </w:tcPr>
          <w:p>
            <w:pPr>
              <w:pStyle w:val="Normal"/>
              <w:widowControl/>
              <w:spacing w:before="0" w:after="0"/>
              <w:jc w:val="center"/>
              <w:rPr>
                <w:rFonts w:ascii="Montserrat Light" w:hAnsi="Montserrat Light" w:cs="Tahoma"/>
                <w:iCs/>
                <w:sz w:val="20"/>
                <w:szCs w:val="20"/>
                <w:lang w:val="fr-FR"/>
              </w:rPr>
            </w:pPr>
            <w:r>
              <w:rPr>
                <w:rFonts w:eastAsia="Cambria" w:cs="Tahoma" w:ascii="Montserrat Light" w:hAnsi="Montserrat Light"/>
                <w:iCs/>
                <w:kern w:val="0"/>
                <w:sz w:val="20"/>
                <w:szCs w:val="20"/>
                <w:lang w:val="fr-FR" w:eastAsia="en-US" w:bidi="ar-SA"/>
              </w:rPr>
              <w:t>588 000</w:t>
            </w:r>
          </w:p>
        </w:tc>
      </w:tr>
      <w:tr>
        <w:trPr/>
        <w:tc>
          <w:tcPr>
            <w:tcW w:w="1892" w:type="dxa"/>
            <w:tcBorders/>
          </w:tcPr>
          <w:p>
            <w:pPr>
              <w:pStyle w:val="Normal"/>
              <w:widowControl/>
              <w:spacing w:before="0" w:after="0"/>
              <w:jc w:val="both"/>
              <w:rPr>
                <w:rFonts w:ascii="Montserrat SemiBold" w:hAnsi="Montserrat SemiBold" w:cs="Tahoma"/>
                <w:iCs/>
                <w:sz w:val="16"/>
                <w:szCs w:val="16"/>
                <w:lang w:val="fr-FR"/>
              </w:rPr>
            </w:pPr>
            <w:r>
              <w:rPr>
                <w:rFonts w:eastAsia="Cambria" w:cs="Tahoma" w:ascii="Montserrat SemiBold" w:hAnsi="Montserrat SemiBold"/>
                <w:iCs/>
                <w:kern w:val="0"/>
                <w:sz w:val="16"/>
                <w:szCs w:val="16"/>
                <w:lang w:val="fr-FR" w:eastAsia="en-US" w:bidi="ar-SA"/>
              </w:rPr>
              <w:t>Montereau</w:t>
            </w:r>
          </w:p>
        </w:tc>
        <w:tc>
          <w:tcPr>
            <w:tcW w:w="1605" w:type="dxa"/>
            <w:tcBorders/>
          </w:tcPr>
          <w:p>
            <w:pPr>
              <w:pStyle w:val="Normal"/>
              <w:widowControl/>
              <w:spacing w:before="0" w:after="0"/>
              <w:jc w:val="center"/>
              <w:rPr>
                <w:rFonts w:ascii="Montserrat Light" w:hAnsi="Montserrat Light" w:cs="Tahoma"/>
                <w:iCs/>
                <w:sz w:val="20"/>
                <w:szCs w:val="20"/>
                <w:lang w:val="fr-FR"/>
              </w:rPr>
            </w:pPr>
            <w:r>
              <w:rPr>
                <w:rFonts w:eastAsia="Cambria" w:cs="Tahoma" w:ascii="Montserrat Light" w:hAnsi="Montserrat Light"/>
                <w:iCs/>
                <w:kern w:val="0"/>
                <w:sz w:val="20"/>
                <w:szCs w:val="20"/>
                <w:lang w:val="fr-FR" w:eastAsia="en-US" w:bidi="ar-SA"/>
              </w:rPr>
              <w:t>40 100</w:t>
            </w:r>
          </w:p>
        </w:tc>
        <w:tc>
          <w:tcPr>
            <w:tcW w:w="1606" w:type="dxa"/>
            <w:tcBorders/>
          </w:tcPr>
          <w:p>
            <w:pPr>
              <w:pStyle w:val="Normal"/>
              <w:widowControl/>
              <w:spacing w:before="0" w:after="0"/>
              <w:jc w:val="center"/>
              <w:rPr>
                <w:rFonts w:ascii="Montserrat Light" w:hAnsi="Montserrat Light" w:cs="Tahoma"/>
                <w:iCs/>
                <w:sz w:val="20"/>
                <w:szCs w:val="20"/>
                <w:lang w:val="fr-FR"/>
              </w:rPr>
            </w:pPr>
            <w:r>
              <w:rPr>
                <w:rFonts w:eastAsia="Cambria" w:cs="Tahoma" w:ascii="Montserrat Light" w:hAnsi="Montserrat Light"/>
                <w:iCs/>
                <w:kern w:val="0"/>
                <w:sz w:val="20"/>
                <w:szCs w:val="20"/>
                <w:lang w:val="fr-FR" w:eastAsia="en-US" w:bidi="ar-SA"/>
              </w:rPr>
            </w:r>
          </w:p>
        </w:tc>
        <w:tc>
          <w:tcPr>
            <w:tcW w:w="1605" w:type="dxa"/>
            <w:tcBorders/>
          </w:tcPr>
          <w:p>
            <w:pPr>
              <w:pStyle w:val="Normal"/>
              <w:widowControl/>
              <w:spacing w:before="0" w:after="0"/>
              <w:jc w:val="center"/>
              <w:rPr>
                <w:rFonts w:ascii="Montserrat Light" w:hAnsi="Montserrat Light" w:cs="Tahoma"/>
                <w:iCs/>
                <w:sz w:val="20"/>
                <w:szCs w:val="20"/>
                <w:lang w:val="fr-FR"/>
              </w:rPr>
            </w:pPr>
            <w:r>
              <w:rPr>
                <w:rFonts w:eastAsia="Cambria" w:cs="Tahoma" w:ascii="Montserrat Light" w:hAnsi="Montserrat Light"/>
                <w:iCs/>
                <w:kern w:val="0"/>
                <w:sz w:val="20"/>
                <w:szCs w:val="20"/>
                <w:lang w:val="fr-FR" w:eastAsia="en-US" w:bidi="ar-SA"/>
              </w:rPr>
            </w:r>
          </w:p>
        </w:tc>
        <w:tc>
          <w:tcPr>
            <w:tcW w:w="1605" w:type="dxa"/>
            <w:tcBorders/>
          </w:tcPr>
          <w:p>
            <w:pPr>
              <w:pStyle w:val="Normal"/>
              <w:widowControl/>
              <w:spacing w:before="0" w:after="0"/>
              <w:jc w:val="center"/>
              <w:rPr>
                <w:rFonts w:ascii="Montserrat Light" w:hAnsi="Montserrat Light" w:cs="Tahoma"/>
                <w:iCs/>
                <w:sz w:val="20"/>
                <w:szCs w:val="20"/>
                <w:lang w:val="fr-FR"/>
              </w:rPr>
            </w:pPr>
            <w:r>
              <w:rPr>
                <w:rFonts w:eastAsia="Cambria" w:cs="Tahoma" w:ascii="Montserrat Light" w:hAnsi="Montserrat Light"/>
                <w:iCs/>
                <w:kern w:val="0"/>
                <w:sz w:val="20"/>
                <w:szCs w:val="20"/>
                <w:lang w:val="fr-FR" w:eastAsia="en-US" w:bidi="ar-SA"/>
              </w:rPr>
              <w:t>1 900</w:t>
            </w:r>
          </w:p>
        </w:tc>
        <w:tc>
          <w:tcPr>
            <w:tcW w:w="2035" w:type="dxa"/>
            <w:tcBorders/>
          </w:tcPr>
          <w:p>
            <w:pPr>
              <w:pStyle w:val="Normal"/>
              <w:widowControl/>
              <w:spacing w:before="0" w:after="0"/>
              <w:jc w:val="center"/>
              <w:rPr>
                <w:rFonts w:ascii="Montserrat Light" w:hAnsi="Montserrat Light" w:cs="Tahoma"/>
                <w:iCs/>
                <w:sz w:val="20"/>
                <w:szCs w:val="20"/>
                <w:lang w:val="fr-FR"/>
              </w:rPr>
            </w:pPr>
            <w:r>
              <w:rPr>
                <w:rFonts w:eastAsia="Cambria" w:cs="Tahoma" w:ascii="Montserrat Light" w:hAnsi="Montserrat Light"/>
                <w:iCs/>
                <w:kern w:val="0"/>
                <w:sz w:val="20"/>
                <w:szCs w:val="20"/>
                <w:lang w:val="fr-FR" w:eastAsia="en-US" w:bidi="ar-SA"/>
              </w:rPr>
            </w:r>
          </w:p>
        </w:tc>
      </w:tr>
    </w:tbl>
    <w:p>
      <w:pPr>
        <w:pStyle w:val="Normal"/>
        <w:jc w:val="both"/>
        <w:rPr>
          <w:rFonts w:ascii="Arial Narrow" w:hAnsi="Arial Narrow" w:cs="Tahoma"/>
          <w:iCs/>
          <w:lang w:val="fr-FR"/>
        </w:rPr>
      </w:pPr>
      <w:r>
        <w:rPr>
          <w:rFonts w:cs="Tahoma" w:ascii="Arial Narrow" w:hAnsi="Arial Narrow"/>
          <w:iCs/>
          <w:lang w:val="fr-FR"/>
        </w:rPr>
      </w:r>
    </w:p>
    <w:p>
      <w:pPr>
        <w:pStyle w:val="Normal"/>
        <w:jc w:val="both"/>
        <w:rPr>
          <w:rFonts w:ascii="Arial Narrow" w:hAnsi="Arial Narrow" w:cs="Tahoma"/>
          <w:iCs/>
          <w:lang w:val="fr-FR"/>
        </w:rPr>
      </w:pPr>
      <w:r>
        <w:rPr>
          <w:rFonts w:cs="Tahoma" w:ascii="Arial Narrow" w:hAnsi="Arial Narrow"/>
          <w:iCs/>
          <w:lang w:val="fr-FR"/>
        </w:rPr>
        <w:t xml:space="preserve">Le taux d’atteinte de chaque établissement sera calculé selon la formule ci-dessous : </w:t>
      </w:r>
    </w:p>
    <w:p>
      <w:pPr>
        <w:pStyle w:val="Normal"/>
        <w:jc w:val="both"/>
        <w:rPr>
          <w:rFonts w:ascii="Arial Narrow" w:hAnsi="Arial Narrow" w:cs="Tahoma"/>
          <w:iCs/>
          <w:lang w:val="fr-FR"/>
        </w:rPr>
      </w:pPr>
      <w:r>
        <w:rPr>
          <w:rFonts w:cs="Tahoma" w:ascii="Arial Narrow" w:hAnsi="Arial Narrow"/>
          <w:iCs/>
          <w:lang w:val="fr-FR"/>
        </w:rPr>
      </w:r>
    </w:p>
    <w:p>
      <w:pPr>
        <w:pStyle w:val="Normal"/>
        <w:jc w:val="center"/>
        <w:rPr>
          <w:rFonts w:ascii="Arial Narrow" w:hAnsi="Arial Narrow" w:cs="Tahoma"/>
          <w:b/>
          <w:bCs/>
          <w:i/>
          <w:i/>
          <w:lang w:val="fr-FR"/>
        </w:rPr>
      </w:pPr>
      <w:r>
        <w:rPr>
          <w:rFonts w:cs="Tahoma" w:ascii="Arial Narrow" w:hAnsi="Arial Narrow"/>
          <w:b/>
          <w:bCs/>
          <w:i/>
          <w:lang w:val="fr-FR"/>
        </w:rPr>
        <w:t>Réalisation / objectif de production 2025 de l’établissement</w:t>
      </w:r>
    </w:p>
    <w:p>
      <w:pPr>
        <w:pStyle w:val="Normal"/>
        <w:jc w:val="center"/>
        <w:rPr>
          <w:rFonts w:ascii="Arial Narrow" w:hAnsi="Arial Narrow" w:cs="Tahoma"/>
          <w:iCs/>
          <w:lang w:val="fr-FR"/>
        </w:rPr>
      </w:pPr>
      <w:r>
        <w:rPr>
          <w:rFonts w:cs="Tahoma" w:ascii="Arial Narrow" w:hAnsi="Arial Narrow"/>
          <w:iCs/>
          <w:lang w:val="fr-FR"/>
        </w:rPr>
      </w:r>
    </w:p>
    <w:p>
      <w:pPr>
        <w:pStyle w:val="Normal"/>
        <w:rPr>
          <w:rFonts w:ascii="Arial Narrow" w:hAnsi="Arial Narrow" w:cs="Tahoma"/>
          <w:iCs/>
          <w:lang w:val="fr-FR"/>
        </w:rPr>
      </w:pPr>
      <w:r>
        <w:rPr>
          <w:rFonts w:cs="Tahoma" w:ascii="Arial Narrow" w:hAnsi="Arial Narrow"/>
          <w:iCs/>
          <w:lang w:val="fr-FR"/>
        </w:rPr>
      </w:r>
    </w:p>
    <w:p>
      <w:pPr>
        <w:pStyle w:val="Normal"/>
        <w:rPr>
          <w:rFonts w:ascii="Arial Narrow" w:hAnsi="Arial Narrow" w:cs="Tahoma"/>
          <w:iCs/>
          <w:lang w:val="fr-FR"/>
        </w:rPr>
      </w:pPr>
      <w:r>
        <w:rPr>
          <w:rFonts w:cs="Tahoma" w:ascii="Arial Narrow" w:hAnsi="Arial Narrow"/>
          <w:iCs/>
          <w:lang w:val="fr-FR"/>
        </w:rPr>
        <w:t xml:space="preserve">Pour les établissements de Montereau et de Chavanoz, le taux d’atteinte de l’objectif établissement sera déterminé par l’addition la moyenne des deux critères distincts, définis dans le tableau ci-dessus. </w:t>
      </w:r>
    </w:p>
    <w:p>
      <w:pPr>
        <w:pStyle w:val="Normal"/>
        <w:rPr>
          <w:rFonts w:ascii="Arial Narrow" w:hAnsi="Arial Narrow" w:cs="Tahoma"/>
          <w:iCs/>
          <w:lang w:val="fr-FR"/>
        </w:rPr>
      </w:pPr>
      <w:r>
        <w:rPr>
          <w:rFonts w:cs="Tahoma" w:ascii="Arial Narrow" w:hAnsi="Arial Narrow"/>
          <w:iCs/>
          <w:lang w:val="fr-FR"/>
        </w:rPr>
        <w:t xml:space="preserve">  </w:t>
      </w:r>
    </w:p>
    <w:p>
      <w:pPr>
        <w:pStyle w:val="Normal"/>
        <w:jc w:val="both"/>
        <w:rPr>
          <w:rFonts w:ascii="Arial Narrow" w:hAnsi="Arial Narrow" w:cs="Tahoma"/>
          <w:b/>
          <w:bCs/>
          <w:i/>
          <w:i/>
          <w:lang w:val="fr-FR"/>
        </w:rPr>
      </w:pPr>
      <w:r>
        <w:rPr>
          <w:rFonts w:cs="Tahoma" w:ascii="Arial Narrow" w:hAnsi="Arial Narrow"/>
          <w:b/>
          <w:bCs/>
          <w:i/>
          <w:lang w:val="fr-FR"/>
        </w:rPr>
        <w:t xml:space="preserve">Exemple : </w:t>
      </w:r>
    </w:p>
    <w:p>
      <w:pPr>
        <w:pStyle w:val="Normal"/>
        <w:rPr>
          <w:rFonts w:ascii="Arial Narrow" w:hAnsi="Arial Narrow" w:cs="Tahoma"/>
          <w:iCs/>
          <w:lang w:val="fr-FR"/>
        </w:rPr>
      </w:pPr>
      <w:r>
        <w:rPr>
          <w:rFonts w:cs="Tahoma" w:ascii="Arial Narrow" w:hAnsi="Arial Narrow"/>
          <w:iCs/>
          <w:lang w:val="fr-FR"/>
        </w:rPr>
        <w:t xml:space="preserve">  </w:t>
      </w:r>
    </w:p>
    <w:p>
      <w:pPr>
        <w:pStyle w:val="Normal"/>
        <w:rPr>
          <w:rFonts w:ascii="Arial Narrow" w:hAnsi="Arial Narrow" w:cs="Tahoma"/>
          <w:iCs/>
          <w:lang w:val="fr-FR"/>
        </w:rPr>
      </w:pPr>
      <w:r>
        <w:rPr>
          <w:rFonts w:cs="Tahoma" w:ascii="Arial Narrow" w:hAnsi="Arial Narrow"/>
          <w:iCs/>
          <w:lang w:val="fr-FR"/>
        </w:rPr>
        <w:t xml:space="preserve">• </w:t>
      </w:r>
      <w:r>
        <w:rPr>
          <w:rFonts w:cs="Tahoma" w:ascii="Arial Narrow" w:hAnsi="Arial Narrow"/>
          <w:iCs/>
          <w:lang w:val="fr-FR"/>
        </w:rPr>
        <w:t xml:space="preserve">Critère 1 atteint à 98 % </w:t>
      </w:r>
    </w:p>
    <w:p>
      <w:pPr>
        <w:pStyle w:val="Normal"/>
        <w:rPr>
          <w:rFonts w:ascii="Arial Narrow" w:hAnsi="Arial Narrow" w:cs="Tahoma"/>
          <w:iCs/>
          <w:lang w:val="fr-FR"/>
        </w:rPr>
      </w:pPr>
      <w:r>
        <w:rPr>
          <w:rFonts w:cs="Tahoma" w:ascii="Arial Narrow" w:hAnsi="Arial Narrow"/>
          <w:iCs/>
          <w:lang w:val="fr-FR"/>
        </w:rPr>
        <w:t xml:space="preserve">• </w:t>
      </w:r>
      <w:r>
        <w:rPr>
          <w:rFonts w:cs="Tahoma" w:ascii="Arial Narrow" w:hAnsi="Arial Narrow"/>
          <w:iCs/>
          <w:lang w:val="fr-FR"/>
        </w:rPr>
        <w:t xml:space="preserve">Critère 2 atteint à 101 % </w:t>
      </w:r>
    </w:p>
    <w:p>
      <w:pPr>
        <w:pStyle w:val="Normal"/>
        <w:rPr>
          <w:rFonts w:ascii="Arial Narrow" w:hAnsi="Arial Narrow" w:cs="Tahoma"/>
          <w:iCs/>
          <w:lang w:val="fr-FR"/>
        </w:rPr>
      </w:pPr>
      <w:r>
        <w:rPr>
          <w:rFonts w:cs="Tahoma" w:ascii="Arial Narrow" w:hAnsi="Arial Narrow"/>
          <w:iCs/>
          <w:lang w:val="fr-FR"/>
        </w:rPr>
      </w:r>
    </w:p>
    <w:p>
      <w:pPr>
        <w:pStyle w:val="Normal"/>
        <w:rPr>
          <w:rFonts w:ascii="Arial Narrow" w:hAnsi="Arial Narrow" w:cs="Tahoma"/>
          <w:iCs/>
          <w:lang w:val="fr-FR"/>
        </w:rPr>
      </w:pPr>
      <w:r>
        <w:rPr>
          <w:rFonts w:cs="Tahoma" w:ascii="Arial Narrow" w:hAnsi="Arial Narrow"/>
          <w:b/>
          <w:bCs/>
          <w:iCs/>
          <w:lang w:val="fr-FR"/>
        </w:rPr>
        <w:t>Total</w:t>
      </w:r>
      <w:r>
        <w:rPr>
          <w:rFonts w:cs="Tahoma" w:ascii="Arial Narrow" w:hAnsi="Arial Narrow"/>
          <w:iCs/>
          <w:lang w:val="fr-FR"/>
        </w:rPr>
        <w:t xml:space="preserve"> = 98 + 101 = 199 % </w:t>
      </w:r>
    </w:p>
    <w:p>
      <w:pPr>
        <w:pStyle w:val="Normal"/>
        <w:rPr>
          <w:rFonts w:ascii="Arial Narrow" w:hAnsi="Arial Narrow" w:cs="Tahoma"/>
          <w:iCs/>
          <w:lang w:val="fr-FR"/>
        </w:rPr>
      </w:pPr>
      <w:r>
        <w:rPr>
          <w:rFonts w:cs="Tahoma" w:ascii="Arial Narrow" w:hAnsi="Arial Narrow"/>
          <w:b/>
          <w:bCs/>
          <w:iCs/>
          <w:lang w:val="fr-FR"/>
        </w:rPr>
        <w:t>Taux moyen</w:t>
      </w:r>
      <w:r>
        <w:rPr>
          <w:rFonts w:cs="Tahoma" w:ascii="Arial Narrow" w:hAnsi="Arial Narrow"/>
          <w:iCs/>
          <w:lang w:val="fr-FR"/>
        </w:rPr>
        <w:t xml:space="preserve"> = 199 / 2 = 99,5 % </w:t>
      </w:r>
    </w:p>
    <w:p>
      <w:pPr>
        <w:pStyle w:val="Normal"/>
        <w:rPr>
          <w:rFonts w:ascii="Arial Narrow" w:hAnsi="Arial Narrow" w:cs="Tahoma"/>
          <w:iCs/>
          <w:lang w:val="fr-FR"/>
        </w:rPr>
      </w:pPr>
      <w:r>
        <w:rPr>
          <w:rFonts w:cs="Tahoma" w:ascii="Arial Narrow" w:hAnsi="Arial Narrow"/>
          <w:iCs/>
          <w:lang w:val="fr-FR"/>
        </w:rPr>
      </w:r>
    </w:p>
    <w:p>
      <w:pPr>
        <w:pStyle w:val="Normal"/>
        <w:rPr>
          <w:rFonts w:ascii="Arial Narrow" w:hAnsi="Arial Narrow" w:cs="Tahoma"/>
          <w:iCs/>
          <w:lang w:val="fr-FR"/>
        </w:rPr>
      </w:pPr>
      <w:r>
        <w:rPr>
          <w:rFonts w:cs="Tahoma" w:ascii="Arial Narrow" w:hAnsi="Arial Narrow"/>
          <w:iCs/>
          <w:lang w:val="fr-FR"/>
        </w:rPr>
      </w:r>
    </w:p>
    <w:p>
      <w:pPr>
        <w:pStyle w:val="Normal"/>
        <w:jc w:val="both"/>
        <w:rPr>
          <w:rFonts w:ascii="Arial Narrow" w:hAnsi="Arial Narrow" w:cs="Tahoma"/>
          <w:iCs/>
          <w:lang w:val="fr-FR"/>
        </w:rPr>
      </w:pPr>
      <w:r>
        <w:rPr>
          <w:rFonts w:cs="Tahoma" w:ascii="Arial Narrow" w:hAnsi="Arial Narrow"/>
          <w:iCs/>
          <w:lang w:val="fr-FR"/>
        </w:rPr>
      </w:r>
    </w:p>
    <w:p>
      <w:pPr>
        <w:pStyle w:val="Normal"/>
        <w:jc w:val="both"/>
        <w:rPr>
          <w:rFonts w:ascii="Arial Narrow" w:hAnsi="Arial Narrow" w:cs="Arial"/>
          <w:lang w:val="fr-FR"/>
        </w:rPr>
      </w:pPr>
      <w:r>
        <w:rPr>
          <w:rFonts w:cs="Arial" w:ascii="Arial Narrow" w:hAnsi="Arial Narrow"/>
          <w:lang w:val="fr-FR"/>
        </w:rPr>
        <w:t>Le montant de la prime est déterminé selon le niveau de réalisation de l’objectif, selon les règles suivantes :</w:t>
      </w:r>
    </w:p>
    <w:p>
      <w:pPr>
        <w:pStyle w:val="Normal"/>
        <w:numPr>
          <w:ilvl w:val="0"/>
          <w:numId w:val="3"/>
        </w:numPr>
        <w:jc w:val="both"/>
        <w:rPr>
          <w:rFonts w:ascii="Arial Narrow" w:hAnsi="Arial Narrow" w:cs="Arial"/>
          <w:lang w:val="fr-FR"/>
        </w:rPr>
      </w:pPr>
      <w:r>
        <w:rPr>
          <w:rFonts w:cs="Arial" w:ascii="Arial Narrow" w:hAnsi="Arial Narrow"/>
          <w:lang w:val="fr-FR"/>
        </w:rPr>
        <w:t>Taux d’atteinte France strictement inférieur à 95 % : Aucune prime ne sera versée.</w:t>
      </w:r>
    </w:p>
    <w:p>
      <w:pPr>
        <w:pStyle w:val="Normal"/>
        <w:numPr>
          <w:ilvl w:val="0"/>
          <w:numId w:val="3"/>
        </w:numPr>
        <w:jc w:val="both"/>
        <w:rPr>
          <w:rFonts w:ascii="Arial Narrow" w:hAnsi="Arial Narrow" w:cs="Arial"/>
          <w:lang w:val="fr-FR"/>
        </w:rPr>
      </w:pPr>
      <w:r>
        <w:rPr>
          <w:rFonts w:cs="Arial" w:ascii="Arial Narrow" w:hAnsi="Arial Narrow"/>
          <w:lang w:val="fr-FR"/>
        </w:rPr>
        <w:t>Taux d’atteinte France compris entre 95 % et 100 % inclus : Une prime de 750,00 € brut sera versée à chaque salarié éligible.</w:t>
      </w:r>
    </w:p>
    <w:p>
      <w:pPr>
        <w:pStyle w:val="Normal"/>
        <w:numPr>
          <w:ilvl w:val="0"/>
          <w:numId w:val="3"/>
        </w:numPr>
        <w:jc w:val="both"/>
        <w:rPr>
          <w:rFonts w:ascii="Arial Narrow" w:hAnsi="Arial Narrow" w:cs="Arial"/>
          <w:lang w:val="fr-FR"/>
        </w:rPr>
      </w:pPr>
      <w:r>
        <w:rPr>
          <w:rFonts w:cs="Arial" w:ascii="Arial Narrow" w:hAnsi="Arial Narrow"/>
          <w:lang w:val="fr-FR"/>
        </w:rPr>
        <w:t>Taux d’atteinte France strictement supérieur à 100 % : Une prime de 1 000,00 € brut sera versée à chaque salarié éligible.</w:t>
      </w:r>
    </w:p>
    <w:p>
      <w:pPr>
        <w:pStyle w:val="Normal"/>
        <w:jc w:val="both"/>
        <w:rPr>
          <w:rFonts w:ascii="Arial Narrow" w:hAnsi="Arial Narrow" w:cs="Arial"/>
          <w:lang w:val="fr-FR"/>
        </w:rPr>
      </w:pPr>
      <w:r>
        <w:rPr>
          <w:rFonts w:cs="Arial" w:ascii="Arial Narrow" w:hAnsi="Arial Narrow"/>
          <w:lang w:val="fr-FR"/>
        </w:rPr>
        <w:t> </w:t>
      </w:r>
    </w:p>
    <w:p>
      <w:pPr>
        <w:pStyle w:val="Normal"/>
        <w:jc w:val="both"/>
        <w:rPr>
          <w:rFonts w:ascii="Arial Narrow" w:hAnsi="Arial Narrow" w:cs="Tahoma"/>
          <w:b/>
          <w:bCs/>
          <w:i/>
          <w:i/>
          <w:lang w:val="fr-FR"/>
        </w:rPr>
      </w:pPr>
      <w:r>
        <w:rPr>
          <w:rFonts w:cs="Tahoma" w:ascii="Arial Narrow" w:hAnsi="Arial Narrow"/>
          <w:b/>
          <w:bCs/>
          <w:i/>
          <w:lang w:val="fr-FR"/>
        </w:rPr>
        <w:t xml:space="preserve">Exemple :  </w:t>
      </w:r>
    </w:p>
    <w:p>
      <w:pPr>
        <w:pStyle w:val="ListParagraph"/>
        <w:numPr>
          <w:ilvl w:val="0"/>
          <w:numId w:val="6"/>
        </w:numPr>
        <w:jc w:val="both"/>
        <w:rPr>
          <w:rFonts w:ascii="Arial Narrow" w:hAnsi="Arial Narrow" w:cs="Tahoma"/>
          <w:iCs/>
          <w:lang w:val="fr-FR"/>
        </w:rPr>
      </w:pPr>
      <w:r>
        <w:rPr>
          <w:rFonts w:cs="Tahoma" w:ascii="Arial Narrow" w:hAnsi="Arial Narrow"/>
          <w:iCs/>
          <w:lang w:val="fr-FR"/>
        </w:rPr>
        <w:t xml:space="preserve">Amfreville atteint à 98% </w:t>
      </w:r>
    </w:p>
    <w:p>
      <w:pPr>
        <w:pStyle w:val="ListParagraph"/>
        <w:numPr>
          <w:ilvl w:val="0"/>
          <w:numId w:val="6"/>
        </w:numPr>
        <w:jc w:val="both"/>
        <w:rPr>
          <w:rFonts w:ascii="Arial Narrow" w:hAnsi="Arial Narrow" w:cs="Tahoma"/>
          <w:iCs/>
          <w:lang w:val="fr-FR"/>
        </w:rPr>
      </w:pPr>
      <w:r>
        <w:rPr>
          <w:rFonts w:cs="Tahoma" w:ascii="Arial Narrow" w:hAnsi="Arial Narrow"/>
          <w:iCs/>
          <w:lang w:val="fr-FR"/>
        </w:rPr>
        <w:t xml:space="preserve">Charvieu atteint à 92% </w:t>
      </w:r>
    </w:p>
    <w:p>
      <w:pPr>
        <w:pStyle w:val="ListParagraph"/>
        <w:numPr>
          <w:ilvl w:val="0"/>
          <w:numId w:val="6"/>
        </w:numPr>
        <w:jc w:val="both"/>
        <w:rPr>
          <w:rFonts w:ascii="Arial Narrow" w:hAnsi="Arial Narrow" w:cs="Tahoma"/>
          <w:iCs/>
          <w:lang w:val="fr-FR"/>
        </w:rPr>
      </w:pPr>
      <w:r>
        <w:rPr>
          <w:rFonts w:cs="Tahoma" w:ascii="Arial Narrow" w:hAnsi="Arial Narrow"/>
          <w:iCs/>
          <w:lang w:val="fr-FR"/>
        </w:rPr>
        <w:t xml:space="preserve">Chavanoz atteint à 101% </w:t>
      </w:r>
    </w:p>
    <w:p>
      <w:pPr>
        <w:pStyle w:val="ListParagraph"/>
        <w:numPr>
          <w:ilvl w:val="0"/>
          <w:numId w:val="6"/>
        </w:numPr>
        <w:jc w:val="both"/>
        <w:rPr>
          <w:rFonts w:ascii="Arial Narrow" w:hAnsi="Arial Narrow" w:cs="Tahoma"/>
          <w:iCs/>
          <w:lang w:val="fr-FR"/>
        </w:rPr>
      </w:pPr>
      <w:r>
        <w:rPr>
          <w:rFonts w:cs="Tahoma" w:ascii="Arial Narrow" w:hAnsi="Arial Narrow"/>
          <w:iCs/>
          <w:lang w:val="fr-FR"/>
        </w:rPr>
        <w:t xml:space="preserve">Cornimont atteint à 98% </w:t>
      </w:r>
    </w:p>
    <w:p>
      <w:pPr>
        <w:pStyle w:val="ListParagraph"/>
        <w:numPr>
          <w:ilvl w:val="0"/>
          <w:numId w:val="6"/>
        </w:numPr>
        <w:jc w:val="both"/>
        <w:rPr>
          <w:rFonts w:ascii="Arial Narrow" w:hAnsi="Arial Narrow" w:cs="Tahoma"/>
          <w:iCs/>
          <w:lang w:val="fr-FR"/>
        </w:rPr>
      </w:pPr>
      <w:r>
        <w:rPr>
          <w:rFonts w:cs="Tahoma" w:ascii="Arial Narrow" w:hAnsi="Arial Narrow"/>
          <w:iCs/>
          <w:lang w:val="fr-FR"/>
        </w:rPr>
        <w:t xml:space="preserve">Gron atteint à 91% </w:t>
      </w:r>
    </w:p>
    <w:p>
      <w:pPr>
        <w:pStyle w:val="ListParagraph"/>
        <w:numPr>
          <w:ilvl w:val="0"/>
          <w:numId w:val="6"/>
        </w:numPr>
        <w:jc w:val="both"/>
        <w:rPr>
          <w:rFonts w:ascii="Arial Narrow" w:hAnsi="Arial Narrow" w:cs="Tahoma"/>
          <w:iCs/>
          <w:lang w:val="fr-FR"/>
        </w:rPr>
      </w:pPr>
      <w:r>
        <w:rPr>
          <w:rFonts w:cs="Tahoma" w:ascii="Arial Narrow" w:hAnsi="Arial Narrow"/>
          <w:iCs/>
          <w:lang w:val="fr-FR"/>
        </w:rPr>
        <w:t xml:space="preserve">Montereau atteint à 95% </w:t>
      </w:r>
    </w:p>
    <w:p>
      <w:pPr>
        <w:pStyle w:val="ListParagraph"/>
        <w:numPr>
          <w:ilvl w:val="0"/>
          <w:numId w:val="6"/>
        </w:numPr>
        <w:jc w:val="both"/>
        <w:rPr>
          <w:rFonts w:ascii="Arial Narrow" w:hAnsi="Arial Narrow" w:cs="Tahoma"/>
          <w:iCs/>
          <w:lang w:val="fr-FR"/>
        </w:rPr>
      </w:pPr>
      <w:r>
        <w:rPr>
          <w:rFonts w:cs="Tahoma" w:ascii="Arial Narrow" w:hAnsi="Arial Narrow"/>
          <w:iCs/>
          <w:lang w:val="fr-FR"/>
        </w:rPr>
        <w:t xml:space="preserve">Paron atteint à 97% </w:t>
      </w:r>
    </w:p>
    <w:p>
      <w:pPr>
        <w:pStyle w:val="ListParagraph"/>
        <w:jc w:val="both"/>
        <w:rPr>
          <w:rFonts w:ascii="Arial Narrow" w:hAnsi="Arial Narrow" w:cs="Tahoma"/>
          <w:iCs/>
          <w:lang w:val="fr-FR"/>
        </w:rPr>
      </w:pPr>
      <w:r>
        <w:rPr>
          <w:rFonts w:cs="Tahoma" w:ascii="Arial Narrow" w:hAnsi="Arial Narrow"/>
          <w:iCs/>
          <w:lang w:val="fr-FR"/>
        </w:rPr>
      </w:r>
    </w:p>
    <w:p>
      <w:pPr>
        <w:pStyle w:val="Normal"/>
        <w:ind w:firstLine="360"/>
        <w:jc w:val="both"/>
        <w:rPr>
          <w:rFonts w:ascii="Arial Narrow" w:hAnsi="Arial Narrow" w:cs="Tahoma"/>
          <w:iCs/>
          <w:lang w:val="fr-FR"/>
        </w:rPr>
      </w:pPr>
      <w:r>
        <w:rPr>
          <w:rFonts w:cs="Tahoma" w:ascii="Arial Narrow" w:hAnsi="Arial Narrow"/>
          <w:b/>
          <w:bCs/>
          <w:iCs/>
          <w:lang w:val="fr-FR"/>
        </w:rPr>
        <w:t>Total</w:t>
      </w:r>
      <w:r>
        <w:rPr>
          <w:rFonts w:cs="Tahoma" w:ascii="Arial Narrow" w:hAnsi="Arial Narrow"/>
          <w:iCs/>
          <w:lang w:val="fr-FR"/>
        </w:rPr>
        <w:t xml:space="preserve"> = 98 + 92 + 101 + 98 + 91 + 95 + 97 = 672% </w:t>
      </w:r>
    </w:p>
    <w:p>
      <w:pPr>
        <w:pStyle w:val="Normal"/>
        <w:ind w:firstLine="360"/>
        <w:jc w:val="both"/>
        <w:rPr>
          <w:rFonts w:ascii="Arial Narrow" w:hAnsi="Arial Narrow" w:cs="Tahoma"/>
          <w:iCs/>
          <w:lang w:val="fr-FR"/>
        </w:rPr>
      </w:pPr>
      <w:r>
        <w:rPr>
          <w:rFonts w:cs="Tahoma" w:ascii="Arial Narrow" w:hAnsi="Arial Narrow"/>
          <w:b/>
          <w:bCs/>
          <w:iCs/>
          <w:lang w:val="fr-FR"/>
        </w:rPr>
        <w:t>Taux moyen</w:t>
      </w:r>
      <w:r>
        <w:rPr>
          <w:rFonts w:cs="Tahoma" w:ascii="Arial Narrow" w:hAnsi="Arial Narrow"/>
          <w:iCs/>
          <w:lang w:val="fr-FR"/>
        </w:rPr>
        <w:t xml:space="preserve"> = 672 / 7 = 96% </w:t>
      </w:r>
    </w:p>
    <w:p>
      <w:pPr>
        <w:pStyle w:val="Normal"/>
        <w:ind w:firstLine="360"/>
        <w:jc w:val="both"/>
        <w:rPr>
          <w:rFonts w:ascii="Arial Narrow" w:hAnsi="Arial Narrow" w:cs="Tahoma"/>
          <w:iCs/>
          <w:lang w:val="fr-FR"/>
        </w:rPr>
      </w:pPr>
      <w:r>
        <w:rPr>
          <w:rFonts w:cs="Tahoma" w:ascii="Arial Narrow" w:hAnsi="Arial Narrow"/>
          <w:b/>
          <w:bCs/>
          <w:iCs/>
          <w:lang w:val="fr-FR"/>
        </w:rPr>
        <w:t>Prime versée</w:t>
      </w:r>
      <w:r>
        <w:rPr>
          <w:rFonts w:cs="Tahoma" w:ascii="Arial Narrow" w:hAnsi="Arial Narrow"/>
          <w:iCs/>
          <w:lang w:val="fr-FR"/>
        </w:rPr>
        <w:t xml:space="preserve"> : 750,00 € brut</w:t>
      </w:r>
    </w:p>
    <w:p>
      <w:pPr>
        <w:pStyle w:val="Normal"/>
        <w:jc w:val="both"/>
        <w:rPr>
          <w:rFonts w:ascii="Arial Narrow" w:hAnsi="Arial Narrow" w:cs="Tahoma"/>
          <w:iCs/>
          <w:lang w:val="fr-FR"/>
        </w:rPr>
      </w:pPr>
      <w:r>
        <w:rPr>
          <w:rFonts w:cs="Tahoma" w:ascii="Arial Narrow" w:hAnsi="Arial Narrow"/>
          <w:iCs/>
          <w:lang w:val="fr-FR"/>
        </w:rPr>
      </w:r>
    </w:p>
    <w:p>
      <w:pPr>
        <w:pStyle w:val="Normal"/>
        <w:jc w:val="both"/>
        <w:rPr>
          <w:rFonts w:ascii="Arial Narrow" w:hAnsi="Arial Narrow" w:cs="Tahoma"/>
          <w:iCs/>
          <w:lang w:val="fr-FR"/>
        </w:rPr>
      </w:pPr>
      <w:r>
        <w:rPr>
          <w:rFonts w:cs="Tahoma" w:ascii="Arial Narrow" w:hAnsi="Arial Narrow"/>
          <w:iCs/>
          <w:lang w:val="fr-FR"/>
        </w:rPr>
      </w:r>
    </w:p>
    <w:p>
      <w:pPr>
        <w:pStyle w:val="Normal"/>
        <w:jc w:val="both"/>
        <w:rPr>
          <w:rFonts w:ascii="Arial Narrow" w:hAnsi="Arial Narrow" w:cs="Arial"/>
          <w:b/>
          <w:color w:val="4F81BD" w:themeColor="accent1"/>
        </w:rPr>
      </w:pPr>
      <w:r>
        <w:rPr>
          <w:rFonts w:cs="Arial" w:ascii="Arial Narrow" w:hAnsi="Arial Narrow"/>
          <w:b/>
          <w:color w:val="4F81BD" w:themeColor="accent1"/>
        </w:rPr>
        <w:t xml:space="preserve">Article 3 : </w:t>
      </w:r>
      <w:r>
        <w:rPr>
          <w:rFonts w:cs="Arial" w:ascii="Arial Narrow" w:hAnsi="Arial Narrow"/>
          <w:b/>
          <w:bCs/>
          <w:color w:val="4F81BD" w:themeColor="accent1"/>
          <w:lang w:val="fr-FR"/>
        </w:rPr>
        <w:t>Modalités de versement de la prime liée à l’atteinte des objectifs 2025</w:t>
      </w:r>
    </w:p>
    <w:p>
      <w:pPr>
        <w:pStyle w:val="Normal"/>
        <w:jc w:val="both"/>
        <w:rPr>
          <w:rFonts w:ascii="Arial Narrow" w:hAnsi="Arial Narrow" w:cs="Tahoma"/>
          <w:b/>
          <w:bCs/>
          <w:iCs/>
        </w:rPr>
      </w:pPr>
      <w:r>
        <w:rPr>
          <w:rFonts w:cs="Tahoma" w:ascii="Arial Narrow" w:hAnsi="Arial Narrow"/>
          <w:b/>
          <w:bCs/>
          <w:iCs/>
        </w:rPr>
      </w:r>
    </w:p>
    <w:p>
      <w:pPr>
        <w:pStyle w:val="Normal"/>
        <w:jc w:val="both"/>
        <w:rPr>
          <w:rFonts w:ascii="Arial Narrow" w:hAnsi="Arial Narrow" w:cs="Arial"/>
          <w:lang w:val="fr-FR"/>
        </w:rPr>
      </w:pPr>
      <w:r>
        <w:rPr>
          <w:rFonts w:cs="Arial" w:ascii="Arial Narrow" w:hAnsi="Arial Narrow"/>
          <w:lang w:val="fr-FR"/>
        </w:rPr>
        <w:t>Conformément aux dispositions de l’article 2, et sous réserve de l’atteinte des critères de performance fixés pour l’année 2025, les salariés éligibles, tels que définis à l’article 1, auront la possibilité de choisir entre deux modalités de versement de cette prime :</w:t>
      </w:r>
    </w:p>
    <w:p>
      <w:pPr>
        <w:pStyle w:val="Normal"/>
        <w:jc w:val="both"/>
        <w:rPr>
          <w:rFonts w:ascii="Arial Narrow" w:hAnsi="Arial Narrow" w:cs="Arial"/>
          <w:lang w:val="fr-FR"/>
        </w:rPr>
      </w:pPr>
      <w:r>
        <w:rPr>
          <w:rFonts w:cs="Arial" w:ascii="Arial Narrow" w:hAnsi="Arial Narrow"/>
          <w:lang w:val="fr-FR"/>
        </w:rPr>
      </w:r>
    </w:p>
    <w:p>
      <w:pPr>
        <w:pStyle w:val="Normal"/>
        <w:numPr>
          <w:ilvl w:val="0"/>
          <w:numId w:val="4"/>
        </w:numPr>
        <w:jc w:val="both"/>
        <w:rPr>
          <w:rFonts w:ascii="Arial Narrow" w:hAnsi="Arial Narrow" w:cs="Arial"/>
          <w:u w:val="single"/>
          <w:lang w:val="fr-FR"/>
        </w:rPr>
      </w:pPr>
      <w:r>
        <w:rPr>
          <w:rFonts w:cs="Arial" w:ascii="Arial Narrow" w:hAnsi="Arial Narrow"/>
          <w:u w:val="single"/>
          <w:lang w:val="fr-FR"/>
        </w:rPr>
        <w:t>Versement en numéraire</w:t>
      </w:r>
    </w:p>
    <w:p>
      <w:pPr>
        <w:pStyle w:val="Normal"/>
        <w:ind w:left="709" w:hanging="0"/>
        <w:jc w:val="both"/>
        <w:rPr>
          <w:rFonts w:ascii="Arial Narrow" w:hAnsi="Arial Narrow" w:cs="Arial"/>
          <w:lang w:val="fr-FR"/>
        </w:rPr>
      </w:pPr>
      <w:r>
        <w:rPr>
          <w:rFonts w:cs="Arial" w:ascii="Arial Narrow" w:hAnsi="Arial Narrow"/>
          <w:lang w:val="fr-FR"/>
        </w:rPr>
        <w:t>Le salarié pourra opter pour le versement de la prime sous forme d’une prime exceptionnelle. Celle-ci sera versée sur la paie d’avril 2026 selon les modalités habituelles, et soumise aux charges sociales et fiscales en vigueur.</w:t>
      </w:r>
    </w:p>
    <w:p>
      <w:pPr>
        <w:pStyle w:val="Normal"/>
        <w:ind w:left="709" w:hanging="0"/>
        <w:jc w:val="both"/>
        <w:rPr>
          <w:rFonts w:ascii="Arial Narrow" w:hAnsi="Arial Narrow" w:cs="Arial"/>
          <w:lang w:val="fr-FR"/>
        </w:rPr>
      </w:pPr>
      <w:r>
        <w:rPr>
          <w:rFonts w:cs="Arial" w:ascii="Arial Narrow" w:hAnsi="Arial Narrow"/>
          <w:lang w:val="fr-FR"/>
        </w:rPr>
      </w:r>
    </w:p>
    <w:p>
      <w:pPr>
        <w:pStyle w:val="Normal"/>
        <w:ind w:left="720" w:hanging="0"/>
        <w:jc w:val="both"/>
        <w:rPr>
          <w:rFonts w:ascii="Arial Narrow" w:hAnsi="Arial Narrow" w:cs="Arial"/>
          <w:lang w:val="fr-FR"/>
        </w:rPr>
      </w:pPr>
      <w:r>
        <w:rPr>
          <w:rFonts w:cs="Arial" w:ascii="Arial Narrow" w:hAnsi="Arial Narrow"/>
          <w:lang w:val="fr-FR"/>
        </w:rPr>
      </w:r>
    </w:p>
    <w:p>
      <w:pPr>
        <w:pStyle w:val="Normal"/>
        <w:numPr>
          <w:ilvl w:val="0"/>
          <w:numId w:val="4"/>
        </w:numPr>
        <w:jc w:val="both"/>
        <w:rPr>
          <w:rFonts w:ascii="Arial Narrow" w:hAnsi="Arial Narrow" w:cs="Arial"/>
          <w:u w:val="single"/>
          <w:lang w:val="fr-FR"/>
        </w:rPr>
      </w:pPr>
      <w:r>
        <w:rPr>
          <w:rFonts w:cs="Arial" w:ascii="Arial Narrow" w:hAnsi="Arial Narrow"/>
          <w:u w:val="single"/>
          <w:lang w:val="fr-FR"/>
        </w:rPr>
        <w:t>Conversion en actions « Be In »</w:t>
      </w:r>
    </w:p>
    <w:p>
      <w:pPr>
        <w:pStyle w:val="Normal"/>
        <w:ind w:left="720" w:hanging="0"/>
        <w:jc w:val="both"/>
        <w:rPr>
          <w:rFonts w:ascii="Arial Narrow" w:hAnsi="Arial Narrow" w:cs="Arial"/>
          <w:iCs/>
        </w:rPr>
      </w:pPr>
      <w:r>
        <w:rPr>
          <w:rFonts w:cs="Arial" w:ascii="Arial Narrow" w:hAnsi="Arial Narrow"/>
          <w:lang w:val="fr-FR"/>
        </w:rPr>
        <w:t xml:space="preserve">Le salarié pourra également choisir de convertir la totalité de cette prime en actions dites « Be In ». </w:t>
      </w:r>
      <w:r>
        <w:rPr>
          <w:rFonts w:cs="Arial" w:ascii="Arial Narrow" w:hAnsi="Arial Narrow"/>
          <w:iCs/>
        </w:rPr>
        <w:t>Le plan BE IN prévoit la possibilité pour les salariés de recevoir le montant de la prime selon l’objectif atteint en actions Prysmian ainsi qu’une prime équivalente dite de “convertion”d’un montant de 50% du montant initial en actions Prysmian, versées en mai 2026.</w:t>
      </w:r>
    </w:p>
    <w:p>
      <w:pPr>
        <w:pStyle w:val="Normal"/>
        <w:ind w:left="720" w:hanging="0"/>
        <w:jc w:val="both"/>
        <w:rPr>
          <w:rFonts w:ascii="Arial Narrow" w:hAnsi="Arial Narrow" w:cs="Arial"/>
        </w:rPr>
      </w:pPr>
      <w:r>
        <w:rPr>
          <w:rFonts w:cs="Arial" w:ascii="Arial Narrow" w:hAnsi="Arial Narrow"/>
        </w:rPr>
      </w:r>
    </w:p>
    <w:tbl>
      <w:tblPr>
        <w:tblW w:w="6440" w:type="dxa"/>
        <w:jc w:val="center"/>
        <w:tblInd w:w="0" w:type="dxa"/>
        <w:tblLayout w:type="fixed"/>
        <w:tblCellMar>
          <w:top w:w="0" w:type="dxa"/>
          <w:left w:w="70" w:type="dxa"/>
          <w:bottom w:w="0" w:type="dxa"/>
          <w:right w:w="70" w:type="dxa"/>
        </w:tblCellMar>
        <w:tblLook w:firstRow="1" w:noVBand="1" w:lastRow="0" w:firstColumn="1" w:lastColumn="0" w:noHBand="0" w:val="04a0"/>
      </w:tblPr>
      <w:tblGrid>
        <w:gridCol w:w="2644"/>
        <w:gridCol w:w="1643"/>
        <w:gridCol w:w="2153"/>
      </w:tblGrid>
      <w:tr>
        <w:trPr>
          <w:trHeight w:val="315" w:hRule="atLeast"/>
        </w:trPr>
        <w:tc>
          <w:tcPr>
            <w:tcW w:w="2644"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jc w:val="center"/>
              <w:rPr>
                <w:rFonts w:ascii="Arial Narrow" w:hAnsi="Arial Narrow" w:eastAsia="Times New Roman" w:cs="Calibri"/>
                <w:color w:val="000000"/>
                <w:lang w:val="fr-FR" w:eastAsia="fr-FR"/>
              </w:rPr>
            </w:pPr>
            <w:r>
              <w:rPr>
                <w:rFonts w:eastAsia="Times New Roman" w:cs="Calibri" w:ascii="Arial Narrow" w:hAnsi="Arial Narrow"/>
                <w:color w:val="000000"/>
                <w:lang w:val="fr-FR" w:eastAsia="fr-FR"/>
              </w:rPr>
              <w:t>Atteinte objectif 2025</w:t>
            </w:r>
          </w:p>
        </w:tc>
        <w:tc>
          <w:tcPr>
            <w:tcW w:w="1643" w:type="dxa"/>
            <w:tcBorders>
              <w:top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Narrow" w:hAnsi="Arial Narrow" w:eastAsia="Times New Roman" w:cs="Calibri"/>
                <w:color w:val="000000"/>
                <w:lang w:val="fr-FR" w:eastAsia="fr-FR"/>
              </w:rPr>
            </w:pPr>
            <w:r>
              <w:rPr>
                <w:rFonts w:eastAsia="Times New Roman" w:cs="Calibri" w:ascii="Arial Narrow" w:hAnsi="Arial Narrow"/>
                <w:color w:val="000000"/>
                <w:lang w:val="fr-FR" w:eastAsia="fr-FR"/>
              </w:rPr>
              <w:t>Prime immédiate</w:t>
            </w:r>
          </w:p>
        </w:tc>
        <w:tc>
          <w:tcPr>
            <w:tcW w:w="2153" w:type="dxa"/>
            <w:tcBorders>
              <w:top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Narrow" w:hAnsi="Arial Narrow" w:eastAsia="Times New Roman" w:cs="Calibri"/>
                <w:color w:val="000000"/>
                <w:lang w:val="fr-FR" w:eastAsia="fr-FR"/>
              </w:rPr>
            </w:pPr>
            <w:r>
              <w:rPr>
                <w:rFonts w:eastAsia="Times New Roman" w:cs="Calibri" w:ascii="Arial Narrow" w:hAnsi="Arial Narrow"/>
                <w:color w:val="000000"/>
                <w:lang w:val="fr-FR" w:eastAsia="fr-FR"/>
              </w:rPr>
              <w:t>Conversion en Be in</w:t>
            </w:r>
          </w:p>
        </w:tc>
      </w:tr>
      <w:tr>
        <w:trPr>
          <w:trHeight w:val="315" w:hRule="atLeast"/>
        </w:trPr>
        <w:tc>
          <w:tcPr>
            <w:tcW w:w="2644"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eastAsia="Times New Roman" w:cs="Calibri"/>
                <w:color w:val="000000"/>
                <w:lang w:val="fr-FR" w:eastAsia="fr-FR"/>
              </w:rPr>
            </w:pPr>
            <w:r>
              <w:rPr>
                <w:rFonts w:eastAsia="Times New Roman" w:cs="Calibri" w:ascii="Arial Narrow" w:hAnsi="Arial Narrow"/>
                <w:color w:val="000000"/>
                <w:lang w:val="fr-FR" w:eastAsia="fr-FR"/>
              </w:rPr>
              <w:t xml:space="preserve">strictement inférieur à 95 % </w:t>
            </w:r>
          </w:p>
        </w:tc>
        <w:tc>
          <w:tcPr>
            <w:tcW w:w="1643" w:type="dxa"/>
            <w:tcBorders>
              <w:bottom w:val="single" w:sz="4" w:space="0" w:color="000000"/>
              <w:right w:val="single" w:sz="4" w:space="0" w:color="000000"/>
            </w:tcBorders>
            <w:shd w:color="auto" w:fill="auto" w:val="clear"/>
            <w:vAlign w:val="center"/>
          </w:tcPr>
          <w:p>
            <w:pPr>
              <w:pStyle w:val="Normal"/>
              <w:widowControl w:val="false"/>
              <w:jc w:val="center"/>
              <w:rPr>
                <w:rFonts w:ascii="Arial Narrow" w:hAnsi="Arial Narrow" w:eastAsia="Times New Roman" w:cs="Calibri"/>
                <w:color w:val="000000"/>
                <w:lang w:val="fr-FR" w:eastAsia="fr-FR"/>
              </w:rPr>
            </w:pPr>
            <w:r>
              <w:rPr>
                <w:rFonts w:eastAsia="Times New Roman" w:cs="Calibri" w:ascii="Arial Narrow" w:hAnsi="Arial Narrow"/>
                <w:color w:val="000000"/>
                <w:lang w:val="fr-FR" w:eastAsia="fr-FR"/>
              </w:rPr>
              <w:t xml:space="preserve">0€ brut </w:t>
            </w:r>
          </w:p>
        </w:tc>
        <w:tc>
          <w:tcPr>
            <w:tcW w:w="2153" w:type="dxa"/>
            <w:tcBorders>
              <w:bottom w:val="single" w:sz="4" w:space="0" w:color="000000"/>
              <w:right w:val="single" w:sz="4" w:space="0" w:color="000000"/>
            </w:tcBorders>
            <w:shd w:color="auto" w:fill="auto" w:val="clear"/>
            <w:vAlign w:val="center"/>
          </w:tcPr>
          <w:p>
            <w:pPr>
              <w:pStyle w:val="Normal"/>
              <w:widowControl w:val="false"/>
              <w:jc w:val="center"/>
              <w:rPr>
                <w:rFonts w:ascii="Arial Narrow" w:hAnsi="Arial Narrow" w:eastAsia="Times New Roman" w:cs="Calibri"/>
                <w:color w:val="000000"/>
                <w:lang w:val="fr-FR" w:eastAsia="fr-FR"/>
              </w:rPr>
            </w:pPr>
            <w:r>
              <w:rPr>
                <w:rFonts w:eastAsia="Times New Roman" w:cs="Calibri" w:ascii="Arial Narrow" w:hAnsi="Arial Narrow"/>
                <w:color w:val="000000"/>
                <w:lang w:val="fr-FR" w:eastAsia="fr-FR"/>
              </w:rPr>
              <w:t>0€ brut</w:t>
            </w:r>
          </w:p>
        </w:tc>
      </w:tr>
      <w:tr>
        <w:trPr>
          <w:trHeight w:val="315" w:hRule="atLeast"/>
        </w:trPr>
        <w:tc>
          <w:tcPr>
            <w:tcW w:w="2644"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eastAsia="Times New Roman" w:cs="Calibri"/>
                <w:color w:val="000000"/>
                <w:lang w:val="fr-FR" w:eastAsia="fr-FR"/>
              </w:rPr>
            </w:pPr>
            <w:r>
              <w:rPr>
                <w:rFonts w:eastAsia="Times New Roman" w:cs="Calibri" w:ascii="Arial Narrow" w:hAnsi="Arial Narrow"/>
                <w:color w:val="000000"/>
                <w:lang w:val="fr-FR" w:eastAsia="fr-FR"/>
              </w:rPr>
              <w:t xml:space="preserve">entre 95 % et 100 % inclus </w:t>
            </w:r>
          </w:p>
        </w:tc>
        <w:tc>
          <w:tcPr>
            <w:tcW w:w="1643" w:type="dxa"/>
            <w:tcBorders>
              <w:bottom w:val="single" w:sz="4" w:space="0" w:color="000000"/>
              <w:right w:val="single" w:sz="4" w:space="0" w:color="000000"/>
            </w:tcBorders>
            <w:shd w:color="auto" w:fill="auto" w:val="clear"/>
            <w:vAlign w:val="center"/>
          </w:tcPr>
          <w:p>
            <w:pPr>
              <w:pStyle w:val="Normal"/>
              <w:widowControl w:val="false"/>
              <w:jc w:val="center"/>
              <w:rPr>
                <w:rFonts w:ascii="Arial Narrow" w:hAnsi="Arial Narrow" w:eastAsia="Times New Roman" w:cs="Calibri"/>
                <w:color w:val="000000"/>
                <w:lang w:val="fr-FR" w:eastAsia="fr-FR"/>
              </w:rPr>
            </w:pPr>
            <w:r>
              <w:rPr>
                <w:rFonts w:eastAsia="Times New Roman" w:cs="Calibri" w:ascii="Arial Narrow" w:hAnsi="Arial Narrow"/>
                <w:color w:val="000000"/>
                <w:lang w:val="fr-FR" w:eastAsia="fr-FR"/>
              </w:rPr>
              <w:t xml:space="preserve">750€ brut </w:t>
            </w:r>
          </w:p>
        </w:tc>
        <w:tc>
          <w:tcPr>
            <w:tcW w:w="2153" w:type="dxa"/>
            <w:tcBorders>
              <w:bottom w:val="single" w:sz="4" w:space="0" w:color="000000"/>
              <w:right w:val="single" w:sz="4" w:space="0" w:color="000000"/>
            </w:tcBorders>
            <w:shd w:color="auto" w:fill="auto" w:val="clear"/>
            <w:vAlign w:val="center"/>
          </w:tcPr>
          <w:p>
            <w:pPr>
              <w:pStyle w:val="Normal"/>
              <w:widowControl w:val="false"/>
              <w:jc w:val="center"/>
              <w:rPr>
                <w:rFonts w:ascii="Arial Narrow" w:hAnsi="Arial Narrow" w:eastAsia="Times New Roman" w:cs="Calibri"/>
                <w:color w:val="000000"/>
                <w:lang w:val="fr-FR" w:eastAsia="fr-FR"/>
              </w:rPr>
            </w:pPr>
            <w:r>
              <w:rPr>
                <w:rFonts w:eastAsia="Times New Roman" w:cs="Calibri" w:ascii="Arial Narrow" w:hAnsi="Arial Narrow"/>
                <w:color w:val="000000"/>
                <w:lang w:val="fr-FR" w:eastAsia="fr-FR"/>
              </w:rPr>
              <w:t xml:space="preserve">1125€ brut </w:t>
            </w:r>
          </w:p>
        </w:tc>
      </w:tr>
      <w:tr>
        <w:trPr>
          <w:trHeight w:val="315" w:hRule="atLeast"/>
        </w:trPr>
        <w:tc>
          <w:tcPr>
            <w:tcW w:w="2644" w:type="dxa"/>
            <w:tcBorders>
              <w:left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eastAsia="Times New Roman" w:cs="Calibri"/>
                <w:color w:val="000000"/>
                <w:lang w:val="fr-FR" w:eastAsia="fr-FR"/>
              </w:rPr>
            </w:pPr>
            <w:r>
              <w:rPr>
                <w:rFonts w:eastAsia="Times New Roman" w:cs="Calibri" w:ascii="Arial Narrow" w:hAnsi="Arial Narrow"/>
                <w:color w:val="000000"/>
                <w:lang w:val="fr-FR" w:eastAsia="fr-FR"/>
              </w:rPr>
              <w:t xml:space="preserve">strictement supérieur à 100 % </w:t>
            </w:r>
          </w:p>
        </w:tc>
        <w:tc>
          <w:tcPr>
            <w:tcW w:w="1643" w:type="dxa"/>
            <w:tcBorders>
              <w:bottom w:val="single" w:sz="4" w:space="0" w:color="000000"/>
              <w:right w:val="single" w:sz="4" w:space="0" w:color="000000"/>
            </w:tcBorders>
            <w:shd w:color="auto" w:fill="auto" w:val="clear"/>
            <w:vAlign w:val="center"/>
          </w:tcPr>
          <w:p>
            <w:pPr>
              <w:pStyle w:val="Normal"/>
              <w:widowControl w:val="false"/>
              <w:jc w:val="center"/>
              <w:rPr>
                <w:rFonts w:ascii="Arial Narrow" w:hAnsi="Arial Narrow" w:eastAsia="Times New Roman" w:cs="Calibri"/>
                <w:color w:val="000000"/>
                <w:lang w:val="fr-FR" w:eastAsia="fr-FR"/>
              </w:rPr>
            </w:pPr>
            <w:r>
              <w:rPr>
                <w:rFonts w:eastAsia="Times New Roman" w:cs="Calibri" w:ascii="Arial Narrow" w:hAnsi="Arial Narrow"/>
                <w:color w:val="000000"/>
                <w:lang w:val="fr-FR" w:eastAsia="fr-FR"/>
              </w:rPr>
              <w:t>1000€ brut</w:t>
            </w:r>
          </w:p>
        </w:tc>
        <w:tc>
          <w:tcPr>
            <w:tcW w:w="2153" w:type="dxa"/>
            <w:tcBorders>
              <w:bottom w:val="single" w:sz="4" w:space="0" w:color="000000"/>
              <w:right w:val="single" w:sz="4" w:space="0" w:color="000000"/>
            </w:tcBorders>
            <w:shd w:color="auto" w:fill="auto" w:val="clear"/>
            <w:vAlign w:val="center"/>
          </w:tcPr>
          <w:p>
            <w:pPr>
              <w:pStyle w:val="Normal"/>
              <w:widowControl w:val="false"/>
              <w:jc w:val="center"/>
              <w:rPr>
                <w:rFonts w:ascii="Arial Narrow" w:hAnsi="Arial Narrow" w:eastAsia="Times New Roman" w:cs="Calibri"/>
                <w:color w:val="000000"/>
                <w:lang w:val="fr-FR" w:eastAsia="fr-FR"/>
              </w:rPr>
            </w:pPr>
            <w:r>
              <w:rPr>
                <w:rFonts w:eastAsia="Times New Roman" w:cs="Calibri" w:ascii="Arial Narrow" w:hAnsi="Arial Narrow"/>
                <w:color w:val="000000"/>
                <w:lang w:val="fr-FR" w:eastAsia="fr-FR"/>
              </w:rPr>
              <w:t>1500€ brut</w:t>
            </w:r>
          </w:p>
        </w:tc>
      </w:tr>
    </w:tbl>
    <w:p>
      <w:pPr>
        <w:pStyle w:val="Normal"/>
        <w:jc w:val="both"/>
        <w:rPr>
          <w:rFonts w:ascii="Arial Narrow" w:hAnsi="Arial Narrow" w:cs="Arial"/>
          <w:lang w:val="fr-FR"/>
        </w:rPr>
      </w:pPr>
      <w:r>
        <w:rPr>
          <w:rFonts w:cs="Arial" w:ascii="Arial Narrow" w:hAnsi="Arial Narrow"/>
          <w:lang w:val="fr-FR"/>
        </w:rPr>
      </w:r>
    </w:p>
    <w:p>
      <w:pPr>
        <w:pStyle w:val="Normal"/>
        <w:jc w:val="both"/>
        <w:rPr>
          <w:rFonts w:ascii="Arial Narrow" w:hAnsi="Arial Narrow" w:cs="Arial"/>
          <w:lang w:val="fr-FR"/>
        </w:rPr>
      </w:pPr>
      <w:r>
        <w:rPr>
          <w:rFonts w:cs="Arial" w:ascii="Arial Narrow" w:hAnsi="Arial Narrow"/>
          <w:lang w:val="fr-FR"/>
        </w:rPr>
        <w:t>Le choix du salarié devra être exprimé selon des modalités et dans un délai qui seront précisés ultérieurement par la Direction.</w:t>
      </w:r>
    </w:p>
    <w:p>
      <w:pPr>
        <w:pStyle w:val="Normal"/>
        <w:jc w:val="both"/>
        <w:rPr>
          <w:rFonts w:ascii="Arial Narrow" w:hAnsi="Arial Narrow" w:cs="Arial"/>
          <w:lang w:val="fr-FR"/>
        </w:rPr>
      </w:pPr>
      <w:r>
        <w:rPr>
          <w:rFonts w:cs="Arial" w:ascii="Arial Narrow" w:hAnsi="Arial Narrow"/>
          <w:lang w:val="fr-FR"/>
        </w:rPr>
        <w:t xml:space="preserve">  </w:t>
      </w:r>
    </w:p>
    <w:p>
      <w:pPr>
        <w:pStyle w:val="Normal"/>
        <w:jc w:val="both"/>
        <w:rPr>
          <w:rFonts w:ascii="Arial Narrow" w:hAnsi="Arial Narrow" w:cs="Arial"/>
          <w:iCs/>
        </w:rPr>
      </w:pPr>
      <w:r>
        <w:rPr>
          <w:rFonts w:cs="Arial" w:ascii="Arial Narrow" w:hAnsi="Arial Narrow"/>
          <w:iCs/>
        </w:rPr>
        <w:t>Ces actions (base + convertion) peuvent être entièrement disponibles dès l'attribution. La valorisation sera appréciée au moment de la distribution. Afin de simplifier pour les salariés le processus lié au paiement de ces charges, Prysmian a mis en place le SELL TO COVER (STC). Il s’agit d’un mécanisme par lequel, au moment même de l’attribution, une partie des actions attribuées est vendue pour couvrir les charges fiscales et sociales découlant de l'attribution elle-même.</w:t>
      </w:r>
    </w:p>
    <w:p>
      <w:pPr>
        <w:pStyle w:val="Normal"/>
        <w:jc w:val="both"/>
        <w:rPr>
          <w:rFonts w:ascii="Arial Narrow" w:hAnsi="Arial Narrow" w:cs="Arial"/>
          <w:iCs/>
        </w:rPr>
      </w:pPr>
      <w:r>
        <w:rPr>
          <w:rFonts w:cs="Arial" w:ascii="Arial Narrow" w:hAnsi="Arial Narrow"/>
          <w:iCs/>
        </w:rPr>
      </w:r>
    </w:p>
    <w:p>
      <w:pPr>
        <w:pStyle w:val="Normal"/>
        <w:jc w:val="both"/>
        <w:rPr>
          <w:rFonts w:ascii="Arial Narrow" w:hAnsi="Arial Narrow" w:cs="Arial"/>
          <w:iCs/>
        </w:rPr>
      </w:pPr>
      <w:r>
        <w:rPr>
          <w:rFonts w:cs="Arial" w:ascii="Arial Narrow" w:hAnsi="Arial Narrow"/>
          <w:iCs/>
        </w:rPr>
        <w:t>Pour rappel, les actions (base + convertion) qui seront attribuées en mai 2026 pourront être vendues en tout ou en partie.</w:t>
      </w:r>
    </w:p>
    <w:p>
      <w:pPr>
        <w:pStyle w:val="Normal"/>
        <w:jc w:val="both"/>
        <w:rPr>
          <w:rFonts w:ascii="Arial Narrow" w:hAnsi="Arial Narrow" w:cs="Arial"/>
        </w:rPr>
      </w:pPr>
      <w:r>
        <w:rPr>
          <w:rFonts w:cs="Arial" w:ascii="Arial Narrow" w:hAnsi="Arial Narrow"/>
        </w:rPr>
      </w:r>
    </w:p>
    <w:p>
      <w:pPr>
        <w:pStyle w:val="Normal"/>
        <w:jc w:val="both"/>
        <w:rPr>
          <w:rFonts w:ascii="Arial Narrow" w:hAnsi="Arial Narrow" w:cs="Arial"/>
          <w:iCs/>
        </w:rPr>
      </w:pPr>
      <w:r>
        <w:rPr>
          <w:rFonts w:cs="Arial" w:ascii="Arial Narrow" w:hAnsi="Arial Narrow"/>
          <w:iCs/>
        </w:rPr>
        <w:t>"Bonus Fidélité":</w:t>
      </w:r>
    </w:p>
    <w:p>
      <w:pPr>
        <w:pStyle w:val="Normal"/>
        <w:jc w:val="both"/>
        <w:rPr>
          <w:rFonts w:ascii="Arial Narrow" w:hAnsi="Arial Narrow" w:cs="Arial"/>
          <w:iCs/>
        </w:rPr>
      </w:pPr>
      <w:r>
        <w:rPr>
          <w:rFonts w:cs="Arial" w:ascii="Arial Narrow" w:hAnsi="Arial Narrow"/>
          <w:iCs/>
        </w:rPr>
        <w:t>En cas de conservation de</w:t>
      </w:r>
      <w:r>
        <w:rPr>
          <w:rFonts w:cs="Arial" w:ascii="Arial Narrow" w:hAnsi="Arial Narrow"/>
          <w:b/>
          <w:bCs/>
          <w:iCs/>
        </w:rPr>
        <w:t xml:space="preserve"> l'intégralité</w:t>
      </w:r>
      <w:r>
        <w:rPr>
          <w:rFonts w:cs="Arial" w:ascii="Arial Narrow" w:hAnsi="Arial Narrow"/>
          <w:iCs/>
        </w:rPr>
        <w:t xml:space="preserve"> (base + convertion) des actions perçues en mai 2026 durant une durée de 12 mois, il sera distribué, à cette échéance, un "bonus fidélité".Le salarié percevra 50% du nombre d'actions placé initialement.</w:t>
      </w:r>
    </w:p>
    <w:p>
      <w:pPr>
        <w:pStyle w:val="Normal"/>
        <w:jc w:val="both"/>
        <w:rPr>
          <w:rFonts w:ascii="Arial Narrow" w:hAnsi="Arial Narrow" w:cs="Arial"/>
          <w:iCs/>
        </w:rPr>
      </w:pPr>
      <w:r>
        <w:rPr>
          <w:rFonts w:cs="Arial" w:ascii="Arial Narrow" w:hAnsi="Arial Narrow"/>
          <w:iCs/>
        </w:rPr>
        <w:t>Les actions ne sont éligibles qu'une seule fois au bonus fidélité. Les cotisations sociales et fiscales seront couvertes par un nouveau SELL TO COVER au moment de l'attribution des actions « bonus fidélité».</w:t>
      </w:r>
    </w:p>
    <w:p>
      <w:pPr>
        <w:pStyle w:val="Normal"/>
        <w:jc w:val="both"/>
        <w:rPr>
          <w:rFonts w:ascii="Arial Narrow" w:hAnsi="Arial Narrow" w:cs="Arial"/>
          <w:iCs/>
        </w:rPr>
      </w:pPr>
      <w:r>
        <w:rPr>
          <w:rFonts w:cs="Arial" w:ascii="Arial Narrow" w:hAnsi="Arial Narrow"/>
          <w:iCs/>
        </w:rPr>
      </w:r>
    </w:p>
    <w:p>
      <w:pPr>
        <w:pStyle w:val="Normal"/>
        <w:jc w:val="both"/>
        <w:rPr>
          <w:rFonts w:ascii="Arial Narrow" w:hAnsi="Arial Narrow" w:cs="Arial"/>
          <w:iCs/>
        </w:rPr>
      </w:pPr>
      <w:r>
        <w:rPr>
          <w:rFonts w:cs="Arial" w:ascii="Arial Narrow" w:hAnsi="Arial Narrow"/>
          <w:iCs/>
        </w:rPr>
        <w:t>En application du règlement “Be In” du Groupe, les actions “Be In” sont immédiatement libérées en cas de départ des effectifs, quel qu’en soit le motif. </w:t>
      </w:r>
    </w:p>
    <w:p>
      <w:pPr>
        <w:pStyle w:val="Normal"/>
        <w:jc w:val="both"/>
        <w:rPr>
          <w:rFonts w:ascii="Arial Narrow" w:hAnsi="Arial Narrow" w:cs="Arial"/>
          <w:iCs/>
        </w:rPr>
      </w:pPr>
      <w:r>
        <w:rPr>
          <w:rFonts w:cs="Arial" w:ascii="Arial Narrow" w:hAnsi="Arial Narrow"/>
          <w:iCs/>
        </w:rPr>
      </w:r>
    </w:p>
    <w:p>
      <w:pPr>
        <w:pStyle w:val="Normal"/>
        <w:jc w:val="both"/>
        <w:rPr>
          <w:rFonts w:ascii="Arial Narrow" w:hAnsi="Arial Narrow" w:cs="Arial"/>
          <w:iCs/>
        </w:rPr>
      </w:pPr>
      <w:r>
        <w:rPr>
          <w:rFonts w:cs="Arial" w:ascii="Arial Narrow" w:hAnsi="Arial Narrow"/>
          <w:iCs/>
        </w:rPr>
        <w:t>Par conséquent, les salariés éligibles qui n’auraient pas conserver l’intégralité des actions perçues en mai 2026 pour quelques motifs que ce soit et notamment en cas de sortie des effectifs ne bénéficieront pas du bonus fidélité de mai 2027.</w:t>
      </w:r>
    </w:p>
    <w:p>
      <w:pPr>
        <w:pStyle w:val="Normal"/>
        <w:jc w:val="both"/>
        <w:rPr>
          <w:rFonts w:ascii="Arial Narrow" w:hAnsi="Arial Narrow" w:cs="Arial"/>
          <w:lang w:val="fr-FR"/>
        </w:rPr>
      </w:pPr>
      <w:r>
        <w:rPr>
          <w:rFonts w:cs="Arial" w:ascii="Arial Narrow" w:hAnsi="Arial Narrow"/>
          <w:lang w:val="fr-FR"/>
        </w:rPr>
      </w:r>
    </w:p>
    <w:p>
      <w:pPr>
        <w:pStyle w:val="Normal"/>
        <w:jc w:val="both"/>
        <w:rPr>
          <w:rFonts w:ascii="Arial Narrow" w:hAnsi="Arial Narrow" w:cs="Tahoma"/>
          <w:iCs/>
        </w:rPr>
      </w:pPr>
      <w:r>
        <w:rPr>
          <w:rFonts w:cs="Tahoma" w:ascii="Arial Narrow" w:hAnsi="Arial Narrow"/>
          <w:iCs/>
        </w:rPr>
      </w:r>
    </w:p>
    <w:p>
      <w:pPr>
        <w:pStyle w:val="Normal"/>
        <w:jc w:val="both"/>
        <w:rPr>
          <w:rFonts w:ascii="Arial Narrow" w:hAnsi="Arial Narrow" w:cs="Arial"/>
          <w:b/>
          <w:color w:val="4F81BD" w:themeColor="accent1"/>
        </w:rPr>
      </w:pPr>
      <w:r>
        <w:rPr>
          <w:rFonts w:cs="Arial" w:ascii="Arial Narrow" w:hAnsi="Arial Narrow"/>
          <w:b/>
          <w:color w:val="4F81BD" w:themeColor="accent1"/>
        </w:rPr>
        <w:t xml:space="preserve">Article 4 : Dispositions finales </w:t>
      </w:r>
    </w:p>
    <w:p>
      <w:pPr>
        <w:pStyle w:val="Normal"/>
        <w:jc w:val="both"/>
        <w:rPr>
          <w:rFonts w:ascii="Arial Narrow" w:hAnsi="Arial Narrow" w:cs="Arial"/>
          <w:b/>
        </w:rPr>
      </w:pPr>
      <w:r>
        <w:rPr>
          <w:rFonts w:cs="Arial" w:ascii="Arial Narrow" w:hAnsi="Arial Narrow"/>
          <w:b/>
        </w:rPr>
      </w:r>
    </w:p>
    <w:p>
      <w:pPr>
        <w:pStyle w:val="Normal"/>
        <w:jc w:val="both"/>
        <w:rPr>
          <w:rFonts w:ascii="Arial Narrow" w:hAnsi="Arial Narrow" w:cs="Arial"/>
          <w:b/>
        </w:rPr>
      </w:pPr>
      <w:r>
        <w:rPr>
          <w:rFonts w:cs="Arial" w:ascii="Arial Narrow" w:hAnsi="Arial Narrow"/>
          <w:b/>
          <w:color w:val="4F81BD" w:themeColor="accent1"/>
        </w:rPr>
        <w:t>4.1 Durée d’application de l’accord</w:t>
      </w:r>
    </w:p>
    <w:p>
      <w:pPr>
        <w:pStyle w:val="Normal"/>
        <w:jc w:val="both"/>
        <w:rPr>
          <w:rFonts w:ascii="Arial Narrow" w:hAnsi="Arial Narrow" w:cs="Arial"/>
          <w:b/>
        </w:rPr>
      </w:pPr>
      <w:r>
        <w:rPr>
          <w:rFonts w:cs="Arial" w:ascii="Arial Narrow" w:hAnsi="Arial Narrow"/>
          <w:b/>
        </w:rPr>
      </w:r>
    </w:p>
    <w:p>
      <w:pPr>
        <w:pStyle w:val="Normal"/>
        <w:jc w:val="both"/>
        <w:rPr>
          <w:rFonts w:ascii="Arial Narrow" w:hAnsi="Arial Narrow" w:cs="Arial"/>
        </w:rPr>
      </w:pPr>
      <w:r>
        <w:rPr>
          <w:rFonts w:cs="Arial" w:ascii="Arial Narrow" w:hAnsi="Arial Narrow"/>
        </w:rPr>
        <w:t>Le présent accord est conclu à durée déterminée au titre de l’année 2025.</w:t>
      </w:r>
    </w:p>
    <w:p>
      <w:pPr>
        <w:pStyle w:val="Normal"/>
        <w:jc w:val="both"/>
        <w:rPr>
          <w:rFonts w:ascii="Arial Narrow" w:hAnsi="Arial Narrow" w:cs="Arial"/>
        </w:rPr>
      </w:pPr>
      <w:r>
        <w:rPr>
          <w:rFonts w:cs="Arial" w:ascii="Arial Narrow" w:hAnsi="Arial Narrow"/>
        </w:rPr>
      </w:r>
    </w:p>
    <w:p>
      <w:pPr>
        <w:pStyle w:val="Normal"/>
        <w:jc w:val="both"/>
        <w:rPr>
          <w:rFonts w:ascii="Arial Narrow" w:hAnsi="Arial Narrow"/>
        </w:rPr>
      </w:pPr>
      <w:r>
        <w:rPr>
          <w:rFonts w:cs="Arial" w:ascii="Arial Narrow" w:hAnsi="Arial Narrow"/>
          <w:b/>
          <w:color w:val="4F81BD" w:themeColor="accent1"/>
        </w:rPr>
        <w:t>4.2 Clause de réserve et de confidentialité</w:t>
      </w:r>
    </w:p>
    <w:p>
      <w:pPr>
        <w:pStyle w:val="24"/>
        <w:spacing w:lineRule="auto" w:line="240" w:before="0" w:after="0"/>
        <w:rPr>
          <w:rFonts w:ascii="Arial Narrow" w:hAnsi="Arial Narrow"/>
          <w:sz w:val="24"/>
          <w:szCs w:val="24"/>
          <w:lang w:val="it-IT"/>
        </w:rPr>
      </w:pPr>
      <w:r>
        <w:rPr>
          <w:rFonts w:ascii="Arial Narrow" w:hAnsi="Arial Narrow"/>
          <w:sz w:val="24"/>
          <w:szCs w:val="24"/>
          <w:lang w:val="it-IT"/>
        </w:rPr>
      </w:r>
    </w:p>
    <w:p>
      <w:pPr>
        <w:pStyle w:val="Normal"/>
        <w:tabs>
          <w:tab w:val="clear" w:pos="709"/>
          <w:tab w:val="left" w:pos="142" w:leader="none"/>
        </w:tabs>
        <w:jc w:val="both"/>
        <w:rPr>
          <w:rFonts w:ascii="Arial Narrow" w:hAnsi="Arial Narrow" w:cs="Arial"/>
        </w:rPr>
      </w:pPr>
      <w:r>
        <w:rPr>
          <w:rFonts w:cs="Arial" w:ascii="Arial Narrow" w:hAnsi="Arial Narrow"/>
        </w:rPr>
        <w:t>Les parties n’émettent aucune réserve à la publication du présent accord conformément à l’article L2231-5-1 du code du travail.</w:t>
      </w:r>
    </w:p>
    <w:p>
      <w:pPr>
        <w:pStyle w:val="Normal"/>
        <w:tabs>
          <w:tab w:val="clear" w:pos="709"/>
          <w:tab w:val="left" w:pos="142" w:leader="none"/>
        </w:tabs>
        <w:jc w:val="both"/>
        <w:rPr>
          <w:rFonts w:ascii="Arial Narrow" w:hAnsi="Arial Narrow" w:cs="Arial"/>
          <w:b/>
        </w:rPr>
      </w:pPr>
      <w:r>
        <w:rPr>
          <w:rFonts w:cs="Arial" w:ascii="Arial Narrow" w:hAnsi="Arial Narrow"/>
          <w:b/>
        </w:rPr>
      </w:r>
    </w:p>
    <w:p>
      <w:pPr>
        <w:pStyle w:val="Normal"/>
        <w:jc w:val="both"/>
        <w:rPr>
          <w:rFonts w:ascii="Arial Narrow" w:hAnsi="Arial Narrow" w:cs="Arial"/>
          <w:b/>
        </w:rPr>
      </w:pPr>
      <w:r>
        <w:rPr>
          <w:rFonts w:cs="Arial" w:ascii="Arial Narrow" w:hAnsi="Arial Narrow"/>
          <w:b/>
          <w:color w:val="4F81BD" w:themeColor="accent1"/>
        </w:rPr>
        <w:t>4.3 Révision, dénonciation et adhésion</w:t>
      </w:r>
    </w:p>
    <w:p>
      <w:pPr>
        <w:pStyle w:val="Normal"/>
        <w:numPr>
          <w:ilvl w:val="0"/>
          <w:numId w:val="0"/>
        </w:numPr>
        <w:spacing w:beforeAutospacing="1" w:afterAutospacing="1"/>
        <w:jc w:val="both"/>
        <w:outlineLvl w:val="0"/>
        <w:rPr>
          <w:rFonts w:ascii="Arial Narrow" w:hAnsi="Arial Narrow" w:cs="Arial"/>
          <w:iCs/>
          <w:lang w:eastAsia="fr-FR"/>
        </w:rPr>
      </w:pPr>
      <w:r>
        <w:rPr>
          <w:rFonts w:cs="Arial" w:ascii="Arial Narrow" w:hAnsi="Arial Narrow"/>
          <w:b/>
          <w:iCs/>
          <w:lang w:eastAsia="fr-FR"/>
        </w:rPr>
        <w:t>Révision </w:t>
      </w:r>
      <w:r>
        <w:rPr>
          <w:rFonts w:cs="Arial" w:ascii="Arial Narrow" w:hAnsi="Arial Narrow"/>
          <w:iCs/>
          <w:lang w:eastAsia="fr-FR"/>
        </w:rPr>
        <w:t>: Le présent accord pourra faire l’objet, à tout moment, d’une révision dans les conditions fixées aux articles L. 2261-7-1 et L. 2261-8 du Code du travail. La révision peut porter sur tout ou partie du présent accord. Toute demande de révision doit être notifiée par lettre recommandée avec demande d’avis de réception à chacune des parties signataires. Cette lettre doit indiquer les points concernés par la demande de révision etdoit être accompagnée de propositions écrites.</w:t>
      </w:r>
    </w:p>
    <w:p>
      <w:pPr>
        <w:pStyle w:val="Normal"/>
        <w:numPr>
          <w:ilvl w:val="0"/>
          <w:numId w:val="0"/>
        </w:numPr>
        <w:spacing w:beforeAutospacing="1" w:afterAutospacing="1"/>
        <w:jc w:val="both"/>
        <w:outlineLvl w:val="0"/>
        <w:rPr>
          <w:rFonts w:ascii="Arial Narrow" w:hAnsi="Arial Narrow" w:cs="Arial"/>
          <w:iCs/>
          <w:lang w:eastAsia="fr-FR"/>
        </w:rPr>
      </w:pPr>
      <w:r>
        <w:rPr>
          <w:rFonts w:cs="Arial" w:ascii="Arial Narrow" w:hAnsi="Arial Narrow"/>
          <w:iCs/>
          <w:lang w:eastAsia="fr-FR"/>
        </w:rPr>
        <w:t>L’ensemble des partenaires sociaux se réunira alors dans un délai de trois mois à compter de la réception de cette demande afin d’envisager l’éventuelle conclusion d’un avenant de révision.</w:t>
      </w:r>
    </w:p>
    <w:p>
      <w:pPr>
        <w:pStyle w:val="Normal"/>
        <w:numPr>
          <w:ilvl w:val="0"/>
          <w:numId w:val="0"/>
        </w:numPr>
        <w:spacing w:beforeAutospacing="1" w:afterAutospacing="1"/>
        <w:jc w:val="both"/>
        <w:outlineLvl w:val="0"/>
        <w:rPr>
          <w:rFonts w:ascii="Arial Narrow" w:hAnsi="Arial Narrow" w:cs="Arial"/>
          <w:iCs/>
          <w:lang w:eastAsia="fr-FR"/>
        </w:rPr>
      </w:pPr>
      <w:r>
        <w:rPr>
          <w:rFonts w:cs="Arial" w:ascii="Arial Narrow" w:hAnsi="Arial Narrow"/>
          <w:iCs/>
          <w:lang w:eastAsia="fr-FR"/>
        </w:rPr>
        <w:t>L’éventuel avenant de révision conclu dans les conditions prévues par les dispositions législatives et règlementaires se substituera de plein droit aux dispositions du présent accord qu’il modifiera.</w:t>
      </w:r>
    </w:p>
    <w:p>
      <w:pPr>
        <w:pStyle w:val="Normal"/>
        <w:numPr>
          <w:ilvl w:val="0"/>
          <w:numId w:val="0"/>
        </w:numPr>
        <w:spacing w:beforeAutospacing="1" w:afterAutospacing="1"/>
        <w:jc w:val="both"/>
        <w:outlineLvl w:val="0"/>
        <w:rPr>
          <w:rFonts w:ascii="Arial Narrow" w:hAnsi="Arial Narrow" w:cs="Arial"/>
          <w:lang w:eastAsia="fr-FR"/>
        </w:rPr>
      </w:pPr>
      <w:r>
        <w:rPr>
          <w:rFonts w:cs="Arial" w:ascii="Arial Narrow" w:hAnsi="Arial Narrow"/>
          <w:b/>
          <w:iCs/>
          <w:lang w:eastAsia="fr-FR"/>
        </w:rPr>
        <w:t>Dénonciation</w:t>
      </w:r>
      <w:r>
        <w:rPr>
          <w:rFonts w:cs="Arial" w:ascii="Arial Narrow" w:hAnsi="Arial Narrow"/>
          <w:iCs/>
          <w:lang w:eastAsia="fr-FR"/>
        </w:rPr>
        <w:t xml:space="preserve"> : Les parties conviennent que le présent accord constitue un tout indivisible et qu’il ne saurait, en conséquence, faire l’objet d’une dénonciation partielle.  L’accord pourra être dénoncé par l’une des parties signataires moyennant le respect d’un délai de prévenance de six mois. Cette dénonciation devra être faite par lettre recommandée avec demande d’avis de réception adressée à toutes les parties signataires du présent accord. La partie qui aura dénoncé l’accord notifiera aussitôt sa décision à la Direccte dans le ressort de laquelle se trouve le lieu où l’accord est conclu. </w:t>
      </w:r>
    </w:p>
    <w:p>
      <w:pPr>
        <w:pStyle w:val="Normal"/>
        <w:numPr>
          <w:ilvl w:val="0"/>
          <w:numId w:val="0"/>
        </w:numPr>
        <w:spacing w:beforeAutospacing="1" w:afterAutospacing="1"/>
        <w:jc w:val="both"/>
        <w:outlineLvl w:val="0"/>
        <w:rPr>
          <w:rFonts w:ascii="Arial Narrow" w:hAnsi="Arial Narrow" w:cs="Arial"/>
          <w:iCs/>
          <w:lang w:eastAsia="fr-FR"/>
        </w:rPr>
      </w:pPr>
      <w:r>
        <w:rPr>
          <w:rFonts w:cs="Arial" w:ascii="Arial Narrow" w:hAnsi="Arial Narrow"/>
          <w:b/>
          <w:iCs/>
          <w:lang w:eastAsia="fr-FR"/>
        </w:rPr>
        <w:t>Adhésion :</w:t>
      </w:r>
      <w:r>
        <w:rPr>
          <w:rFonts w:cs="Arial" w:ascii="Arial Narrow" w:hAnsi="Arial Narrow"/>
          <w:iCs/>
          <w:lang w:eastAsia="fr-FR"/>
        </w:rPr>
        <w:t xml:space="preserve"> Conformément à l’article L. 2261-3 du Code du travail, toute organisation syndicale de salariés représentative dans l’entreprise qui n’est pas signataire du présent accord, pourra y adhérer ultérieurement.</w:t>
        <w:br/>
        <w:t>L’adhésion produira effet à partir du jour qui suivra celui de son dépôt au secrétariat du greffe du conseil de prud’hommes compétent et à la Direccte. Notification devra également en être faite, dans le délai de huit jours, par lettre recommandée, aux parties signataires. »</w:t>
      </w:r>
    </w:p>
    <w:p>
      <w:pPr>
        <w:pStyle w:val="Normal"/>
        <w:jc w:val="both"/>
        <w:rPr>
          <w:rFonts w:ascii="Arial Narrow" w:hAnsi="Arial Narrow" w:cs="Arial"/>
          <w:b/>
          <w:color w:val="4F81BD" w:themeColor="accent1"/>
        </w:rPr>
      </w:pPr>
      <w:r>
        <w:rPr>
          <w:rFonts w:cs="Arial" w:ascii="Arial Narrow" w:hAnsi="Arial Narrow"/>
          <w:b/>
          <w:color w:val="4F81BD" w:themeColor="accent1"/>
        </w:rPr>
        <w:t>4.4 Dépôt de l’accord</w:t>
      </w:r>
    </w:p>
    <w:p>
      <w:pPr>
        <w:pStyle w:val="Normal"/>
        <w:jc w:val="both"/>
        <w:rPr>
          <w:rFonts w:ascii="Arial Narrow" w:hAnsi="Arial Narrow" w:cs="Arial"/>
        </w:rPr>
      </w:pPr>
      <w:r>
        <w:rPr>
          <w:rFonts w:cs="Arial" w:ascii="Arial Narrow" w:hAnsi="Arial Narrow"/>
        </w:rPr>
      </w:r>
    </w:p>
    <w:p>
      <w:pPr>
        <w:pStyle w:val="ListParagraph"/>
        <w:ind w:left="0" w:hanging="0"/>
        <w:jc w:val="both"/>
        <w:rPr>
          <w:rFonts w:ascii="Arial Narrow" w:hAnsi="Arial Narrow" w:cs="Arial"/>
        </w:rPr>
      </w:pPr>
      <w:r>
        <w:rPr>
          <w:rFonts w:cs="Arial" w:ascii="Arial Narrow" w:hAnsi="Arial Narrow"/>
        </w:rPr>
        <w:t>Un exemplaire de cet accord, signé par les parties, sera remis à chaque Organisation Syndicale Représentative et vaudra notification au sens de l’article L. 2231-5 du Code du travail.</w:t>
      </w:r>
    </w:p>
    <w:p>
      <w:pPr>
        <w:pStyle w:val="ListParagraph"/>
        <w:ind w:left="0" w:hanging="0"/>
        <w:jc w:val="both"/>
        <w:rPr>
          <w:rFonts w:ascii="Arial Narrow" w:hAnsi="Arial Narrow" w:cs="Arial"/>
        </w:rPr>
      </w:pPr>
      <w:r>
        <w:rPr>
          <w:rFonts w:cs="Arial" w:ascii="Arial Narrow" w:hAnsi="Arial Narrow"/>
        </w:rPr>
      </w:r>
    </w:p>
    <w:p>
      <w:pPr>
        <w:pStyle w:val="ListParagraph"/>
        <w:ind w:left="0" w:hanging="0"/>
        <w:jc w:val="both"/>
        <w:rPr>
          <w:rFonts w:ascii="Arial Narrow" w:hAnsi="Arial Narrow" w:cs="Arial"/>
        </w:rPr>
      </w:pPr>
      <w:r>
        <w:rPr>
          <w:rFonts w:cs="Arial" w:ascii="Arial Narrow" w:hAnsi="Arial Narrow"/>
        </w:rPr>
        <w:t>Conformément à l’article L2232-12 du Code du travail, l’accord entrera en vigueur à compter de sa signature par les organisations syndicales de salariés représentatives ayant recueilli plus de 50% des suffrages exprimés au premier tour des dernières élections des titulaires ou modalités spécifiques de référendum.</w:t>
      </w:r>
    </w:p>
    <w:p>
      <w:pPr>
        <w:pStyle w:val="24"/>
        <w:spacing w:lineRule="auto" w:line="240" w:before="0" w:after="0"/>
        <w:rPr>
          <w:rFonts w:ascii="Arial Narrow" w:hAnsi="Arial Narrow"/>
          <w:sz w:val="24"/>
          <w:szCs w:val="24"/>
          <w:lang w:val="it-IT"/>
        </w:rPr>
      </w:pPr>
      <w:r>
        <w:rPr>
          <w:rFonts w:ascii="Arial Narrow" w:hAnsi="Arial Narrow"/>
          <w:sz w:val="24"/>
          <w:szCs w:val="24"/>
          <w:lang w:val="it-IT"/>
        </w:rPr>
      </w:r>
    </w:p>
    <w:p>
      <w:pPr>
        <w:pStyle w:val="ListParagraph"/>
        <w:ind w:left="0" w:hanging="0"/>
        <w:jc w:val="both"/>
        <w:rPr>
          <w:rFonts w:ascii="Arial Narrow" w:hAnsi="Arial Narrow" w:cs="Arial"/>
        </w:rPr>
      </w:pPr>
      <w:r>
        <w:rPr>
          <w:rFonts w:cs="Arial" w:ascii="Arial Narrow" w:hAnsi="Arial Narrow"/>
        </w:rPr>
        <w:t>Le présent accord sera déposé à la diligence de la Société auprès :</w:t>
      </w:r>
    </w:p>
    <w:p>
      <w:pPr>
        <w:pStyle w:val="ListParagraph"/>
        <w:ind w:left="0" w:hanging="0"/>
        <w:jc w:val="both"/>
        <w:rPr>
          <w:rFonts w:ascii="Arial Narrow" w:hAnsi="Arial Narrow" w:cs="Arial"/>
        </w:rPr>
      </w:pPr>
      <w:r>
        <w:rPr>
          <w:rFonts w:cs="Arial" w:ascii="Arial Narrow" w:hAnsi="Arial Narrow"/>
        </w:rPr>
      </w:r>
    </w:p>
    <w:p>
      <w:pPr>
        <w:pStyle w:val="ListParagraph"/>
        <w:numPr>
          <w:ilvl w:val="0"/>
          <w:numId w:val="1"/>
        </w:numPr>
        <w:spacing w:lineRule="auto" w:line="276"/>
        <w:ind w:left="0" w:hanging="0"/>
        <w:jc w:val="both"/>
        <w:rPr>
          <w:rFonts w:ascii="Arial Narrow" w:hAnsi="Arial Narrow" w:cs="Arial"/>
        </w:rPr>
      </w:pPr>
      <w:r>
        <w:rPr>
          <w:rFonts w:cs="Arial" w:ascii="Arial Narrow" w:hAnsi="Arial Narrow"/>
        </w:rPr>
        <w:t xml:space="preserve">De la DREETS : deux exemplaires seront déposés de façon dématérialisée sur la plateforme du ministère du travail. Pour ce faire, la Direction adressera à la DREETS un exemplaire du présent accord dans sa version intégrale sous format non réutilisable (.pdf) signée des parties et un autre exemplaire dans sa version anonyme, sous format réutilisable (.docx). Par version anonyme, il faut entendre une version dépourvue des éléments d’identification des signataires (nom, prénom, signature, paraphe). </w:t>
      </w:r>
    </w:p>
    <w:p>
      <w:pPr>
        <w:pStyle w:val="ListParagraph"/>
        <w:ind w:left="0" w:hanging="0"/>
        <w:jc w:val="both"/>
        <w:rPr>
          <w:rFonts w:ascii="Arial Narrow" w:hAnsi="Arial Narrow" w:cs="Arial"/>
        </w:rPr>
      </w:pPr>
      <w:r>
        <w:rPr>
          <w:rFonts w:cs="Arial" w:ascii="Arial Narrow" w:hAnsi="Arial Narrow"/>
        </w:rPr>
        <w:t>L’accord sera déposé sur la plateforme de télé-procédure du ministère du travail « TéléAccords ».</w:t>
      </w:r>
    </w:p>
    <w:p>
      <w:pPr>
        <w:pStyle w:val="ListParagraph"/>
        <w:spacing w:lineRule="auto" w:line="276"/>
        <w:ind w:left="0" w:hanging="0"/>
        <w:jc w:val="both"/>
        <w:rPr>
          <w:rFonts w:ascii="Arial Narrow" w:hAnsi="Arial Narrow" w:cs="Arial"/>
        </w:rPr>
      </w:pPr>
      <w:r>
        <w:rPr>
          <w:rFonts w:cs="Arial" w:ascii="Arial Narrow" w:hAnsi="Arial Narrow"/>
        </w:rPr>
      </w:r>
    </w:p>
    <w:p>
      <w:pPr>
        <w:pStyle w:val="ListParagraph"/>
        <w:numPr>
          <w:ilvl w:val="0"/>
          <w:numId w:val="1"/>
        </w:numPr>
        <w:spacing w:lineRule="auto" w:line="276"/>
        <w:ind w:left="0" w:hanging="0"/>
        <w:jc w:val="both"/>
        <w:rPr>
          <w:rFonts w:ascii="Arial Narrow" w:hAnsi="Arial Narrow" w:cs="Arial"/>
        </w:rPr>
      </w:pPr>
      <w:r>
        <w:rPr>
          <w:rFonts w:cs="Arial" w:ascii="Arial Narrow" w:hAnsi="Arial Narrow"/>
        </w:rPr>
        <w:t>Un exemplaire sera en outre déposé auprès du secrétariat du greffe du Conseil de Prud'hommes compétent.</w:t>
      </w:r>
    </w:p>
    <w:p>
      <w:pPr>
        <w:pStyle w:val="ListParagraph"/>
        <w:tabs>
          <w:tab w:val="clear" w:pos="709"/>
          <w:tab w:val="left" w:pos="567" w:leader="none"/>
        </w:tabs>
        <w:ind w:left="284" w:firstLine="425"/>
        <w:jc w:val="both"/>
        <w:rPr>
          <w:rFonts w:ascii="Arial Narrow" w:hAnsi="Arial Narrow" w:cs="Arial"/>
          <w:lang w:val="fr-FR"/>
        </w:rPr>
      </w:pPr>
      <w:r>
        <w:rPr>
          <w:rFonts w:cs="Arial" w:ascii="Arial Narrow" w:hAnsi="Arial Narrow"/>
          <w:lang w:val="fr-FR"/>
        </w:rPr>
      </w:r>
    </w:p>
    <w:p>
      <w:pPr>
        <w:pStyle w:val="Normal"/>
        <w:tabs>
          <w:tab w:val="clear" w:pos="709"/>
          <w:tab w:val="left" w:pos="0" w:leader="none"/>
          <w:tab w:val="left" w:pos="142" w:leader="none"/>
        </w:tabs>
        <w:jc w:val="both"/>
        <w:rPr>
          <w:rFonts w:ascii="Arial Narrow" w:hAnsi="Arial Narrow" w:cs="Arial"/>
        </w:rPr>
      </w:pPr>
      <w:r>
        <w:rPr>
          <w:rFonts w:cs="Arial" w:ascii="Arial Narrow" w:hAnsi="Arial Narrow"/>
        </w:rPr>
      </w:r>
    </w:p>
    <w:p>
      <w:pPr>
        <w:pStyle w:val="Normal"/>
        <w:tabs>
          <w:tab w:val="clear" w:pos="709"/>
          <w:tab w:val="left" w:pos="0" w:leader="none"/>
          <w:tab w:val="left" w:pos="142" w:leader="none"/>
        </w:tabs>
        <w:jc w:val="both"/>
        <w:rPr>
          <w:rFonts w:ascii="Arial Narrow" w:hAnsi="Arial Narrow" w:cs="Arial"/>
        </w:rPr>
      </w:pPr>
      <w:r>
        <w:rPr>
          <w:rFonts w:cs="Arial" w:ascii="Arial Narrow" w:hAnsi="Arial Narrow"/>
        </w:rPr>
        <w:t xml:space="preserve">Fait à Montereau Fault Yonne, le 14/11/2025, en 5 exemplaires originaux </w:t>
      </w:r>
    </w:p>
    <w:p>
      <w:pPr>
        <w:pStyle w:val="Normal"/>
        <w:jc w:val="both"/>
        <w:rPr>
          <w:rFonts w:ascii="Arial Narrow" w:hAnsi="Arial Narrow" w:cs="Arial"/>
        </w:rPr>
      </w:pPr>
      <w:r>
        <w:rPr>
          <w:rFonts w:cs="Arial" w:ascii="Arial Narrow" w:hAnsi="Arial Narrow"/>
        </w:rPr>
      </w:r>
    </w:p>
    <w:p>
      <w:pPr>
        <w:pStyle w:val="Normal"/>
        <w:jc w:val="both"/>
        <w:rPr>
          <w:rFonts w:ascii="Arial Narrow" w:hAnsi="Arial Narrow" w:cs="Arial"/>
        </w:rPr>
      </w:pPr>
      <w:r>
        <w:rPr>
          <w:rFonts w:cs="Arial" w:ascii="Arial Narrow" w:hAnsi="Arial Narrow"/>
        </w:rPr>
      </w:r>
    </w:p>
    <w:p>
      <w:pPr>
        <w:pStyle w:val="Normal"/>
        <w:jc w:val="both"/>
        <w:rPr>
          <w:rFonts w:ascii="Arial Narrow" w:hAnsi="Arial Narrow" w:cs="Arial"/>
        </w:rPr>
      </w:pPr>
      <w:bookmarkStart w:id="10" w:name="_Hlk198133136"/>
      <w:r>
        <w:rPr>
          <w:rFonts w:cs="Arial" w:ascii="Arial Narrow" w:hAnsi="Arial Narrow"/>
        </w:rPr>
        <w:t>Pour la Direction :</w:t>
      </w:r>
    </w:p>
    <w:p>
      <w:pPr>
        <w:pStyle w:val="Normal"/>
        <w:jc w:val="both"/>
        <w:rPr>
          <w:rFonts w:ascii="Arial Narrow" w:hAnsi="Arial Narrow" w:cs="Arial"/>
        </w:rPr>
      </w:pPr>
      <w:r>
        <w:rPr>
          <w:rFonts w:cs="Arial" w:ascii="Arial Narrow" w:hAnsi="Arial Narrow"/>
        </w:rPr>
      </w:r>
    </w:p>
    <w:p>
      <w:pPr>
        <w:pStyle w:val="Normal"/>
        <w:jc w:val="both"/>
        <w:rPr>
          <w:rFonts w:ascii="Arial Narrow" w:hAnsi="Arial Narrow" w:cs="Arial"/>
        </w:rPr>
      </w:pPr>
      <w:r>
        <w:rPr>
          <w:rFonts w:cs="Arial" w:ascii="Arial Narrow" w:hAnsi="Arial Narrow"/>
        </w:rPr>
        <w:t xml:space="preserve">DRH France, Belgique &amp; Afrique </w:t>
      </w:r>
    </w:p>
    <w:p>
      <w:pPr>
        <w:pStyle w:val="Normal"/>
        <w:jc w:val="both"/>
        <w:rPr>
          <w:rFonts w:ascii="Arial Narrow" w:hAnsi="Arial Narrow" w:cs="Arial"/>
        </w:rPr>
      </w:pPr>
      <w:r>
        <w:rPr>
          <w:rFonts w:cs="Arial" w:ascii="Arial Narrow" w:hAnsi="Arial Narrow"/>
        </w:rPr>
      </w:r>
    </w:p>
    <w:p>
      <w:pPr>
        <w:pStyle w:val="Normal"/>
        <w:jc w:val="both"/>
        <w:rPr>
          <w:rFonts w:ascii="Arial Narrow" w:hAnsi="Arial Narrow" w:cs="Arial"/>
        </w:rPr>
      </w:pPr>
      <w:r>
        <w:rPr>
          <w:rFonts w:cs="Arial" w:ascii="Arial Narrow" w:hAnsi="Arial Narrow"/>
        </w:rPr>
      </w:r>
    </w:p>
    <w:p>
      <w:pPr>
        <w:pStyle w:val="Normal"/>
        <w:jc w:val="both"/>
        <w:rPr>
          <w:rFonts w:ascii="Arial Narrow" w:hAnsi="Arial Narrow" w:cs="Arial"/>
        </w:rPr>
      </w:pPr>
      <w:r>
        <w:rPr>
          <w:rFonts w:cs="Arial" w:ascii="Arial Narrow" w:hAnsi="Arial Narrow"/>
        </w:rPr>
      </w:r>
    </w:p>
    <w:p>
      <w:pPr>
        <w:pStyle w:val="Normal"/>
        <w:jc w:val="both"/>
        <w:rPr>
          <w:rFonts w:ascii="Arial Narrow" w:hAnsi="Arial Narrow" w:cs="Arial"/>
        </w:rPr>
      </w:pPr>
      <w:r>
        <w:rPr>
          <w:rFonts w:cs="Arial" w:ascii="Arial Narrow" w:hAnsi="Arial Narrow"/>
        </w:rPr>
      </w:r>
    </w:p>
    <w:p>
      <w:pPr>
        <w:pStyle w:val="Normal"/>
        <w:jc w:val="both"/>
        <w:rPr>
          <w:rFonts w:ascii="Arial Narrow" w:hAnsi="Arial Narrow" w:cs="Arial"/>
        </w:rPr>
      </w:pPr>
      <w:r>
        <w:rPr>
          <w:rFonts w:cs="Arial" w:ascii="Arial Narrow" w:hAnsi="Arial Narrow"/>
        </w:rPr>
      </w:r>
    </w:p>
    <w:p>
      <w:pPr>
        <w:pStyle w:val="Normal"/>
        <w:jc w:val="both"/>
        <w:rPr>
          <w:rFonts w:ascii="Arial Narrow" w:hAnsi="Arial Narrow" w:cs="Arial"/>
        </w:rPr>
      </w:pPr>
      <w:r>
        <w:rPr>
          <w:rFonts w:cs="Arial" w:ascii="Arial Narrow" w:hAnsi="Arial Narrow"/>
        </w:rPr>
      </w:r>
    </w:p>
    <w:p>
      <w:pPr>
        <w:pStyle w:val="Normal"/>
        <w:jc w:val="both"/>
        <w:rPr>
          <w:rFonts w:ascii="Arial Narrow" w:hAnsi="Arial Narrow" w:cs="Arial"/>
        </w:rPr>
      </w:pPr>
      <w:r>
        <w:rPr>
          <w:rFonts w:cs="Arial" w:ascii="Arial Narrow" w:hAnsi="Arial Narrow"/>
        </w:rPr>
      </w:r>
    </w:p>
    <w:p>
      <w:pPr>
        <w:pStyle w:val="Normal"/>
        <w:jc w:val="both"/>
        <w:rPr>
          <w:rFonts w:ascii="Arial Narrow" w:hAnsi="Arial Narrow" w:cs="Arial"/>
        </w:rPr>
      </w:pPr>
      <w:r>
        <w:rPr>
          <w:rFonts w:cs="Arial" w:ascii="Arial Narrow" w:hAnsi="Arial Narrow"/>
        </w:rPr>
      </w:r>
    </w:p>
    <w:p>
      <w:pPr>
        <w:pStyle w:val="Normal"/>
        <w:jc w:val="both"/>
        <w:rPr>
          <w:rFonts w:ascii="Arial Narrow" w:hAnsi="Arial Narrow" w:cs="Arial"/>
        </w:rPr>
      </w:pPr>
      <w:r>
        <w:rPr>
          <w:rFonts w:cs="Arial" w:ascii="Arial Narrow" w:hAnsi="Arial Narrow"/>
        </w:rPr>
      </w:r>
    </w:p>
    <w:p>
      <w:pPr>
        <w:pStyle w:val="Normal"/>
        <w:jc w:val="both"/>
        <w:rPr>
          <w:rFonts w:ascii="Arial Narrow" w:hAnsi="Arial Narrow" w:cs="Arial"/>
        </w:rPr>
      </w:pPr>
      <w:r>
        <w:rPr>
          <w:rFonts w:cs="Arial" w:ascii="Arial Narrow" w:hAnsi="Arial Narrow"/>
        </w:rPr>
      </w:r>
    </w:p>
    <w:p>
      <w:pPr>
        <w:pStyle w:val="Normal"/>
        <w:jc w:val="both"/>
        <w:rPr>
          <w:rFonts w:ascii="Arial Narrow" w:hAnsi="Arial Narrow" w:cs="Arial"/>
        </w:rPr>
      </w:pPr>
      <w:r>
        <w:rPr>
          <w:rFonts w:cs="Arial" w:ascii="Arial Narrow" w:hAnsi="Arial Narrow"/>
        </w:rPr>
      </w:r>
    </w:p>
    <w:p>
      <w:pPr>
        <w:pStyle w:val="Normal"/>
        <w:jc w:val="both"/>
        <w:rPr>
          <w:rFonts w:ascii="Arial Narrow" w:hAnsi="Arial Narrow" w:cs="Arial"/>
        </w:rPr>
      </w:pPr>
      <w:r>
        <w:rPr>
          <w:rFonts w:cs="Arial" w:ascii="Arial Narrow" w:hAnsi="Arial Narrow"/>
        </w:rPr>
      </w:r>
    </w:p>
    <w:p>
      <w:pPr>
        <w:pStyle w:val="Normal"/>
        <w:tabs>
          <w:tab w:val="clear" w:pos="709"/>
          <w:tab w:val="left" w:pos="0" w:leader="none"/>
          <w:tab w:val="left" w:pos="142" w:leader="none"/>
        </w:tabs>
        <w:ind w:right="276" w:hanging="0"/>
        <w:jc w:val="both"/>
        <w:rPr>
          <w:rFonts w:ascii="Arial Narrow" w:hAnsi="Arial Narrow" w:cs="Arial"/>
          <w:b/>
          <w:lang w:val="fr-FR"/>
        </w:rPr>
      </w:pPr>
      <w:r>
        <w:rPr>
          <w:rFonts w:cs="Arial" w:ascii="Arial Narrow" w:hAnsi="Arial Narrow"/>
          <w:b/>
          <w:lang w:val="fr-FR"/>
        </w:rPr>
        <w:t>Pour les Organisations Syndicales de l’entreprise :</w:t>
      </w:r>
    </w:p>
    <w:p>
      <w:pPr>
        <w:pStyle w:val="Normal"/>
        <w:tabs>
          <w:tab w:val="clear" w:pos="709"/>
          <w:tab w:val="left" w:pos="0" w:leader="none"/>
          <w:tab w:val="left" w:pos="142" w:leader="none"/>
        </w:tabs>
        <w:ind w:right="276" w:hanging="0"/>
        <w:jc w:val="both"/>
        <w:rPr>
          <w:rFonts w:ascii="Arial Narrow" w:hAnsi="Arial Narrow" w:cs="Arial"/>
          <w:b/>
          <w:lang w:val="fr-FR"/>
        </w:rPr>
      </w:pPr>
      <w:r>
        <w:rPr>
          <w:rFonts w:cs="Arial" w:ascii="Arial Narrow" w:hAnsi="Arial Narrow"/>
          <w:b/>
          <w:lang w:val="fr-FR"/>
        </w:rPr>
      </w:r>
    </w:p>
    <w:p>
      <w:pPr>
        <w:pStyle w:val="Normal"/>
        <w:tabs>
          <w:tab w:val="clear" w:pos="709"/>
          <w:tab w:val="left" w:pos="142" w:leader="none"/>
        </w:tabs>
        <w:ind w:left="720" w:right="276" w:hanging="0"/>
        <w:jc w:val="both"/>
        <w:rPr>
          <w:rFonts w:ascii="Arial Narrow" w:hAnsi="Arial Narrow" w:cs="Arial"/>
        </w:rPr>
      </w:pPr>
      <w:r>
        <w:rPr>
          <w:rFonts w:cs="Arial" w:ascii="Arial Narrow" w:hAnsi="Arial Narrow"/>
        </w:rPr>
      </w:r>
    </w:p>
    <w:p>
      <w:pPr>
        <w:pStyle w:val="Normal"/>
        <w:tabs>
          <w:tab w:val="clear" w:pos="709"/>
          <w:tab w:val="left" w:pos="0" w:leader="none"/>
          <w:tab w:val="left" w:pos="142" w:leader="none"/>
        </w:tabs>
        <w:ind w:right="276" w:hanging="0"/>
        <w:jc w:val="both"/>
        <w:rPr>
          <w:rFonts w:ascii="Arial Narrow" w:hAnsi="Arial Narrow" w:cs="Arial"/>
        </w:rPr>
      </w:pPr>
      <w:r>
        <w:rPr>
          <w:rFonts w:cs="Arial" w:ascii="Arial Narrow" w:hAnsi="Arial Narrow"/>
        </w:rPr>
        <w:t xml:space="preserve">Pour les organisations syndicales :  </w:t>
      </w:r>
    </w:p>
    <w:p>
      <w:pPr>
        <w:pStyle w:val="Normal"/>
        <w:tabs>
          <w:tab w:val="clear" w:pos="709"/>
          <w:tab w:val="left" w:pos="0" w:leader="none"/>
          <w:tab w:val="left" w:pos="142" w:leader="none"/>
        </w:tabs>
        <w:ind w:right="276" w:hanging="0"/>
        <w:jc w:val="both"/>
        <w:rPr>
          <w:rFonts w:ascii="Arial Narrow" w:hAnsi="Arial Narrow" w:cs="Arial"/>
        </w:rPr>
      </w:pPr>
      <w:r>
        <w:rPr>
          <w:rFonts w:cs="Arial" w:ascii="Arial Narrow" w:hAnsi="Arial Narrow"/>
        </w:rPr>
      </w:r>
    </w:p>
    <w:p>
      <w:pPr>
        <w:pStyle w:val="Normal"/>
        <w:tabs>
          <w:tab w:val="clear" w:pos="709"/>
          <w:tab w:val="left" w:pos="0" w:leader="none"/>
          <w:tab w:val="left" w:pos="142" w:leader="none"/>
        </w:tabs>
        <w:ind w:right="276" w:hanging="0"/>
        <w:jc w:val="both"/>
        <w:rPr>
          <w:rFonts w:ascii="Arial Narrow" w:hAnsi="Arial Narrow" w:cs="Arial"/>
        </w:rPr>
      </w:pPr>
      <w:r>
        <w:rPr>
          <w:rFonts w:cs="Arial" w:ascii="Arial Narrow" w:hAnsi="Arial Narrow"/>
        </w:rPr>
        <w:t xml:space="preserve"> </w:t>
      </w:r>
    </w:p>
    <w:p>
      <w:pPr>
        <w:pStyle w:val="Normal"/>
        <w:tabs>
          <w:tab w:val="clear" w:pos="709"/>
          <w:tab w:val="left" w:pos="0" w:leader="none"/>
          <w:tab w:val="left" w:pos="142" w:leader="none"/>
        </w:tabs>
        <w:ind w:right="276" w:hanging="0"/>
        <w:jc w:val="both"/>
        <w:rPr>
          <w:rFonts w:ascii="Arial Narrow" w:hAnsi="Arial Narrow" w:cs="Arial"/>
        </w:rPr>
      </w:pPr>
      <w:r>
        <w:rPr>
          <w:rFonts w:cs="Arial" w:ascii="Arial Narrow" w:hAnsi="Arial Narrow"/>
        </w:rPr>
      </w:r>
    </w:p>
    <w:p>
      <w:pPr>
        <w:pStyle w:val="Normal"/>
        <w:tabs>
          <w:tab w:val="clear" w:pos="709"/>
          <w:tab w:val="left" w:pos="0" w:leader="none"/>
          <w:tab w:val="left" w:pos="142" w:leader="none"/>
        </w:tabs>
        <w:ind w:right="276" w:hanging="0"/>
        <w:jc w:val="both"/>
        <w:rPr>
          <w:rFonts w:ascii="Arial Narrow" w:hAnsi="Arial Narrow" w:cs="Arial"/>
        </w:rPr>
      </w:pPr>
      <w:r>
        <w:rPr>
          <w:rFonts w:cs="Arial" w:ascii="Arial Narrow" w:hAnsi="Arial Narrow"/>
        </w:rPr>
        <w:t xml:space="preserve">M. </w:t>
      </w:r>
    </w:p>
    <w:p>
      <w:pPr>
        <w:pStyle w:val="Normal"/>
        <w:tabs>
          <w:tab w:val="clear" w:pos="709"/>
          <w:tab w:val="left" w:pos="0" w:leader="none"/>
          <w:tab w:val="left" w:pos="142" w:leader="none"/>
        </w:tabs>
        <w:ind w:right="276" w:hanging="0"/>
        <w:jc w:val="both"/>
        <w:rPr>
          <w:rFonts w:ascii="Arial Narrow" w:hAnsi="Arial Narrow" w:cs="Arial"/>
        </w:rPr>
      </w:pPr>
      <w:r>
        <w:rPr>
          <w:rFonts w:cs="Arial" w:ascii="Arial Narrow" w:hAnsi="Arial Narrow"/>
        </w:rPr>
        <w:t xml:space="preserve">Délégué Syndical Central C.F.D.T </w:t>
      </w:r>
    </w:p>
    <w:p>
      <w:pPr>
        <w:pStyle w:val="Normal"/>
        <w:tabs>
          <w:tab w:val="clear" w:pos="709"/>
          <w:tab w:val="left" w:pos="0" w:leader="none"/>
          <w:tab w:val="left" w:pos="142" w:leader="none"/>
        </w:tabs>
        <w:ind w:right="276" w:hanging="0"/>
        <w:jc w:val="both"/>
        <w:rPr>
          <w:rFonts w:ascii="Arial Narrow" w:hAnsi="Arial Narrow" w:cs="Arial"/>
        </w:rPr>
      </w:pPr>
      <w:r>
        <w:rPr>
          <w:rFonts w:cs="Arial" w:ascii="Arial Narrow" w:hAnsi="Arial Narrow"/>
        </w:rPr>
      </w:r>
    </w:p>
    <w:p>
      <w:pPr>
        <w:pStyle w:val="Normal"/>
        <w:tabs>
          <w:tab w:val="clear" w:pos="709"/>
          <w:tab w:val="left" w:pos="0" w:leader="none"/>
          <w:tab w:val="left" w:pos="142" w:leader="none"/>
        </w:tabs>
        <w:ind w:right="276" w:hanging="0"/>
        <w:jc w:val="both"/>
        <w:rPr>
          <w:rFonts w:ascii="Arial Narrow" w:hAnsi="Arial Narrow" w:cs="Arial"/>
        </w:rPr>
      </w:pPr>
      <w:r>
        <w:rPr>
          <w:rFonts w:cs="Arial" w:ascii="Arial Narrow" w:hAnsi="Arial Narrow"/>
        </w:rPr>
        <w:t xml:space="preserve"> </w:t>
      </w:r>
    </w:p>
    <w:p>
      <w:pPr>
        <w:pStyle w:val="Normal"/>
        <w:tabs>
          <w:tab w:val="clear" w:pos="709"/>
          <w:tab w:val="left" w:pos="0" w:leader="none"/>
          <w:tab w:val="left" w:pos="142" w:leader="none"/>
        </w:tabs>
        <w:ind w:right="276" w:hanging="0"/>
        <w:jc w:val="both"/>
        <w:rPr>
          <w:rFonts w:ascii="Arial Narrow" w:hAnsi="Arial Narrow" w:cs="Arial"/>
        </w:rPr>
      </w:pPr>
      <w:r>
        <w:rPr>
          <w:rFonts w:cs="Arial" w:ascii="Arial Narrow" w:hAnsi="Arial Narrow"/>
        </w:rPr>
      </w:r>
    </w:p>
    <w:p>
      <w:pPr>
        <w:pStyle w:val="Normal"/>
        <w:tabs>
          <w:tab w:val="clear" w:pos="709"/>
          <w:tab w:val="left" w:pos="0" w:leader="none"/>
          <w:tab w:val="left" w:pos="142" w:leader="none"/>
        </w:tabs>
        <w:ind w:right="276" w:hanging="0"/>
        <w:jc w:val="both"/>
        <w:rPr>
          <w:rFonts w:ascii="Arial Narrow" w:hAnsi="Arial Narrow" w:cs="Arial"/>
        </w:rPr>
      </w:pPr>
      <w:r>
        <w:rPr>
          <w:rFonts w:cs="Arial" w:ascii="Arial Narrow" w:hAnsi="Arial Narrow"/>
        </w:rPr>
        <w:t xml:space="preserve"> </w:t>
      </w:r>
    </w:p>
    <w:p>
      <w:pPr>
        <w:pStyle w:val="Normal"/>
        <w:tabs>
          <w:tab w:val="clear" w:pos="709"/>
          <w:tab w:val="left" w:pos="0" w:leader="none"/>
          <w:tab w:val="left" w:pos="142" w:leader="none"/>
        </w:tabs>
        <w:ind w:right="276" w:hanging="0"/>
        <w:jc w:val="both"/>
        <w:rPr>
          <w:rFonts w:ascii="Arial Narrow" w:hAnsi="Arial Narrow" w:cs="Arial"/>
        </w:rPr>
      </w:pPr>
      <w:r>
        <w:rPr>
          <w:rFonts w:cs="Arial" w:ascii="Arial Narrow" w:hAnsi="Arial Narrow"/>
        </w:rPr>
      </w:r>
    </w:p>
    <w:p>
      <w:pPr>
        <w:pStyle w:val="Normal"/>
        <w:tabs>
          <w:tab w:val="clear" w:pos="709"/>
          <w:tab w:val="left" w:pos="0" w:leader="none"/>
          <w:tab w:val="left" w:pos="142" w:leader="none"/>
        </w:tabs>
        <w:ind w:right="276" w:hanging="0"/>
        <w:jc w:val="both"/>
        <w:rPr>
          <w:rFonts w:ascii="Arial Narrow" w:hAnsi="Arial Narrow" w:cs="Arial"/>
        </w:rPr>
      </w:pPr>
      <w:r>
        <w:rPr>
          <w:rFonts w:cs="Arial" w:ascii="Arial Narrow" w:hAnsi="Arial Narrow"/>
        </w:rPr>
        <w:t xml:space="preserve"> </w:t>
      </w:r>
    </w:p>
    <w:p>
      <w:pPr>
        <w:pStyle w:val="Normal"/>
        <w:tabs>
          <w:tab w:val="clear" w:pos="709"/>
          <w:tab w:val="left" w:pos="0" w:leader="none"/>
          <w:tab w:val="left" w:pos="142" w:leader="none"/>
        </w:tabs>
        <w:ind w:right="276" w:hanging="0"/>
        <w:jc w:val="both"/>
        <w:rPr>
          <w:rFonts w:ascii="Arial Narrow" w:hAnsi="Arial Narrow" w:cs="Arial"/>
        </w:rPr>
      </w:pPr>
      <w:r>
        <w:rPr>
          <w:rFonts w:cs="Arial" w:ascii="Arial Narrow" w:hAnsi="Arial Narrow"/>
        </w:rPr>
      </w:r>
    </w:p>
    <w:p>
      <w:pPr>
        <w:pStyle w:val="Normal"/>
        <w:tabs>
          <w:tab w:val="clear" w:pos="709"/>
          <w:tab w:val="left" w:pos="0" w:leader="none"/>
          <w:tab w:val="left" w:pos="142" w:leader="none"/>
        </w:tabs>
        <w:ind w:right="276" w:hanging="0"/>
        <w:jc w:val="both"/>
        <w:rPr>
          <w:rFonts w:ascii="Arial Narrow" w:hAnsi="Arial Narrow" w:cs="Arial"/>
        </w:rPr>
      </w:pPr>
      <w:r>
        <w:rPr>
          <w:rFonts w:cs="Arial" w:ascii="Arial Narrow" w:hAnsi="Arial Narrow"/>
        </w:rPr>
        <w:t xml:space="preserve"> </w:t>
      </w:r>
    </w:p>
    <w:p>
      <w:pPr>
        <w:pStyle w:val="Normal"/>
        <w:tabs>
          <w:tab w:val="clear" w:pos="709"/>
          <w:tab w:val="left" w:pos="0" w:leader="none"/>
          <w:tab w:val="left" w:pos="142" w:leader="none"/>
        </w:tabs>
        <w:ind w:right="276" w:hanging="0"/>
        <w:jc w:val="both"/>
        <w:rPr>
          <w:rFonts w:ascii="Arial Narrow" w:hAnsi="Arial Narrow" w:cs="Arial"/>
        </w:rPr>
      </w:pPr>
      <w:r>
        <w:rPr>
          <w:rFonts w:cs="Arial" w:ascii="Arial Narrow" w:hAnsi="Arial Narrow"/>
        </w:rPr>
      </w:r>
    </w:p>
    <w:p>
      <w:pPr>
        <w:pStyle w:val="Normal"/>
        <w:tabs>
          <w:tab w:val="clear" w:pos="709"/>
          <w:tab w:val="left" w:pos="0" w:leader="none"/>
          <w:tab w:val="left" w:pos="142" w:leader="none"/>
        </w:tabs>
        <w:ind w:right="276" w:hanging="0"/>
        <w:jc w:val="both"/>
        <w:rPr>
          <w:rFonts w:ascii="Arial Narrow" w:hAnsi="Arial Narrow" w:cs="Arial"/>
        </w:rPr>
      </w:pPr>
      <w:r>
        <w:rPr>
          <w:rFonts w:cs="Arial" w:ascii="Arial Narrow" w:hAnsi="Arial Narrow"/>
        </w:rPr>
        <w:t xml:space="preserve">M. </w:t>
      </w:r>
    </w:p>
    <w:p>
      <w:pPr>
        <w:pStyle w:val="Normal"/>
        <w:tabs>
          <w:tab w:val="clear" w:pos="709"/>
          <w:tab w:val="left" w:pos="0" w:leader="none"/>
          <w:tab w:val="left" w:pos="142" w:leader="none"/>
        </w:tabs>
        <w:ind w:right="276" w:hanging="0"/>
        <w:jc w:val="both"/>
        <w:rPr>
          <w:rFonts w:ascii="Arial Narrow" w:hAnsi="Arial Narrow" w:cs="Arial"/>
        </w:rPr>
      </w:pPr>
      <w:r>
        <w:rPr>
          <w:rFonts w:cs="Arial" w:ascii="Arial Narrow" w:hAnsi="Arial Narrow"/>
        </w:rPr>
        <w:t xml:space="preserve">Délégué Syndical Central C.F.E-C.G.C. </w:t>
      </w:r>
    </w:p>
    <w:p>
      <w:pPr>
        <w:pStyle w:val="Normal"/>
        <w:tabs>
          <w:tab w:val="clear" w:pos="709"/>
          <w:tab w:val="left" w:pos="0" w:leader="none"/>
          <w:tab w:val="left" w:pos="142" w:leader="none"/>
        </w:tabs>
        <w:ind w:right="276" w:hanging="0"/>
        <w:jc w:val="both"/>
        <w:rPr>
          <w:rFonts w:ascii="Arial Narrow" w:hAnsi="Arial Narrow" w:cs="Arial"/>
        </w:rPr>
      </w:pPr>
      <w:r>
        <w:rPr>
          <w:rFonts w:cs="Arial" w:ascii="Arial Narrow" w:hAnsi="Arial Narrow"/>
        </w:rPr>
      </w:r>
    </w:p>
    <w:p>
      <w:pPr>
        <w:pStyle w:val="Normal"/>
        <w:tabs>
          <w:tab w:val="clear" w:pos="709"/>
          <w:tab w:val="left" w:pos="0" w:leader="none"/>
          <w:tab w:val="left" w:pos="142" w:leader="none"/>
        </w:tabs>
        <w:ind w:right="276" w:hanging="0"/>
        <w:jc w:val="both"/>
        <w:rPr>
          <w:rFonts w:ascii="Arial Narrow" w:hAnsi="Arial Narrow" w:cs="Arial"/>
        </w:rPr>
      </w:pPr>
      <w:r>
        <w:rPr>
          <w:rFonts w:cs="Arial" w:ascii="Arial Narrow" w:hAnsi="Arial Narrow"/>
        </w:rPr>
        <w:t xml:space="preserve"> </w:t>
      </w:r>
    </w:p>
    <w:p>
      <w:pPr>
        <w:pStyle w:val="Normal"/>
        <w:tabs>
          <w:tab w:val="clear" w:pos="709"/>
          <w:tab w:val="left" w:pos="0" w:leader="none"/>
          <w:tab w:val="left" w:pos="142" w:leader="none"/>
        </w:tabs>
        <w:ind w:right="276" w:hanging="0"/>
        <w:jc w:val="both"/>
        <w:rPr>
          <w:rFonts w:ascii="Arial Narrow" w:hAnsi="Arial Narrow" w:cs="Arial"/>
        </w:rPr>
      </w:pPr>
      <w:r>
        <w:rPr>
          <w:rFonts w:cs="Arial" w:ascii="Arial Narrow" w:hAnsi="Arial Narrow"/>
        </w:rPr>
      </w:r>
    </w:p>
    <w:p>
      <w:pPr>
        <w:pStyle w:val="Normal"/>
        <w:tabs>
          <w:tab w:val="clear" w:pos="709"/>
          <w:tab w:val="left" w:pos="0" w:leader="none"/>
          <w:tab w:val="left" w:pos="142" w:leader="none"/>
        </w:tabs>
        <w:ind w:right="276" w:hanging="0"/>
        <w:jc w:val="both"/>
        <w:rPr>
          <w:rFonts w:ascii="Arial Narrow" w:hAnsi="Arial Narrow" w:cs="Arial"/>
        </w:rPr>
      </w:pPr>
      <w:r>
        <w:rPr>
          <w:rFonts w:cs="Arial" w:ascii="Arial Narrow" w:hAnsi="Arial Narrow"/>
        </w:rPr>
        <w:t xml:space="preserve"> </w:t>
      </w:r>
    </w:p>
    <w:p>
      <w:pPr>
        <w:pStyle w:val="Normal"/>
        <w:tabs>
          <w:tab w:val="clear" w:pos="709"/>
          <w:tab w:val="left" w:pos="0" w:leader="none"/>
          <w:tab w:val="left" w:pos="142" w:leader="none"/>
        </w:tabs>
        <w:ind w:right="276" w:hanging="0"/>
        <w:jc w:val="both"/>
        <w:rPr>
          <w:rFonts w:ascii="Arial Narrow" w:hAnsi="Arial Narrow" w:cs="Arial"/>
        </w:rPr>
      </w:pPr>
      <w:r>
        <w:rPr>
          <w:rFonts w:cs="Arial" w:ascii="Arial Narrow" w:hAnsi="Arial Narrow"/>
        </w:rPr>
      </w:r>
    </w:p>
    <w:p>
      <w:pPr>
        <w:pStyle w:val="Normal"/>
        <w:tabs>
          <w:tab w:val="clear" w:pos="709"/>
          <w:tab w:val="left" w:pos="0" w:leader="none"/>
          <w:tab w:val="left" w:pos="142" w:leader="none"/>
        </w:tabs>
        <w:ind w:right="276" w:hanging="0"/>
        <w:jc w:val="both"/>
        <w:rPr>
          <w:rFonts w:ascii="Arial Narrow" w:hAnsi="Arial Narrow" w:cs="Arial"/>
        </w:rPr>
      </w:pPr>
      <w:r>
        <w:rPr>
          <w:rFonts w:cs="Arial" w:ascii="Arial Narrow" w:hAnsi="Arial Narrow"/>
        </w:rPr>
        <w:t xml:space="preserve"> </w:t>
      </w:r>
    </w:p>
    <w:p>
      <w:pPr>
        <w:pStyle w:val="Normal"/>
        <w:tabs>
          <w:tab w:val="clear" w:pos="709"/>
          <w:tab w:val="left" w:pos="0" w:leader="none"/>
          <w:tab w:val="left" w:pos="142" w:leader="none"/>
        </w:tabs>
        <w:ind w:right="276" w:hanging="0"/>
        <w:jc w:val="both"/>
        <w:rPr>
          <w:rFonts w:ascii="Arial Narrow" w:hAnsi="Arial Narrow" w:cs="Arial"/>
        </w:rPr>
      </w:pPr>
      <w:r>
        <w:rPr>
          <w:rFonts w:cs="Arial" w:ascii="Arial Narrow" w:hAnsi="Arial Narrow"/>
        </w:rPr>
      </w:r>
    </w:p>
    <w:p>
      <w:pPr>
        <w:pStyle w:val="Normal"/>
        <w:tabs>
          <w:tab w:val="clear" w:pos="709"/>
          <w:tab w:val="left" w:pos="0" w:leader="none"/>
          <w:tab w:val="left" w:pos="142" w:leader="none"/>
        </w:tabs>
        <w:ind w:right="276" w:hanging="0"/>
        <w:jc w:val="both"/>
        <w:rPr>
          <w:rFonts w:ascii="Arial Narrow" w:hAnsi="Arial Narrow" w:cs="Arial"/>
        </w:rPr>
      </w:pPr>
      <w:r>
        <w:rPr>
          <w:rFonts w:cs="Arial" w:ascii="Arial Narrow" w:hAnsi="Arial Narrow"/>
        </w:rPr>
        <w:t xml:space="preserve"> </w:t>
      </w:r>
    </w:p>
    <w:p>
      <w:pPr>
        <w:pStyle w:val="Normal"/>
        <w:tabs>
          <w:tab w:val="clear" w:pos="709"/>
          <w:tab w:val="left" w:pos="0" w:leader="none"/>
          <w:tab w:val="left" w:pos="142" w:leader="none"/>
        </w:tabs>
        <w:ind w:right="276" w:hanging="0"/>
        <w:jc w:val="both"/>
        <w:rPr>
          <w:rFonts w:ascii="Arial Narrow" w:hAnsi="Arial Narrow" w:cs="Arial"/>
        </w:rPr>
      </w:pPr>
      <w:r>
        <w:rPr>
          <w:rFonts w:cs="Arial" w:ascii="Arial Narrow" w:hAnsi="Arial Narrow"/>
        </w:rPr>
      </w:r>
    </w:p>
    <w:p>
      <w:pPr>
        <w:pStyle w:val="Normal"/>
        <w:tabs>
          <w:tab w:val="clear" w:pos="709"/>
          <w:tab w:val="left" w:pos="0" w:leader="none"/>
          <w:tab w:val="left" w:pos="142" w:leader="none"/>
        </w:tabs>
        <w:ind w:right="276" w:hanging="0"/>
        <w:jc w:val="both"/>
        <w:rPr>
          <w:rFonts w:ascii="Arial Narrow" w:hAnsi="Arial Narrow" w:cs="Arial"/>
        </w:rPr>
      </w:pPr>
      <w:r>
        <w:rPr>
          <w:rFonts w:cs="Arial" w:ascii="Arial Narrow" w:hAnsi="Arial Narrow"/>
        </w:rPr>
        <w:t xml:space="preserve"> </w:t>
      </w:r>
    </w:p>
    <w:p>
      <w:pPr>
        <w:pStyle w:val="Normal"/>
        <w:tabs>
          <w:tab w:val="clear" w:pos="709"/>
          <w:tab w:val="left" w:pos="0" w:leader="none"/>
          <w:tab w:val="left" w:pos="142" w:leader="none"/>
        </w:tabs>
        <w:ind w:right="276" w:hanging="0"/>
        <w:jc w:val="both"/>
        <w:rPr>
          <w:rFonts w:ascii="Arial Narrow" w:hAnsi="Arial Narrow" w:cs="Arial"/>
        </w:rPr>
      </w:pPr>
      <w:r>
        <w:rPr>
          <w:rFonts w:cs="Arial" w:ascii="Arial Narrow" w:hAnsi="Arial Narrow"/>
        </w:rPr>
      </w:r>
    </w:p>
    <w:p>
      <w:pPr>
        <w:pStyle w:val="Normal"/>
        <w:tabs>
          <w:tab w:val="clear" w:pos="709"/>
          <w:tab w:val="left" w:pos="0" w:leader="none"/>
          <w:tab w:val="left" w:pos="142" w:leader="none"/>
        </w:tabs>
        <w:ind w:right="276" w:hanging="0"/>
        <w:jc w:val="both"/>
        <w:rPr>
          <w:rFonts w:ascii="Arial Narrow" w:hAnsi="Arial Narrow" w:cs="Arial"/>
        </w:rPr>
      </w:pPr>
      <w:r>
        <w:rPr>
          <w:rFonts w:cs="Arial" w:ascii="Arial Narrow" w:hAnsi="Arial Narrow"/>
        </w:rPr>
        <w:t xml:space="preserve">M. </w:t>
      </w:r>
    </w:p>
    <w:p>
      <w:pPr>
        <w:pStyle w:val="Normal"/>
        <w:tabs>
          <w:tab w:val="clear" w:pos="709"/>
          <w:tab w:val="left" w:pos="0" w:leader="none"/>
          <w:tab w:val="left" w:pos="142" w:leader="none"/>
        </w:tabs>
        <w:ind w:right="276" w:hanging="0"/>
        <w:jc w:val="both"/>
        <w:rPr>
          <w:rFonts w:ascii="Arial Narrow" w:hAnsi="Arial Narrow" w:cs="Arial"/>
        </w:rPr>
      </w:pPr>
      <w:r>
        <w:rPr>
          <w:rFonts w:cs="Arial" w:ascii="Arial Narrow" w:hAnsi="Arial Narrow"/>
        </w:rPr>
        <w:t xml:space="preserve">Délégué Syndical Central C.G.T. </w:t>
      </w:r>
    </w:p>
    <w:p>
      <w:pPr>
        <w:pStyle w:val="Normal"/>
        <w:tabs>
          <w:tab w:val="clear" w:pos="709"/>
          <w:tab w:val="left" w:pos="0" w:leader="none"/>
          <w:tab w:val="left" w:pos="142" w:leader="none"/>
        </w:tabs>
        <w:ind w:right="276" w:hanging="0"/>
        <w:jc w:val="both"/>
        <w:rPr>
          <w:rFonts w:ascii="Arial Narrow" w:hAnsi="Arial Narrow" w:cs="Arial"/>
        </w:rPr>
      </w:pPr>
      <w:r>
        <w:rPr>
          <w:rFonts w:cs="Arial" w:ascii="Arial Narrow" w:hAnsi="Arial Narrow"/>
        </w:rPr>
      </w:r>
    </w:p>
    <w:p>
      <w:pPr>
        <w:pStyle w:val="Normal"/>
        <w:tabs>
          <w:tab w:val="clear" w:pos="709"/>
          <w:tab w:val="left" w:pos="0" w:leader="none"/>
          <w:tab w:val="left" w:pos="142" w:leader="none"/>
        </w:tabs>
        <w:ind w:right="276" w:hanging="0"/>
        <w:jc w:val="both"/>
        <w:rPr>
          <w:rFonts w:ascii="Arial Narrow" w:hAnsi="Arial Narrow" w:cs="Arial"/>
        </w:rPr>
      </w:pPr>
      <w:r>
        <w:rPr>
          <w:rFonts w:cs="Arial" w:ascii="Arial Narrow" w:hAnsi="Arial Narrow"/>
        </w:rPr>
        <w:t xml:space="preserve"> </w:t>
      </w:r>
    </w:p>
    <w:p>
      <w:pPr>
        <w:pStyle w:val="Normal"/>
        <w:tabs>
          <w:tab w:val="clear" w:pos="709"/>
          <w:tab w:val="left" w:pos="0" w:leader="none"/>
          <w:tab w:val="left" w:pos="142" w:leader="none"/>
        </w:tabs>
        <w:ind w:right="276" w:hanging="0"/>
        <w:jc w:val="both"/>
        <w:rPr>
          <w:rFonts w:ascii="Arial Narrow" w:hAnsi="Arial Narrow" w:cs="Arial"/>
        </w:rPr>
      </w:pPr>
      <w:r>
        <w:rPr>
          <w:rFonts w:cs="Arial" w:ascii="Arial Narrow" w:hAnsi="Arial Narrow"/>
        </w:rPr>
      </w:r>
    </w:p>
    <w:p>
      <w:pPr>
        <w:pStyle w:val="Normal"/>
        <w:tabs>
          <w:tab w:val="clear" w:pos="709"/>
          <w:tab w:val="left" w:pos="0" w:leader="none"/>
          <w:tab w:val="left" w:pos="142" w:leader="none"/>
        </w:tabs>
        <w:ind w:right="276" w:hanging="0"/>
        <w:jc w:val="both"/>
        <w:rPr>
          <w:rFonts w:ascii="Arial Narrow" w:hAnsi="Arial Narrow" w:cs="Arial"/>
        </w:rPr>
      </w:pPr>
      <w:r>
        <w:rPr>
          <w:rFonts w:cs="Arial" w:ascii="Arial Narrow" w:hAnsi="Arial Narrow"/>
        </w:rPr>
        <w:t xml:space="preserve"> </w:t>
      </w:r>
    </w:p>
    <w:p>
      <w:pPr>
        <w:pStyle w:val="Normal"/>
        <w:tabs>
          <w:tab w:val="clear" w:pos="709"/>
          <w:tab w:val="left" w:pos="0" w:leader="none"/>
          <w:tab w:val="left" w:pos="142" w:leader="none"/>
        </w:tabs>
        <w:ind w:right="276" w:hanging="0"/>
        <w:jc w:val="both"/>
        <w:rPr>
          <w:rFonts w:ascii="Arial Narrow" w:hAnsi="Arial Narrow" w:cs="Arial"/>
        </w:rPr>
      </w:pPr>
      <w:r>
        <w:rPr>
          <w:rFonts w:cs="Arial" w:ascii="Arial Narrow" w:hAnsi="Arial Narrow"/>
        </w:rPr>
      </w:r>
    </w:p>
    <w:p>
      <w:pPr>
        <w:pStyle w:val="Normal"/>
        <w:tabs>
          <w:tab w:val="clear" w:pos="709"/>
          <w:tab w:val="left" w:pos="0" w:leader="none"/>
          <w:tab w:val="left" w:pos="142" w:leader="none"/>
        </w:tabs>
        <w:ind w:right="276" w:hanging="0"/>
        <w:jc w:val="both"/>
        <w:rPr>
          <w:rFonts w:ascii="Arial Narrow" w:hAnsi="Arial Narrow" w:cs="Arial"/>
        </w:rPr>
      </w:pPr>
      <w:r>
        <w:rPr>
          <w:rFonts w:cs="Arial" w:ascii="Arial Narrow" w:hAnsi="Arial Narrow"/>
        </w:rPr>
        <w:t xml:space="preserve"> </w:t>
      </w:r>
    </w:p>
    <w:p>
      <w:pPr>
        <w:pStyle w:val="Normal"/>
        <w:tabs>
          <w:tab w:val="clear" w:pos="709"/>
          <w:tab w:val="left" w:pos="0" w:leader="none"/>
          <w:tab w:val="left" w:pos="142" w:leader="none"/>
        </w:tabs>
        <w:ind w:right="276" w:hanging="0"/>
        <w:jc w:val="both"/>
        <w:rPr>
          <w:rFonts w:ascii="Arial Narrow" w:hAnsi="Arial Narrow" w:cs="Arial"/>
        </w:rPr>
      </w:pPr>
      <w:r>
        <w:rPr>
          <w:rFonts w:cs="Arial" w:ascii="Arial Narrow" w:hAnsi="Arial Narrow"/>
        </w:rPr>
      </w:r>
    </w:p>
    <w:p>
      <w:pPr>
        <w:pStyle w:val="Normal"/>
        <w:tabs>
          <w:tab w:val="clear" w:pos="709"/>
          <w:tab w:val="left" w:pos="0" w:leader="none"/>
          <w:tab w:val="left" w:pos="142" w:leader="none"/>
        </w:tabs>
        <w:ind w:right="276" w:hanging="0"/>
        <w:jc w:val="both"/>
        <w:rPr>
          <w:rFonts w:ascii="Arial Narrow" w:hAnsi="Arial Narrow" w:cs="Arial"/>
        </w:rPr>
      </w:pPr>
      <w:r>
        <w:rPr>
          <w:rFonts w:cs="Arial" w:ascii="Arial Narrow" w:hAnsi="Arial Narrow"/>
        </w:rPr>
        <w:t xml:space="preserve"> </w:t>
      </w:r>
    </w:p>
    <w:p>
      <w:pPr>
        <w:pStyle w:val="Normal"/>
        <w:tabs>
          <w:tab w:val="clear" w:pos="709"/>
          <w:tab w:val="left" w:pos="0" w:leader="none"/>
          <w:tab w:val="left" w:pos="142" w:leader="none"/>
        </w:tabs>
        <w:ind w:right="276" w:hanging="0"/>
        <w:jc w:val="both"/>
        <w:rPr>
          <w:rFonts w:ascii="Arial Narrow" w:hAnsi="Arial Narrow" w:cs="Arial"/>
        </w:rPr>
      </w:pPr>
      <w:r>
        <w:rPr>
          <w:rFonts w:cs="Arial" w:ascii="Arial Narrow" w:hAnsi="Arial Narrow"/>
        </w:rPr>
      </w:r>
    </w:p>
    <w:p>
      <w:pPr>
        <w:pStyle w:val="Normal"/>
        <w:tabs>
          <w:tab w:val="clear" w:pos="709"/>
          <w:tab w:val="left" w:pos="0" w:leader="none"/>
          <w:tab w:val="left" w:pos="142" w:leader="none"/>
        </w:tabs>
        <w:ind w:right="276" w:hanging="0"/>
        <w:jc w:val="both"/>
        <w:rPr>
          <w:rFonts w:ascii="Arial Narrow" w:hAnsi="Arial Narrow" w:cs="Arial"/>
        </w:rPr>
      </w:pPr>
      <w:r>
        <w:rPr>
          <w:rFonts w:cs="Arial" w:ascii="Arial Narrow" w:hAnsi="Arial Narrow"/>
        </w:rPr>
        <w:t xml:space="preserve"> </w:t>
      </w:r>
    </w:p>
    <w:p>
      <w:pPr>
        <w:pStyle w:val="Normal"/>
        <w:tabs>
          <w:tab w:val="clear" w:pos="709"/>
          <w:tab w:val="left" w:pos="0" w:leader="none"/>
          <w:tab w:val="left" w:pos="142" w:leader="none"/>
        </w:tabs>
        <w:ind w:right="276" w:hanging="0"/>
        <w:jc w:val="both"/>
        <w:rPr>
          <w:rFonts w:ascii="Arial Narrow" w:hAnsi="Arial Narrow" w:cs="Arial"/>
        </w:rPr>
      </w:pPr>
      <w:r>
        <w:rPr>
          <w:rFonts w:cs="Arial" w:ascii="Arial Narrow" w:hAnsi="Arial Narrow"/>
        </w:rPr>
      </w:r>
    </w:p>
    <w:p>
      <w:pPr>
        <w:pStyle w:val="Normal"/>
        <w:tabs>
          <w:tab w:val="clear" w:pos="709"/>
          <w:tab w:val="left" w:pos="0" w:leader="none"/>
          <w:tab w:val="left" w:pos="142" w:leader="none"/>
        </w:tabs>
        <w:ind w:right="276" w:hanging="0"/>
        <w:jc w:val="both"/>
        <w:rPr>
          <w:rFonts w:ascii="Arial Narrow" w:hAnsi="Arial Narrow" w:cs="Arial"/>
        </w:rPr>
      </w:pPr>
      <w:r>
        <w:rPr>
          <w:rFonts w:cs="Arial" w:ascii="Arial Narrow" w:hAnsi="Arial Narrow"/>
        </w:rPr>
        <w:t xml:space="preserve">M. </w:t>
      </w:r>
    </w:p>
    <w:p>
      <w:pPr>
        <w:pStyle w:val="Normal"/>
        <w:tabs>
          <w:tab w:val="clear" w:pos="709"/>
          <w:tab w:val="left" w:pos="0" w:leader="none"/>
          <w:tab w:val="left" w:pos="142" w:leader="none"/>
        </w:tabs>
        <w:ind w:right="276" w:hanging="0"/>
        <w:jc w:val="both"/>
        <w:rPr>
          <w:rFonts w:ascii="Arial Narrow" w:hAnsi="Arial Narrow" w:cs="Arial"/>
        </w:rPr>
      </w:pPr>
      <w:bookmarkStart w:id="11" w:name="_Hlk198133136"/>
      <w:r>
        <w:rPr>
          <w:rFonts w:cs="Arial" w:ascii="Arial Narrow" w:hAnsi="Arial Narrow"/>
        </w:rPr>
        <w:t>Délégué Syndical Central F.O</w:t>
      </w:r>
      <w:bookmarkEnd w:id="11"/>
    </w:p>
    <w:p>
      <w:pPr>
        <w:pStyle w:val="Normal"/>
        <w:jc w:val="both"/>
        <w:rPr>
          <w:rFonts w:ascii="Arial Narrow" w:hAnsi="Arial Narrow" w:cs="Arial"/>
        </w:rPr>
      </w:pPr>
      <w:r>
        <w:rPr>
          <w:rFonts w:cs="Arial" w:ascii="Arial Narrow" w:hAnsi="Arial Narrow"/>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134" w:right="1127" w:gutter="0" w:header="709" w:top="993" w:footer="728" w:bottom="1276"/>
      <w:pgNumType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ourier">
    <w:altName w:val="Courier New"/>
    <w:charset w:val="00"/>
    <w:family w:val="roman"/>
    <w:pitch w:val="variable"/>
  </w:font>
  <w:font w:name="Arial">
    <w:charset w:val="00"/>
    <w:family w:val="roman"/>
    <w:pitch w:val="variable"/>
  </w:font>
  <w:font w:name="Calibri">
    <w:charset w:val="00"/>
    <w:family w:val="roman"/>
    <w:pitch w:val="variable"/>
  </w:font>
  <w:font w:name="Liberation Sans">
    <w:altName w:val="Arial"/>
    <w:charset w:val="00"/>
    <w:family w:val="swiss"/>
    <w:pitch w:val="variable"/>
  </w:font>
  <w:font w:name="Lucida Grande">
    <w:charset w:val="00"/>
    <w:family w:val="roman"/>
    <w:pitch w:val="variable"/>
  </w:font>
  <w:font w:name="Times-Roman">
    <w:altName w:val="Times New Roman"/>
    <w:charset w:val="00"/>
    <w:family w:val="roman"/>
    <w:pitch w:val="variable"/>
  </w:font>
  <w:font w:name="CG Times (W1)">
    <w:charset w:val="00"/>
    <w:family w:val="roman"/>
    <w:pitch w:val="variable"/>
  </w:font>
  <w:font w:name="Arial Narrow">
    <w:charset w:val="00"/>
    <w:family w:val="roman"/>
    <w:pitch w:val="variable"/>
  </w:font>
  <w:font w:name="Montserrat SemiBold">
    <w:charset w:val="00"/>
    <w:family w:val="roman"/>
    <w:pitch w:val="variable"/>
  </w:font>
  <w:font w:name="Montserrat Light">
    <w:charset w:val="00"/>
    <w:family w:val="roman"/>
    <w:pitch w:val="variable"/>
  </w:font>
  <w:font w:name="Arial">
    <w:charset w:val="01"/>
    <w:family w:val="swiss"/>
    <w:pitch w:val="variable"/>
  </w:font>
  <w:font w:name="Courier New">
    <w:charset w:val="01"/>
    <w:family w:val="modern"/>
    <w:pitch w:val="fixed"/>
  </w:font>
  <w:font w:name="Wingdings">
    <w:charset w:val="02"/>
    <w:family w:val="auto"/>
    <w:pitch w:val="variable"/>
  </w:font>
  <w:font w:name="Montserrat">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Pieddepage"/>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Gallery w:val="Page Numbers (Top of Page)"/>
        <w:docPartUnique w:val="true"/>
      </w:docPartObj>
      <w:id w:val="1015079097"/>
    </w:sdtPr>
    <w:sdtContent>
      <w:p>
        <w:pPr>
          <w:pStyle w:val="Pieddepage"/>
          <w:jc w:val="right"/>
          <w:rPr>
            <w:rFonts w:ascii="Arial" w:hAnsi="Arial" w:cs="Arial"/>
            <w:sz w:val="20"/>
          </w:rPr>
        </w:pPr>
        <w:r>
          <w:rPr>
            <w:rFonts w:cs="Arial" w:ascii="Arial" w:hAnsi="Arial"/>
            <w:b/>
            <w:bCs/>
            <w:sz w:val="20"/>
          </w:rPr>
          <w:fldChar w:fldCharType="begin"/>
        </w:r>
        <w:r>
          <w:rPr>
            <w:sz w:val="20"/>
            <w:b/>
            <w:bCs/>
            <w:rFonts w:cs="Arial" w:ascii="Arial" w:hAnsi="Arial"/>
          </w:rPr>
          <w:instrText xml:space="preserve"> PAGE </w:instrText>
        </w:r>
        <w:r>
          <w:rPr>
            <w:sz w:val="20"/>
            <w:b/>
            <w:bCs/>
            <w:rFonts w:cs="Arial" w:ascii="Arial" w:hAnsi="Arial"/>
          </w:rPr>
          <w:fldChar w:fldCharType="separate"/>
        </w:r>
        <w:r>
          <w:rPr>
            <w:sz w:val="20"/>
            <w:b/>
            <w:bCs/>
            <w:rFonts w:cs="Arial" w:ascii="Arial" w:hAnsi="Arial"/>
          </w:rPr>
          <w:t>6</w:t>
        </w:r>
        <w:r>
          <w:rPr>
            <w:sz w:val="20"/>
            <w:b/>
            <w:bCs/>
            <w:rFonts w:cs="Arial" w:ascii="Arial" w:hAnsi="Arial"/>
          </w:rPr>
          <w:fldChar w:fldCharType="end"/>
        </w:r>
        <w:r>
          <w:rPr>
            <w:rFonts w:cs="Arial" w:ascii="Arial" w:hAnsi="Arial"/>
            <w:sz w:val="20"/>
            <w:lang w:val="fr-FR"/>
          </w:rPr>
          <w:t>/</w:t>
        </w:r>
        <w:r>
          <w:rPr>
            <w:rFonts w:cs="Arial" w:ascii="Arial" w:hAnsi="Arial"/>
            <w:b/>
            <w:bCs/>
            <w:sz w:val="20"/>
          </w:rPr>
          <w:fldChar w:fldCharType="begin"/>
        </w:r>
        <w:r>
          <w:rPr>
            <w:sz w:val="20"/>
            <w:b/>
            <w:bCs/>
            <w:rFonts w:cs="Arial" w:ascii="Arial" w:hAnsi="Arial"/>
          </w:rPr>
          <w:instrText xml:space="preserve"> NUMPAGES </w:instrText>
        </w:r>
        <w:r>
          <w:rPr>
            <w:sz w:val="20"/>
            <w:b/>
            <w:bCs/>
            <w:rFonts w:cs="Arial" w:ascii="Arial" w:hAnsi="Arial"/>
          </w:rPr>
          <w:fldChar w:fldCharType="separate"/>
        </w:r>
        <w:r>
          <w:rPr>
            <w:sz w:val="20"/>
            <w:b/>
            <w:bCs/>
            <w:rFonts w:cs="Arial" w:ascii="Arial" w:hAnsi="Arial"/>
          </w:rPr>
          <w:t>6</w:t>
        </w:r>
        <w:r>
          <w:rPr>
            <w:sz w:val="20"/>
            <w:b/>
            <w:bCs/>
            <w:rFonts w:cs="Arial" w:ascii="Arial" w:hAnsi="Arial"/>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Gallery w:val="Page Numbers (Top of Page)"/>
        <w:docPartUnique w:val="true"/>
      </w:docPartObj>
      <w:id w:val="1679481116"/>
    </w:sdtPr>
    <w:sdtContent>
      <w:p>
        <w:pPr>
          <w:pStyle w:val="Pieddepage"/>
          <w:jc w:val="right"/>
          <w:rPr/>
        </w:pPr>
        <w:r>
          <w:rPr>
            <w:lang w:val="fr-FR"/>
          </w:rP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rPr>
            <w:lang w:val="fr-FR"/>
          </w:rPr>
          <w:t xml:space="preserve"> sur </w:t>
        </w:r>
        <w:r>
          <w:rPr>
            <w:b/>
            <w:bCs/>
          </w:rPr>
          <w:fldChar w:fldCharType="begin"/>
        </w:r>
        <w:r>
          <w:rPr>
            <w:b/>
            <w:bCs/>
          </w:rPr>
          <w:instrText xml:space="preserve"> NUMPAGES </w:instrText>
        </w:r>
        <w:r>
          <w:rPr>
            <w:b/>
            <w:bCs/>
          </w:rPr>
          <w:fldChar w:fldCharType="separate"/>
        </w:r>
        <w:r>
          <w:rPr>
            <w:b/>
            <w:bCs/>
          </w:rPr>
          <w:t>6</w:t>
        </w:r>
        <w:r>
          <w:rPr>
            <w:b/>
            <w:bCs/>
          </w:rPr>
          <w:fldChar w:fldCharType="end"/>
        </w:r>
      </w:p>
    </w:sdtContent>
  </w:sdt>
  <w:p>
    <w:pPr>
      <w:pStyle w:val="Pieddepage"/>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En-tte"/>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En-tte"/>
      <w:rPr>
        <w:rFonts w:ascii="Arial" w:hAnsi="Arial" w:cs="Arial"/>
        <w:sz w:val="18"/>
      </w:rPr>
    </w:pPr>
    <w:r>
      <w:rPr>
        <w:rFonts w:cs="Arial" w:ascii="Arial" w:hAnsi="Arial"/>
        <w:sz w:val="18"/>
      </w:rPr>
      <w:t xml:space="preserve"> </w:t>
    </w:r>
    <w:r>
      <w:rPr>
        <w:rFonts w:cs="Arial" w:ascii="Arial" w:hAnsi="Arial"/>
        <w:sz w:val="18"/>
      </w:rPr>
      <w:tab/>
      <w:tab/>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En-tte"/>
      <w:jc w:val="cent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left"/>
      <w:pPr>
        <w:tabs>
          <w:tab w:val="num" w:pos="0"/>
        </w:tabs>
        <w:ind w:left="720" w:hanging="360"/>
      </w:pPr>
      <w:rPr>
        <w:rFonts w:ascii="Arial" w:hAnsi="Arial" w:cs="Arial" w:hint="default"/>
        <w:rFonts w:eastAsiaTheme="minorEastAsi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lvl w:ilvl="0">
      <w:start w:val="1"/>
      <w:numFmt w:val="bullet"/>
      <w:lvlText w:val="‐"/>
      <w:lvlJc w:val="left"/>
      <w:pPr>
        <w:tabs>
          <w:tab w:val="num" w:pos="720"/>
        </w:tabs>
        <w:ind w:left="720" w:hanging="360"/>
      </w:pPr>
      <w:rPr>
        <w:rFonts w:ascii="Montserrat" w:hAnsi="Montserrat" w:cs="Montserrat"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lvl w:ilvl="0">
      <w:start w:val="1"/>
      <w:numFmt w:val="lowerLetter"/>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5">
    <w:lvl w:ilvl="0">
      <w:numFmt w:val="bullet"/>
      <w:lvlText w:val="-"/>
      <w:lvlJc w:val="left"/>
      <w:pPr>
        <w:tabs>
          <w:tab w:val="num" w:pos="0"/>
        </w:tabs>
        <w:ind w:left="720" w:hanging="360"/>
      </w:pPr>
      <w:rPr>
        <w:rFonts w:ascii="Arial" w:hAnsi="Arial" w:cs="Arial" w:hint="default"/>
        <w:rFonts w:eastAsiaTheme="minorEastAsi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90"/>
  <w:embedSystemFonts/>
  <w:defaultTabStop w:val="709"/>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ourier" w:hAnsi="Courier" w:eastAsia="Cambria" w:cs="Times New Roman"/>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e76a8"/>
    <w:pPr>
      <w:widowControl/>
      <w:bidi w:val="0"/>
      <w:spacing w:before="0" w:after="0"/>
      <w:jc w:val="left"/>
    </w:pPr>
    <w:rPr>
      <w:rFonts w:ascii="Courier" w:hAnsi="Courier" w:eastAsia="Cambria" w:cs="Times New Roman"/>
      <w:color w:val="auto"/>
      <w:kern w:val="0"/>
      <w:sz w:val="24"/>
      <w:szCs w:val="24"/>
      <w:lang w:val="it-IT" w:eastAsia="en-US" w:bidi="ar-SA"/>
    </w:rPr>
  </w:style>
  <w:style w:type="paragraph" w:styleId="Titre1">
    <w:name w:val="Heading 1"/>
    <w:basedOn w:val="Normal"/>
    <w:next w:val="Normal"/>
    <w:link w:val="Titre1Car"/>
    <w:qFormat/>
    <w:rsid w:val="00c805e5"/>
    <w:pPr>
      <w:keepNext w:val="true"/>
      <w:outlineLvl w:val="0"/>
    </w:pPr>
    <w:rPr>
      <w:rFonts w:ascii="Times New Roman" w:hAnsi="Times New Roman" w:eastAsia="Times New Roman"/>
      <w:b/>
      <w:bCs/>
      <w:sz w:val="22"/>
      <w:szCs w:val="22"/>
      <w:u w:val="single"/>
      <w:lang w:val="fr-FR" w:eastAsia="fr-FR"/>
    </w:rPr>
  </w:style>
  <w:style w:type="character" w:styleId="DefaultParagraphFont" w:default="1">
    <w:name w:val="Default Paragraph Font"/>
    <w:uiPriority w:val="1"/>
    <w:semiHidden/>
    <w:unhideWhenUsed/>
    <w:qFormat/>
    <w:rPr/>
  </w:style>
  <w:style w:type="character" w:styleId="TextedebullesCar" w:customStyle="1">
    <w:name w:val="Texte de bulles Car"/>
    <w:basedOn w:val="DefaultParagraphFont"/>
    <w:link w:val="BalloonText"/>
    <w:uiPriority w:val="99"/>
    <w:semiHidden/>
    <w:qFormat/>
    <w:rsid w:val="00531d95"/>
    <w:rPr>
      <w:rFonts w:ascii="Times New Roman" w:hAnsi="Times New Roman"/>
      <w:sz w:val="0"/>
      <w:szCs w:val="0"/>
      <w:lang w:val="it-IT"/>
    </w:rPr>
  </w:style>
  <w:style w:type="character" w:styleId="En-tteCar" w:customStyle="1">
    <w:name w:val="En-tête Car"/>
    <w:basedOn w:val="DefaultParagraphFont"/>
    <w:uiPriority w:val="99"/>
    <w:semiHidden/>
    <w:qFormat/>
    <w:locked/>
    <w:rsid w:val="00531d95"/>
    <w:rPr>
      <w:rFonts w:cs="Times New Roman"/>
      <w:sz w:val="24"/>
      <w:szCs w:val="24"/>
    </w:rPr>
  </w:style>
  <w:style w:type="character" w:styleId="PieddepageCar" w:customStyle="1">
    <w:name w:val="Pied de page Car"/>
    <w:basedOn w:val="DefaultParagraphFont"/>
    <w:uiPriority w:val="99"/>
    <w:qFormat/>
    <w:locked/>
    <w:rsid w:val="00531d95"/>
    <w:rPr>
      <w:rFonts w:cs="Times New Roman"/>
      <w:sz w:val="24"/>
      <w:szCs w:val="24"/>
    </w:rPr>
  </w:style>
  <w:style w:type="character" w:styleId="Titre1Car" w:customStyle="1">
    <w:name w:val="Titre 1 Car"/>
    <w:basedOn w:val="DefaultParagraphFont"/>
    <w:qFormat/>
    <w:rsid w:val="00c805e5"/>
    <w:rPr>
      <w:rFonts w:ascii="Times New Roman" w:hAnsi="Times New Roman" w:eastAsia="Times New Roman"/>
      <w:b/>
      <w:bCs/>
      <w:u w:val="single"/>
      <w:lang w:val="fr-FR" w:eastAsia="fr-FR"/>
    </w:rPr>
  </w:style>
  <w:style w:type="character" w:styleId="24Car" w:customStyle="1">
    <w:name w:val="24 Car"/>
    <w:basedOn w:val="DefaultParagraphFont"/>
    <w:link w:val="24"/>
    <w:qFormat/>
    <w:rsid w:val="00f96f79"/>
    <w:rPr>
      <w:rFonts w:ascii="Arial" w:hAnsi="Arial" w:eastAsia="Times New Roman" w:cs="Arial"/>
      <w:sz w:val="18"/>
      <w:szCs w:val="18"/>
      <w:lang w:val="fr-FR" w:eastAsia="fr-FR"/>
    </w:rPr>
  </w:style>
  <w:style w:type="character" w:styleId="Strong">
    <w:name w:val="Strong"/>
    <w:basedOn w:val="DefaultParagraphFont"/>
    <w:uiPriority w:val="22"/>
    <w:qFormat/>
    <w:rsid w:val="000007ec"/>
    <w:rPr>
      <w:b/>
      <w:bCs/>
    </w:rPr>
  </w:style>
  <w:style w:type="character" w:styleId="CorpsdetexteCar" w:customStyle="1">
    <w:name w:val="Corps de texte Car"/>
    <w:basedOn w:val="DefaultParagraphFont"/>
    <w:uiPriority w:val="1"/>
    <w:qFormat/>
    <w:rsid w:val="001040be"/>
    <w:rPr>
      <w:rFonts w:ascii="Arial" w:hAnsi="Arial" w:eastAsia="Arial" w:cs="Arial"/>
      <w:sz w:val="19"/>
      <w:szCs w:val="19"/>
    </w:rPr>
  </w:style>
  <w:style w:type="character" w:styleId="E24kjd" w:customStyle="1">
    <w:name w:val="e24kjd"/>
    <w:basedOn w:val="DefaultParagraphFont"/>
    <w:qFormat/>
    <w:rsid w:val="003d4031"/>
    <w:rPr/>
  </w:style>
  <w:style w:type="character" w:styleId="Annotationreference">
    <w:name w:val="annotation reference"/>
    <w:uiPriority w:val="99"/>
    <w:semiHidden/>
    <w:unhideWhenUsed/>
    <w:qFormat/>
    <w:rsid w:val="00b25e82"/>
    <w:rPr>
      <w:sz w:val="16"/>
      <w:szCs w:val="16"/>
    </w:rPr>
  </w:style>
  <w:style w:type="character" w:styleId="CommentaireCar" w:customStyle="1">
    <w:name w:val="Commentaire Car"/>
    <w:basedOn w:val="DefaultParagraphFont"/>
    <w:link w:val="Annotationtext"/>
    <w:uiPriority w:val="99"/>
    <w:semiHidden/>
    <w:qFormat/>
    <w:rsid w:val="00b25e82"/>
    <w:rPr>
      <w:rFonts w:ascii="Calibri" w:hAnsi="Calibri" w:eastAsia="Calibri"/>
      <w:sz w:val="20"/>
      <w:szCs w:val="20"/>
      <w:lang w:val="fr-FR"/>
    </w:rPr>
  </w:style>
  <w:style w:type="paragraph" w:styleId="Titre">
    <w:name w:val="Titre"/>
    <w:basedOn w:val="Normal"/>
    <w:next w:val="Corpsdetexte"/>
    <w:qFormat/>
    <w:pPr>
      <w:keepNext w:val="true"/>
      <w:spacing w:before="240" w:after="120"/>
    </w:pPr>
    <w:rPr>
      <w:rFonts w:ascii="Liberation Sans" w:hAnsi="Liberation Sans" w:eastAsia="Microsoft YaHei" w:cs="Arial"/>
      <w:sz w:val="28"/>
      <w:szCs w:val="28"/>
    </w:rPr>
  </w:style>
  <w:style w:type="paragraph" w:styleId="Corpsdetexte">
    <w:name w:val="Body Text"/>
    <w:basedOn w:val="Normal"/>
    <w:link w:val="CorpsdetexteCar"/>
    <w:uiPriority w:val="1"/>
    <w:qFormat/>
    <w:rsid w:val="001040be"/>
    <w:pPr>
      <w:widowControl w:val="false"/>
    </w:pPr>
    <w:rPr>
      <w:rFonts w:ascii="Arial" w:hAnsi="Arial" w:eastAsia="Arial" w:cs="Arial"/>
      <w:sz w:val="19"/>
      <w:szCs w:val="19"/>
      <w:lang w:val="en-US"/>
    </w:rPr>
  </w:style>
  <w:style w:type="paragraph" w:styleId="Liste">
    <w:name w:val="List"/>
    <w:basedOn w:val="Corpsdetexte"/>
    <w:pPr/>
    <w:rPr>
      <w:rFonts w:cs="Arial"/>
    </w:rPr>
  </w:style>
  <w:style w:type="paragraph" w:styleId="Lgende">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BalloonText">
    <w:name w:val="Balloon Text"/>
    <w:basedOn w:val="Normal"/>
    <w:link w:val="TextedebullesCar"/>
    <w:uiPriority w:val="99"/>
    <w:semiHidden/>
    <w:qFormat/>
    <w:rsid w:val="00531d95"/>
    <w:pPr/>
    <w:rPr>
      <w:rFonts w:ascii="Lucida Grande" w:hAnsi="Lucida Grande"/>
      <w:sz w:val="18"/>
      <w:szCs w:val="18"/>
    </w:rPr>
  </w:style>
  <w:style w:type="paragraph" w:styleId="En-tteetpieddepage">
    <w:name w:val="En-tête et pied de page"/>
    <w:basedOn w:val="Normal"/>
    <w:qFormat/>
    <w:pPr/>
    <w:rPr/>
  </w:style>
  <w:style w:type="paragraph" w:styleId="En-tte">
    <w:name w:val="Header"/>
    <w:basedOn w:val="Normal"/>
    <w:link w:val="En-tteCar"/>
    <w:uiPriority w:val="99"/>
    <w:semiHidden/>
    <w:rsid w:val="00531d95"/>
    <w:pPr>
      <w:tabs>
        <w:tab w:val="clear" w:pos="709"/>
        <w:tab w:val="center" w:pos="4819" w:leader="none"/>
        <w:tab w:val="right" w:pos="9638" w:leader="none"/>
      </w:tabs>
    </w:pPr>
    <w:rPr/>
  </w:style>
  <w:style w:type="paragraph" w:styleId="Pieddepage">
    <w:name w:val="Footer"/>
    <w:basedOn w:val="Normal"/>
    <w:link w:val="PieddepageCar"/>
    <w:uiPriority w:val="99"/>
    <w:rsid w:val="00531d95"/>
    <w:pPr>
      <w:tabs>
        <w:tab w:val="clear" w:pos="709"/>
        <w:tab w:val="center" w:pos="4819" w:leader="none"/>
        <w:tab w:val="right" w:pos="9638" w:leader="none"/>
      </w:tabs>
    </w:pPr>
    <w:rPr/>
  </w:style>
  <w:style w:type="paragraph" w:styleId="Paragrafobase" w:customStyle="1">
    <w:name w:val="[Paragrafo base]"/>
    <w:basedOn w:val="Normal"/>
    <w:uiPriority w:val="99"/>
    <w:qFormat/>
    <w:rsid w:val="00531d95"/>
    <w:pPr>
      <w:widowControl w:val="false"/>
      <w:spacing w:lineRule="auto" w:line="288"/>
      <w:textAlignment w:val="center"/>
    </w:pPr>
    <w:rPr>
      <w:rFonts w:ascii="Times-Roman" w:hAnsi="Times-Roman" w:cs="Times-Roman"/>
      <w:color w:val="000000"/>
    </w:rPr>
  </w:style>
  <w:style w:type="paragraph" w:styleId="24" w:customStyle="1">
    <w:name w:val="24"/>
    <w:link w:val="24Car"/>
    <w:qFormat/>
    <w:rsid w:val="00f96f79"/>
    <w:pPr>
      <w:keepLines/>
      <w:widowControl/>
      <w:bidi w:val="0"/>
      <w:spacing w:lineRule="exact" w:line="220" w:before="0" w:after="160"/>
      <w:jc w:val="both"/>
    </w:pPr>
    <w:rPr>
      <w:rFonts w:ascii="Arial" w:hAnsi="Arial" w:eastAsia="Times New Roman" w:cs="Arial"/>
      <w:color w:val="auto"/>
      <w:kern w:val="0"/>
      <w:sz w:val="18"/>
      <w:szCs w:val="18"/>
      <w:lang w:val="fr-FR" w:eastAsia="fr-FR" w:bidi="ar-SA"/>
    </w:rPr>
  </w:style>
  <w:style w:type="paragraph" w:styleId="23" w:customStyle="1">
    <w:name w:val="23"/>
    <w:qFormat/>
    <w:rsid w:val="00ed754b"/>
    <w:pPr>
      <w:keepLines/>
      <w:widowControl/>
      <w:bidi w:val="0"/>
      <w:spacing w:lineRule="exact" w:line="240" w:before="0" w:after="240"/>
      <w:jc w:val="center"/>
    </w:pPr>
    <w:rPr>
      <w:rFonts w:ascii="Arial" w:hAnsi="Arial" w:eastAsia="Times New Roman" w:cs="Arial"/>
      <w:b/>
      <w:bCs/>
      <w:caps/>
      <w:color w:val="auto"/>
      <w:kern w:val="0"/>
      <w:sz w:val="20"/>
      <w:szCs w:val="20"/>
      <w:lang w:val="fr-FR" w:eastAsia="fr-FR" w:bidi="ar-SA"/>
    </w:rPr>
  </w:style>
  <w:style w:type="paragraph" w:styleId="ListParagraph">
    <w:name w:val="List Paragraph"/>
    <w:basedOn w:val="Normal"/>
    <w:uiPriority w:val="34"/>
    <w:qFormat/>
    <w:rsid w:val="004e5550"/>
    <w:pPr>
      <w:spacing w:before="0" w:after="0"/>
      <w:ind w:left="720" w:hanging="0"/>
      <w:contextualSpacing/>
    </w:pPr>
    <w:rPr/>
  </w:style>
  <w:style w:type="paragraph" w:styleId="Standard" w:customStyle="1">
    <w:name w:val="Standard"/>
    <w:qFormat/>
    <w:rsid w:val="008c07c1"/>
    <w:pPr>
      <w:widowControl/>
      <w:suppressAutoHyphens w:val="true"/>
      <w:bidi w:val="0"/>
      <w:spacing w:before="0" w:after="0"/>
      <w:jc w:val="left"/>
    </w:pPr>
    <w:rPr>
      <w:rFonts w:ascii="Courier" w:hAnsi="Courier" w:eastAsia="Cambria" w:cs="Times New Roman"/>
      <w:color w:val="auto"/>
      <w:kern w:val="2"/>
      <w:sz w:val="24"/>
      <w:szCs w:val="24"/>
      <w:lang w:val="fr-FR" w:eastAsia="en-US" w:bidi="ar-SA"/>
    </w:rPr>
  </w:style>
  <w:style w:type="paragraph" w:styleId="Style13" w:customStyle="1">
    <w:name w:val="Style1"/>
    <w:basedOn w:val="Standard"/>
    <w:qFormat/>
    <w:rsid w:val="008c07c1"/>
    <w:pPr>
      <w:spacing w:lineRule="exact" w:line="360"/>
      <w:jc w:val="both"/>
    </w:pPr>
    <w:rPr>
      <w:rFonts w:eastAsia="Times New Roman"/>
      <w:szCs w:val="20"/>
    </w:rPr>
  </w:style>
  <w:style w:type="paragraph" w:styleId="Annotationtext">
    <w:name w:val="annotation text"/>
    <w:basedOn w:val="Normal"/>
    <w:link w:val="CommentaireCar"/>
    <w:uiPriority w:val="99"/>
    <w:semiHidden/>
    <w:unhideWhenUsed/>
    <w:qFormat/>
    <w:rsid w:val="00b25e82"/>
    <w:pPr>
      <w:spacing w:lineRule="auto" w:line="276" w:before="0" w:after="200"/>
    </w:pPr>
    <w:rPr>
      <w:rFonts w:ascii="Calibri" w:hAnsi="Calibri" w:eastAsia="Calibri"/>
      <w:sz w:val="20"/>
      <w:szCs w:val="20"/>
      <w:lang w:val="fr-FR"/>
    </w:rPr>
  </w:style>
  <w:style w:type="paragraph" w:styleId="BodyText31" w:customStyle="1">
    <w:name w:val="Body Text 31"/>
    <w:basedOn w:val="Normal"/>
    <w:qFormat/>
    <w:rsid w:val="00c85ab5"/>
    <w:pPr>
      <w:overflowPunct w:val="true"/>
      <w:jc w:val="both"/>
      <w:textAlignment w:val="baseline"/>
    </w:pPr>
    <w:rPr>
      <w:rFonts w:ascii="CG Times (W1)" w:hAnsi="CG Times (W1)" w:eastAsia="Times New Roman"/>
      <w:szCs w:val="20"/>
      <w:lang w:val="fr-FR" w:eastAsia="fr-FR"/>
    </w:rPr>
  </w:style>
  <w:style w:type="paragraph" w:styleId="NormalWeb">
    <w:name w:val="Normal (Web)"/>
    <w:basedOn w:val="Normal"/>
    <w:uiPriority w:val="99"/>
    <w:unhideWhenUsed/>
    <w:qFormat/>
    <w:rsid w:val="000e099f"/>
    <w:pPr>
      <w:spacing w:beforeAutospacing="1" w:afterAutospacing="1"/>
    </w:pPr>
    <w:rPr>
      <w:rFonts w:ascii="Times New Roman" w:hAnsi="Times New Roman" w:eastAsia="Times New Roman"/>
      <w:lang w:val="fr-FR" w:eastAsia="fr-FR"/>
    </w:rPr>
  </w:style>
  <w:style w:type="paragraph" w:styleId="Revision">
    <w:name w:val="Revision"/>
    <w:uiPriority w:val="99"/>
    <w:semiHidden/>
    <w:qFormat/>
    <w:rsid w:val="0099247e"/>
    <w:pPr>
      <w:widowControl/>
      <w:bidi w:val="0"/>
      <w:spacing w:before="0" w:after="0"/>
      <w:jc w:val="left"/>
    </w:pPr>
    <w:rPr>
      <w:rFonts w:ascii="Courier" w:hAnsi="Courier" w:eastAsia="Cambria" w:cs="Times New Roman"/>
      <w:color w:val="auto"/>
      <w:kern w:val="0"/>
      <w:sz w:val="24"/>
      <w:szCs w:val="24"/>
      <w:lang w:val="it-IT" w:eastAsia="en-US" w:bidi="ar-SA"/>
    </w:rPr>
  </w:style>
  <w:style w:type="numbering" w:styleId="NoList" w:default="1">
    <w:name w:val="No List"/>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59"/>
    <w:rsid w:val="0012362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0193A1-5E8E-4CFB-8AEB-4E6A27D6A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Application>LibreOffice/7.5.7.1.M1$Windows_X86_64 LibreOffice_project/9d4bf91ba30c991aaed3b97dd4173f7705c6b5ae</Application>
  <AppVersion>15.0000</AppVersion>
  <DocSecurity>4</DocSecurity>
  <Pages>6</Pages>
  <Words>1823</Words>
  <Characters>9471</Characters>
  <CharactersWithSpaces>11214</CharactersWithSpaces>
  <Paragraphs>154</Paragraphs>
  <Company>Interbrand Italia Srl</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2026-04-23T07:55:00Z</dcterms:created>
  <dc:creator>* **</dc:creator>
  <dc:description/>
  <dc:language>fr-FR</dc:language>
  <cp:lastModifiedBy>Prigent John</cp:lastModifiedBy>
  <cp:lastPrinted>2025-09-29T13:24:00Z</cp:lastPrinted>
  <dcterms:modified xsi:type="dcterms:W3CDTF">2026-04-23T07:55:00Z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0x0101009AE7A98F4137E24793105D4C626DA094</vt:lpwstr>
  </property>
  <property fmtid="{D5CDD505-2E9C-101B-9397-08002B2CF9AE}" pid="3" name="_AdHocReviewCycleID">
    <vt:i4>1976883106</vt:i4>
  </property>
  <property fmtid="{D5CDD505-2E9C-101B-9397-08002B2CF9AE}" pid="4" name="_AuthorEmail">
    <vt:lpwstr>john.prigent@prysmian.com</vt:lpwstr>
  </property>
  <property fmtid="{D5CDD505-2E9C-101B-9397-08002B2CF9AE}" pid="5" name="_AuthorEmailDisplayName">
    <vt:lpwstr>Prigent John</vt:lpwstr>
  </property>
  <property fmtid="{D5CDD505-2E9C-101B-9397-08002B2CF9AE}" pid="6" name="_EmailSubject">
    <vt:lpwstr>[INTERNET] RE: RE: Dépôt des accords collectifs d'entreprise: Dossier incomplet T07725063436</vt:lpwstr>
  </property>
  <property fmtid="{D5CDD505-2E9C-101B-9397-08002B2CF9AE}" pid="7" name="_NewReviewCycle">
    <vt:lpwstr/>
  </property>
  <property fmtid="{D5CDD505-2E9C-101B-9397-08002B2CF9AE}" pid="8" name="_PreviousAdHocReviewCycleID">
    <vt:i4>1545044177</vt:i4>
  </property>
</Properties>
</file>