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DC2C2" w14:textId="23BA7AD4" w:rsidR="00A74777" w:rsidRPr="00A2492B" w:rsidRDefault="00A74777" w:rsidP="00A74777">
      <w:pPr>
        <w:pStyle w:val="Titre1"/>
        <w:rPr>
          <w:rFonts w:ascii="Century Gothic" w:hAnsi="Century Gothic"/>
          <w:sz w:val="28"/>
          <w:szCs w:val="28"/>
        </w:rPr>
      </w:pPr>
      <w:r w:rsidRPr="00A2492B">
        <w:rPr>
          <w:rFonts w:ascii="Century Gothic" w:hAnsi="Century Gothic"/>
          <w:sz w:val="28"/>
          <w:szCs w:val="28"/>
        </w:rPr>
        <w:t>Accord d’entreprise relatif à la prévention de l’exposition aux facteurs de risques professionnels liés à un taux de sinistralité supérieur à 0,25</w:t>
      </w:r>
    </w:p>
    <w:p w14:paraId="7BF8A177" w14:textId="77777777" w:rsidR="00693B81" w:rsidRDefault="00693B81" w:rsidP="00302CD5">
      <w:pPr>
        <w:rPr>
          <w:rFonts w:ascii="Century Gothic" w:hAnsi="Century Gothic"/>
          <w:sz w:val="18"/>
          <w:szCs w:val="18"/>
        </w:rPr>
      </w:pPr>
    </w:p>
    <w:p w14:paraId="1D2F5813" w14:textId="75A95396" w:rsidR="00302CD5" w:rsidRPr="00302CD5" w:rsidRDefault="00302CD5" w:rsidP="00302CD5">
      <w:pPr>
        <w:rPr>
          <w:rFonts w:ascii="Century Gothic" w:hAnsi="Century Gothic"/>
          <w:sz w:val="18"/>
          <w:szCs w:val="18"/>
        </w:rPr>
      </w:pPr>
      <w:proofErr w:type="spellStart"/>
      <w:proofErr w:type="gramStart"/>
      <w:r w:rsidRPr="00302CD5">
        <w:rPr>
          <w:rFonts w:ascii="Century Gothic" w:hAnsi="Century Gothic"/>
          <w:sz w:val="18"/>
          <w:szCs w:val="18"/>
        </w:rPr>
        <w:t>Entreprise</w:t>
      </w:r>
      <w:proofErr w:type="spellEnd"/>
      <w:r>
        <w:rPr>
          <w:rFonts w:ascii="Century Gothic" w:hAnsi="Century Gothic"/>
          <w:sz w:val="18"/>
          <w:szCs w:val="18"/>
        </w:rPr>
        <w:t xml:space="preserve"> </w:t>
      </w:r>
      <w:r w:rsidRPr="00302CD5">
        <w:rPr>
          <w:rFonts w:ascii="Century Gothic" w:hAnsi="Century Gothic"/>
          <w:sz w:val="18"/>
          <w:szCs w:val="18"/>
        </w:rPr>
        <w:t>:</w:t>
      </w:r>
      <w:proofErr w:type="gramEnd"/>
      <w:r w:rsidRPr="00302CD5">
        <w:rPr>
          <w:rFonts w:ascii="Century Gothic" w:hAnsi="Century Gothic"/>
          <w:sz w:val="18"/>
          <w:szCs w:val="18"/>
        </w:rPr>
        <w:t xml:space="preserve"> Cap </w:t>
      </w:r>
      <w:proofErr w:type="spellStart"/>
      <w:r w:rsidRPr="00302CD5">
        <w:rPr>
          <w:rFonts w:ascii="Century Gothic" w:hAnsi="Century Gothic"/>
          <w:sz w:val="18"/>
          <w:szCs w:val="18"/>
        </w:rPr>
        <w:t>vers</w:t>
      </w:r>
      <w:proofErr w:type="spellEnd"/>
      <w:r w:rsidRPr="00302CD5">
        <w:rPr>
          <w:rFonts w:ascii="Century Gothic" w:hAnsi="Century Gothic"/>
          <w:sz w:val="18"/>
          <w:szCs w:val="18"/>
        </w:rPr>
        <w:t xml:space="preserve"> un Nouvel Horizon (CNH)</w:t>
      </w:r>
    </w:p>
    <w:p w14:paraId="3C5289C6" w14:textId="1AEBBAE9" w:rsidR="00302CD5" w:rsidRPr="00302CD5" w:rsidRDefault="00302CD5" w:rsidP="00302CD5">
      <w:pPr>
        <w:rPr>
          <w:rFonts w:ascii="Century Gothic" w:hAnsi="Century Gothic"/>
          <w:sz w:val="18"/>
          <w:szCs w:val="18"/>
        </w:rPr>
      </w:pPr>
      <w:r w:rsidRPr="00302CD5">
        <w:rPr>
          <w:rFonts w:ascii="Century Gothic" w:hAnsi="Century Gothic"/>
          <w:sz w:val="18"/>
          <w:szCs w:val="18"/>
        </w:rPr>
        <w:t xml:space="preserve">Date d’entrée en </w:t>
      </w:r>
      <w:proofErr w:type="gramStart"/>
      <w:r w:rsidRPr="00302CD5">
        <w:rPr>
          <w:rFonts w:ascii="Century Gothic" w:hAnsi="Century Gothic"/>
          <w:sz w:val="18"/>
          <w:szCs w:val="18"/>
        </w:rPr>
        <w:t>vigueur :</w:t>
      </w:r>
      <w:proofErr w:type="gramEnd"/>
      <w:r w:rsidRPr="00302CD5">
        <w:rPr>
          <w:rFonts w:ascii="Century Gothic" w:hAnsi="Century Gothic"/>
          <w:sz w:val="18"/>
          <w:szCs w:val="18"/>
        </w:rPr>
        <w:t xml:space="preserve"> </w:t>
      </w:r>
      <w:r w:rsidR="00284F98">
        <w:rPr>
          <w:rFonts w:ascii="Century Gothic" w:hAnsi="Century Gothic"/>
          <w:sz w:val="18"/>
          <w:szCs w:val="18"/>
        </w:rPr>
        <w:t>13 Janvier 2026</w:t>
      </w:r>
    </w:p>
    <w:p w14:paraId="457C4599" w14:textId="6E6E83D6" w:rsidR="00302CD5" w:rsidRDefault="00302CD5" w:rsidP="00302CD5">
      <w:pPr>
        <w:rPr>
          <w:rFonts w:ascii="Century Gothic" w:hAnsi="Century Gothic"/>
          <w:sz w:val="18"/>
          <w:szCs w:val="18"/>
        </w:rPr>
      </w:pPr>
      <w:proofErr w:type="gramStart"/>
      <w:r w:rsidRPr="00302CD5">
        <w:rPr>
          <w:rFonts w:ascii="Century Gothic" w:hAnsi="Century Gothic"/>
          <w:sz w:val="18"/>
          <w:szCs w:val="18"/>
        </w:rPr>
        <w:t>Durée :</w:t>
      </w:r>
      <w:proofErr w:type="gramEnd"/>
      <w:r w:rsidRPr="00302CD5">
        <w:rPr>
          <w:rFonts w:ascii="Century Gothic" w:hAnsi="Century Gothic"/>
          <w:sz w:val="18"/>
          <w:szCs w:val="18"/>
        </w:rPr>
        <w:t xml:space="preserve"> 3 </w:t>
      </w:r>
      <w:proofErr w:type="spellStart"/>
      <w:r w:rsidRPr="00302CD5">
        <w:rPr>
          <w:rFonts w:ascii="Century Gothic" w:hAnsi="Century Gothic"/>
          <w:sz w:val="18"/>
          <w:szCs w:val="18"/>
        </w:rPr>
        <w:t>ans</w:t>
      </w:r>
      <w:proofErr w:type="spellEnd"/>
    </w:p>
    <w:p w14:paraId="0E66AE0A" w14:textId="77777777" w:rsidR="00693B81" w:rsidRDefault="00693B81" w:rsidP="00A74777">
      <w:pPr>
        <w:pStyle w:val="Titre2"/>
        <w:rPr>
          <w:rFonts w:ascii="Century Gothic" w:hAnsi="Century Gothic"/>
          <w:sz w:val="24"/>
          <w:szCs w:val="24"/>
        </w:rPr>
      </w:pPr>
    </w:p>
    <w:p w14:paraId="6EACA5DE" w14:textId="0C575BBA" w:rsidR="00A74777" w:rsidRPr="00A2492B" w:rsidRDefault="00A74777" w:rsidP="00A74777">
      <w:pPr>
        <w:pStyle w:val="Titre2"/>
        <w:rPr>
          <w:rFonts w:ascii="Century Gothic" w:hAnsi="Century Gothic"/>
          <w:sz w:val="24"/>
          <w:szCs w:val="24"/>
        </w:rPr>
      </w:pPr>
      <w:r w:rsidRPr="00A2492B">
        <w:rPr>
          <w:rFonts w:ascii="Century Gothic" w:hAnsi="Century Gothic"/>
          <w:sz w:val="24"/>
          <w:szCs w:val="24"/>
        </w:rPr>
        <w:t>Préambule</w:t>
      </w:r>
    </w:p>
    <w:p w14:paraId="70642AC2" w14:textId="64E7920C" w:rsidR="00A74777" w:rsidRPr="00A2492B" w:rsidRDefault="00A74777" w:rsidP="00A74777">
      <w:pPr>
        <w:rPr>
          <w:rFonts w:ascii="Century Gothic" w:hAnsi="Century Gothic"/>
          <w:sz w:val="20"/>
          <w:szCs w:val="20"/>
        </w:rPr>
      </w:pPr>
      <w:r w:rsidRPr="00A2492B">
        <w:rPr>
          <w:rFonts w:ascii="Century Gothic" w:hAnsi="Century Gothic"/>
          <w:sz w:val="20"/>
          <w:szCs w:val="20"/>
        </w:rPr>
        <w:t>Conformément aux dispositions du Code du travail, notamment les articles L.2242-1</w:t>
      </w:r>
      <w:r w:rsidR="00302CD5">
        <w:rPr>
          <w:rFonts w:ascii="Century Gothic" w:hAnsi="Century Gothic"/>
          <w:sz w:val="20"/>
          <w:szCs w:val="20"/>
        </w:rPr>
        <w:t xml:space="preserve"> </w:t>
      </w:r>
      <w:r w:rsidRPr="00A2492B">
        <w:rPr>
          <w:rFonts w:ascii="Century Gothic" w:hAnsi="Century Gothic"/>
          <w:sz w:val="20"/>
          <w:szCs w:val="20"/>
        </w:rPr>
        <w:t xml:space="preserve"> et </w:t>
      </w:r>
      <w:r w:rsidR="00302CD5">
        <w:rPr>
          <w:rFonts w:ascii="Century Gothic" w:hAnsi="Century Gothic"/>
          <w:sz w:val="20"/>
          <w:szCs w:val="20"/>
        </w:rPr>
        <w:t>les articles D</w:t>
      </w:r>
      <w:r w:rsidRPr="00A2492B">
        <w:rPr>
          <w:rFonts w:ascii="Century Gothic" w:hAnsi="Century Gothic"/>
          <w:sz w:val="20"/>
          <w:szCs w:val="20"/>
        </w:rPr>
        <w:t>.416</w:t>
      </w:r>
      <w:r w:rsidR="00302CD5">
        <w:rPr>
          <w:rFonts w:ascii="Century Gothic" w:hAnsi="Century Gothic"/>
          <w:sz w:val="20"/>
          <w:szCs w:val="20"/>
        </w:rPr>
        <w:t>2</w:t>
      </w:r>
      <w:r w:rsidRPr="00A2492B">
        <w:rPr>
          <w:rFonts w:ascii="Century Gothic" w:hAnsi="Century Gothic"/>
          <w:sz w:val="20"/>
          <w:szCs w:val="20"/>
        </w:rPr>
        <w:t xml:space="preserve">-1 à </w:t>
      </w:r>
      <w:r w:rsidR="00302CD5">
        <w:rPr>
          <w:rFonts w:ascii="Century Gothic" w:hAnsi="Century Gothic"/>
          <w:sz w:val="20"/>
          <w:szCs w:val="20"/>
        </w:rPr>
        <w:t>D</w:t>
      </w:r>
      <w:r w:rsidRPr="00A2492B">
        <w:rPr>
          <w:rFonts w:ascii="Century Gothic" w:hAnsi="Century Gothic"/>
          <w:sz w:val="20"/>
          <w:szCs w:val="20"/>
        </w:rPr>
        <w:t>.416</w:t>
      </w:r>
      <w:r w:rsidR="00302CD5">
        <w:rPr>
          <w:rFonts w:ascii="Century Gothic" w:hAnsi="Century Gothic"/>
          <w:sz w:val="20"/>
          <w:szCs w:val="20"/>
        </w:rPr>
        <w:t>2</w:t>
      </w:r>
      <w:r w:rsidRPr="00A2492B">
        <w:rPr>
          <w:rFonts w:ascii="Century Gothic" w:hAnsi="Century Gothic"/>
          <w:sz w:val="20"/>
          <w:szCs w:val="20"/>
        </w:rPr>
        <w:t>-5, et face à un taux de sinistralité supérieur à 0,25 constaté au sein de l’entreprise CNH, les parties signataires entendent mettre en œuvre une politique volontariste de prévention des risques professionnels.</w:t>
      </w:r>
      <w:r w:rsidRPr="00A2492B">
        <w:rPr>
          <w:rFonts w:ascii="Century Gothic" w:hAnsi="Century Gothic"/>
          <w:sz w:val="20"/>
          <w:szCs w:val="20"/>
        </w:rPr>
        <w:br/>
      </w:r>
      <w:r w:rsidRPr="00A2492B">
        <w:rPr>
          <w:rFonts w:ascii="Century Gothic" w:hAnsi="Century Gothic"/>
          <w:sz w:val="20"/>
          <w:szCs w:val="20"/>
        </w:rPr>
        <w:br/>
        <w:t>L’objectif de cet accord est de renforcer la prévention, réduire la fréquence et la gravité des accidents du travail et maladies professionnelles, et améliorer la sécurité, la santé et la qualité de vie au travail des salariés intervenant</w:t>
      </w:r>
      <w:r w:rsidR="002978F0">
        <w:rPr>
          <w:rFonts w:ascii="Century Gothic" w:hAnsi="Century Gothic"/>
          <w:sz w:val="20"/>
          <w:szCs w:val="20"/>
        </w:rPr>
        <w:t>s</w:t>
      </w:r>
      <w:r w:rsidRPr="00A2492B">
        <w:rPr>
          <w:rFonts w:ascii="Century Gothic" w:hAnsi="Century Gothic"/>
          <w:sz w:val="20"/>
          <w:szCs w:val="20"/>
        </w:rPr>
        <w:t xml:space="preserve"> dans le domaine du nettoyage tertiaire</w:t>
      </w:r>
      <w:r w:rsidR="00246972">
        <w:rPr>
          <w:rFonts w:ascii="Century Gothic" w:hAnsi="Century Gothic"/>
          <w:sz w:val="20"/>
          <w:szCs w:val="20"/>
        </w:rPr>
        <w:t xml:space="preserve"> et industriel</w:t>
      </w:r>
      <w:r w:rsidRPr="00A2492B">
        <w:rPr>
          <w:rFonts w:ascii="Century Gothic" w:hAnsi="Century Gothic"/>
          <w:sz w:val="20"/>
          <w:szCs w:val="20"/>
        </w:rPr>
        <w:t>.</w:t>
      </w:r>
    </w:p>
    <w:p w14:paraId="4DC95115" w14:textId="77777777" w:rsidR="00A74777" w:rsidRPr="00A2492B" w:rsidRDefault="00A74777" w:rsidP="00A74777">
      <w:pPr>
        <w:pStyle w:val="Titre2"/>
        <w:rPr>
          <w:rFonts w:ascii="Century Gothic" w:hAnsi="Century Gothic"/>
          <w:sz w:val="24"/>
          <w:szCs w:val="24"/>
        </w:rPr>
      </w:pPr>
      <w:r w:rsidRPr="00A2492B">
        <w:rPr>
          <w:rFonts w:ascii="Century Gothic" w:hAnsi="Century Gothic"/>
          <w:sz w:val="24"/>
          <w:szCs w:val="24"/>
        </w:rPr>
        <w:t>Article 1 – Champ d’application</w:t>
      </w:r>
    </w:p>
    <w:p w14:paraId="3F386F2A" w14:textId="05047821" w:rsidR="00A74777" w:rsidRPr="00A2492B" w:rsidRDefault="00A74777" w:rsidP="00A74777">
      <w:pPr>
        <w:rPr>
          <w:rFonts w:ascii="Century Gothic" w:hAnsi="Century Gothic"/>
          <w:sz w:val="20"/>
          <w:szCs w:val="20"/>
        </w:rPr>
      </w:pPr>
      <w:r w:rsidRPr="00A2492B">
        <w:rPr>
          <w:rFonts w:ascii="Century Gothic" w:hAnsi="Century Gothic"/>
          <w:sz w:val="20"/>
          <w:szCs w:val="20"/>
        </w:rPr>
        <w:t xml:space="preserve">Le présent accord s’applique à l’ensemble des salariés de </w:t>
      </w:r>
      <w:r w:rsidR="00246972">
        <w:rPr>
          <w:rFonts w:ascii="Century Gothic" w:hAnsi="Century Gothic"/>
          <w:sz w:val="20"/>
          <w:szCs w:val="20"/>
        </w:rPr>
        <w:t xml:space="preserve">la sociétét </w:t>
      </w:r>
      <w:r w:rsidRPr="00A2492B">
        <w:rPr>
          <w:rFonts w:ascii="Century Gothic" w:hAnsi="Century Gothic"/>
          <w:sz w:val="20"/>
          <w:szCs w:val="20"/>
        </w:rPr>
        <w:t>CNH intervenant</w:t>
      </w:r>
      <w:r w:rsidR="00246972">
        <w:rPr>
          <w:rFonts w:ascii="Century Gothic" w:hAnsi="Century Gothic"/>
          <w:sz w:val="20"/>
          <w:szCs w:val="20"/>
        </w:rPr>
        <w:t>s</w:t>
      </w:r>
      <w:r w:rsidRPr="00A2492B">
        <w:rPr>
          <w:rFonts w:ascii="Century Gothic" w:hAnsi="Century Gothic"/>
          <w:sz w:val="20"/>
          <w:szCs w:val="20"/>
        </w:rPr>
        <w:t xml:space="preserve"> dans les prestations de nettoyage tertiaire</w:t>
      </w:r>
      <w:r w:rsidR="00246972">
        <w:rPr>
          <w:rFonts w:ascii="Century Gothic" w:hAnsi="Century Gothic"/>
          <w:sz w:val="20"/>
          <w:szCs w:val="20"/>
        </w:rPr>
        <w:t xml:space="preserve"> et industriel</w:t>
      </w:r>
      <w:r w:rsidRPr="00A2492B">
        <w:rPr>
          <w:rFonts w:ascii="Century Gothic" w:hAnsi="Century Gothic"/>
          <w:sz w:val="20"/>
          <w:szCs w:val="20"/>
        </w:rPr>
        <w:t xml:space="preserve"> pour des clients professionnels, quel que soit leur statut (CDI, CDD, temps plein ou temps partiel). Il concerne toutes les activités de nettoyage</w:t>
      </w:r>
      <w:r w:rsidR="00246972">
        <w:rPr>
          <w:rFonts w:ascii="Century Gothic" w:hAnsi="Century Gothic"/>
          <w:sz w:val="20"/>
          <w:szCs w:val="20"/>
        </w:rPr>
        <w:t xml:space="preserve"> (Par </w:t>
      </w:r>
      <w:proofErr w:type="gramStart"/>
      <w:r w:rsidR="00246972">
        <w:rPr>
          <w:rFonts w:ascii="Century Gothic" w:hAnsi="Century Gothic"/>
          <w:sz w:val="20"/>
          <w:szCs w:val="20"/>
        </w:rPr>
        <w:t>exemples :</w:t>
      </w:r>
      <w:proofErr w:type="gramEnd"/>
      <w:r w:rsidRPr="00A2492B">
        <w:rPr>
          <w:rFonts w:ascii="Century Gothic" w:hAnsi="Century Gothic"/>
          <w:sz w:val="20"/>
          <w:szCs w:val="20"/>
        </w:rPr>
        <w:t xml:space="preserve"> </w:t>
      </w:r>
      <w:r w:rsidR="00246972">
        <w:rPr>
          <w:rFonts w:ascii="Century Gothic" w:hAnsi="Century Gothic"/>
          <w:sz w:val="20"/>
          <w:szCs w:val="20"/>
        </w:rPr>
        <w:t>l</w:t>
      </w:r>
      <w:r w:rsidRPr="00A2492B">
        <w:rPr>
          <w:rFonts w:ascii="Century Gothic" w:hAnsi="Century Gothic"/>
          <w:sz w:val="20"/>
          <w:szCs w:val="20"/>
        </w:rPr>
        <w:t xml:space="preserve">’entretien, </w:t>
      </w:r>
      <w:r w:rsidR="00246972">
        <w:rPr>
          <w:rFonts w:ascii="Century Gothic" w:hAnsi="Century Gothic"/>
          <w:sz w:val="20"/>
          <w:szCs w:val="20"/>
        </w:rPr>
        <w:t>l</w:t>
      </w:r>
      <w:r w:rsidRPr="00A2492B">
        <w:rPr>
          <w:rFonts w:ascii="Century Gothic" w:hAnsi="Century Gothic"/>
          <w:sz w:val="20"/>
          <w:szCs w:val="20"/>
        </w:rPr>
        <w:t xml:space="preserve">e dépoussiérage, </w:t>
      </w:r>
      <w:r w:rsidR="00246972">
        <w:rPr>
          <w:rFonts w:ascii="Century Gothic" w:hAnsi="Century Gothic"/>
          <w:sz w:val="20"/>
          <w:szCs w:val="20"/>
        </w:rPr>
        <w:t>l</w:t>
      </w:r>
      <w:r w:rsidRPr="00A2492B">
        <w:rPr>
          <w:rFonts w:ascii="Century Gothic" w:hAnsi="Century Gothic"/>
          <w:sz w:val="20"/>
          <w:szCs w:val="20"/>
        </w:rPr>
        <w:t xml:space="preserve">e lavage des sols, </w:t>
      </w:r>
      <w:r w:rsidR="00246972">
        <w:rPr>
          <w:rFonts w:ascii="Century Gothic" w:hAnsi="Century Gothic"/>
          <w:sz w:val="20"/>
          <w:szCs w:val="20"/>
        </w:rPr>
        <w:t>l</w:t>
      </w:r>
      <w:r w:rsidRPr="00A2492B">
        <w:rPr>
          <w:rFonts w:ascii="Century Gothic" w:hAnsi="Century Gothic"/>
          <w:sz w:val="20"/>
          <w:szCs w:val="20"/>
        </w:rPr>
        <w:t xml:space="preserve">e désinfection et </w:t>
      </w:r>
      <w:r w:rsidR="00246972">
        <w:rPr>
          <w:rFonts w:ascii="Century Gothic" w:hAnsi="Century Gothic"/>
          <w:sz w:val="20"/>
          <w:szCs w:val="20"/>
        </w:rPr>
        <w:t>la</w:t>
      </w:r>
      <w:r w:rsidRPr="00A2492B">
        <w:rPr>
          <w:rFonts w:ascii="Century Gothic" w:hAnsi="Century Gothic"/>
          <w:sz w:val="20"/>
          <w:szCs w:val="20"/>
        </w:rPr>
        <w:t xml:space="preserve"> collecte des déchets</w:t>
      </w:r>
      <w:r w:rsidR="00246972">
        <w:rPr>
          <w:rFonts w:ascii="Century Gothic" w:hAnsi="Century Gothic"/>
          <w:sz w:val="20"/>
          <w:szCs w:val="20"/>
        </w:rPr>
        <w:t>)</w:t>
      </w:r>
      <w:r w:rsidRPr="00A2492B">
        <w:rPr>
          <w:rFonts w:ascii="Century Gothic" w:hAnsi="Century Gothic"/>
          <w:sz w:val="20"/>
          <w:szCs w:val="20"/>
        </w:rPr>
        <w:t>.</w:t>
      </w:r>
    </w:p>
    <w:p w14:paraId="730D849B" w14:textId="77777777" w:rsidR="00A74777" w:rsidRPr="00A2492B" w:rsidRDefault="00A74777" w:rsidP="00A74777">
      <w:pPr>
        <w:pStyle w:val="Titre2"/>
        <w:rPr>
          <w:rFonts w:ascii="Century Gothic" w:hAnsi="Century Gothic"/>
          <w:sz w:val="24"/>
          <w:szCs w:val="24"/>
        </w:rPr>
      </w:pPr>
      <w:r w:rsidRPr="00A2492B">
        <w:rPr>
          <w:rFonts w:ascii="Century Gothic" w:hAnsi="Century Gothic"/>
          <w:sz w:val="24"/>
          <w:szCs w:val="24"/>
        </w:rPr>
        <w:t>Article 2 – Diagnostic de la situation</w:t>
      </w:r>
    </w:p>
    <w:p w14:paraId="2D7B8D1C" w14:textId="43E552AB" w:rsidR="00A2492B" w:rsidRPr="00302CD5" w:rsidRDefault="00A74777" w:rsidP="00302CD5">
      <w:pPr>
        <w:rPr>
          <w:rFonts w:ascii="Century Gothic" w:hAnsi="Century Gothic"/>
          <w:sz w:val="20"/>
          <w:szCs w:val="20"/>
        </w:rPr>
      </w:pPr>
      <w:r w:rsidRPr="00A2492B">
        <w:rPr>
          <w:rFonts w:ascii="Century Gothic" w:hAnsi="Century Gothic"/>
          <w:sz w:val="20"/>
          <w:szCs w:val="20"/>
        </w:rPr>
        <w:t xml:space="preserve">L’analyse des données issues du DUERP, du registre des accidents du travail et des observations du CSE </w:t>
      </w:r>
      <w:r w:rsidR="00A2492B">
        <w:rPr>
          <w:rFonts w:ascii="Century Gothic" w:hAnsi="Century Gothic"/>
          <w:sz w:val="20"/>
          <w:szCs w:val="20"/>
        </w:rPr>
        <w:t xml:space="preserve">et du salarié désigné competent en santé et sécurité au travail </w:t>
      </w:r>
      <w:r w:rsidRPr="00A2492B">
        <w:rPr>
          <w:rFonts w:ascii="Century Gothic" w:hAnsi="Century Gothic"/>
          <w:sz w:val="20"/>
          <w:szCs w:val="20"/>
        </w:rPr>
        <w:t>a mis en évidence :</w:t>
      </w:r>
      <w:r w:rsidRPr="00A2492B">
        <w:rPr>
          <w:rFonts w:ascii="Century Gothic" w:hAnsi="Century Gothic"/>
          <w:sz w:val="20"/>
          <w:szCs w:val="20"/>
        </w:rPr>
        <w:br/>
        <w:t xml:space="preserve">- un taux de sinistralité supérieur à 0,25, en raison d’accidents récurrents liés aux chutes de plain-pied, </w:t>
      </w:r>
      <w:r w:rsidR="00246972">
        <w:rPr>
          <w:rFonts w:ascii="Century Gothic" w:hAnsi="Century Gothic"/>
          <w:sz w:val="20"/>
          <w:szCs w:val="20"/>
        </w:rPr>
        <w:t>à certain mouvements répétés</w:t>
      </w:r>
      <w:r w:rsidRPr="00A2492B">
        <w:rPr>
          <w:rFonts w:ascii="Century Gothic" w:hAnsi="Century Gothic"/>
          <w:sz w:val="20"/>
          <w:szCs w:val="20"/>
        </w:rPr>
        <w:t>, aux postures contraignantes et aux manutentions manuelles ;</w:t>
      </w:r>
      <w:r w:rsidRPr="00A2492B">
        <w:rPr>
          <w:rFonts w:ascii="Century Gothic" w:hAnsi="Century Gothic"/>
          <w:sz w:val="20"/>
          <w:szCs w:val="20"/>
        </w:rPr>
        <w:br/>
      </w:r>
      <w:r w:rsidRPr="00246972">
        <w:rPr>
          <w:rFonts w:ascii="Century Gothic" w:hAnsi="Century Gothic"/>
          <w:sz w:val="20"/>
          <w:szCs w:val="20"/>
        </w:rPr>
        <w:t xml:space="preserve">- un manque de formation à la prévention des risques et à l’utilisation des équipements de protection individuelle (EPI) </w:t>
      </w:r>
      <w:r w:rsidR="00246972" w:rsidRPr="00246972">
        <w:rPr>
          <w:rFonts w:ascii="Century Gothic" w:hAnsi="Century Gothic"/>
          <w:sz w:val="20"/>
          <w:szCs w:val="20"/>
        </w:rPr>
        <w:t>lors du parcours d’intégration des salariés</w:t>
      </w:r>
      <w:r w:rsidRPr="00246972">
        <w:rPr>
          <w:rFonts w:ascii="Century Gothic" w:hAnsi="Century Gothic"/>
          <w:sz w:val="20"/>
          <w:szCs w:val="20"/>
        </w:rPr>
        <w:t>;</w:t>
      </w:r>
      <w:r w:rsidRPr="00246972">
        <w:rPr>
          <w:rFonts w:ascii="Century Gothic" w:hAnsi="Century Gothic"/>
          <w:sz w:val="20"/>
          <w:szCs w:val="20"/>
        </w:rPr>
        <w:br/>
        <w:t xml:space="preserve">- </w:t>
      </w:r>
      <w:r w:rsidR="00246972" w:rsidRPr="00246972">
        <w:rPr>
          <w:rFonts w:ascii="Century Gothic" w:hAnsi="Century Gothic"/>
          <w:sz w:val="20"/>
          <w:szCs w:val="20"/>
        </w:rPr>
        <w:t xml:space="preserve">Un manque d’organisation dans les taches </w:t>
      </w:r>
      <w:proofErr w:type="spellStart"/>
      <w:r w:rsidR="00246972" w:rsidRPr="00246972">
        <w:rPr>
          <w:rFonts w:ascii="Century Gothic" w:hAnsi="Century Gothic"/>
          <w:sz w:val="20"/>
          <w:szCs w:val="20"/>
        </w:rPr>
        <w:t>confiées</w:t>
      </w:r>
      <w:proofErr w:type="spellEnd"/>
      <w:r w:rsidR="0030600A">
        <w:rPr>
          <w:rFonts w:ascii="Century Gothic" w:hAnsi="Century Gothic"/>
          <w:sz w:val="20"/>
          <w:szCs w:val="20"/>
        </w:rPr>
        <w:t>.</w:t>
      </w:r>
      <w:r w:rsidRPr="00A2492B">
        <w:rPr>
          <w:rFonts w:ascii="Century Gothic" w:hAnsi="Century Gothic"/>
          <w:sz w:val="20"/>
          <w:szCs w:val="20"/>
        </w:rPr>
        <w:br/>
      </w:r>
      <w:r w:rsidRPr="00A2492B">
        <w:rPr>
          <w:rFonts w:ascii="Century Gothic" w:hAnsi="Century Gothic"/>
          <w:sz w:val="20"/>
          <w:szCs w:val="20"/>
        </w:rPr>
        <w:br/>
      </w:r>
      <w:proofErr w:type="spellStart"/>
      <w:r w:rsidRPr="00A2492B">
        <w:rPr>
          <w:rFonts w:ascii="Century Gothic" w:hAnsi="Century Gothic"/>
          <w:sz w:val="20"/>
          <w:szCs w:val="20"/>
        </w:rPr>
        <w:t>Ces</w:t>
      </w:r>
      <w:proofErr w:type="spellEnd"/>
      <w:r w:rsidRPr="00A2492B">
        <w:rPr>
          <w:rFonts w:ascii="Century Gothic" w:hAnsi="Century Gothic"/>
          <w:sz w:val="20"/>
          <w:szCs w:val="20"/>
        </w:rPr>
        <w:t xml:space="preserve"> constats </w:t>
      </w:r>
      <w:proofErr w:type="spellStart"/>
      <w:r w:rsidRPr="00A2492B">
        <w:rPr>
          <w:rFonts w:ascii="Century Gothic" w:hAnsi="Century Gothic"/>
          <w:sz w:val="20"/>
          <w:szCs w:val="20"/>
        </w:rPr>
        <w:t>imposent</w:t>
      </w:r>
      <w:proofErr w:type="spellEnd"/>
      <w:r w:rsidRPr="00A2492B">
        <w:rPr>
          <w:rFonts w:ascii="Century Gothic" w:hAnsi="Century Gothic"/>
          <w:sz w:val="20"/>
          <w:szCs w:val="20"/>
        </w:rPr>
        <w:t xml:space="preserve"> la mise en œuvre d’un plan d’action global et coordonné pour réduire l’exposition aux risques professionnels.</w:t>
      </w:r>
    </w:p>
    <w:p w14:paraId="24A86152" w14:textId="2E8E8B1C" w:rsidR="00A74777" w:rsidRPr="00A2492B" w:rsidRDefault="00A74777" w:rsidP="00A74777">
      <w:pPr>
        <w:pStyle w:val="Titre2"/>
        <w:rPr>
          <w:rFonts w:ascii="Century Gothic" w:hAnsi="Century Gothic"/>
          <w:sz w:val="24"/>
          <w:szCs w:val="24"/>
        </w:rPr>
      </w:pPr>
      <w:r w:rsidRPr="00A2492B">
        <w:rPr>
          <w:rFonts w:ascii="Century Gothic" w:hAnsi="Century Gothic"/>
          <w:sz w:val="24"/>
          <w:szCs w:val="24"/>
        </w:rPr>
        <w:lastRenderedPageBreak/>
        <w:t>Article 3 – Objectifs de l’accord</w:t>
      </w:r>
    </w:p>
    <w:p w14:paraId="6AAA4DD2" w14:textId="7FF26555" w:rsidR="00A74777" w:rsidRPr="00A2492B" w:rsidRDefault="00A74777" w:rsidP="00A74777">
      <w:pPr>
        <w:rPr>
          <w:rFonts w:ascii="Century Gothic" w:hAnsi="Century Gothic"/>
          <w:sz w:val="20"/>
          <w:szCs w:val="20"/>
        </w:rPr>
      </w:pPr>
      <w:r w:rsidRPr="00A2492B">
        <w:rPr>
          <w:rFonts w:ascii="Century Gothic" w:hAnsi="Century Gothic"/>
          <w:sz w:val="20"/>
          <w:szCs w:val="20"/>
        </w:rPr>
        <w:t>Les objectifs poursuivis par le présent accord sont:</w:t>
      </w:r>
      <w:r w:rsidRPr="00A2492B">
        <w:rPr>
          <w:rFonts w:ascii="Century Gothic" w:hAnsi="Century Gothic"/>
          <w:sz w:val="20"/>
          <w:szCs w:val="20"/>
        </w:rPr>
        <w:br/>
        <w:t>1. Ramener le taux de sinistralité en dessous de 0,25 d’ici trois ans;</w:t>
      </w:r>
      <w:r w:rsidRPr="00A2492B">
        <w:rPr>
          <w:rFonts w:ascii="Century Gothic" w:hAnsi="Century Gothic"/>
          <w:sz w:val="20"/>
          <w:szCs w:val="20"/>
        </w:rPr>
        <w:br/>
        <w:t>2. Réduire la fréquence et la gravité des accidents du travail;</w:t>
      </w:r>
      <w:r w:rsidRPr="00A2492B">
        <w:rPr>
          <w:rFonts w:ascii="Century Gothic" w:hAnsi="Century Gothic"/>
          <w:sz w:val="20"/>
          <w:szCs w:val="20"/>
        </w:rPr>
        <w:br/>
        <w:t>3. Renforcer la culture sécurité à tous les niveaux hiérarchiques;</w:t>
      </w:r>
      <w:r w:rsidRPr="00A2492B">
        <w:rPr>
          <w:rFonts w:ascii="Century Gothic" w:hAnsi="Century Gothic"/>
          <w:sz w:val="20"/>
          <w:szCs w:val="20"/>
        </w:rPr>
        <w:br/>
        <w:t>4. Développer la formation et la sensibilisation à la prévention des risques;</w:t>
      </w:r>
      <w:r w:rsidRPr="00A2492B">
        <w:rPr>
          <w:rFonts w:ascii="Century Gothic" w:hAnsi="Century Gothic"/>
          <w:sz w:val="20"/>
          <w:szCs w:val="20"/>
        </w:rPr>
        <w:br/>
        <w:t>5. Impliquer les salariés et leurs représentants dans la démarche d’amélioration continue.</w:t>
      </w:r>
    </w:p>
    <w:p w14:paraId="2278529F" w14:textId="77777777" w:rsidR="00A74777" w:rsidRPr="00A2492B" w:rsidRDefault="00A74777" w:rsidP="00A74777">
      <w:pPr>
        <w:pStyle w:val="Titre2"/>
        <w:rPr>
          <w:rFonts w:ascii="Century Gothic" w:hAnsi="Century Gothic"/>
          <w:sz w:val="24"/>
          <w:szCs w:val="24"/>
        </w:rPr>
      </w:pPr>
      <w:r w:rsidRPr="00A2492B">
        <w:rPr>
          <w:rFonts w:ascii="Century Gothic" w:hAnsi="Century Gothic"/>
          <w:sz w:val="24"/>
          <w:szCs w:val="24"/>
        </w:rPr>
        <w:t>Article 4 – Mesures de prévention et d’amélioration des conditions de travail</w:t>
      </w:r>
    </w:p>
    <w:p w14:paraId="7D0675B9" w14:textId="77777777" w:rsidR="00A74777" w:rsidRPr="00A2492B" w:rsidRDefault="00A74777" w:rsidP="00A74777">
      <w:pPr>
        <w:rPr>
          <w:rFonts w:ascii="Century Gothic" w:hAnsi="Century Gothic"/>
          <w:sz w:val="20"/>
          <w:szCs w:val="20"/>
        </w:rPr>
      </w:pPr>
      <w:r w:rsidRPr="00A2492B">
        <w:rPr>
          <w:rFonts w:ascii="Century Gothic" w:hAnsi="Century Gothic"/>
          <w:sz w:val="20"/>
          <w:szCs w:val="20"/>
        </w:rPr>
        <w:t>4.1. Mesures techniques</w:t>
      </w:r>
    </w:p>
    <w:p w14:paraId="7BDF43D9" w14:textId="6032A230" w:rsidR="00A74777" w:rsidRPr="00A2492B" w:rsidRDefault="00A74777" w:rsidP="00A74777">
      <w:pPr>
        <w:rPr>
          <w:rFonts w:ascii="Century Gothic" w:hAnsi="Century Gothic"/>
          <w:sz w:val="20"/>
          <w:szCs w:val="20"/>
        </w:rPr>
      </w:pPr>
      <w:r w:rsidRPr="00A2492B">
        <w:rPr>
          <w:rFonts w:ascii="Century Gothic" w:hAnsi="Century Gothic"/>
          <w:sz w:val="20"/>
          <w:szCs w:val="20"/>
        </w:rPr>
        <w:t>- Mise à disposition d’équipements ergonomiques pour limiter les efforts physiques;</w:t>
      </w:r>
      <w:r w:rsidRPr="00A2492B">
        <w:rPr>
          <w:rFonts w:ascii="Century Gothic" w:hAnsi="Century Gothic"/>
          <w:sz w:val="20"/>
          <w:szCs w:val="20"/>
        </w:rPr>
        <w:br/>
        <w:t>- Entretien et renouvellement régulier des matériels (aspirateurs, chariots, balais, etc.</w:t>
      </w:r>
      <w:proofErr w:type="gramStart"/>
      <w:r w:rsidRPr="00A2492B">
        <w:rPr>
          <w:rFonts w:ascii="Century Gothic" w:hAnsi="Century Gothic"/>
          <w:sz w:val="20"/>
          <w:szCs w:val="20"/>
        </w:rPr>
        <w:t>) ;</w:t>
      </w:r>
      <w:proofErr w:type="gramEnd"/>
      <w:r w:rsidRPr="00A2492B">
        <w:rPr>
          <w:rFonts w:ascii="Century Gothic" w:hAnsi="Century Gothic"/>
          <w:sz w:val="20"/>
          <w:szCs w:val="20"/>
        </w:rPr>
        <w:br/>
        <w:t xml:space="preserve">- </w:t>
      </w:r>
      <w:r w:rsidRPr="00246972">
        <w:rPr>
          <w:rFonts w:ascii="Century Gothic" w:hAnsi="Century Gothic"/>
          <w:sz w:val="20"/>
          <w:szCs w:val="20"/>
        </w:rPr>
        <w:t xml:space="preserve">Installation de dispositifs antidérapants et signalisation </w:t>
      </w:r>
      <w:r w:rsidRPr="00A2492B">
        <w:rPr>
          <w:rFonts w:ascii="Century Gothic" w:hAnsi="Century Gothic"/>
          <w:sz w:val="20"/>
          <w:szCs w:val="20"/>
        </w:rPr>
        <w:t>des zones à risque</w:t>
      </w:r>
      <w:r w:rsidR="00246972">
        <w:rPr>
          <w:rFonts w:ascii="Century Gothic" w:hAnsi="Century Gothic"/>
          <w:sz w:val="20"/>
          <w:szCs w:val="20"/>
        </w:rPr>
        <w:t>s (panneaux triangle de signalisation</w:t>
      </w:r>
      <w:r w:rsidRPr="00A2492B">
        <w:rPr>
          <w:rFonts w:ascii="Century Gothic" w:hAnsi="Century Gothic"/>
          <w:sz w:val="20"/>
          <w:szCs w:val="20"/>
        </w:rPr>
        <w:t>;</w:t>
      </w:r>
      <w:r w:rsidRPr="00A2492B">
        <w:rPr>
          <w:rFonts w:ascii="Century Gothic" w:hAnsi="Century Gothic"/>
          <w:sz w:val="20"/>
          <w:szCs w:val="20"/>
        </w:rPr>
        <w:br/>
        <w:t>- Évaluation régulière de la conformité des EPI et de leur adaptation aux postes.</w:t>
      </w:r>
    </w:p>
    <w:p w14:paraId="3F3ACF99" w14:textId="77777777" w:rsidR="00A74777" w:rsidRPr="00A2492B" w:rsidRDefault="00A74777" w:rsidP="00A74777">
      <w:pPr>
        <w:rPr>
          <w:rFonts w:ascii="Century Gothic" w:hAnsi="Century Gothic"/>
          <w:sz w:val="20"/>
          <w:szCs w:val="20"/>
        </w:rPr>
      </w:pPr>
      <w:r w:rsidRPr="00A2492B">
        <w:rPr>
          <w:rFonts w:ascii="Century Gothic" w:hAnsi="Century Gothic"/>
          <w:sz w:val="20"/>
          <w:szCs w:val="20"/>
        </w:rPr>
        <w:t>4.2. Mesures organisationnelles</w:t>
      </w:r>
    </w:p>
    <w:p w14:paraId="4E3AEC7C" w14:textId="77777777" w:rsidR="00A74777" w:rsidRPr="00A2492B" w:rsidRDefault="00A74777" w:rsidP="00A74777">
      <w:pPr>
        <w:rPr>
          <w:rFonts w:ascii="Century Gothic" w:hAnsi="Century Gothic"/>
          <w:sz w:val="20"/>
          <w:szCs w:val="20"/>
        </w:rPr>
      </w:pPr>
      <w:r w:rsidRPr="00A2492B">
        <w:rPr>
          <w:rFonts w:ascii="Century Gothic" w:hAnsi="Century Gothic"/>
          <w:sz w:val="20"/>
          <w:szCs w:val="20"/>
        </w:rPr>
        <w:t xml:space="preserve">- Analyse et réaménagement des plannings pour éviter la surcharge de travail et les cadences </w:t>
      </w:r>
      <w:proofErr w:type="gramStart"/>
      <w:r w:rsidRPr="00A2492B">
        <w:rPr>
          <w:rFonts w:ascii="Century Gothic" w:hAnsi="Century Gothic"/>
          <w:sz w:val="20"/>
          <w:szCs w:val="20"/>
        </w:rPr>
        <w:t>excessives ;</w:t>
      </w:r>
      <w:proofErr w:type="gramEnd"/>
      <w:r w:rsidRPr="00A2492B">
        <w:rPr>
          <w:rFonts w:ascii="Century Gothic" w:hAnsi="Century Gothic"/>
          <w:sz w:val="20"/>
          <w:szCs w:val="20"/>
        </w:rPr>
        <w:br/>
      </w:r>
      <w:r w:rsidRPr="00246972">
        <w:rPr>
          <w:rFonts w:ascii="Century Gothic" w:hAnsi="Century Gothic"/>
          <w:sz w:val="20"/>
          <w:szCs w:val="20"/>
        </w:rPr>
        <w:t xml:space="preserve">- Mise en place d’une rotation des postes pour limiter la répétition des gestes et la </w:t>
      </w:r>
      <w:proofErr w:type="gramStart"/>
      <w:r w:rsidRPr="00246972">
        <w:rPr>
          <w:rFonts w:ascii="Century Gothic" w:hAnsi="Century Gothic"/>
          <w:sz w:val="20"/>
          <w:szCs w:val="20"/>
        </w:rPr>
        <w:t>fatigue ;</w:t>
      </w:r>
      <w:proofErr w:type="gramEnd"/>
      <w:r w:rsidRPr="00246972">
        <w:rPr>
          <w:rFonts w:ascii="Century Gothic" w:hAnsi="Century Gothic"/>
          <w:sz w:val="20"/>
          <w:szCs w:val="20"/>
        </w:rPr>
        <w:br/>
      </w:r>
      <w:r w:rsidRPr="00A2492B">
        <w:rPr>
          <w:rFonts w:ascii="Century Gothic" w:hAnsi="Century Gothic"/>
          <w:sz w:val="20"/>
          <w:szCs w:val="20"/>
        </w:rPr>
        <w:t xml:space="preserve">- Intégration systématique d’une évaluation des risques avant toute nouvelle prestation ou contrat </w:t>
      </w:r>
      <w:proofErr w:type="gramStart"/>
      <w:r w:rsidRPr="00A2492B">
        <w:rPr>
          <w:rFonts w:ascii="Century Gothic" w:hAnsi="Century Gothic"/>
          <w:sz w:val="20"/>
          <w:szCs w:val="20"/>
        </w:rPr>
        <w:t>client ;</w:t>
      </w:r>
      <w:proofErr w:type="gramEnd"/>
      <w:r w:rsidRPr="00A2492B">
        <w:rPr>
          <w:rFonts w:ascii="Century Gothic" w:hAnsi="Century Gothic"/>
          <w:sz w:val="20"/>
          <w:szCs w:val="20"/>
        </w:rPr>
        <w:br/>
        <w:t>- Renforcement de la coordination entre les chefs d’équipe, les clients et le service QSE.</w:t>
      </w:r>
    </w:p>
    <w:p w14:paraId="458F2AF6" w14:textId="77777777" w:rsidR="00A74777" w:rsidRPr="00A2492B" w:rsidRDefault="00A74777" w:rsidP="00A74777">
      <w:pPr>
        <w:rPr>
          <w:rFonts w:ascii="Century Gothic" w:hAnsi="Century Gothic"/>
          <w:sz w:val="20"/>
          <w:szCs w:val="20"/>
        </w:rPr>
      </w:pPr>
      <w:r w:rsidRPr="00A2492B">
        <w:rPr>
          <w:rFonts w:ascii="Century Gothic" w:hAnsi="Century Gothic"/>
          <w:sz w:val="20"/>
          <w:szCs w:val="20"/>
        </w:rPr>
        <w:t>4.3. Mesures humaines et formatives</w:t>
      </w:r>
    </w:p>
    <w:p w14:paraId="206FF802" w14:textId="7859694C" w:rsidR="00A74777" w:rsidRPr="00A2492B" w:rsidRDefault="00A74777" w:rsidP="00A74777">
      <w:pPr>
        <w:rPr>
          <w:rFonts w:ascii="Century Gothic" w:hAnsi="Century Gothic"/>
          <w:sz w:val="20"/>
          <w:szCs w:val="20"/>
        </w:rPr>
      </w:pPr>
      <w:r w:rsidRPr="00A2492B">
        <w:rPr>
          <w:rFonts w:ascii="Century Gothic" w:hAnsi="Century Gothic"/>
          <w:sz w:val="20"/>
          <w:szCs w:val="20"/>
        </w:rPr>
        <w:t>- Formation des salariés sur la prévention des TMS, des chutes et des risques chimiques;</w:t>
      </w:r>
      <w:r w:rsidRPr="00A2492B">
        <w:rPr>
          <w:rFonts w:ascii="Century Gothic" w:hAnsi="Century Gothic"/>
          <w:sz w:val="20"/>
          <w:szCs w:val="20"/>
        </w:rPr>
        <w:br/>
        <w:t>- Sessions de sensibilisation à la sécurité;</w:t>
      </w:r>
      <w:r w:rsidRPr="00A2492B">
        <w:rPr>
          <w:rFonts w:ascii="Century Gothic" w:hAnsi="Century Gothic"/>
          <w:sz w:val="20"/>
          <w:szCs w:val="20"/>
        </w:rPr>
        <w:br/>
        <w:t>- Création d’un module d’accueil sécurité pour les nouveaux embauchés;</w:t>
      </w:r>
      <w:r w:rsidRPr="00A2492B">
        <w:rPr>
          <w:rFonts w:ascii="Century Gothic" w:hAnsi="Century Gothic"/>
          <w:sz w:val="20"/>
          <w:szCs w:val="20"/>
        </w:rPr>
        <w:br/>
        <w:t>- Implication des encadrants de proximité dans le suivi quotidien de la sécurité.</w:t>
      </w:r>
    </w:p>
    <w:p w14:paraId="028A3A00" w14:textId="77777777" w:rsidR="00A74777" w:rsidRPr="00A2492B" w:rsidRDefault="00A74777" w:rsidP="00A74777">
      <w:pPr>
        <w:pStyle w:val="Titre2"/>
        <w:rPr>
          <w:rFonts w:ascii="Century Gothic" w:hAnsi="Century Gothic"/>
          <w:sz w:val="24"/>
          <w:szCs w:val="24"/>
        </w:rPr>
      </w:pPr>
      <w:r w:rsidRPr="00A2492B">
        <w:rPr>
          <w:rFonts w:ascii="Century Gothic" w:hAnsi="Century Gothic"/>
          <w:sz w:val="24"/>
          <w:szCs w:val="24"/>
        </w:rPr>
        <w:t>Article 5 – Suivi et évaluation de l’accord</w:t>
      </w:r>
    </w:p>
    <w:p w14:paraId="7DB64515" w14:textId="70FFBBEF" w:rsidR="00302CD5" w:rsidRDefault="00A74777" w:rsidP="00A74777">
      <w:pPr>
        <w:rPr>
          <w:rFonts w:ascii="Century Gothic" w:hAnsi="Century Gothic"/>
          <w:sz w:val="20"/>
          <w:szCs w:val="20"/>
        </w:rPr>
      </w:pPr>
      <w:r w:rsidRPr="00A2492B">
        <w:rPr>
          <w:rFonts w:ascii="Century Gothic" w:hAnsi="Century Gothic"/>
          <w:sz w:val="20"/>
          <w:szCs w:val="20"/>
        </w:rPr>
        <w:t xml:space="preserve">Un comité de suivi composé de la direction, du CSE, du salarié désigné competent en santé et sécurité au travail est institué. Il se </w:t>
      </w:r>
      <w:proofErr w:type="spellStart"/>
      <w:r w:rsidRPr="00A2492B">
        <w:rPr>
          <w:rFonts w:ascii="Century Gothic" w:hAnsi="Century Gothic"/>
          <w:sz w:val="20"/>
          <w:szCs w:val="20"/>
        </w:rPr>
        <w:t>réunira</w:t>
      </w:r>
      <w:proofErr w:type="spellEnd"/>
      <w:r w:rsidRPr="00A2492B">
        <w:rPr>
          <w:rFonts w:ascii="Century Gothic" w:hAnsi="Century Gothic"/>
          <w:sz w:val="20"/>
          <w:szCs w:val="20"/>
        </w:rPr>
        <w:t xml:space="preserve"> </w:t>
      </w:r>
      <w:proofErr w:type="spellStart"/>
      <w:r w:rsidRPr="00A2492B">
        <w:rPr>
          <w:rFonts w:ascii="Century Gothic" w:hAnsi="Century Gothic"/>
          <w:sz w:val="20"/>
          <w:szCs w:val="20"/>
        </w:rPr>
        <w:t>semestriellement</w:t>
      </w:r>
      <w:proofErr w:type="spellEnd"/>
      <w:r w:rsidRPr="00A2492B">
        <w:rPr>
          <w:rFonts w:ascii="Century Gothic" w:hAnsi="Century Gothic"/>
          <w:sz w:val="20"/>
          <w:szCs w:val="20"/>
        </w:rPr>
        <w:t xml:space="preserve"> pour </w:t>
      </w:r>
      <w:proofErr w:type="spellStart"/>
      <w:r w:rsidRPr="00A2492B">
        <w:rPr>
          <w:rFonts w:ascii="Century Gothic" w:hAnsi="Century Gothic"/>
          <w:sz w:val="20"/>
          <w:szCs w:val="20"/>
        </w:rPr>
        <w:t>suivre</w:t>
      </w:r>
      <w:proofErr w:type="spellEnd"/>
      <w:r w:rsidRPr="00A2492B">
        <w:rPr>
          <w:rFonts w:ascii="Century Gothic" w:hAnsi="Century Gothic"/>
          <w:sz w:val="20"/>
          <w:szCs w:val="20"/>
        </w:rPr>
        <w:t xml:space="preserve"> les</w:t>
      </w:r>
      <w:r w:rsidR="0030600A">
        <w:rPr>
          <w:rFonts w:ascii="Century Gothic" w:hAnsi="Century Gothic"/>
          <w:sz w:val="20"/>
          <w:szCs w:val="20"/>
        </w:rPr>
        <w:t xml:space="preserve"> </w:t>
      </w:r>
      <w:proofErr w:type="spellStart"/>
      <w:r w:rsidRPr="00A2492B">
        <w:rPr>
          <w:rFonts w:ascii="Century Gothic" w:hAnsi="Century Gothic"/>
          <w:sz w:val="20"/>
          <w:szCs w:val="20"/>
        </w:rPr>
        <w:t>indicateurs</w:t>
      </w:r>
      <w:proofErr w:type="spellEnd"/>
      <w:r w:rsidRPr="00A2492B">
        <w:rPr>
          <w:rFonts w:ascii="Century Gothic" w:hAnsi="Century Gothic"/>
          <w:sz w:val="20"/>
          <w:szCs w:val="20"/>
        </w:rPr>
        <w:t xml:space="preserve"> </w:t>
      </w:r>
      <w:proofErr w:type="spellStart"/>
      <w:r w:rsidRPr="00A2492B">
        <w:rPr>
          <w:rFonts w:ascii="Century Gothic" w:hAnsi="Century Gothic"/>
          <w:sz w:val="20"/>
          <w:szCs w:val="20"/>
        </w:rPr>
        <w:t>suivants</w:t>
      </w:r>
      <w:proofErr w:type="spellEnd"/>
      <w:r w:rsidRPr="00A2492B">
        <w:rPr>
          <w:rFonts w:ascii="Century Gothic" w:hAnsi="Century Gothic"/>
          <w:sz w:val="20"/>
          <w:szCs w:val="20"/>
        </w:rPr>
        <w:t>:</w:t>
      </w:r>
    </w:p>
    <w:p w14:paraId="6093CDB8" w14:textId="1786A4AE" w:rsidR="00302CD5" w:rsidRDefault="00A74777" w:rsidP="00A74777">
      <w:pPr>
        <w:rPr>
          <w:rFonts w:ascii="Century Gothic" w:hAnsi="Century Gothic"/>
          <w:sz w:val="20"/>
          <w:szCs w:val="20"/>
        </w:rPr>
      </w:pPr>
      <w:r w:rsidRPr="00A2492B">
        <w:rPr>
          <w:rFonts w:ascii="Century Gothic" w:hAnsi="Century Gothic"/>
          <w:sz w:val="20"/>
          <w:szCs w:val="20"/>
        </w:rPr>
        <w:t>- Taux de sinistralité global;</w:t>
      </w:r>
    </w:p>
    <w:p w14:paraId="2D3013C2" w14:textId="77BEE8D6" w:rsidR="00A2492B" w:rsidRPr="00284F98" w:rsidRDefault="00A74777" w:rsidP="00A74777">
      <w:pPr>
        <w:rPr>
          <w:rFonts w:ascii="Century Gothic" w:hAnsi="Century Gothic"/>
          <w:sz w:val="20"/>
          <w:szCs w:val="20"/>
        </w:rPr>
      </w:pPr>
      <w:r w:rsidRPr="00A2492B">
        <w:rPr>
          <w:rFonts w:ascii="Century Gothic" w:hAnsi="Century Gothic"/>
          <w:sz w:val="20"/>
          <w:szCs w:val="20"/>
        </w:rPr>
        <w:t xml:space="preserve">- </w:t>
      </w:r>
      <w:r w:rsidRPr="00284F98">
        <w:rPr>
          <w:rFonts w:ascii="Century Gothic" w:hAnsi="Century Gothic"/>
          <w:sz w:val="20"/>
          <w:szCs w:val="20"/>
        </w:rPr>
        <w:t>Nombre d’accidents du travail avec arrêt;</w:t>
      </w:r>
    </w:p>
    <w:p w14:paraId="4BB930D9" w14:textId="3B89B6A1" w:rsidR="00A74777" w:rsidRPr="00284F98" w:rsidRDefault="00A74777" w:rsidP="00A74777">
      <w:pPr>
        <w:rPr>
          <w:rFonts w:ascii="Century Gothic" w:hAnsi="Century Gothic"/>
          <w:sz w:val="20"/>
          <w:szCs w:val="20"/>
        </w:rPr>
      </w:pPr>
      <w:r w:rsidRPr="00284F98">
        <w:rPr>
          <w:rFonts w:ascii="Century Gothic" w:hAnsi="Century Gothic"/>
        </w:rPr>
        <w:t xml:space="preserve">- </w:t>
      </w:r>
      <w:r w:rsidRPr="00284F98">
        <w:rPr>
          <w:rFonts w:ascii="Century Gothic" w:hAnsi="Century Gothic"/>
          <w:sz w:val="20"/>
          <w:szCs w:val="20"/>
        </w:rPr>
        <w:t>Taux de fréquence et de gravité.</w:t>
      </w:r>
    </w:p>
    <w:p w14:paraId="0BDFBA3D" w14:textId="451B848F" w:rsidR="00A74777" w:rsidRPr="00A2492B" w:rsidRDefault="00A74777" w:rsidP="00A74777">
      <w:pPr>
        <w:rPr>
          <w:rFonts w:ascii="Century Gothic" w:hAnsi="Century Gothic"/>
          <w:sz w:val="20"/>
          <w:szCs w:val="20"/>
        </w:rPr>
      </w:pPr>
      <w:r w:rsidRPr="00A2492B">
        <w:rPr>
          <w:rFonts w:ascii="Century Gothic" w:hAnsi="Century Gothic"/>
          <w:sz w:val="20"/>
          <w:szCs w:val="20"/>
        </w:rPr>
        <w:lastRenderedPageBreak/>
        <w:t>- Nombre de formations réalisées et de salariés formés.</w:t>
      </w:r>
      <w:r w:rsidRPr="00A2492B">
        <w:rPr>
          <w:rFonts w:ascii="Century Gothic" w:hAnsi="Century Gothic"/>
          <w:sz w:val="20"/>
          <w:szCs w:val="20"/>
        </w:rPr>
        <w:br/>
      </w:r>
      <w:r w:rsidRPr="00A2492B">
        <w:rPr>
          <w:rFonts w:ascii="Century Gothic" w:hAnsi="Century Gothic"/>
          <w:sz w:val="20"/>
          <w:szCs w:val="20"/>
        </w:rPr>
        <w:br/>
        <w:t>Un rapport annuel sera communiqué au CSE et présenté lors de la réunion sur la santé, sécurité et conditions de travail.</w:t>
      </w:r>
    </w:p>
    <w:p w14:paraId="20F87E65" w14:textId="77777777" w:rsidR="00A74777" w:rsidRPr="00A2492B" w:rsidRDefault="00A74777" w:rsidP="00A74777">
      <w:pPr>
        <w:pStyle w:val="Titre2"/>
        <w:rPr>
          <w:rFonts w:ascii="Century Gothic" w:hAnsi="Century Gothic"/>
          <w:sz w:val="24"/>
          <w:szCs w:val="24"/>
        </w:rPr>
      </w:pPr>
      <w:r w:rsidRPr="00A2492B">
        <w:rPr>
          <w:rFonts w:ascii="Century Gothic" w:hAnsi="Century Gothic"/>
          <w:sz w:val="24"/>
          <w:szCs w:val="24"/>
        </w:rPr>
        <w:t>Article 6 – Communication, durée et révision de l’accord</w:t>
      </w:r>
    </w:p>
    <w:p w14:paraId="7815B70E" w14:textId="77777777" w:rsidR="00A74777" w:rsidRPr="00A2492B" w:rsidRDefault="00A74777" w:rsidP="00A74777">
      <w:pPr>
        <w:rPr>
          <w:rFonts w:ascii="Century Gothic" w:hAnsi="Century Gothic"/>
          <w:sz w:val="20"/>
          <w:szCs w:val="20"/>
        </w:rPr>
      </w:pPr>
      <w:r w:rsidRPr="00A2492B">
        <w:rPr>
          <w:rFonts w:ascii="Century Gothic" w:hAnsi="Century Gothic"/>
          <w:sz w:val="20"/>
          <w:szCs w:val="20"/>
        </w:rPr>
        <w:t>Le présent accord est conclu pour une durée de trois ans à compter de sa signature. Il pourra être révisé à la demande de l’une des parties en cas d’évolution significative des conditions de travail ou du taux de sinistralité. Une communication sera effectuée auprès de l’ensemble du personnel, et l’accord sera déposé sur la plateforme TéléAccords conformément à la réglementation en vigueur.</w:t>
      </w:r>
    </w:p>
    <w:p w14:paraId="741C84E3" w14:textId="45B27ECB" w:rsidR="00A74777" w:rsidRDefault="00A74777" w:rsidP="00A74777">
      <w:pPr>
        <w:pStyle w:val="Titre2"/>
        <w:rPr>
          <w:rFonts w:ascii="Century Gothic" w:hAnsi="Century Gothic"/>
          <w:sz w:val="24"/>
          <w:szCs w:val="24"/>
        </w:rPr>
      </w:pPr>
      <w:r w:rsidRPr="00A2492B">
        <w:rPr>
          <w:rFonts w:ascii="Century Gothic" w:hAnsi="Century Gothic"/>
          <w:sz w:val="24"/>
          <w:szCs w:val="24"/>
        </w:rPr>
        <w:t>Signatures</w:t>
      </w:r>
    </w:p>
    <w:p w14:paraId="1F3EF140" w14:textId="77777777" w:rsidR="00284F98" w:rsidRPr="00284F98" w:rsidRDefault="00284F98" w:rsidP="00A74777">
      <w:pPr>
        <w:tabs>
          <w:tab w:val="left" w:pos="1418"/>
          <w:tab w:val="left" w:pos="1985"/>
          <w:tab w:val="left" w:pos="4253"/>
        </w:tabs>
        <w:rPr>
          <w:sz w:val="12"/>
          <w:szCs w:val="12"/>
          <w:lang w:val="fr-FR"/>
        </w:rPr>
      </w:pPr>
    </w:p>
    <w:p w14:paraId="37F02EFD" w14:textId="08B55D26" w:rsidR="000E0D0A" w:rsidRPr="000E0D0A" w:rsidRDefault="00A74777" w:rsidP="0090041A">
      <w:pPr>
        <w:tabs>
          <w:tab w:val="left" w:pos="1418"/>
          <w:tab w:val="left" w:pos="1985"/>
          <w:tab w:val="left" w:pos="4253"/>
        </w:tabs>
        <w:rPr>
          <w:rFonts w:ascii="Century Gothic" w:hAnsi="Century Gothic"/>
          <w:sz w:val="12"/>
          <w:szCs w:val="12"/>
        </w:rPr>
      </w:pPr>
      <w:r w:rsidRPr="00A2492B">
        <w:rPr>
          <w:rFonts w:ascii="Century Gothic" w:hAnsi="Century Gothic"/>
          <w:sz w:val="20"/>
          <w:szCs w:val="20"/>
        </w:rPr>
        <w:t xml:space="preserve">Fait à La </w:t>
      </w:r>
      <w:proofErr w:type="spellStart"/>
      <w:r w:rsidRPr="00A2492B">
        <w:rPr>
          <w:rFonts w:ascii="Century Gothic" w:hAnsi="Century Gothic"/>
          <w:sz w:val="20"/>
          <w:szCs w:val="20"/>
        </w:rPr>
        <w:t>Chevroliere</w:t>
      </w:r>
      <w:proofErr w:type="spellEnd"/>
      <w:r w:rsidRPr="00A2492B">
        <w:rPr>
          <w:rFonts w:ascii="Century Gothic" w:hAnsi="Century Gothic"/>
          <w:sz w:val="20"/>
          <w:szCs w:val="20"/>
        </w:rPr>
        <w:t>, le</w:t>
      </w:r>
      <w:r w:rsidR="00284F98">
        <w:rPr>
          <w:rFonts w:ascii="Century Gothic" w:hAnsi="Century Gothic"/>
          <w:sz w:val="20"/>
          <w:szCs w:val="20"/>
        </w:rPr>
        <w:t xml:space="preserve"> </w:t>
      </w:r>
      <w:r w:rsidR="002978F0">
        <w:rPr>
          <w:rFonts w:ascii="Century Gothic" w:hAnsi="Century Gothic"/>
          <w:sz w:val="20"/>
          <w:szCs w:val="20"/>
        </w:rPr>
        <w:t>1</w:t>
      </w:r>
      <w:r w:rsidR="00E22D59">
        <w:rPr>
          <w:rFonts w:ascii="Century Gothic" w:hAnsi="Century Gothic"/>
          <w:sz w:val="20"/>
          <w:szCs w:val="20"/>
        </w:rPr>
        <w:t>4</w:t>
      </w:r>
      <w:r w:rsidR="002978F0">
        <w:rPr>
          <w:rFonts w:ascii="Century Gothic" w:hAnsi="Century Gothic"/>
          <w:sz w:val="20"/>
          <w:szCs w:val="20"/>
        </w:rPr>
        <w:t xml:space="preserve"> </w:t>
      </w:r>
      <w:proofErr w:type="spellStart"/>
      <w:r w:rsidR="002978F0">
        <w:rPr>
          <w:rFonts w:ascii="Century Gothic" w:hAnsi="Century Gothic"/>
          <w:sz w:val="20"/>
          <w:szCs w:val="20"/>
        </w:rPr>
        <w:t>avril</w:t>
      </w:r>
      <w:proofErr w:type="spellEnd"/>
      <w:r w:rsidR="00284F98">
        <w:rPr>
          <w:rFonts w:ascii="Century Gothic" w:hAnsi="Century Gothic"/>
          <w:sz w:val="20"/>
          <w:szCs w:val="20"/>
        </w:rPr>
        <w:t xml:space="preserve"> 2026.</w:t>
      </w:r>
      <w:r w:rsidRPr="00A2492B">
        <w:rPr>
          <w:rFonts w:ascii="Century Gothic" w:hAnsi="Century Gothic"/>
          <w:sz w:val="20"/>
          <w:szCs w:val="20"/>
        </w:rPr>
        <w:br/>
      </w:r>
      <w:r w:rsidRPr="00A2492B">
        <w:rPr>
          <w:rFonts w:ascii="Century Gothic" w:hAnsi="Century Gothic"/>
          <w:sz w:val="20"/>
          <w:szCs w:val="20"/>
        </w:rPr>
        <w:br/>
      </w:r>
    </w:p>
    <w:sectPr w:rsidR="000E0D0A" w:rsidRPr="000E0D0A" w:rsidSect="00A74777">
      <w:head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E0C9A" w14:textId="77777777" w:rsidR="00830420" w:rsidRDefault="00830420" w:rsidP="00A74777">
      <w:pPr>
        <w:spacing w:after="0" w:line="240" w:lineRule="auto"/>
      </w:pPr>
      <w:r>
        <w:separator/>
      </w:r>
    </w:p>
  </w:endnote>
  <w:endnote w:type="continuationSeparator" w:id="0">
    <w:p w14:paraId="3888E29C" w14:textId="77777777" w:rsidR="00830420" w:rsidRDefault="00830420" w:rsidP="00A74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E3230" w14:textId="77777777" w:rsidR="00830420" w:rsidRDefault="00830420" w:rsidP="00A74777">
      <w:pPr>
        <w:spacing w:after="0" w:line="240" w:lineRule="auto"/>
      </w:pPr>
      <w:r>
        <w:separator/>
      </w:r>
    </w:p>
  </w:footnote>
  <w:footnote w:type="continuationSeparator" w:id="0">
    <w:p w14:paraId="1C82C2F0" w14:textId="77777777" w:rsidR="00830420" w:rsidRDefault="00830420" w:rsidP="00A74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010C5" w14:textId="588189D7" w:rsidR="00A74777" w:rsidRDefault="00A74777" w:rsidP="00A74777">
    <w:pPr>
      <w:pStyle w:val="NormalWeb"/>
    </w:pPr>
  </w:p>
  <w:p w14:paraId="6F90A9A2" w14:textId="77777777" w:rsidR="00A74777" w:rsidRDefault="00A74777">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777"/>
    <w:rsid w:val="0000196A"/>
    <w:rsid w:val="000461D5"/>
    <w:rsid w:val="000E08B7"/>
    <w:rsid w:val="000E0D0A"/>
    <w:rsid w:val="001A0D74"/>
    <w:rsid w:val="00246972"/>
    <w:rsid w:val="00284F98"/>
    <w:rsid w:val="002978F0"/>
    <w:rsid w:val="002C68F3"/>
    <w:rsid w:val="00302CD5"/>
    <w:rsid w:val="0030600A"/>
    <w:rsid w:val="004A4CD4"/>
    <w:rsid w:val="00542E9D"/>
    <w:rsid w:val="00565848"/>
    <w:rsid w:val="00596CF4"/>
    <w:rsid w:val="005D13DB"/>
    <w:rsid w:val="00655BB1"/>
    <w:rsid w:val="00693B81"/>
    <w:rsid w:val="006B15D8"/>
    <w:rsid w:val="00830420"/>
    <w:rsid w:val="008D6D1F"/>
    <w:rsid w:val="0090041A"/>
    <w:rsid w:val="009B3422"/>
    <w:rsid w:val="009E7342"/>
    <w:rsid w:val="00A2492B"/>
    <w:rsid w:val="00A74777"/>
    <w:rsid w:val="00A7799D"/>
    <w:rsid w:val="00AC38F7"/>
    <w:rsid w:val="00B229B6"/>
    <w:rsid w:val="00B87240"/>
    <w:rsid w:val="00C40EF9"/>
    <w:rsid w:val="00D54527"/>
    <w:rsid w:val="00DB40EC"/>
    <w:rsid w:val="00DC329B"/>
    <w:rsid w:val="00DF3F7F"/>
    <w:rsid w:val="00E22D59"/>
    <w:rsid w:val="00E9053E"/>
    <w:rsid w:val="00ED0D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4F975"/>
  <w15:chartTrackingRefBased/>
  <w15:docId w15:val="{AF8EE29F-081F-43FF-88B1-AFD6712FD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777"/>
    <w:pPr>
      <w:spacing w:after="200" w:line="276" w:lineRule="auto"/>
    </w:pPr>
    <w:rPr>
      <w:rFonts w:eastAsiaTheme="minorEastAsia"/>
      <w:kern w:val="0"/>
      <w:lang w:val="en-US"/>
      <w14:ligatures w14:val="none"/>
    </w:rPr>
  </w:style>
  <w:style w:type="paragraph" w:styleId="Titre1">
    <w:name w:val="heading 1"/>
    <w:basedOn w:val="Normal"/>
    <w:next w:val="Normal"/>
    <w:link w:val="Titre1Car"/>
    <w:uiPriority w:val="9"/>
    <w:qFormat/>
    <w:rsid w:val="00A74777"/>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fr-FR"/>
      <w14:ligatures w14:val="standardContextual"/>
    </w:rPr>
  </w:style>
  <w:style w:type="paragraph" w:styleId="Titre2">
    <w:name w:val="heading 2"/>
    <w:basedOn w:val="Normal"/>
    <w:next w:val="Normal"/>
    <w:link w:val="Titre2Car"/>
    <w:uiPriority w:val="9"/>
    <w:unhideWhenUsed/>
    <w:qFormat/>
    <w:rsid w:val="00A74777"/>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fr-FR"/>
      <w14:ligatures w14:val="standardContextual"/>
    </w:rPr>
  </w:style>
  <w:style w:type="paragraph" w:styleId="Titre3">
    <w:name w:val="heading 3"/>
    <w:basedOn w:val="Normal"/>
    <w:next w:val="Normal"/>
    <w:link w:val="Titre3Car"/>
    <w:uiPriority w:val="9"/>
    <w:semiHidden/>
    <w:unhideWhenUsed/>
    <w:qFormat/>
    <w:rsid w:val="00A74777"/>
    <w:pPr>
      <w:keepNext/>
      <w:keepLines/>
      <w:spacing w:before="160" w:after="80" w:line="259" w:lineRule="auto"/>
      <w:outlineLvl w:val="2"/>
    </w:pPr>
    <w:rPr>
      <w:rFonts w:eastAsiaTheme="majorEastAsia" w:cstheme="majorBidi"/>
      <w:color w:val="0F4761" w:themeColor="accent1" w:themeShade="BF"/>
      <w:kern w:val="2"/>
      <w:sz w:val="28"/>
      <w:szCs w:val="28"/>
      <w:lang w:val="fr-FR"/>
      <w14:ligatures w14:val="standardContextual"/>
    </w:rPr>
  </w:style>
  <w:style w:type="paragraph" w:styleId="Titre4">
    <w:name w:val="heading 4"/>
    <w:basedOn w:val="Normal"/>
    <w:next w:val="Normal"/>
    <w:link w:val="Titre4Car"/>
    <w:uiPriority w:val="9"/>
    <w:semiHidden/>
    <w:unhideWhenUsed/>
    <w:qFormat/>
    <w:rsid w:val="00A74777"/>
    <w:pPr>
      <w:keepNext/>
      <w:keepLines/>
      <w:spacing w:before="80" w:after="40" w:line="259" w:lineRule="auto"/>
      <w:outlineLvl w:val="3"/>
    </w:pPr>
    <w:rPr>
      <w:rFonts w:eastAsiaTheme="majorEastAsia" w:cstheme="majorBidi"/>
      <w:i/>
      <w:iCs/>
      <w:color w:val="0F4761" w:themeColor="accent1" w:themeShade="BF"/>
      <w:kern w:val="2"/>
      <w:lang w:val="fr-FR"/>
      <w14:ligatures w14:val="standardContextual"/>
    </w:rPr>
  </w:style>
  <w:style w:type="paragraph" w:styleId="Titre5">
    <w:name w:val="heading 5"/>
    <w:basedOn w:val="Normal"/>
    <w:next w:val="Normal"/>
    <w:link w:val="Titre5Car"/>
    <w:uiPriority w:val="9"/>
    <w:semiHidden/>
    <w:unhideWhenUsed/>
    <w:qFormat/>
    <w:rsid w:val="00A74777"/>
    <w:pPr>
      <w:keepNext/>
      <w:keepLines/>
      <w:spacing w:before="80" w:after="40" w:line="259" w:lineRule="auto"/>
      <w:outlineLvl w:val="4"/>
    </w:pPr>
    <w:rPr>
      <w:rFonts w:eastAsiaTheme="majorEastAsia" w:cstheme="majorBidi"/>
      <w:color w:val="0F4761" w:themeColor="accent1" w:themeShade="BF"/>
      <w:kern w:val="2"/>
      <w:lang w:val="fr-FR"/>
      <w14:ligatures w14:val="standardContextual"/>
    </w:rPr>
  </w:style>
  <w:style w:type="paragraph" w:styleId="Titre6">
    <w:name w:val="heading 6"/>
    <w:basedOn w:val="Normal"/>
    <w:next w:val="Normal"/>
    <w:link w:val="Titre6Car"/>
    <w:uiPriority w:val="9"/>
    <w:semiHidden/>
    <w:unhideWhenUsed/>
    <w:qFormat/>
    <w:rsid w:val="00A74777"/>
    <w:pPr>
      <w:keepNext/>
      <w:keepLines/>
      <w:spacing w:before="40" w:after="0" w:line="259" w:lineRule="auto"/>
      <w:outlineLvl w:val="5"/>
    </w:pPr>
    <w:rPr>
      <w:rFonts w:eastAsiaTheme="majorEastAsia" w:cstheme="majorBidi"/>
      <w:i/>
      <w:iCs/>
      <w:color w:val="595959" w:themeColor="text1" w:themeTint="A6"/>
      <w:kern w:val="2"/>
      <w:lang w:val="fr-FR"/>
      <w14:ligatures w14:val="standardContextual"/>
    </w:rPr>
  </w:style>
  <w:style w:type="paragraph" w:styleId="Titre7">
    <w:name w:val="heading 7"/>
    <w:basedOn w:val="Normal"/>
    <w:next w:val="Normal"/>
    <w:link w:val="Titre7Car"/>
    <w:uiPriority w:val="9"/>
    <w:semiHidden/>
    <w:unhideWhenUsed/>
    <w:qFormat/>
    <w:rsid w:val="00A74777"/>
    <w:pPr>
      <w:keepNext/>
      <w:keepLines/>
      <w:spacing w:before="40" w:after="0" w:line="259" w:lineRule="auto"/>
      <w:outlineLvl w:val="6"/>
    </w:pPr>
    <w:rPr>
      <w:rFonts w:eastAsiaTheme="majorEastAsia" w:cstheme="majorBidi"/>
      <w:color w:val="595959" w:themeColor="text1" w:themeTint="A6"/>
      <w:kern w:val="2"/>
      <w:lang w:val="fr-FR"/>
      <w14:ligatures w14:val="standardContextual"/>
    </w:rPr>
  </w:style>
  <w:style w:type="paragraph" w:styleId="Titre8">
    <w:name w:val="heading 8"/>
    <w:basedOn w:val="Normal"/>
    <w:next w:val="Normal"/>
    <w:link w:val="Titre8Car"/>
    <w:uiPriority w:val="9"/>
    <w:semiHidden/>
    <w:unhideWhenUsed/>
    <w:qFormat/>
    <w:rsid w:val="00A74777"/>
    <w:pPr>
      <w:keepNext/>
      <w:keepLines/>
      <w:spacing w:after="0" w:line="259" w:lineRule="auto"/>
      <w:outlineLvl w:val="7"/>
    </w:pPr>
    <w:rPr>
      <w:rFonts w:eastAsiaTheme="majorEastAsia" w:cstheme="majorBidi"/>
      <w:i/>
      <w:iCs/>
      <w:color w:val="272727" w:themeColor="text1" w:themeTint="D8"/>
      <w:kern w:val="2"/>
      <w:lang w:val="fr-FR"/>
      <w14:ligatures w14:val="standardContextual"/>
    </w:rPr>
  </w:style>
  <w:style w:type="paragraph" w:styleId="Titre9">
    <w:name w:val="heading 9"/>
    <w:basedOn w:val="Normal"/>
    <w:next w:val="Normal"/>
    <w:link w:val="Titre9Car"/>
    <w:uiPriority w:val="9"/>
    <w:semiHidden/>
    <w:unhideWhenUsed/>
    <w:qFormat/>
    <w:rsid w:val="00A74777"/>
    <w:pPr>
      <w:keepNext/>
      <w:keepLines/>
      <w:spacing w:after="0" w:line="259" w:lineRule="auto"/>
      <w:outlineLvl w:val="8"/>
    </w:pPr>
    <w:rPr>
      <w:rFonts w:eastAsiaTheme="majorEastAsia" w:cstheme="majorBidi"/>
      <w:color w:val="272727" w:themeColor="text1" w:themeTint="D8"/>
      <w:kern w:val="2"/>
      <w:lang w:val="fr-FR"/>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74777"/>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A74777"/>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A74777"/>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A74777"/>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A74777"/>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A74777"/>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A74777"/>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A74777"/>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A74777"/>
    <w:rPr>
      <w:rFonts w:eastAsiaTheme="majorEastAsia" w:cstheme="majorBidi"/>
      <w:color w:val="272727" w:themeColor="text1" w:themeTint="D8"/>
    </w:rPr>
  </w:style>
  <w:style w:type="paragraph" w:styleId="Titre">
    <w:name w:val="Title"/>
    <w:basedOn w:val="Normal"/>
    <w:next w:val="Normal"/>
    <w:link w:val="TitreCar"/>
    <w:uiPriority w:val="10"/>
    <w:qFormat/>
    <w:rsid w:val="00A74777"/>
    <w:pPr>
      <w:spacing w:after="80" w:line="240" w:lineRule="auto"/>
      <w:contextualSpacing/>
    </w:pPr>
    <w:rPr>
      <w:rFonts w:asciiTheme="majorHAnsi" w:eastAsiaTheme="majorEastAsia" w:hAnsiTheme="majorHAnsi" w:cstheme="majorBidi"/>
      <w:spacing w:val="-10"/>
      <w:kern w:val="28"/>
      <w:sz w:val="56"/>
      <w:szCs w:val="56"/>
      <w:lang w:val="fr-FR"/>
      <w14:ligatures w14:val="standardContextual"/>
    </w:rPr>
  </w:style>
  <w:style w:type="character" w:customStyle="1" w:styleId="TitreCar">
    <w:name w:val="Titre Car"/>
    <w:basedOn w:val="Policepardfaut"/>
    <w:link w:val="Titre"/>
    <w:uiPriority w:val="10"/>
    <w:rsid w:val="00A74777"/>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A74777"/>
    <w:pPr>
      <w:numPr>
        <w:ilvl w:val="1"/>
      </w:numPr>
      <w:spacing w:after="160" w:line="259" w:lineRule="auto"/>
    </w:pPr>
    <w:rPr>
      <w:rFonts w:eastAsiaTheme="majorEastAsia" w:cstheme="majorBidi"/>
      <w:color w:val="595959" w:themeColor="text1" w:themeTint="A6"/>
      <w:spacing w:val="15"/>
      <w:kern w:val="2"/>
      <w:sz w:val="28"/>
      <w:szCs w:val="28"/>
      <w:lang w:val="fr-FR"/>
      <w14:ligatures w14:val="standardContextual"/>
    </w:rPr>
  </w:style>
  <w:style w:type="character" w:customStyle="1" w:styleId="Sous-titreCar">
    <w:name w:val="Sous-titre Car"/>
    <w:basedOn w:val="Policepardfaut"/>
    <w:link w:val="Sous-titre"/>
    <w:uiPriority w:val="11"/>
    <w:rsid w:val="00A74777"/>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A74777"/>
    <w:pPr>
      <w:spacing w:before="160" w:after="160" w:line="259" w:lineRule="auto"/>
      <w:jc w:val="center"/>
    </w:pPr>
    <w:rPr>
      <w:rFonts w:eastAsiaTheme="minorHAnsi"/>
      <w:i/>
      <w:iCs/>
      <w:color w:val="404040" w:themeColor="text1" w:themeTint="BF"/>
      <w:kern w:val="2"/>
      <w:lang w:val="fr-FR"/>
      <w14:ligatures w14:val="standardContextual"/>
    </w:rPr>
  </w:style>
  <w:style w:type="character" w:customStyle="1" w:styleId="CitationCar">
    <w:name w:val="Citation Car"/>
    <w:basedOn w:val="Policepardfaut"/>
    <w:link w:val="Citation"/>
    <w:uiPriority w:val="29"/>
    <w:rsid w:val="00A74777"/>
    <w:rPr>
      <w:i/>
      <w:iCs/>
      <w:color w:val="404040" w:themeColor="text1" w:themeTint="BF"/>
    </w:rPr>
  </w:style>
  <w:style w:type="paragraph" w:styleId="Paragraphedeliste">
    <w:name w:val="List Paragraph"/>
    <w:basedOn w:val="Normal"/>
    <w:uiPriority w:val="34"/>
    <w:qFormat/>
    <w:rsid w:val="00A74777"/>
    <w:pPr>
      <w:spacing w:after="160" w:line="259" w:lineRule="auto"/>
      <w:ind w:left="720"/>
      <w:contextualSpacing/>
    </w:pPr>
    <w:rPr>
      <w:rFonts w:eastAsiaTheme="minorHAnsi"/>
      <w:kern w:val="2"/>
      <w:lang w:val="fr-FR"/>
      <w14:ligatures w14:val="standardContextual"/>
    </w:rPr>
  </w:style>
  <w:style w:type="character" w:styleId="Accentuationintense">
    <w:name w:val="Intense Emphasis"/>
    <w:basedOn w:val="Policepardfaut"/>
    <w:uiPriority w:val="21"/>
    <w:qFormat/>
    <w:rsid w:val="00A74777"/>
    <w:rPr>
      <w:i/>
      <w:iCs/>
      <w:color w:val="0F4761" w:themeColor="accent1" w:themeShade="BF"/>
    </w:rPr>
  </w:style>
  <w:style w:type="paragraph" w:styleId="Citationintense">
    <w:name w:val="Intense Quote"/>
    <w:basedOn w:val="Normal"/>
    <w:next w:val="Normal"/>
    <w:link w:val="CitationintenseCar"/>
    <w:uiPriority w:val="30"/>
    <w:qFormat/>
    <w:rsid w:val="00A74777"/>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lang w:val="fr-FR"/>
      <w14:ligatures w14:val="standardContextual"/>
    </w:rPr>
  </w:style>
  <w:style w:type="character" w:customStyle="1" w:styleId="CitationintenseCar">
    <w:name w:val="Citation intense Car"/>
    <w:basedOn w:val="Policepardfaut"/>
    <w:link w:val="Citationintense"/>
    <w:uiPriority w:val="30"/>
    <w:rsid w:val="00A74777"/>
    <w:rPr>
      <w:i/>
      <w:iCs/>
      <w:color w:val="0F4761" w:themeColor="accent1" w:themeShade="BF"/>
    </w:rPr>
  </w:style>
  <w:style w:type="character" w:styleId="Rfrenceintense">
    <w:name w:val="Intense Reference"/>
    <w:basedOn w:val="Policepardfaut"/>
    <w:uiPriority w:val="32"/>
    <w:qFormat/>
    <w:rsid w:val="00A74777"/>
    <w:rPr>
      <w:b/>
      <w:bCs/>
      <w:smallCaps/>
      <w:color w:val="0F4761" w:themeColor="accent1" w:themeShade="BF"/>
      <w:spacing w:val="5"/>
    </w:rPr>
  </w:style>
  <w:style w:type="paragraph" w:styleId="En-tte">
    <w:name w:val="header"/>
    <w:basedOn w:val="Normal"/>
    <w:link w:val="En-tteCar"/>
    <w:uiPriority w:val="99"/>
    <w:unhideWhenUsed/>
    <w:rsid w:val="00A74777"/>
    <w:pPr>
      <w:tabs>
        <w:tab w:val="center" w:pos="4536"/>
        <w:tab w:val="right" w:pos="9072"/>
      </w:tabs>
      <w:spacing w:after="0" w:line="240" w:lineRule="auto"/>
    </w:pPr>
  </w:style>
  <w:style w:type="character" w:customStyle="1" w:styleId="En-tteCar">
    <w:name w:val="En-tête Car"/>
    <w:basedOn w:val="Policepardfaut"/>
    <w:link w:val="En-tte"/>
    <w:uiPriority w:val="99"/>
    <w:rsid w:val="00A74777"/>
    <w:rPr>
      <w:rFonts w:eastAsiaTheme="minorEastAsia"/>
      <w:kern w:val="0"/>
      <w:lang w:val="en-US"/>
      <w14:ligatures w14:val="none"/>
    </w:rPr>
  </w:style>
  <w:style w:type="paragraph" w:styleId="Pieddepage">
    <w:name w:val="footer"/>
    <w:basedOn w:val="Normal"/>
    <w:link w:val="PieddepageCar"/>
    <w:uiPriority w:val="99"/>
    <w:unhideWhenUsed/>
    <w:rsid w:val="00A7477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74777"/>
    <w:rPr>
      <w:rFonts w:eastAsiaTheme="minorEastAsia"/>
      <w:kern w:val="0"/>
      <w:lang w:val="en-US"/>
      <w14:ligatures w14:val="none"/>
    </w:rPr>
  </w:style>
  <w:style w:type="paragraph" w:styleId="NormalWeb">
    <w:name w:val="Normal (Web)"/>
    <w:basedOn w:val="Normal"/>
    <w:uiPriority w:val="99"/>
    <w:semiHidden/>
    <w:unhideWhenUsed/>
    <w:rsid w:val="00A74777"/>
    <w:pPr>
      <w:spacing w:before="100" w:beforeAutospacing="1" w:after="100" w:afterAutospacing="1" w:line="240" w:lineRule="auto"/>
    </w:pPr>
    <w:rPr>
      <w:rFonts w:ascii="Times New Roman" w:eastAsia="Times New Roman" w:hAnsi="Times New Roman" w:cs="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D98D4-6351-440C-A6E0-78C724604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742</Words>
  <Characters>4082</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Lucie RABILLER</dc:creator>
  <cp:keywords/>
  <dc:description/>
  <cp:lastModifiedBy>Guillaume GAUDIN</cp:lastModifiedBy>
  <cp:revision>2</cp:revision>
  <cp:lastPrinted>2026-01-13T09:57:00Z</cp:lastPrinted>
  <dcterms:created xsi:type="dcterms:W3CDTF">2026-04-14T15:42:00Z</dcterms:created>
  <dcterms:modified xsi:type="dcterms:W3CDTF">2026-04-14T15:42:00Z</dcterms:modified>
</cp:coreProperties>
</file>