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36DB3" w14:textId="77777777" w:rsidR="003D4AA6" w:rsidRDefault="003D4AA6" w:rsidP="003D4AA6">
      <w:pPr>
        <w:spacing w:after="120"/>
        <w:jc w:val="center"/>
        <w:rPr>
          <w:rFonts w:ascii="Open Sans" w:hAnsi="Open Sans" w:cs="Open Sans"/>
          <w:b/>
          <w:bCs/>
          <w:color w:val="000000"/>
          <w:sz w:val="24"/>
          <w:szCs w:val="24"/>
          <w:shd w:val="clear" w:color="auto" w:fill="FFFFFF"/>
        </w:rPr>
      </w:pPr>
      <w:r w:rsidRPr="00E7212F">
        <w:rPr>
          <w:rFonts w:ascii="Open Sans" w:hAnsi="Open Sans" w:cs="Open Sans"/>
          <w:b/>
          <w:bCs/>
          <w:color w:val="000000"/>
          <w:sz w:val="24"/>
          <w:szCs w:val="24"/>
          <w:shd w:val="clear" w:color="auto" w:fill="FFFFFF"/>
        </w:rPr>
        <w:t>GEM TAXI</w:t>
      </w:r>
    </w:p>
    <w:p w14:paraId="00D44918" w14:textId="77777777" w:rsidR="003D4AA6" w:rsidRPr="001D4886" w:rsidRDefault="003D4AA6" w:rsidP="003D4AA6">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15, rue Longue</w:t>
      </w:r>
    </w:p>
    <w:p w14:paraId="6B04C1C2" w14:textId="77777777" w:rsidR="003D4AA6" w:rsidRPr="001D4886" w:rsidRDefault="003D4AA6" w:rsidP="003D4AA6">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13360 ROQUEVAIRE</w:t>
      </w:r>
    </w:p>
    <w:p w14:paraId="308A177B" w14:textId="77777777" w:rsidR="003D4AA6" w:rsidRPr="00C50861" w:rsidRDefault="003D4AA6" w:rsidP="003D4AA6">
      <w:pPr>
        <w:spacing w:after="120"/>
        <w:jc w:val="center"/>
      </w:pPr>
    </w:p>
    <w:p w14:paraId="3CB38D32" w14:textId="77777777" w:rsidR="003D4AA6" w:rsidRPr="000337BF" w:rsidRDefault="003D4AA6" w:rsidP="003D4AA6">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Pr="00E7212F">
        <w:rPr>
          <w:rFonts w:ascii="Open Sans" w:hAnsi="Open Sans" w:cs="Open Sans"/>
          <w:color w:val="000000"/>
          <w:shd w:val="clear" w:color="auto" w:fill="FFFFFF"/>
        </w:rPr>
        <w:t>915</w:t>
      </w:r>
      <w:r>
        <w:rPr>
          <w:rFonts w:ascii="Open Sans" w:hAnsi="Open Sans" w:cs="Open Sans"/>
          <w:color w:val="000000"/>
          <w:shd w:val="clear" w:color="auto" w:fill="FFFFFF"/>
        </w:rPr>
        <w:t xml:space="preserve"> </w:t>
      </w:r>
      <w:r w:rsidRPr="00E7212F">
        <w:rPr>
          <w:rFonts w:ascii="Open Sans" w:hAnsi="Open Sans" w:cs="Open Sans"/>
          <w:color w:val="000000"/>
          <w:shd w:val="clear" w:color="auto" w:fill="FFFFFF"/>
        </w:rPr>
        <w:t>273</w:t>
      </w:r>
      <w:r>
        <w:rPr>
          <w:rFonts w:ascii="Open Sans" w:hAnsi="Open Sans" w:cs="Open Sans"/>
          <w:color w:val="000000"/>
          <w:shd w:val="clear" w:color="auto" w:fill="FFFFFF"/>
        </w:rPr>
        <w:t xml:space="preserve"> </w:t>
      </w:r>
      <w:r w:rsidRPr="00E7212F">
        <w:rPr>
          <w:rFonts w:ascii="Open Sans" w:hAnsi="Open Sans" w:cs="Open Sans"/>
          <w:color w:val="000000"/>
          <w:shd w:val="clear" w:color="auto" w:fill="FFFFFF"/>
        </w:rPr>
        <w:t>536</w:t>
      </w:r>
    </w:p>
    <w:p w14:paraId="4F3C83E4" w14:textId="77777777" w:rsidR="003D4AA6" w:rsidRPr="000337BF" w:rsidRDefault="003D4AA6" w:rsidP="003D4AA6">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NAF : 4932Z</w:t>
      </w:r>
    </w:p>
    <w:p w14:paraId="5F9C9BAA" w14:textId="77777777" w:rsidR="003D4AA6" w:rsidRPr="000337BF" w:rsidRDefault="003D4AA6" w:rsidP="003D4AA6">
      <w:pPr>
        <w:jc w:val="both"/>
        <w:rPr>
          <w:rFonts w:ascii="Open Sans" w:hAnsi="Open Sans" w:cs="Open Sans"/>
        </w:rPr>
      </w:pPr>
    </w:p>
    <w:p w14:paraId="160CC0CC" w14:textId="77777777" w:rsidR="003D4AA6" w:rsidRDefault="003D4AA6" w:rsidP="003D4AA6">
      <w:pPr>
        <w:jc w:val="both"/>
        <w:rPr>
          <w:rFonts w:ascii="Open Sans" w:hAnsi="Open Sans" w:cs="Open Sans"/>
        </w:rPr>
      </w:pPr>
    </w:p>
    <w:p w14:paraId="024D0524" w14:textId="77777777" w:rsidR="003D4AA6" w:rsidRPr="000337BF" w:rsidRDefault="003D4AA6" w:rsidP="003D4AA6">
      <w:pPr>
        <w:jc w:val="both"/>
        <w:rPr>
          <w:rFonts w:ascii="Open Sans" w:hAnsi="Open Sans" w:cs="Open Sans"/>
        </w:rPr>
      </w:pPr>
    </w:p>
    <w:p w14:paraId="5FCADDF0" w14:textId="77777777" w:rsidR="003D4AA6" w:rsidRPr="000337BF" w:rsidRDefault="003D4AA6" w:rsidP="003D4AA6">
      <w:pPr>
        <w:jc w:val="both"/>
        <w:rPr>
          <w:rFonts w:ascii="Open Sans" w:hAnsi="Open Sans" w:cs="Open Sans"/>
        </w:rPr>
      </w:pPr>
    </w:p>
    <w:p w14:paraId="04B1324F" w14:textId="77777777" w:rsidR="003D4AA6" w:rsidRPr="000337BF" w:rsidRDefault="003D4AA6" w:rsidP="003D4AA6">
      <w:pPr>
        <w:jc w:val="both"/>
        <w:rPr>
          <w:rFonts w:ascii="Open Sans" w:hAnsi="Open Sans" w:cs="Open Sans"/>
        </w:rPr>
      </w:pPr>
    </w:p>
    <w:p w14:paraId="1CE3BD52" w14:textId="77777777" w:rsidR="003D4AA6" w:rsidRPr="00FA0DE9" w:rsidRDefault="003D4AA6" w:rsidP="003D4AA6">
      <w:pPr>
        <w:pStyle w:val="Titre40"/>
      </w:pPr>
    </w:p>
    <w:p w14:paraId="67E2A43D" w14:textId="77777777" w:rsidR="003D4AA6" w:rsidRPr="00FA0DE9" w:rsidRDefault="003D4AA6" w:rsidP="003D4AA6">
      <w:pPr>
        <w:pStyle w:val="Titre40"/>
      </w:pPr>
    </w:p>
    <w:p w14:paraId="7CC3B3DD" w14:textId="77777777" w:rsidR="003D4AA6" w:rsidRPr="00FA0DE9" w:rsidRDefault="003D4AA6" w:rsidP="003D4AA6">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date du </w:t>
      </w:r>
      <w:r>
        <w:t>07/10/2025</w:t>
      </w:r>
    </w:p>
    <w:p w14:paraId="7AD82137" w14:textId="77777777" w:rsidR="003D4AA6" w:rsidRPr="00FA0DE9" w:rsidRDefault="003D4AA6" w:rsidP="003D4AA6">
      <w:pPr>
        <w:pStyle w:val="Titre40"/>
      </w:pPr>
    </w:p>
    <w:p w14:paraId="507F259A" w14:textId="77777777" w:rsidR="003D4AA6" w:rsidRPr="00FA0DE9" w:rsidRDefault="003D4AA6" w:rsidP="003D4AA6">
      <w:pPr>
        <w:pStyle w:val="Titre40"/>
      </w:pPr>
    </w:p>
    <w:p w14:paraId="38D27111" w14:textId="77777777" w:rsidR="003D4AA6" w:rsidRPr="00E8409F" w:rsidRDefault="003D4AA6" w:rsidP="003D4AA6">
      <w:pPr>
        <w:jc w:val="both"/>
        <w:rPr>
          <w:rFonts w:ascii="Open Sans" w:hAnsi="Open Sans" w:cs="Open Sans"/>
        </w:rPr>
      </w:pPr>
    </w:p>
    <w:p w14:paraId="7C487722" w14:textId="77777777" w:rsidR="003D4AA6" w:rsidRDefault="003D4AA6" w:rsidP="003D4AA6">
      <w:pPr>
        <w:jc w:val="both"/>
        <w:rPr>
          <w:rFonts w:ascii="Open Sans" w:hAnsi="Open Sans" w:cs="Open Sans"/>
        </w:rPr>
      </w:pPr>
    </w:p>
    <w:p w14:paraId="030F4B04" w14:textId="77777777" w:rsidR="003D4AA6" w:rsidRDefault="003D4AA6" w:rsidP="003D4AA6">
      <w:pPr>
        <w:jc w:val="both"/>
        <w:rPr>
          <w:rFonts w:ascii="Open Sans" w:hAnsi="Open Sans" w:cs="Open Sans"/>
        </w:rPr>
      </w:pPr>
    </w:p>
    <w:p w14:paraId="7CBD8F13" w14:textId="77777777" w:rsidR="003D4AA6" w:rsidRPr="00E8409F" w:rsidRDefault="003D4AA6" w:rsidP="003D4AA6">
      <w:pPr>
        <w:jc w:val="both"/>
        <w:rPr>
          <w:rFonts w:ascii="Open Sans" w:hAnsi="Open Sans" w:cs="Open Sans"/>
        </w:rPr>
      </w:pPr>
    </w:p>
    <w:p w14:paraId="0F26B5B5" w14:textId="77777777" w:rsidR="003D4AA6" w:rsidRPr="00E8409F" w:rsidRDefault="003D4AA6" w:rsidP="003D4AA6">
      <w:pPr>
        <w:jc w:val="both"/>
        <w:rPr>
          <w:rFonts w:ascii="Open Sans" w:hAnsi="Open Sans" w:cs="Open Sans"/>
        </w:rPr>
      </w:pPr>
    </w:p>
    <w:p w14:paraId="5B15973A" w14:textId="77777777" w:rsidR="003D4AA6" w:rsidRPr="00E8409F" w:rsidRDefault="003D4AA6" w:rsidP="003D4AA6">
      <w:pPr>
        <w:jc w:val="both"/>
        <w:rPr>
          <w:rFonts w:ascii="Open Sans" w:hAnsi="Open Sans" w:cs="Open Sans"/>
          <w:color w:val="000000"/>
        </w:rPr>
      </w:pPr>
    </w:p>
    <w:p w14:paraId="665767EE" w14:textId="77777777" w:rsidR="003D4AA6" w:rsidRPr="00E8409F" w:rsidRDefault="003D4AA6" w:rsidP="003D4AA6">
      <w:pPr>
        <w:jc w:val="both"/>
        <w:rPr>
          <w:rFonts w:ascii="Open Sans" w:hAnsi="Open Sans" w:cs="Open Sans"/>
          <w:color w:val="000000"/>
        </w:rPr>
      </w:pPr>
    </w:p>
    <w:p w14:paraId="423B09D3" w14:textId="7FD1B147" w:rsidR="003D4AA6" w:rsidRPr="00E8409F" w:rsidRDefault="003D4AA6" w:rsidP="003D4AA6">
      <w:pPr>
        <w:ind w:firstLine="708"/>
        <w:jc w:val="right"/>
        <w:rPr>
          <w:rFonts w:ascii="Open Sans" w:hAnsi="Open Sans" w:cs="Open Sans"/>
          <w:color w:val="000000"/>
        </w:rPr>
      </w:pPr>
      <w:r w:rsidRPr="00E8409F">
        <w:rPr>
          <w:rFonts w:ascii="Open Sans" w:hAnsi="Open Sans" w:cs="Open Sans"/>
          <w:color w:val="000000"/>
        </w:rPr>
        <w:t xml:space="preserve">Contact : </w:t>
      </w:r>
    </w:p>
    <w:p w14:paraId="6DF4C0DC" w14:textId="3E1D3CBE" w:rsidR="003D4AA6" w:rsidRPr="00E8409F" w:rsidRDefault="003D4AA6" w:rsidP="003D4AA6">
      <w:pPr>
        <w:jc w:val="right"/>
        <w:rPr>
          <w:rFonts w:ascii="Open Sans" w:hAnsi="Open Sans" w:cs="Open Sans"/>
        </w:rPr>
      </w:pPr>
      <w:r w:rsidRPr="00E8409F">
        <w:rPr>
          <w:rFonts w:ascii="Open Sans" w:hAnsi="Open Sans" w:cs="Open Sans"/>
          <w:color w:val="000000"/>
        </w:rPr>
        <w:t>Téléphone :</w:t>
      </w:r>
      <w:r w:rsidRPr="00E8409F">
        <w:rPr>
          <w:rFonts w:ascii="Open Sans" w:hAnsi="Open Sans" w:cs="Open Sans"/>
          <w:color w:val="1A1A1B"/>
          <w:spacing w:val="13"/>
        </w:rPr>
        <w:t xml:space="preserve"> </w:t>
      </w:r>
    </w:p>
    <w:p w14:paraId="6197B6A0" w14:textId="173CC562" w:rsidR="003D4AA6" w:rsidRPr="00842D8F" w:rsidRDefault="003D4AA6" w:rsidP="003D4AA6">
      <w:pPr>
        <w:jc w:val="right"/>
        <w:rPr>
          <w:rFonts w:ascii="Open Sans" w:hAnsi="Open Sans" w:cs="Open Sans"/>
          <w:color w:val="000000"/>
        </w:rPr>
      </w:pPr>
      <w:r w:rsidRPr="00842D8F">
        <w:rPr>
          <w:rFonts w:ascii="Open Sans" w:hAnsi="Open Sans" w:cs="Open Sans"/>
          <w:color w:val="000000"/>
        </w:rPr>
        <w:t xml:space="preserve">Mail : </w:t>
      </w:r>
    </w:p>
    <w:p w14:paraId="1445F7F6" w14:textId="77777777" w:rsidR="003D4AA6" w:rsidRDefault="003D4AA6" w:rsidP="003D4AA6">
      <w:pPr>
        <w:jc w:val="both"/>
      </w:pPr>
      <w:r>
        <w:br w:type="page"/>
      </w:r>
    </w:p>
    <w:p w14:paraId="5B46580E" w14:textId="77777777" w:rsidR="003D4AA6" w:rsidRPr="00C960FF" w:rsidRDefault="003D4AA6" w:rsidP="003D4AA6">
      <w:pPr>
        <w:jc w:val="both"/>
        <w:rPr>
          <w:rFonts w:ascii="Open Sans" w:hAnsi="Open Sans" w:cs="Open Sans"/>
          <w:color w:val="000000"/>
        </w:rPr>
      </w:pPr>
    </w:p>
    <w:p w14:paraId="34ACFA10" w14:textId="77777777" w:rsidR="003D4AA6" w:rsidRPr="00FA0DE9" w:rsidRDefault="003D4AA6" w:rsidP="003D4AA6">
      <w:pPr>
        <w:pStyle w:val="Titre40"/>
      </w:pPr>
    </w:p>
    <w:p w14:paraId="6B01FDA5" w14:textId="77777777" w:rsidR="003D4AA6" w:rsidRPr="00FA0DE9" w:rsidRDefault="003D4AA6" w:rsidP="003D4AA6">
      <w:pPr>
        <w:pStyle w:val="Titre40"/>
      </w:pPr>
      <w:r w:rsidRPr="00FA0DE9">
        <w:t>Accord collectif d'entreprise</w:t>
      </w:r>
      <w:r>
        <w:t xml:space="preserve"> </w:t>
      </w:r>
      <w:r w:rsidRPr="00FA0DE9">
        <w:t xml:space="preserve">instituant un contingent d’heures supplémentaires en date du </w:t>
      </w:r>
      <w:r>
        <w:t>07/10/2025</w:t>
      </w:r>
    </w:p>
    <w:p w14:paraId="466C87DF" w14:textId="77777777" w:rsidR="003D4AA6" w:rsidRPr="00FA0DE9" w:rsidRDefault="003D4AA6" w:rsidP="003D4AA6">
      <w:pPr>
        <w:pStyle w:val="Titre40"/>
      </w:pPr>
    </w:p>
    <w:p w14:paraId="4CA54343" w14:textId="77777777" w:rsidR="003D4AA6" w:rsidRPr="00C960FF" w:rsidRDefault="003D4AA6" w:rsidP="003D4AA6">
      <w:pPr>
        <w:jc w:val="both"/>
        <w:rPr>
          <w:rFonts w:ascii="Open Sans" w:hAnsi="Open Sans" w:cs="Open Sans"/>
          <w:color w:val="000000"/>
        </w:rPr>
      </w:pPr>
    </w:p>
    <w:p w14:paraId="7B124597" w14:textId="77777777" w:rsidR="003D4AA6" w:rsidRPr="00C960FF" w:rsidRDefault="003D4AA6" w:rsidP="003D4AA6">
      <w:pPr>
        <w:jc w:val="both"/>
        <w:rPr>
          <w:rFonts w:ascii="Open Sans" w:hAnsi="Open Sans" w:cs="Open Sans"/>
          <w:color w:val="000000"/>
        </w:rPr>
      </w:pPr>
      <w:r w:rsidRPr="00C960FF">
        <w:rPr>
          <w:rFonts w:ascii="Open Sans" w:hAnsi="Open Sans" w:cs="Open Sans"/>
          <w:color w:val="000000"/>
        </w:rPr>
        <w:t>Entre</w:t>
      </w:r>
    </w:p>
    <w:p w14:paraId="0704B369" w14:textId="77777777" w:rsidR="003D4AA6" w:rsidRPr="00C960FF" w:rsidRDefault="003D4AA6" w:rsidP="003D4AA6">
      <w:pPr>
        <w:jc w:val="both"/>
        <w:rPr>
          <w:rFonts w:ascii="Open Sans" w:hAnsi="Open Sans" w:cs="Open Sans"/>
          <w:color w:val="000000"/>
        </w:rPr>
      </w:pPr>
    </w:p>
    <w:p w14:paraId="5A6378DE" w14:textId="77777777" w:rsidR="003D4AA6" w:rsidRPr="00C960FF" w:rsidRDefault="003D4AA6" w:rsidP="003D4AA6">
      <w:pPr>
        <w:jc w:val="both"/>
        <w:rPr>
          <w:rFonts w:ascii="Open Sans" w:hAnsi="Open Sans" w:cs="Open Sans"/>
          <w:color w:val="000000"/>
        </w:rPr>
      </w:pPr>
      <w:r>
        <w:rPr>
          <w:rFonts w:ascii="Open Sans" w:hAnsi="Open Sans" w:cs="Open Sans"/>
          <w:b/>
          <w:bCs/>
          <w:color w:val="000000"/>
          <w:shd w:val="clear" w:color="auto" w:fill="FFFFFF"/>
        </w:rPr>
        <w:t>SAS GEM TAXI</w:t>
      </w:r>
      <w:r w:rsidRPr="00C960FF">
        <w:rPr>
          <w:rFonts w:ascii="Open Sans" w:hAnsi="Open Sans" w:cs="Open Sans"/>
          <w:b/>
          <w:bCs/>
          <w:color w:val="000000"/>
          <w:shd w:val="clear" w:color="auto" w:fill="FFFFFF"/>
        </w:rPr>
        <w:t>,</w:t>
      </w:r>
      <w:r w:rsidRPr="00C960FF">
        <w:rPr>
          <w:rFonts w:ascii="Open Sans" w:hAnsi="Open Sans" w:cs="Open Sans"/>
          <w:color w:val="000000"/>
        </w:rPr>
        <w:t xml:space="preserve"> </w:t>
      </w:r>
      <w:r>
        <w:rPr>
          <w:rFonts w:ascii="Open Sans" w:hAnsi="Open Sans" w:cs="Open Sans"/>
          <w:color w:val="000000"/>
        </w:rPr>
        <w:t xml:space="preserve">immatriculée au RCS de MARSEILLE sous le numéro </w:t>
      </w:r>
      <w:r w:rsidRPr="00E7212F">
        <w:rPr>
          <w:rFonts w:ascii="Open Sans" w:hAnsi="Open Sans" w:cs="Open Sans"/>
          <w:color w:val="000000"/>
        </w:rPr>
        <w:t>915</w:t>
      </w:r>
      <w:r>
        <w:rPr>
          <w:rFonts w:ascii="Open Sans" w:hAnsi="Open Sans" w:cs="Open Sans"/>
          <w:color w:val="000000"/>
        </w:rPr>
        <w:t xml:space="preserve"> </w:t>
      </w:r>
      <w:r w:rsidRPr="00E7212F">
        <w:rPr>
          <w:rFonts w:ascii="Open Sans" w:hAnsi="Open Sans" w:cs="Open Sans"/>
          <w:color w:val="000000"/>
        </w:rPr>
        <w:t>273</w:t>
      </w:r>
      <w:r>
        <w:rPr>
          <w:rFonts w:ascii="Open Sans" w:hAnsi="Open Sans" w:cs="Open Sans"/>
          <w:color w:val="000000"/>
        </w:rPr>
        <w:t xml:space="preserve"> </w:t>
      </w:r>
      <w:r w:rsidRPr="00E7212F">
        <w:rPr>
          <w:rFonts w:ascii="Open Sans" w:hAnsi="Open Sans" w:cs="Open Sans"/>
          <w:color w:val="000000"/>
        </w:rPr>
        <w:t>536</w:t>
      </w:r>
      <w:r w:rsidRPr="00C960FF">
        <w:rPr>
          <w:rFonts w:ascii="Open Sans" w:hAnsi="Open Sans" w:cs="Open Sans"/>
          <w:color w:val="000000"/>
        </w:rPr>
        <w:t>, dont le siège social est situé 15, rue Longue</w:t>
      </w:r>
      <w:r>
        <w:rPr>
          <w:rFonts w:ascii="Open Sans" w:hAnsi="Open Sans" w:cs="Open Sans"/>
          <w:color w:val="000000"/>
        </w:rPr>
        <w:t xml:space="preserve"> </w:t>
      </w:r>
      <w:r w:rsidRPr="00C960FF">
        <w:rPr>
          <w:rFonts w:ascii="Open Sans" w:hAnsi="Open Sans" w:cs="Open Sans"/>
          <w:color w:val="000000"/>
        </w:rPr>
        <w:t>13360 ROQUEVAIRE,</w:t>
      </w:r>
    </w:p>
    <w:p w14:paraId="3520BF8E" w14:textId="59FE908A" w:rsidR="003D4AA6" w:rsidRPr="00C960FF" w:rsidRDefault="003D4AA6" w:rsidP="003D4AA6">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sidR="00F5269B">
        <w:rPr>
          <w:rFonts w:ascii="Open Sans" w:hAnsi="Open Sans" w:cs="Open Sans"/>
          <w:b/>
          <w:bCs/>
          <w:color w:val="000000"/>
        </w:rPr>
        <w:t>xxxx</w:t>
      </w:r>
      <w:r>
        <w:rPr>
          <w:rFonts w:ascii="Open Sans" w:hAnsi="Open Sans" w:cs="Open Sans"/>
          <w:color w:val="000000"/>
        </w:rPr>
        <w:t xml:space="preserve">, </w:t>
      </w:r>
      <w:r w:rsidRPr="00C960FF">
        <w:rPr>
          <w:rFonts w:ascii="Open Sans" w:hAnsi="Open Sans" w:cs="Open Sans"/>
          <w:color w:val="000000"/>
        </w:rPr>
        <w:t xml:space="preserve">en sa qualité de </w:t>
      </w:r>
      <w:r w:rsidRPr="00C960FF">
        <w:rPr>
          <w:rFonts w:ascii="Open Sans" w:hAnsi="Open Sans" w:cs="Open Sans"/>
          <w:b/>
          <w:bCs/>
          <w:color w:val="000000"/>
        </w:rPr>
        <w:t>Président</w:t>
      </w:r>
      <w:r w:rsidRPr="00C960FF">
        <w:rPr>
          <w:rFonts w:ascii="Open Sans" w:hAnsi="Open Sans" w:cs="Open Sans"/>
          <w:color w:val="000000"/>
        </w:rPr>
        <w:t>,</w:t>
      </w:r>
    </w:p>
    <w:p w14:paraId="44617B6F" w14:textId="77777777" w:rsidR="003D4AA6" w:rsidRDefault="003D4AA6" w:rsidP="003D4AA6">
      <w:pPr>
        <w:shd w:val="clear" w:color="auto" w:fill="FFFFFF"/>
        <w:jc w:val="both"/>
        <w:rPr>
          <w:rFonts w:ascii="Open Sans" w:hAnsi="Open Sans" w:cs="Open Sans"/>
        </w:rPr>
      </w:pPr>
    </w:p>
    <w:p w14:paraId="6AC92AC9" w14:textId="77777777" w:rsidR="003D4AA6" w:rsidRPr="00C960FF" w:rsidRDefault="003D4AA6" w:rsidP="003D4AA6">
      <w:pPr>
        <w:jc w:val="both"/>
        <w:rPr>
          <w:rFonts w:ascii="Open Sans" w:hAnsi="Open Sans" w:cs="Open Sans"/>
          <w:color w:val="000000"/>
        </w:rPr>
      </w:pPr>
      <w:r w:rsidRPr="00C960FF">
        <w:rPr>
          <w:rFonts w:ascii="Open Sans" w:hAnsi="Open Sans" w:cs="Open Sans"/>
          <w:color w:val="000000"/>
        </w:rPr>
        <w:t>D’une part,</w:t>
      </w:r>
    </w:p>
    <w:p w14:paraId="427B5C94" w14:textId="77777777" w:rsidR="003D4AA6" w:rsidRPr="00C960FF" w:rsidRDefault="003D4AA6" w:rsidP="003D4AA6">
      <w:pPr>
        <w:shd w:val="clear" w:color="auto" w:fill="FFFFFF"/>
        <w:jc w:val="both"/>
        <w:rPr>
          <w:rFonts w:ascii="Open Sans" w:hAnsi="Open Sans" w:cs="Open Sans"/>
        </w:rPr>
      </w:pPr>
    </w:p>
    <w:p w14:paraId="119B617A" w14:textId="77777777" w:rsidR="003D4AA6" w:rsidRDefault="003D4AA6" w:rsidP="003D4AA6">
      <w:pPr>
        <w:jc w:val="both"/>
        <w:rPr>
          <w:rFonts w:ascii="Open Sans" w:hAnsi="Open Sans" w:cs="Open Sans"/>
          <w:color w:val="000000"/>
        </w:rPr>
      </w:pPr>
      <w:r w:rsidRPr="00C960FF">
        <w:rPr>
          <w:rFonts w:ascii="Open Sans" w:hAnsi="Open Sans" w:cs="Open Sans"/>
          <w:color w:val="000000"/>
        </w:rPr>
        <w:t>Et</w:t>
      </w:r>
    </w:p>
    <w:p w14:paraId="10F73248" w14:textId="77777777" w:rsidR="003D4AA6" w:rsidRDefault="003D4AA6" w:rsidP="003D4AA6">
      <w:pPr>
        <w:rPr>
          <w:rFonts w:ascii="Open Sans" w:hAnsi="Open Sans" w:cs="Open Sans"/>
        </w:rPr>
      </w:pPr>
    </w:p>
    <w:p w14:paraId="7650A708" w14:textId="77777777" w:rsidR="003D4AA6" w:rsidRDefault="003D4AA6" w:rsidP="003D4AA6">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0F24C490" w14:textId="77777777" w:rsidR="003D4AA6" w:rsidRDefault="003D4AA6" w:rsidP="003D4AA6">
      <w:pPr>
        <w:rPr>
          <w:rFonts w:ascii="Open Sans" w:hAnsi="Open Sans" w:cs="Open Sans"/>
        </w:rPr>
      </w:pPr>
    </w:p>
    <w:p w14:paraId="10957619" w14:textId="77777777" w:rsidR="003D4AA6" w:rsidRPr="00C960FF" w:rsidRDefault="003D4AA6" w:rsidP="003D4AA6">
      <w:pPr>
        <w:jc w:val="both"/>
        <w:rPr>
          <w:rFonts w:ascii="Open Sans" w:hAnsi="Open Sans" w:cs="Open Sans"/>
          <w:color w:val="000000"/>
        </w:rPr>
      </w:pPr>
      <w:r w:rsidRPr="00C960FF">
        <w:rPr>
          <w:rFonts w:ascii="Open Sans" w:hAnsi="Open Sans" w:cs="Open Sans"/>
          <w:color w:val="000000"/>
        </w:rPr>
        <w:t>D’autre part,</w:t>
      </w:r>
    </w:p>
    <w:p w14:paraId="50E04FE2" w14:textId="77777777" w:rsidR="003D4AA6" w:rsidRPr="001D4886" w:rsidRDefault="003D4AA6" w:rsidP="003D4AA6">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b/>
          <w:bCs/>
          <w:color w:val="0F4761" w:themeColor="accent1" w:themeShade="BF"/>
        </w:rPr>
      </w:sdtEndPr>
      <w:sdtContent>
        <w:p w14:paraId="486570C9" w14:textId="77777777" w:rsidR="003D4AA6" w:rsidRDefault="003D4AA6" w:rsidP="003D4AA6">
          <w:pPr>
            <w:pStyle w:val="En-ttedetabledesmatires"/>
            <w:tabs>
              <w:tab w:val="center" w:pos="4536"/>
              <w:tab w:val="left" w:pos="7716"/>
            </w:tabs>
            <w:jc w:val="left"/>
          </w:pPr>
          <w:r>
            <w:rPr>
              <w:rFonts w:asciiTheme="majorHAnsi" w:hAnsiTheme="majorHAnsi"/>
              <w:caps w:val="0"/>
              <w:smallCaps w:val="0"/>
              <w:color w:val="auto"/>
              <w:spacing w:val="0"/>
              <w:kern w:val="0"/>
              <w:sz w:val="22"/>
              <w:szCs w:val="22"/>
              <w:lang w:bidi="ar-SA"/>
            </w:rPr>
            <w:tab/>
          </w:r>
          <w:r>
            <w:t>Table des matières</w:t>
          </w:r>
          <w:r>
            <w:tab/>
          </w:r>
        </w:p>
        <w:p w14:paraId="76A4A722" w14:textId="77777777" w:rsidR="003D4AA6" w:rsidRPr="00FB508B" w:rsidRDefault="003D4AA6" w:rsidP="003D4AA6">
          <w:pPr>
            <w:pStyle w:val="TM1"/>
            <w:tabs>
              <w:tab w:val="right" w:leader="dot" w:pos="9062"/>
            </w:tabs>
            <w:rPr>
              <w:rStyle w:val="Lienhypertexte"/>
              <w:color w:val="0F4761" w:themeColor="accent1" w:themeShade="BF"/>
            </w:rPr>
          </w:pPr>
          <w:r w:rsidRPr="009D606B">
            <w:rPr>
              <w:rFonts w:ascii="Cambria" w:hAnsi="Cambria"/>
              <w:smallCaps/>
              <w:color w:val="0F4761" w:themeColor="accent1" w:themeShade="BF"/>
            </w:rPr>
            <w:fldChar w:fldCharType="begin"/>
          </w:r>
          <w:r w:rsidRPr="009D606B">
            <w:rPr>
              <w:rFonts w:ascii="Cambria" w:hAnsi="Cambria"/>
              <w:smallCaps/>
              <w:color w:val="0F4761" w:themeColor="accent1" w:themeShade="BF"/>
            </w:rPr>
            <w:instrText xml:space="preserve"> TOC \o "1-3" \h \z \u </w:instrText>
          </w:r>
          <w:r w:rsidRPr="009D606B">
            <w:rPr>
              <w:rFonts w:ascii="Cambria" w:hAnsi="Cambria"/>
              <w:smallCaps/>
              <w:color w:val="0F4761" w:themeColor="accent1" w:themeShade="BF"/>
            </w:rPr>
            <w:fldChar w:fldCharType="separate"/>
          </w:r>
          <w:hyperlink w:anchor="_Toc116764297" w:history="1">
            <w:r w:rsidRPr="009D606B">
              <w:rPr>
                <w:rStyle w:val="Lienhypertexte"/>
                <w:rFonts w:ascii="Cambria" w:hAnsi="Cambria"/>
                <w:smallCaps/>
                <w:noProof/>
                <w:color w:val="0F4761" w:themeColor="accent1" w:themeShade="BF"/>
              </w:rPr>
              <w:t>Préambule</w:t>
            </w:r>
            <w:r w:rsidRPr="00FB508B">
              <w:rPr>
                <w:rStyle w:val="Lienhypertexte"/>
                <w:webHidden/>
                <w:color w:val="0F4761" w:themeColor="accent1" w:themeShade="BF"/>
              </w:rPr>
              <w:tab/>
              <w:t>4</w:t>
            </w:r>
          </w:hyperlink>
        </w:p>
        <w:p w14:paraId="25ACB492" w14:textId="77777777" w:rsidR="003D4AA6" w:rsidRPr="00FB508B" w:rsidRDefault="003D4AA6" w:rsidP="003D4AA6">
          <w:pPr>
            <w:pStyle w:val="TM1"/>
            <w:tabs>
              <w:tab w:val="right" w:leader="dot" w:pos="9062"/>
            </w:tabs>
            <w:rPr>
              <w:rStyle w:val="Lienhypertexte"/>
              <w:color w:val="0F4761" w:themeColor="accent1" w:themeShade="BF"/>
            </w:rPr>
          </w:pPr>
          <w:hyperlink w:anchor="_Toc116764298" w:history="1">
            <w:r w:rsidRPr="00CF17D7">
              <w:rPr>
                <w:rStyle w:val="Lienhypertexte"/>
                <w:rFonts w:ascii="Cambria" w:hAnsi="Cambria"/>
                <w:smallCaps/>
                <w:noProof/>
                <w:color w:val="0F4761" w:themeColor="accent1" w:themeShade="BF"/>
              </w:rPr>
              <w:t>Article</w:t>
            </w:r>
            <w:r w:rsidRPr="009D606B">
              <w:rPr>
                <w:rStyle w:val="Lienhypertexte"/>
                <w:rFonts w:ascii="Cambria" w:hAnsi="Cambria"/>
                <w:smallCaps/>
                <w:noProof/>
                <w:color w:val="0F4761" w:themeColor="accent1" w:themeShade="BF"/>
              </w:rPr>
              <w:t xml:space="preserve"> 1 – C</w:t>
            </w:r>
            <w:r>
              <w:rPr>
                <w:rStyle w:val="Lienhypertexte"/>
                <w:rFonts w:ascii="Cambria" w:hAnsi="Cambria"/>
                <w:smallCaps/>
                <w:noProof/>
                <w:color w:val="0F4761" w:themeColor="accent1" w:themeShade="BF"/>
              </w:rPr>
              <w:t>adre juridique de l’accord</w:t>
            </w:r>
            <w:r w:rsidRPr="00FB508B">
              <w:rPr>
                <w:rStyle w:val="Lienhypertexte"/>
                <w:webHidden/>
                <w:color w:val="0F4761" w:themeColor="accent1" w:themeShade="BF"/>
              </w:rPr>
              <w:tab/>
              <w:t>4</w:t>
            </w:r>
          </w:hyperlink>
        </w:p>
        <w:p w14:paraId="6D980A32" w14:textId="77777777" w:rsidR="003D4AA6" w:rsidRPr="00FB508B" w:rsidRDefault="003D4AA6" w:rsidP="003D4AA6">
          <w:pPr>
            <w:pStyle w:val="TM1"/>
            <w:tabs>
              <w:tab w:val="right" w:leader="dot" w:pos="9062"/>
            </w:tabs>
            <w:rPr>
              <w:rStyle w:val="Lienhypertexte"/>
              <w:color w:val="0F4761" w:themeColor="accent1" w:themeShade="BF"/>
            </w:rPr>
          </w:pPr>
          <w:r w:rsidRPr="00B94B6C">
            <w:rPr>
              <w:rFonts w:ascii="Cambria" w:hAnsi="Cambria"/>
              <w:smallCaps/>
              <w:noProof/>
            </w:rPr>
            <w:t>Article 2 – Champ d’application</w:t>
          </w:r>
          <w:r w:rsidRPr="00B94B6C">
            <w:rPr>
              <w:webHidden/>
            </w:rPr>
            <w:tab/>
          </w:r>
          <w:r>
            <w:rPr>
              <w:webHidden/>
            </w:rPr>
            <w:t>5</w:t>
          </w:r>
        </w:p>
        <w:p w14:paraId="7CCC131A" w14:textId="77777777" w:rsidR="003D4AA6" w:rsidRPr="00FB508B" w:rsidRDefault="003D4AA6" w:rsidP="003D4AA6">
          <w:pPr>
            <w:pStyle w:val="TM1"/>
            <w:tabs>
              <w:tab w:val="right" w:leader="dot" w:pos="9062"/>
            </w:tabs>
            <w:rPr>
              <w:rStyle w:val="Lienhypertexte"/>
              <w:color w:val="0F4761" w:themeColor="accent1" w:themeShade="BF"/>
            </w:rPr>
          </w:pPr>
          <w:hyperlink w:anchor="_Toc116764300" w:history="1">
            <w:r w:rsidRPr="009D606B">
              <w:rPr>
                <w:rStyle w:val="Lienhypertexte"/>
                <w:rFonts w:ascii="Cambria" w:hAnsi="Cambria"/>
                <w:smallCaps/>
                <w:noProof/>
                <w:color w:val="0F4761" w:themeColor="accent1" w:themeShade="BF"/>
              </w:rPr>
              <w:t>Article 3 – Objet d</w:t>
            </w:r>
            <w:r>
              <w:rPr>
                <w:rStyle w:val="Lienhypertexte"/>
                <w:rFonts w:ascii="Cambria" w:hAnsi="Cambria"/>
                <w:smallCaps/>
                <w:noProof/>
                <w:color w:val="0F4761" w:themeColor="accent1" w:themeShade="BF"/>
              </w:rPr>
              <w:t>u present accord</w:t>
            </w:r>
            <w:r w:rsidRPr="00FB508B">
              <w:rPr>
                <w:rStyle w:val="Lienhypertexte"/>
                <w:webHidden/>
                <w:color w:val="0F4761" w:themeColor="accent1" w:themeShade="BF"/>
              </w:rPr>
              <w:tab/>
              <w:t>5</w:t>
            </w:r>
          </w:hyperlink>
        </w:p>
        <w:p w14:paraId="3C05BEDD" w14:textId="77777777" w:rsidR="003D4AA6" w:rsidRPr="00FB508B" w:rsidRDefault="003D4AA6" w:rsidP="003D4AA6">
          <w:pPr>
            <w:pStyle w:val="TM1"/>
            <w:tabs>
              <w:tab w:val="right" w:leader="dot" w:pos="9062"/>
            </w:tabs>
            <w:rPr>
              <w:rStyle w:val="Lienhypertexte"/>
              <w:color w:val="0F4761" w:themeColor="accent1" w:themeShade="BF"/>
            </w:rPr>
          </w:pPr>
          <w:hyperlink w:anchor="_Toc116764301" w:history="1">
            <w:r w:rsidRPr="009D606B">
              <w:rPr>
                <w:rStyle w:val="Lienhypertexte"/>
                <w:rFonts w:ascii="Cambria" w:hAnsi="Cambria"/>
                <w:smallCaps/>
                <w:noProof/>
                <w:color w:val="0F4761" w:themeColor="accent1" w:themeShade="BF"/>
              </w:rPr>
              <w:t>Article 4 – Volume du contingent annuel d’heures supplémentaires</w:t>
            </w:r>
            <w:r w:rsidRPr="00FB508B">
              <w:rPr>
                <w:rStyle w:val="Lienhypertexte"/>
                <w:webHidden/>
                <w:color w:val="0F4761" w:themeColor="accent1" w:themeShade="BF"/>
              </w:rPr>
              <w:tab/>
            </w:r>
          </w:hyperlink>
          <w:r w:rsidRPr="00FB508B">
            <w:rPr>
              <w:rStyle w:val="Lienhypertexte"/>
              <w:rFonts w:ascii="Cambria" w:hAnsi="Cambria"/>
              <w:smallCaps/>
              <w:noProof/>
              <w:color w:val="0F4761" w:themeColor="accent1" w:themeShade="BF"/>
              <w:u w:val="none"/>
            </w:rPr>
            <w:t>5</w:t>
          </w:r>
        </w:p>
        <w:p w14:paraId="4377E5D9" w14:textId="77777777" w:rsidR="003D4AA6" w:rsidRPr="00FB508B" w:rsidRDefault="003D4AA6" w:rsidP="003D4AA6">
          <w:pPr>
            <w:pStyle w:val="TM1"/>
            <w:tabs>
              <w:tab w:val="right" w:leader="dot" w:pos="9062"/>
            </w:tabs>
            <w:rPr>
              <w:rStyle w:val="Lienhypertexte"/>
              <w:color w:val="0F4761" w:themeColor="accent1" w:themeShade="BF"/>
            </w:rPr>
          </w:pPr>
          <w:r w:rsidRPr="00E96271">
            <w:rPr>
              <w:rFonts w:ascii="Cambria" w:hAnsi="Cambria"/>
              <w:smallCaps/>
              <w:noProof/>
            </w:rPr>
            <w:t>Article 5 – Salaries concernes</w:t>
          </w:r>
          <w:r w:rsidRPr="00E96271">
            <w:rPr>
              <w:webHidden/>
            </w:rPr>
            <w:tab/>
          </w:r>
          <w:r>
            <w:rPr>
              <w:webHidden/>
            </w:rPr>
            <w:t>5</w:t>
          </w:r>
        </w:p>
        <w:p w14:paraId="69B98D32" w14:textId="77777777" w:rsidR="003D4AA6" w:rsidRPr="00FB508B" w:rsidRDefault="003D4AA6" w:rsidP="003D4AA6">
          <w:pPr>
            <w:pStyle w:val="TM1"/>
            <w:tabs>
              <w:tab w:val="right" w:leader="dot" w:pos="9062"/>
            </w:tabs>
            <w:rPr>
              <w:rStyle w:val="Lienhypertexte"/>
              <w:color w:val="0F4761" w:themeColor="accent1" w:themeShade="BF"/>
            </w:rPr>
          </w:pPr>
          <w:hyperlink w:anchor="_Toc116764308" w:history="1">
            <w:r w:rsidRPr="009D606B">
              <w:rPr>
                <w:rStyle w:val="Lienhypertexte"/>
                <w:rFonts w:ascii="Cambria" w:hAnsi="Cambria"/>
                <w:smallCaps/>
                <w:noProof/>
                <w:color w:val="0F4761" w:themeColor="accent1" w:themeShade="BF"/>
              </w:rPr>
              <w:t>Article 6 – Période de référence</w:t>
            </w:r>
            <w:r w:rsidRPr="00FB508B">
              <w:rPr>
                <w:rStyle w:val="Lienhypertexte"/>
                <w:webHidden/>
                <w:color w:val="0F4761" w:themeColor="accent1" w:themeShade="BF"/>
              </w:rPr>
              <w:tab/>
              <w:t>6</w:t>
            </w:r>
          </w:hyperlink>
        </w:p>
        <w:p w14:paraId="0E6AAF6D" w14:textId="77777777" w:rsidR="003D4AA6" w:rsidRPr="00FB508B" w:rsidRDefault="003D4AA6" w:rsidP="003D4AA6">
          <w:pPr>
            <w:pStyle w:val="TM1"/>
            <w:tabs>
              <w:tab w:val="right" w:leader="dot" w:pos="9062"/>
            </w:tabs>
            <w:rPr>
              <w:rStyle w:val="Lienhypertexte"/>
              <w:color w:val="0F4761" w:themeColor="accent1" w:themeShade="BF"/>
            </w:rPr>
          </w:pPr>
          <w:hyperlink w:anchor="_Toc116764309" w:history="1">
            <w:r w:rsidRPr="009D606B">
              <w:rPr>
                <w:rStyle w:val="Lienhypertexte"/>
                <w:rFonts w:ascii="Cambria" w:hAnsi="Cambria"/>
                <w:smallCaps/>
                <w:noProof/>
                <w:color w:val="0F4761" w:themeColor="accent1" w:themeShade="BF"/>
              </w:rPr>
              <w:t>Article 7 – Heures supplémentaires s’imputant sur le contingent annuel</w:t>
            </w:r>
            <w:r w:rsidRPr="00FB508B">
              <w:rPr>
                <w:rStyle w:val="Lienhypertexte"/>
                <w:webHidden/>
                <w:color w:val="0F4761" w:themeColor="accent1" w:themeShade="BF"/>
              </w:rPr>
              <w:tab/>
              <w:t>6</w:t>
            </w:r>
          </w:hyperlink>
        </w:p>
        <w:p w14:paraId="2DD8B088" w14:textId="77777777" w:rsidR="003D4AA6" w:rsidRPr="00FB508B" w:rsidRDefault="003D4AA6" w:rsidP="003D4AA6">
          <w:pPr>
            <w:pStyle w:val="TM1"/>
            <w:tabs>
              <w:tab w:val="right" w:leader="dot" w:pos="9062"/>
            </w:tabs>
            <w:rPr>
              <w:rStyle w:val="Lienhypertexte"/>
              <w:color w:val="0F4761" w:themeColor="accent1" w:themeShade="BF"/>
            </w:rPr>
          </w:pPr>
          <w:hyperlink w:anchor="_Toc116764310" w:history="1">
            <w:r w:rsidRPr="009D606B">
              <w:rPr>
                <w:rStyle w:val="Lienhypertexte"/>
                <w:rFonts w:ascii="Cambria" w:hAnsi="Cambria"/>
                <w:smallCaps/>
                <w:noProof/>
                <w:color w:val="0F4761" w:themeColor="accent1" w:themeShade="BF"/>
              </w:rPr>
              <w:t>Article 8 – Heures supplémentaires ne s’imputant pas sur le contingent annuel</w:t>
            </w:r>
            <w:r w:rsidRPr="00FB508B">
              <w:rPr>
                <w:rStyle w:val="Lienhypertexte"/>
                <w:webHidden/>
                <w:color w:val="0F4761" w:themeColor="accent1" w:themeShade="BF"/>
              </w:rPr>
              <w:tab/>
              <w:t>6</w:t>
            </w:r>
          </w:hyperlink>
        </w:p>
        <w:p w14:paraId="6CF91344" w14:textId="77777777" w:rsidR="003D4AA6" w:rsidRPr="00FB508B" w:rsidRDefault="003D4AA6" w:rsidP="003D4AA6">
          <w:pPr>
            <w:pStyle w:val="TM1"/>
            <w:tabs>
              <w:tab w:val="right" w:leader="dot" w:pos="9062"/>
            </w:tabs>
            <w:rPr>
              <w:rStyle w:val="Lienhypertexte"/>
              <w:color w:val="0F4761" w:themeColor="accent1" w:themeShade="BF"/>
            </w:rPr>
          </w:pPr>
          <w:hyperlink w:anchor="_Toc116764311" w:history="1">
            <w:r w:rsidRPr="009D606B">
              <w:rPr>
                <w:rStyle w:val="Lienhypertexte"/>
                <w:rFonts w:ascii="Cambria" w:hAnsi="Cambria"/>
                <w:smallCaps/>
                <w:noProof/>
                <w:color w:val="0F4761" w:themeColor="accent1" w:themeShade="BF"/>
              </w:rPr>
              <w:t>Article 9 – Décompte individuel du contingent</w:t>
            </w:r>
            <w:r w:rsidRPr="00FB508B">
              <w:rPr>
                <w:rStyle w:val="Lienhypertexte"/>
                <w:webHidden/>
                <w:color w:val="0F4761" w:themeColor="accent1" w:themeShade="BF"/>
              </w:rPr>
              <w:tab/>
              <w:t>7</w:t>
            </w:r>
          </w:hyperlink>
        </w:p>
        <w:p w14:paraId="2A650AF2" w14:textId="77777777" w:rsidR="003D4AA6" w:rsidRPr="00FB508B" w:rsidRDefault="003D4AA6" w:rsidP="003D4AA6">
          <w:pPr>
            <w:pStyle w:val="TM1"/>
            <w:tabs>
              <w:tab w:val="right" w:leader="dot" w:pos="9062"/>
            </w:tabs>
            <w:rPr>
              <w:rStyle w:val="Lienhypertexte"/>
              <w:color w:val="0F4761" w:themeColor="accent1" w:themeShade="BF"/>
              <w:u w:val="none"/>
            </w:rPr>
          </w:pPr>
          <w:hyperlink w:anchor="_Toc116764312" w:history="1">
            <w:r w:rsidRPr="00FB508B">
              <w:rPr>
                <w:rStyle w:val="Lienhypertexte"/>
                <w:rFonts w:ascii="Cambria" w:hAnsi="Cambria"/>
                <w:smallCaps/>
                <w:noProof/>
                <w:color w:val="0F4761" w:themeColor="accent1" w:themeShade="BF"/>
                <w:u w:val="none"/>
              </w:rPr>
              <w:t>Article 10 – Absence de contrepartie en repos des heures supplémentaires effectuées dans le cadre du contingent</w:t>
            </w:r>
            <w:r w:rsidRPr="00FB508B">
              <w:rPr>
                <w:rStyle w:val="Lienhypertexte"/>
                <w:webHidden/>
                <w:color w:val="0F4761" w:themeColor="accent1" w:themeShade="BF"/>
                <w:u w:val="none"/>
              </w:rPr>
              <w:tab/>
              <w:t>7</w:t>
            </w:r>
          </w:hyperlink>
        </w:p>
        <w:p w14:paraId="0161A77B" w14:textId="77777777" w:rsidR="003D4AA6" w:rsidRPr="00FB508B" w:rsidRDefault="003D4AA6" w:rsidP="003D4AA6">
          <w:pPr>
            <w:pStyle w:val="TM1"/>
            <w:tabs>
              <w:tab w:val="right" w:leader="dot" w:pos="9062"/>
            </w:tabs>
            <w:rPr>
              <w:rStyle w:val="Lienhypertexte"/>
              <w:color w:val="0F4761" w:themeColor="accent1" w:themeShade="BF"/>
            </w:rPr>
          </w:pPr>
          <w:hyperlink w:anchor="_Toc116764313" w:history="1">
            <w:r w:rsidRPr="00FB508B">
              <w:rPr>
                <w:rStyle w:val="Lienhypertexte"/>
                <w:rFonts w:ascii="Cambria" w:hAnsi="Cambria"/>
                <w:smallCaps/>
                <w:noProof/>
                <w:color w:val="0F4761" w:themeColor="accent1" w:themeShade="BF"/>
                <w:u w:val="none"/>
              </w:rPr>
              <w:t>Article 11 – Régime juridique des heures supplémentaires hors contingent</w:t>
            </w:r>
            <w:r w:rsidRPr="00FB508B">
              <w:rPr>
                <w:rStyle w:val="Lienhypertexte"/>
                <w:webHidden/>
                <w:color w:val="0F4761" w:themeColor="accent1" w:themeShade="BF"/>
                <w:u w:val="none"/>
              </w:rPr>
              <w:tab/>
            </w:r>
          </w:hyperlink>
          <w:r w:rsidRPr="00FB508B">
            <w:rPr>
              <w:rStyle w:val="Lienhypertexte"/>
              <w:rFonts w:ascii="Cambria" w:hAnsi="Cambria"/>
              <w:smallCaps/>
              <w:noProof/>
              <w:color w:val="0F4761" w:themeColor="accent1" w:themeShade="BF"/>
              <w:u w:val="none"/>
            </w:rPr>
            <w:t>7</w:t>
          </w:r>
        </w:p>
        <w:p w14:paraId="1A62CAB0" w14:textId="77777777" w:rsidR="003D4AA6" w:rsidRPr="00FB508B" w:rsidRDefault="003D4AA6" w:rsidP="003D4AA6">
          <w:pPr>
            <w:pStyle w:val="TM2"/>
            <w:rPr>
              <w:rStyle w:val="Lienhypertexte"/>
              <w:color w:val="0F4761" w:themeColor="accent1" w:themeShade="BF"/>
              <w:u w:val="none"/>
            </w:rPr>
          </w:pPr>
          <w:hyperlink w:anchor="_Toc116764314" w:history="1">
            <w:r w:rsidRPr="00FB508B">
              <w:rPr>
                <w:rStyle w:val="Lienhypertexte"/>
                <w:color w:val="0F4761" w:themeColor="accent1" w:themeShade="BF"/>
                <w:u w:val="none"/>
              </w:rPr>
              <w:t>Article 11-1 : Droit à une contrepartie en repos</w:t>
            </w:r>
            <w:r w:rsidRPr="00FB508B">
              <w:rPr>
                <w:rStyle w:val="Lienhypertexte"/>
                <w:webHidden/>
                <w:color w:val="0F4761" w:themeColor="accent1" w:themeShade="BF"/>
                <w:u w:val="none"/>
              </w:rPr>
              <w:tab/>
              <w:t>7</w:t>
            </w:r>
          </w:hyperlink>
        </w:p>
        <w:p w14:paraId="5B0693D5" w14:textId="77777777" w:rsidR="003D4AA6" w:rsidRPr="00FB508B" w:rsidRDefault="003D4AA6" w:rsidP="003D4AA6">
          <w:pPr>
            <w:pStyle w:val="TM2"/>
            <w:rPr>
              <w:rStyle w:val="Lienhypertexte"/>
              <w:color w:val="0F4761" w:themeColor="accent1" w:themeShade="BF"/>
              <w:u w:val="none"/>
            </w:rPr>
          </w:pPr>
          <w:hyperlink w:anchor="_Toc116764315" w:history="1">
            <w:r w:rsidRPr="00FB508B">
              <w:rPr>
                <w:rStyle w:val="Lienhypertexte"/>
                <w:color w:val="0F4761" w:themeColor="accent1" w:themeShade="BF"/>
                <w:u w:val="none"/>
              </w:rPr>
              <w:t>Article 11-2 : La durée</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26624C2D" w14:textId="77777777" w:rsidR="003D4AA6" w:rsidRPr="00FB508B" w:rsidRDefault="003D4AA6" w:rsidP="003D4AA6">
          <w:pPr>
            <w:pStyle w:val="TM2"/>
            <w:rPr>
              <w:rStyle w:val="Lienhypertexte"/>
              <w:color w:val="0F4761" w:themeColor="accent1" w:themeShade="BF"/>
              <w:u w:val="none"/>
            </w:rPr>
          </w:pPr>
          <w:hyperlink w:anchor="_Toc116764316" w:history="1">
            <w:r w:rsidRPr="00FB508B">
              <w:rPr>
                <w:rStyle w:val="Lienhypertexte"/>
                <w:color w:val="0F4761" w:themeColor="accent1" w:themeShade="BF"/>
                <w:u w:val="none"/>
              </w:rPr>
              <w:t>Article 11-3 : Les caractéristiques</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24112AD3" w14:textId="77777777" w:rsidR="003D4AA6" w:rsidRPr="00FB508B" w:rsidRDefault="003D4AA6" w:rsidP="003D4AA6">
          <w:pPr>
            <w:pStyle w:val="TM2"/>
            <w:rPr>
              <w:rStyle w:val="Lienhypertexte"/>
              <w:color w:val="0F4761" w:themeColor="accent1" w:themeShade="BF"/>
              <w:u w:val="none"/>
            </w:rPr>
          </w:pPr>
          <w:hyperlink w:anchor="_Toc116764317" w:history="1">
            <w:r w:rsidRPr="00FB508B">
              <w:rPr>
                <w:rStyle w:val="Lienhypertexte"/>
                <w:color w:val="0F4761" w:themeColor="accent1" w:themeShade="BF"/>
                <w:u w:val="none"/>
              </w:rPr>
              <w:t>Article 11-4 : Information des salariés</w:t>
            </w:r>
            <w:r w:rsidRPr="00FB508B">
              <w:rPr>
                <w:rStyle w:val="Lienhypertexte"/>
                <w:webHidden/>
                <w:color w:val="0F4761" w:themeColor="accent1" w:themeShade="BF"/>
                <w:u w:val="none"/>
              </w:rPr>
              <w:tab/>
              <w:t>8</w:t>
            </w:r>
          </w:hyperlink>
        </w:p>
        <w:p w14:paraId="41A49746" w14:textId="77777777" w:rsidR="003D4AA6" w:rsidRPr="00FB508B" w:rsidRDefault="003D4AA6" w:rsidP="003D4AA6">
          <w:pPr>
            <w:pStyle w:val="TM2"/>
            <w:rPr>
              <w:rStyle w:val="Lienhypertexte"/>
              <w:color w:val="0F4761" w:themeColor="accent1" w:themeShade="BF"/>
              <w:u w:val="none"/>
            </w:rPr>
          </w:pPr>
          <w:hyperlink w:anchor="_Toc116764318" w:history="1">
            <w:r w:rsidRPr="00FB508B">
              <w:rPr>
                <w:rStyle w:val="Lienhypertexte"/>
                <w:color w:val="0F4761" w:themeColor="accent1" w:themeShade="BF"/>
                <w:u w:val="none"/>
              </w:rPr>
              <w:t>Article 11-5 : Les conditions de prise de cette contrepartie obligatoire en repos</w:t>
            </w:r>
            <w:r w:rsidRPr="00FB508B">
              <w:rPr>
                <w:rStyle w:val="Lienhypertexte"/>
                <w:webHidden/>
                <w:color w:val="0F4761" w:themeColor="accent1" w:themeShade="BF"/>
                <w:u w:val="none"/>
              </w:rPr>
              <w:tab/>
              <w:t>8</w:t>
            </w:r>
          </w:hyperlink>
        </w:p>
        <w:p w14:paraId="624C423A" w14:textId="77777777" w:rsidR="003D4AA6" w:rsidRPr="00FB508B" w:rsidRDefault="003D4AA6" w:rsidP="003D4AA6">
          <w:pPr>
            <w:pStyle w:val="TM3"/>
            <w:tabs>
              <w:tab w:val="right" w:leader="dot" w:pos="9062"/>
            </w:tabs>
            <w:rPr>
              <w:rStyle w:val="Lienhypertexte"/>
              <w:color w:val="0F4761" w:themeColor="accent1" w:themeShade="BF"/>
              <w:u w:val="none"/>
            </w:rPr>
          </w:pPr>
          <w:hyperlink w:anchor="_Toc116764319" w:history="1">
            <w:r w:rsidRPr="00FB508B">
              <w:rPr>
                <w:rStyle w:val="Lienhypertexte"/>
                <w:rFonts w:ascii="Cambria" w:hAnsi="Cambria"/>
                <w:smallCaps/>
                <w:noProof/>
                <w:color w:val="0F4761" w:themeColor="accent1" w:themeShade="BF"/>
                <w:u w:val="none"/>
              </w:rPr>
              <w:t>Prise par journée ou demi-journée :</w:t>
            </w:r>
            <w:r w:rsidRPr="00FB508B">
              <w:rPr>
                <w:rStyle w:val="Lienhypertexte"/>
                <w:webHidden/>
                <w:color w:val="0F4761" w:themeColor="accent1" w:themeShade="BF"/>
                <w:u w:val="none"/>
              </w:rPr>
              <w:tab/>
              <w:t>8</w:t>
            </w:r>
          </w:hyperlink>
        </w:p>
        <w:p w14:paraId="22959732" w14:textId="77777777" w:rsidR="003D4AA6" w:rsidRPr="00FB508B" w:rsidRDefault="003D4AA6" w:rsidP="003D4AA6">
          <w:pPr>
            <w:pStyle w:val="TM3"/>
            <w:tabs>
              <w:tab w:val="right" w:leader="dot" w:pos="9062"/>
            </w:tabs>
            <w:rPr>
              <w:rStyle w:val="Lienhypertexte"/>
              <w:color w:val="0F4761" w:themeColor="accent1" w:themeShade="BF"/>
              <w:u w:val="none"/>
            </w:rPr>
          </w:pPr>
          <w:hyperlink w:anchor="_Toc116764320" w:history="1">
            <w:r w:rsidRPr="00FB508B">
              <w:rPr>
                <w:rStyle w:val="Lienhypertexte"/>
                <w:rFonts w:ascii="Cambria" w:hAnsi="Cambria"/>
                <w:smallCaps/>
                <w:noProof/>
                <w:color w:val="0F4761" w:themeColor="accent1" w:themeShade="BF"/>
                <w:u w:val="none"/>
              </w:rPr>
              <w:t>Prise du repos dans un délai de 2 mois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5FD610C2" w14:textId="77777777" w:rsidR="003D4AA6" w:rsidRPr="00FB508B" w:rsidRDefault="003D4AA6" w:rsidP="003D4AA6">
          <w:pPr>
            <w:pStyle w:val="TM3"/>
            <w:tabs>
              <w:tab w:val="right" w:leader="dot" w:pos="9062"/>
            </w:tabs>
            <w:rPr>
              <w:rStyle w:val="Lienhypertexte"/>
              <w:color w:val="0F4761" w:themeColor="accent1" w:themeShade="BF"/>
              <w:u w:val="none"/>
            </w:rPr>
          </w:pPr>
          <w:hyperlink w:anchor="_Toc116764321" w:history="1">
            <w:r w:rsidRPr="00FB508B">
              <w:rPr>
                <w:rStyle w:val="Lienhypertexte"/>
                <w:rFonts w:ascii="Cambria" w:hAnsi="Cambria"/>
                <w:smallCaps/>
                <w:noProof/>
                <w:color w:val="0F4761" w:themeColor="accent1" w:themeShade="BF"/>
                <w:u w:val="none"/>
              </w:rPr>
              <w:t>Formalisme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324DDA23" w14:textId="77777777" w:rsidR="003D4AA6" w:rsidRPr="00FB508B" w:rsidRDefault="003D4AA6" w:rsidP="003D4AA6">
          <w:pPr>
            <w:pStyle w:val="TM3"/>
            <w:tabs>
              <w:tab w:val="right" w:leader="dot" w:pos="9062"/>
            </w:tabs>
            <w:rPr>
              <w:rStyle w:val="Lienhypertexte"/>
              <w:color w:val="0F4761" w:themeColor="accent1" w:themeShade="BF"/>
              <w:u w:val="none"/>
            </w:rPr>
          </w:pPr>
          <w:hyperlink w:anchor="_Toc116764322" w:history="1">
            <w:r w:rsidRPr="00FB508B">
              <w:rPr>
                <w:rStyle w:val="Lienhypertexte"/>
                <w:rFonts w:ascii="Cambria" w:hAnsi="Cambria"/>
                <w:smallCaps/>
                <w:noProof/>
                <w:color w:val="0F4761" w:themeColor="accent1" w:themeShade="BF"/>
                <w:u w:val="none"/>
              </w:rPr>
              <w:t>Rupture du contrat avant la prise du repos :</w:t>
            </w:r>
            <w:r w:rsidRPr="00FB508B">
              <w:rPr>
                <w:rStyle w:val="Lienhypertexte"/>
                <w:webHidden/>
                <w:color w:val="0F4761" w:themeColor="accent1" w:themeShade="BF"/>
                <w:u w:val="none"/>
              </w:rPr>
              <w:tab/>
              <w:t>9</w:t>
            </w:r>
          </w:hyperlink>
        </w:p>
        <w:p w14:paraId="6FB64DA0" w14:textId="77777777" w:rsidR="003D4AA6" w:rsidRPr="00FB508B" w:rsidRDefault="003D4AA6" w:rsidP="003D4AA6">
          <w:pPr>
            <w:pStyle w:val="TM1"/>
            <w:tabs>
              <w:tab w:val="right" w:leader="dot" w:pos="9062"/>
            </w:tabs>
            <w:rPr>
              <w:rStyle w:val="Lienhypertexte"/>
              <w:color w:val="0F4761" w:themeColor="accent1" w:themeShade="BF"/>
              <w:u w:val="none"/>
            </w:rPr>
          </w:pPr>
          <w:hyperlink w:anchor="_Toc116764323" w:history="1">
            <w:r w:rsidRPr="00FB508B">
              <w:rPr>
                <w:rStyle w:val="Lienhypertexte"/>
                <w:rFonts w:ascii="Cambria" w:hAnsi="Cambria"/>
                <w:smallCaps/>
                <w:noProof/>
                <w:color w:val="0F4761" w:themeColor="accent1" w:themeShade="BF"/>
                <w:u w:val="none"/>
              </w:rPr>
              <w:t>Article 12 – Information du CSE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3FCCD5F5" w14:textId="77777777" w:rsidR="003D4AA6" w:rsidRPr="00FB508B" w:rsidRDefault="003D4AA6" w:rsidP="003D4AA6">
          <w:pPr>
            <w:pStyle w:val="TM1"/>
            <w:tabs>
              <w:tab w:val="right" w:leader="dot" w:pos="9062"/>
            </w:tabs>
            <w:rPr>
              <w:rStyle w:val="Lienhypertexte"/>
              <w:color w:val="0F4761" w:themeColor="accent1" w:themeShade="BF"/>
              <w:u w:val="none"/>
            </w:rPr>
          </w:pPr>
          <w:hyperlink w:anchor="_Toc116764324" w:history="1">
            <w:r w:rsidRPr="00FB508B">
              <w:rPr>
                <w:rStyle w:val="Lienhypertexte"/>
                <w:rFonts w:ascii="Cambria" w:hAnsi="Cambria"/>
                <w:smallCaps/>
                <w:noProof/>
                <w:color w:val="0F4761" w:themeColor="accent1" w:themeShade="BF"/>
                <w:u w:val="none"/>
              </w:rPr>
              <w:t>Article 13 – Plafond du nombre d'heures supplémentaires</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3038E1F6" w14:textId="77777777" w:rsidR="003D4AA6" w:rsidRPr="00FB508B" w:rsidRDefault="003D4AA6" w:rsidP="003D4AA6">
          <w:pPr>
            <w:pStyle w:val="TM2"/>
            <w:rPr>
              <w:rStyle w:val="Lienhypertexte"/>
              <w:color w:val="0F4761" w:themeColor="accent1" w:themeShade="BF"/>
              <w:u w:val="none"/>
            </w:rPr>
          </w:pPr>
          <w:hyperlink w:anchor="_Toc116764325" w:history="1">
            <w:r w:rsidRPr="00FB508B">
              <w:rPr>
                <w:rStyle w:val="Lienhypertexte"/>
                <w:color w:val="0F4761" w:themeColor="accent1" w:themeShade="BF"/>
                <w:u w:val="none"/>
              </w:rPr>
              <w:t>Article 13-1 : Durée maximale quotidienne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11415890" w14:textId="77777777" w:rsidR="003D4AA6" w:rsidRPr="00FB508B" w:rsidRDefault="003D4AA6" w:rsidP="003D4AA6">
          <w:pPr>
            <w:pStyle w:val="TM2"/>
            <w:rPr>
              <w:rStyle w:val="Lienhypertexte"/>
              <w:color w:val="0F4761" w:themeColor="accent1" w:themeShade="BF"/>
            </w:rPr>
          </w:pPr>
          <w:hyperlink w:anchor="_Toc116764326" w:history="1">
            <w:r w:rsidRPr="00FB508B">
              <w:rPr>
                <w:rStyle w:val="Lienhypertexte"/>
                <w:color w:val="0F4761" w:themeColor="accent1" w:themeShade="BF"/>
                <w:u w:val="none"/>
              </w:rPr>
              <w:t xml:space="preserve">Article 13-2 : Durées maximales hebdomadaires </w:t>
            </w:r>
            <w:r w:rsidRPr="00FB508B">
              <w:rPr>
                <w:rStyle w:val="Lienhypertexte"/>
                <w:webHidden/>
                <w:color w:val="0F4761" w:themeColor="accent1" w:themeShade="BF"/>
                <w:u w:val="none"/>
              </w:rPr>
              <w:tab/>
              <w:t>1</w:t>
            </w:r>
            <w:r>
              <w:rPr>
                <w:rStyle w:val="Lienhypertexte"/>
                <w:webHidden/>
                <w:color w:val="0F4761" w:themeColor="accent1" w:themeShade="BF"/>
                <w:u w:val="none"/>
              </w:rPr>
              <w:t>0</w:t>
            </w:r>
          </w:hyperlink>
        </w:p>
        <w:p w14:paraId="12EF36A6" w14:textId="77777777" w:rsidR="003D4AA6" w:rsidRPr="00FB508B" w:rsidRDefault="003D4AA6" w:rsidP="003D4AA6">
          <w:pPr>
            <w:pStyle w:val="TM1"/>
            <w:tabs>
              <w:tab w:val="right" w:leader="dot" w:pos="9062"/>
            </w:tabs>
            <w:rPr>
              <w:rStyle w:val="Lienhypertexte"/>
              <w:color w:val="0F4761" w:themeColor="accent1" w:themeShade="BF"/>
            </w:rPr>
          </w:pPr>
          <w:hyperlink w:anchor="_Toc116764327" w:history="1">
            <w:r w:rsidRPr="009D606B">
              <w:rPr>
                <w:rStyle w:val="Lienhypertexte"/>
                <w:rFonts w:ascii="Cambria" w:hAnsi="Cambria"/>
                <w:smallCaps/>
                <w:noProof/>
                <w:color w:val="0F4761" w:themeColor="accent1" w:themeShade="BF"/>
              </w:rPr>
              <w:t>Dispositions finales</w:t>
            </w:r>
            <w:r w:rsidRPr="00FB508B">
              <w:rPr>
                <w:rStyle w:val="Lienhypertexte"/>
                <w:webHidden/>
                <w:color w:val="0F4761" w:themeColor="accent1" w:themeShade="BF"/>
              </w:rPr>
              <w:tab/>
              <w:t>11</w:t>
            </w:r>
          </w:hyperlink>
        </w:p>
        <w:p w14:paraId="7E1049D4" w14:textId="77777777" w:rsidR="003D4AA6" w:rsidRPr="00FB508B" w:rsidRDefault="003D4AA6" w:rsidP="003D4AA6">
          <w:pPr>
            <w:pStyle w:val="TM1"/>
            <w:tabs>
              <w:tab w:val="right" w:leader="dot" w:pos="9062"/>
            </w:tabs>
            <w:rPr>
              <w:rStyle w:val="Lienhypertexte"/>
              <w:color w:val="0F4761" w:themeColor="accent1" w:themeShade="BF"/>
            </w:rPr>
          </w:pPr>
          <w:hyperlink w:anchor="_Toc116764328" w:history="1">
            <w:r w:rsidRPr="009D606B">
              <w:rPr>
                <w:rStyle w:val="Lienhypertexte"/>
                <w:rFonts w:ascii="Cambria" w:hAnsi="Cambria"/>
                <w:smallCaps/>
                <w:noProof/>
                <w:color w:val="0F4761" w:themeColor="accent1" w:themeShade="BF"/>
              </w:rPr>
              <w:t>Article 14 – Durée, dénonciation et révision de l’accord</w:t>
            </w:r>
            <w:r w:rsidRPr="00FB508B">
              <w:rPr>
                <w:rStyle w:val="Lienhypertexte"/>
                <w:webHidden/>
                <w:color w:val="0F4761" w:themeColor="accent1" w:themeShade="BF"/>
              </w:rPr>
              <w:tab/>
              <w:t>1</w:t>
            </w:r>
            <w:r>
              <w:rPr>
                <w:rStyle w:val="Lienhypertexte"/>
                <w:webHidden/>
                <w:color w:val="0F4761" w:themeColor="accent1" w:themeShade="BF"/>
              </w:rPr>
              <w:t>1</w:t>
            </w:r>
          </w:hyperlink>
        </w:p>
        <w:p w14:paraId="51ED4DD0" w14:textId="77777777" w:rsidR="003D4AA6" w:rsidRPr="009D606B" w:rsidRDefault="003D4AA6" w:rsidP="003D4AA6">
          <w:pPr>
            <w:pStyle w:val="TM1"/>
            <w:tabs>
              <w:tab w:val="right" w:leader="dot" w:pos="9062"/>
            </w:tabs>
            <w:rPr>
              <w:rFonts w:ascii="Cambria" w:hAnsi="Cambria"/>
              <w:smallCaps/>
              <w:color w:val="0F4761" w:themeColor="accent1" w:themeShade="BF"/>
            </w:rPr>
          </w:pPr>
          <w:hyperlink w:anchor="_Toc116764330" w:history="1">
            <w:r w:rsidRPr="009D606B">
              <w:rPr>
                <w:rStyle w:val="Lienhypertexte"/>
                <w:rFonts w:ascii="Cambria" w:hAnsi="Cambria"/>
                <w:smallCaps/>
                <w:noProof/>
                <w:color w:val="0F4761" w:themeColor="accent1" w:themeShade="BF"/>
              </w:rPr>
              <w:t>Article 1</w:t>
            </w:r>
            <w:r>
              <w:rPr>
                <w:rStyle w:val="Lienhypertexte"/>
                <w:rFonts w:ascii="Cambria" w:hAnsi="Cambria"/>
                <w:smallCaps/>
                <w:noProof/>
                <w:color w:val="0F4761" w:themeColor="accent1" w:themeShade="BF"/>
              </w:rPr>
              <w:t>5</w:t>
            </w:r>
            <w:r w:rsidRPr="009D606B">
              <w:rPr>
                <w:rStyle w:val="Lienhypertexte"/>
                <w:rFonts w:ascii="Cambria" w:hAnsi="Cambria"/>
                <w:smallCaps/>
                <w:noProof/>
                <w:color w:val="0F4761" w:themeColor="accent1" w:themeShade="BF"/>
              </w:rPr>
              <w:t xml:space="preserve"> – Dépôt et publicité</w:t>
            </w:r>
            <w:r w:rsidRPr="00FB508B">
              <w:rPr>
                <w:rStyle w:val="Lienhypertexte"/>
                <w:webHidden/>
                <w:color w:val="0F4761" w:themeColor="accent1" w:themeShade="BF"/>
              </w:rPr>
              <w:tab/>
            </w:r>
            <w:r w:rsidRPr="00FB508B">
              <w:rPr>
                <w:rStyle w:val="Lienhypertexte"/>
                <w:webHidden/>
                <w:color w:val="0F4761" w:themeColor="accent1" w:themeShade="BF"/>
              </w:rPr>
              <w:fldChar w:fldCharType="begin"/>
            </w:r>
            <w:r w:rsidRPr="00FB508B">
              <w:rPr>
                <w:rStyle w:val="Lienhypertexte"/>
                <w:webHidden/>
                <w:color w:val="0F4761" w:themeColor="accent1" w:themeShade="BF"/>
              </w:rPr>
              <w:instrText xml:space="preserve"> PAGEREF _Toc116764330 \h </w:instrText>
            </w:r>
            <w:r w:rsidRPr="00FB508B">
              <w:rPr>
                <w:rStyle w:val="Lienhypertexte"/>
                <w:webHidden/>
                <w:color w:val="0F4761" w:themeColor="accent1" w:themeShade="BF"/>
              </w:rPr>
            </w:r>
            <w:r w:rsidRPr="00FB508B">
              <w:rPr>
                <w:rStyle w:val="Lienhypertexte"/>
                <w:webHidden/>
                <w:color w:val="0F4761" w:themeColor="accent1" w:themeShade="BF"/>
              </w:rPr>
              <w:fldChar w:fldCharType="separate"/>
            </w:r>
            <w:r>
              <w:rPr>
                <w:rStyle w:val="Lienhypertexte"/>
                <w:noProof/>
                <w:webHidden/>
                <w:color w:val="0F4761" w:themeColor="accent1" w:themeShade="BF"/>
              </w:rPr>
              <w:t>1</w:t>
            </w:r>
            <w:r w:rsidRPr="00FB508B">
              <w:rPr>
                <w:rStyle w:val="Lienhypertexte"/>
                <w:webHidden/>
                <w:color w:val="0F4761" w:themeColor="accent1" w:themeShade="BF"/>
              </w:rPr>
              <w:fldChar w:fldCharType="end"/>
            </w:r>
          </w:hyperlink>
          <w:r w:rsidRPr="009D606B">
            <w:rPr>
              <w:rFonts w:ascii="Cambria" w:hAnsi="Cambria"/>
              <w:b/>
              <w:bCs/>
              <w:smallCaps/>
              <w:color w:val="0F4761" w:themeColor="accent1" w:themeShade="BF"/>
            </w:rPr>
            <w:fldChar w:fldCharType="end"/>
          </w:r>
          <w:r w:rsidRPr="00E11BDA">
            <w:rPr>
              <w:rFonts w:ascii="Cambria" w:hAnsi="Cambria"/>
              <w:smallCaps/>
              <w:color w:val="0F4761" w:themeColor="accent1" w:themeShade="BF"/>
            </w:rPr>
            <w:t>1</w:t>
          </w:r>
        </w:p>
      </w:sdtContent>
    </w:sdt>
    <w:p w14:paraId="17CF11E3" w14:textId="77777777" w:rsidR="003D4AA6" w:rsidRPr="001D4886" w:rsidRDefault="003D4AA6" w:rsidP="003D4AA6">
      <w:pPr>
        <w:rPr>
          <w:rFonts w:ascii="Open Sans" w:hAnsi="Open Sans" w:cs="Open Sans"/>
          <w:b/>
          <w:bCs/>
          <w:color w:val="000000"/>
          <w:u w:val="single"/>
        </w:rPr>
      </w:pPr>
      <w:r>
        <w:rPr>
          <w:rFonts w:ascii="Open Sans" w:hAnsi="Open Sans" w:cs="Open Sans"/>
          <w:b/>
          <w:bCs/>
          <w:color w:val="000000"/>
          <w:sz w:val="40"/>
          <w:szCs w:val="40"/>
          <w:u w:val="single"/>
        </w:rPr>
        <w:br w:type="page"/>
      </w:r>
    </w:p>
    <w:p w14:paraId="7DEDE576" w14:textId="77777777" w:rsidR="003D4AA6" w:rsidRPr="00FA0DE9" w:rsidRDefault="003D4AA6" w:rsidP="003D4AA6">
      <w:pPr>
        <w:pStyle w:val="Style1"/>
      </w:pPr>
      <w:bookmarkStart w:id="0" w:name="_Toc116764297"/>
      <w:r w:rsidRPr="00A14C33">
        <w:lastRenderedPageBreak/>
        <w:t>Préambule</w:t>
      </w:r>
      <w:bookmarkEnd w:id="0"/>
    </w:p>
    <w:p w14:paraId="2A88E252" w14:textId="77777777" w:rsidR="003D4AA6" w:rsidRPr="00C8605C"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t xml:space="preserve">Le présent accord vise à définir et à fixer le contingent annuel d’heures supplémentaires applicable au sein de la société </w:t>
      </w:r>
      <w:r w:rsidRPr="00C8605C">
        <w:rPr>
          <w:rFonts w:ascii="Open Sans" w:hAnsi="Open Sans" w:cs="Open Sans"/>
          <w:sz w:val="20"/>
          <w:szCs w:val="20"/>
        </w:rPr>
        <w:t>GEM TAXI</w:t>
      </w:r>
      <w:r w:rsidRPr="00D40E3A">
        <w:rPr>
          <w:rFonts w:ascii="Open Sans" w:hAnsi="Open Sans" w:cs="Open Sans"/>
          <w:sz w:val="20"/>
          <w:szCs w:val="20"/>
        </w:rPr>
        <w:t>.</w:t>
      </w:r>
    </w:p>
    <w:p w14:paraId="605F2068" w14:textId="77777777" w:rsidR="003D4AA6" w:rsidRPr="00C8605C"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t>Les parties au présent accord ont en effet constaté que les dispositions en vigueur au sein de la société devaient être revues et adaptées pour tenir compte des impératifs d'organisation de la société ainsi que de la motivation du personnel d’augmenter son pouvoir d’achat par l’accomplissement d’heures supplémentaires rémunérées.</w:t>
      </w:r>
    </w:p>
    <w:p w14:paraId="3C6B0D99" w14:textId="77777777" w:rsidR="003D4AA6" w:rsidRPr="00D40E3A"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t>A ce jour, le contingent annuel d’heures supplémentaires prévu par la convention collective de</w:t>
      </w:r>
      <w:r w:rsidRPr="00C8605C">
        <w:rPr>
          <w:rFonts w:ascii="Open Sans" w:hAnsi="Open Sans" w:cs="Open Sans"/>
          <w:sz w:val="20"/>
          <w:szCs w:val="20"/>
        </w:rPr>
        <w:t xml:space="preserve">s Taxis </w:t>
      </w:r>
      <w:r w:rsidRPr="00D40E3A">
        <w:rPr>
          <w:rFonts w:ascii="Open Sans" w:hAnsi="Open Sans" w:cs="Open Sans"/>
          <w:sz w:val="20"/>
          <w:szCs w:val="20"/>
        </w:rPr>
        <w:t xml:space="preserve">(code IDCC </w:t>
      </w:r>
      <w:r w:rsidRPr="00C8605C">
        <w:rPr>
          <w:rFonts w:ascii="Open Sans" w:hAnsi="Open Sans" w:cs="Open Sans"/>
          <w:sz w:val="20"/>
          <w:szCs w:val="20"/>
        </w:rPr>
        <w:t>2219</w:t>
      </w:r>
      <w:r w:rsidRPr="00D40E3A">
        <w:rPr>
          <w:rFonts w:ascii="Open Sans" w:hAnsi="Open Sans" w:cs="Open Sans"/>
          <w:sz w:val="20"/>
          <w:szCs w:val="20"/>
        </w:rPr>
        <w:t>) est fixé à 220 heures par an et par salarié.</w:t>
      </w:r>
    </w:p>
    <w:p w14:paraId="71F57BEC" w14:textId="77777777" w:rsidR="003D4AA6" w:rsidRPr="00D40E3A"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71A008AA" w14:textId="77777777" w:rsidR="003D4AA6" w:rsidRPr="0081634F"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23794C62"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Outre l’augmentation du contingent annuel d’heures supplémentaires, le présent accord vise à définir les contreparties applicables aux heures supplémentaires accomplies dans la limite de ce contingent, ainsi que les modalités et les compensations prévues en cas de dépassement éventuel de celui-ci.</w:t>
      </w:r>
    </w:p>
    <w:p w14:paraId="7F74115B"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Les parties au présent accord reconnaissent que le texte du présent accord est le produit d'une élaboration conjointe des parties et, au-delà, d'une concertation avec l'ensemble du personnel.</w:t>
      </w:r>
    </w:p>
    <w:p w14:paraId="22CAD462" w14:textId="77777777" w:rsidR="003D4AA6" w:rsidRPr="00C8605C" w:rsidRDefault="003D4AA6" w:rsidP="003D4AA6">
      <w:pPr>
        <w:shd w:val="clear" w:color="auto" w:fill="FFFFFF"/>
        <w:jc w:val="both"/>
        <w:rPr>
          <w:rFonts w:ascii="Open Sans" w:hAnsi="Open Sans" w:cs="Open Sans"/>
          <w:b/>
          <w:bCs/>
          <w:sz w:val="20"/>
          <w:szCs w:val="20"/>
        </w:rPr>
      </w:pPr>
      <w:r w:rsidRPr="00C8605C">
        <w:rPr>
          <w:rFonts w:ascii="Open Sans" w:hAnsi="Open Sans" w:cs="Open Sans"/>
          <w:b/>
          <w:bCs/>
          <w:sz w:val="20"/>
          <w:szCs w:val="20"/>
        </w:rPr>
        <w:t xml:space="preserve">Dès lors, il a été convenu ce qui suit. </w:t>
      </w:r>
    </w:p>
    <w:p w14:paraId="5A42850C" w14:textId="77777777" w:rsidR="003D4AA6" w:rsidRPr="00CA537F" w:rsidRDefault="003D4AA6" w:rsidP="003D4AA6">
      <w:pPr>
        <w:pStyle w:val="Style1"/>
        <w:rPr>
          <w:sz w:val="28"/>
          <w:szCs w:val="28"/>
        </w:rPr>
      </w:pPr>
      <w:r w:rsidRPr="00CA537F">
        <w:rPr>
          <w:sz w:val="28"/>
          <w:szCs w:val="28"/>
        </w:rPr>
        <w:t>Article 1 – Cadre juridique de l’accord</w:t>
      </w:r>
    </w:p>
    <w:p w14:paraId="44F70835" w14:textId="77777777" w:rsidR="003D4AA6" w:rsidRPr="00D40E3A"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t>Le présent accord est conclu, notamment, en application des dispositions suivantes :</w:t>
      </w:r>
    </w:p>
    <w:p w14:paraId="5402B3D7" w14:textId="77777777" w:rsidR="003D4AA6" w:rsidRPr="00D40E3A" w:rsidRDefault="003D4AA6" w:rsidP="003D4AA6">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06BA301A" w14:textId="77777777" w:rsidR="003D4AA6" w:rsidRPr="00D40E3A" w:rsidRDefault="003D4AA6" w:rsidP="003D4AA6">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L'article L.2253-3 du Code du travail consacrant la primauté de l’accord collectif d’entreprise sur l’accord de branche ;</w:t>
      </w:r>
    </w:p>
    <w:p w14:paraId="2FD405A0" w14:textId="77777777" w:rsidR="003D4AA6" w:rsidRPr="00D40E3A" w:rsidRDefault="003D4AA6" w:rsidP="003D4AA6">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73E89D18" w14:textId="77777777" w:rsidR="003D4AA6" w:rsidRPr="00D40E3A"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lastRenderedPageBreak/>
        <w:t>Conformément aux dispositions en vigueur, le présent accord prévaut sur les dispositions conventionnelles de branche applicables et ayant le même objet.</w:t>
      </w:r>
    </w:p>
    <w:p w14:paraId="3DDF96FB" w14:textId="77777777" w:rsidR="003D4AA6" w:rsidRPr="00D40E3A" w:rsidRDefault="003D4AA6" w:rsidP="003D4AA6">
      <w:pPr>
        <w:spacing w:after="160" w:line="259" w:lineRule="auto"/>
        <w:jc w:val="both"/>
        <w:rPr>
          <w:rFonts w:ascii="Open Sans" w:hAnsi="Open Sans" w:cs="Open Sans"/>
          <w:sz w:val="20"/>
          <w:szCs w:val="20"/>
        </w:rPr>
      </w:pPr>
      <w:r w:rsidRPr="00D40E3A">
        <w:rPr>
          <w:rFonts w:ascii="Open Sans" w:hAnsi="Open Sans" w:cs="Open Sans"/>
          <w:sz w:val="20"/>
          <w:szCs w:val="20"/>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45AFFF5D" w14:textId="77777777" w:rsidR="003D4AA6" w:rsidRPr="00F16E79" w:rsidRDefault="003D4AA6" w:rsidP="003D4AA6">
      <w:pPr>
        <w:pStyle w:val="Style1"/>
        <w:rPr>
          <w:sz w:val="28"/>
          <w:szCs w:val="28"/>
        </w:rPr>
      </w:pPr>
      <w:bookmarkStart w:id="1" w:name="_Toc116764298"/>
      <w:r w:rsidRPr="00F16E79">
        <w:rPr>
          <w:sz w:val="28"/>
          <w:szCs w:val="28"/>
        </w:rPr>
        <w:t>Article 2 – Champ d’application</w:t>
      </w:r>
      <w:bookmarkEnd w:id="1"/>
    </w:p>
    <w:p w14:paraId="0BE46702"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 présent accord collectif à durée indéterminée précise les modalités d’application des heures supplémentaires au sein de la Société GEM TAXI. Cet accord d'entreprise relatif au contingent annuel prime sur l’accord de branche.</w:t>
      </w:r>
    </w:p>
    <w:p w14:paraId="5450717F" w14:textId="77777777" w:rsidR="003D4AA6" w:rsidRPr="00F16E79" w:rsidRDefault="003D4AA6" w:rsidP="003D4AA6">
      <w:pPr>
        <w:pStyle w:val="Style1"/>
        <w:rPr>
          <w:sz w:val="28"/>
          <w:szCs w:val="28"/>
        </w:rPr>
      </w:pPr>
      <w:bookmarkStart w:id="2" w:name="_Toc116764299"/>
      <w:r w:rsidRPr="00F16E79">
        <w:rPr>
          <w:sz w:val="28"/>
          <w:szCs w:val="28"/>
        </w:rPr>
        <w:t>Article 3 – Objet du présent accord</w:t>
      </w:r>
      <w:bookmarkEnd w:id="2"/>
    </w:p>
    <w:p w14:paraId="2D1EF0B3" w14:textId="77777777" w:rsidR="003D4AA6" w:rsidRPr="00D40E3A"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Le présent accord a pour objet de déterminer le contingent annuel des heures supplémentaires qui peut être effectué par l’ensemble des salariés de la société.</w:t>
      </w:r>
    </w:p>
    <w:p w14:paraId="1704DB85" w14:textId="77777777" w:rsidR="003D4AA6" w:rsidRPr="00D40E3A"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Il définit le nombre d’heures supplémentaires qui constitue ledit contingent, les modalités dans lesquelles il y sera recouru ainsi que les contreparties auxquelles il pourra donner lieu.</w:t>
      </w:r>
    </w:p>
    <w:p w14:paraId="306644A6"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Il comprend, également, les éléments réglementaires propres à l’accord en lui-même, à savoir : sa date d’effet et ses modalités de révision et dénonciation.</w:t>
      </w:r>
    </w:p>
    <w:p w14:paraId="5E646B25" w14:textId="77777777" w:rsidR="003D4AA6" w:rsidRPr="00F16E79" w:rsidRDefault="003D4AA6" w:rsidP="003D4AA6">
      <w:pPr>
        <w:pStyle w:val="Style1"/>
        <w:rPr>
          <w:sz w:val="28"/>
          <w:szCs w:val="28"/>
        </w:rPr>
      </w:pPr>
      <w:bookmarkStart w:id="3" w:name="_Toc116764301"/>
      <w:r w:rsidRPr="00F16E79">
        <w:rPr>
          <w:sz w:val="28"/>
          <w:szCs w:val="28"/>
        </w:rPr>
        <w:t>Article 4 – Volume du contingent annuel d’heures supplémentaires</w:t>
      </w:r>
      <w:bookmarkEnd w:id="3"/>
    </w:p>
    <w:p w14:paraId="4D6F5849" w14:textId="77777777" w:rsidR="003D4AA6" w:rsidRPr="00C8605C" w:rsidRDefault="003D4AA6" w:rsidP="003D4AA6">
      <w:pPr>
        <w:shd w:val="clear" w:color="auto" w:fill="FFFFFF"/>
        <w:jc w:val="both"/>
        <w:rPr>
          <w:rFonts w:ascii="Open Sans" w:hAnsi="Open Sans" w:cs="Open Sans"/>
          <w:bCs/>
          <w:sz w:val="20"/>
          <w:szCs w:val="20"/>
        </w:rPr>
      </w:pPr>
      <w:r w:rsidRPr="00C8605C">
        <w:rPr>
          <w:rFonts w:ascii="Open Sans" w:hAnsi="Open Sans" w:cs="Open Sans"/>
          <w:bCs/>
          <w:sz w:val="20"/>
          <w:szCs w:val="20"/>
        </w:rPr>
        <w:t xml:space="preserve">Le contingent annuel d'heures supplémentaires est fixé à 517 heures au sein de la </w:t>
      </w:r>
      <w:r w:rsidRPr="00C8605C">
        <w:rPr>
          <w:rFonts w:ascii="Open Sans" w:hAnsi="Open Sans" w:cs="Open Sans"/>
          <w:sz w:val="20"/>
          <w:szCs w:val="20"/>
        </w:rPr>
        <w:t xml:space="preserve">Société GEM TAXI. </w:t>
      </w:r>
    </w:p>
    <w:p w14:paraId="439ACD4C" w14:textId="77777777" w:rsidR="003D4AA6" w:rsidRPr="00F16E79" w:rsidRDefault="003D4AA6" w:rsidP="003D4AA6">
      <w:pPr>
        <w:pStyle w:val="Style1"/>
        <w:rPr>
          <w:sz w:val="28"/>
          <w:szCs w:val="28"/>
        </w:rPr>
      </w:pPr>
      <w:bookmarkStart w:id="4" w:name="_Toc116764307"/>
      <w:r w:rsidRPr="00F16E79">
        <w:rPr>
          <w:sz w:val="28"/>
          <w:szCs w:val="28"/>
        </w:rPr>
        <w:t xml:space="preserve">Article 5 – Salaries concernes </w:t>
      </w:r>
      <w:bookmarkEnd w:id="4"/>
    </w:p>
    <w:p w14:paraId="24C2C237" w14:textId="77777777" w:rsidR="003D4AA6" w:rsidRPr="00D40E3A"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 xml:space="preserve">Le présent accord concerne l’ensemble des salariés à temps complet, cadres et non-cadres, liés à la société </w:t>
      </w:r>
      <w:r w:rsidRPr="00C8605C">
        <w:rPr>
          <w:rFonts w:ascii="Open Sans" w:hAnsi="Open Sans" w:cs="Open Sans"/>
          <w:sz w:val="20"/>
          <w:szCs w:val="20"/>
        </w:rPr>
        <w:t>GEM TAXI</w:t>
      </w:r>
      <w:r w:rsidRPr="00D40E3A">
        <w:rPr>
          <w:rFonts w:ascii="Open Sans" w:hAnsi="Open Sans" w:cs="Open Sans"/>
          <w:sz w:val="20"/>
          <w:szCs w:val="20"/>
        </w:rPr>
        <w:t xml:space="preserve"> par un contrat de travail quelle qu’en soit la nature (contrats à durée indéterminée ou à durée déterminée), sous réserve de dispositions spécifiques à certains d’entre eux.</w:t>
      </w:r>
    </w:p>
    <w:p w14:paraId="5EA17725" w14:textId="77777777" w:rsidR="003D4AA6" w:rsidRPr="00D40E3A"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Il exclut ainsi les salariés titulaires d’un contrat de travail à temps partiel, qui ne sont pas amenés à effectuer des heures supplémentaires stricto sensu.</w:t>
      </w:r>
    </w:p>
    <w:p w14:paraId="7364A500" w14:textId="77777777" w:rsidR="003D4AA6" w:rsidRPr="00D40E3A"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En outre, il ne s’applique pas :</w:t>
      </w:r>
    </w:p>
    <w:p w14:paraId="771AD3AD" w14:textId="77777777" w:rsidR="003D4AA6" w:rsidRPr="00D40E3A" w:rsidRDefault="003D4AA6" w:rsidP="003D4AA6">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salariés qui bénéficient d’une convention individuelle annuelle de forfait en jours ou en heures, qui ne sont pas soumis à la législation sur les heures supplémentaires ;</w:t>
      </w:r>
    </w:p>
    <w:p w14:paraId="5B379C97" w14:textId="77777777" w:rsidR="003D4AA6" w:rsidRDefault="003D4AA6" w:rsidP="003D4AA6">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cadres dirigeants, qui ne sont, quant à eux, pas soumis à la législation sur la durée du travail.</w:t>
      </w:r>
    </w:p>
    <w:p w14:paraId="7F7F39B9" w14:textId="77777777" w:rsidR="003D4AA6" w:rsidRPr="00E168EF" w:rsidRDefault="003D4AA6" w:rsidP="003D4AA6">
      <w:pPr>
        <w:spacing w:after="160" w:line="259" w:lineRule="auto"/>
        <w:ind w:left="720"/>
        <w:rPr>
          <w:rFonts w:ascii="Open Sans" w:hAnsi="Open Sans" w:cs="Open Sans"/>
          <w:sz w:val="20"/>
          <w:szCs w:val="20"/>
        </w:rPr>
      </w:pPr>
    </w:p>
    <w:p w14:paraId="4ED66B7D" w14:textId="77777777" w:rsidR="003D4AA6" w:rsidRPr="00E168EF" w:rsidRDefault="003D4AA6" w:rsidP="003D4AA6">
      <w:pPr>
        <w:pStyle w:val="Style1"/>
        <w:rPr>
          <w:sz w:val="28"/>
          <w:szCs w:val="28"/>
        </w:rPr>
      </w:pPr>
      <w:bookmarkStart w:id="5" w:name="_Toc116764308"/>
      <w:r w:rsidRPr="00E168EF">
        <w:rPr>
          <w:sz w:val="28"/>
          <w:szCs w:val="28"/>
        </w:rPr>
        <w:lastRenderedPageBreak/>
        <w:t>Article 6 – Période de référence</w:t>
      </w:r>
      <w:bookmarkEnd w:id="5"/>
    </w:p>
    <w:p w14:paraId="12E668DD"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La période de référence est annuelle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au 31 décembre.</w:t>
      </w:r>
    </w:p>
    <w:p w14:paraId="2C51A095"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À titre indicatif, le présent accord sera appliqué de manière opérationnelle pour la première période d’un an à compter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2026, et ce jusqu’au 31 décembre 2026.</w:t>
      </w:r>
    </w:p>
    <w:p w14:paraId="528A33BE" w14:textId="77777777" w:rsidR="003D4AA6" w:rsidRPr="00C8605C"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Le contingent s’applique intégralement aux salariés qui intègrent la société en cours d’année civile, sans donner lieu à sa réduction prorata temporis, de sorte que chaque nouvel embauché dispose, dès son entrée dans la société et quelle qu’en soit la date, d’un contingent annuel de cinq cent dix-sept (517) heures supplémentaires.</w:t>
      </w:r>
    </w:p>
    <w:p w14:paraId="1AEFE208" w14:textId="77777777" w:rsidR="003D4AA6" w:rsidRPr="006810D5" w:rsidRDefault="003D4AA6" w:rsidP="003D4AA6">
      <w:pPr>
        <w:pStyle w:val="Style1"/>
        <w:rPr>
          <w:sz w:val="28"/>
          <w:szCs w:val="28"/>
        </w:rPr>
      </w:pPr>
      <w:bookmarkStart w:id="6" w:name="_Toc116764309"/>
      <w:r w:rsidRPr="006810D5">
        <w:rPr>
          <w:sz w:val="28"/>
          <w:szCs w:val="28"/>
        </w:rPr>
        <w:t>Article 7 – Heures supplémentaires s’imputant sur le contingent annuel</w:t>
      </w:r>
      <w:bookmarkEnd w:id="6"/>
    </w:p>
    <w:p w14:paraId="7FBF16DB"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Les heures imputées sur le contingent annuel d'heures supplémentaires sont celles accomplies au-delà de la durée légale, c’est-à-dire au-delà de 35 heures hebdomadaires.</w:t>
      </w:r>
    </w:p>
    <w:p w14:paraId="60DCDA79"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Il s'agit des heures de travail effectif ou assimilées comme telles par la loi au regard de la législation sur les heures supplémentaires.</w:t>
      </w:r>
    </w:p>
    <w:p w14:paraId="13B64B2C"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sont décomptées à la fin de chaque semaine civile, soit du lundi 0 heure au dimanche 24 heures, conformément aux articles L. 3121-29 et L3121-35 du Code du travail.</w:t>
      </w:r>
    </w:p>
    <w:p w14:paraId="536E8A16" w14:textId="77777777" w:rsidR="003D4AA6" w:rsidRPr="004B39BE" w:rsidRDefault="003D4AA6" w:rsidP="003D4AA6">
      <w:pPr>
        <w:pStyle w:val="Style1"/>
        <w:rPr>
          <w:sz w:val="28"/>
          <w:szCs w:val="28"/>
        </w:rPr>
      </w:pPr>
      <w:bookmarkStart w:id="7" w:name="_Toc116764310"/>
      <w:r w:rsidRPr="004B39BE">
        <w:rPr>
          <w:sz w:val="28"/>
          <w:szCs w:val="28"/>
        </w:rPr>
        <w:t>Article 8 – Heures supplémentaires ne s’imputant pas sur le contingent annuel</w:t>
      </w:r>
      <w:bookmarkEnd w:id="7"/>
    </w:p>
    <w:p w14:paraId="52B4432F"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Certaines heures ne sont pas imputées sur le contingent annuel. Il s'agit des heures suivantes :</w:t>
      </w:r>
    </w:p>
    <w:p w14:paraId="68825011" w14:textId="77777777" w:rsidR="003D4AA6" w:rsidRPr="00C8605C" w:rsidRDefault="003D4AA6" w:rsidP="003D4AA6">
      <w:pPr>
        <w:pStyle w:val="Paragraphedeliste"/>
        <w:numPr>
          <w:ilvl w:val="0"/>
          <w:numId w:val="2"/>
        </w:num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effectuées dans le cadre de travaux urgents déterminés à l'article</w:t>
      </w:r>
      <w:hyperlink r:id="rId7" w:history="1">
        <w:r w:rsidRPr="00C8605C">
          <w:rPr>
            <w:rFonts w:ascii="Open Sans" w:hAnsi="Open Sans" w:cs="Open Sans"/>
            <w:sz w:val="20"/>
            <w:szCs w:val="20"/>
          </w:rPr>
          <w:t xml:space="preserve"> </w:t>
        </w:r>
        <w:r w:rsidRPr="00C8605C">
          <w:rPr>
            <w:rFonts w:ascii="Open Sans" w:hAnsi="Open Sans" w:cs="Open Sans"/>
            <w:bCs/>
            <w:sz w:val="20"/>
            <w:szCs w:val="20"/>
          </w:rPr>
          <w:t>L.</w:t>
        </w:r>
        <w:r w:rsidRPr="00C8605C">
          <w:rPr>
            <w:rFonts w:ascii="Open Sans" w:hAnsi="Open Sans" w:cs="Open Sans"/>
            <w:sz w:val="20"/>
            <w:szCs w:val="20"/>
          </w:rPr>
          <w:t> 3132-4</w:t>
        </w:r>
      </w:hyperlink>
      <w:r w:rsidRPr="00C8605C">
        <w:rPr>
          <w:rFonts w:ascii="Open Sans" w:hAnsi="Open Sans" w:cs="Open Sans"/>
          <w:sz w:val="20"/>
          <w:szCs w:val="20"/>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6A468EE4" w14:textId="77777777" w:rsidR="003D4AA6" w:rsidRPr="00C8605C" w:rsidRDefault="003D4AA6" w:rsidP="003D4AA6">
      <w:pPr>
        <w:pStyle w:val="Paragraphedeliste"/>
        <w:numPr>
          <w:ilvl w:val="0"/>
          <w:numId w:val="2"/>
        </w:num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2FE49E31" w14:textId="77777777" w:rsidR="003D4AA6" w:rsidRPr="00C8605C" w:rsidRDefault="003D4AA6" w:rsidP="003D4AA6">
      <w:pPr>
        <w:pStyle w:val="Paragraphedeliste"/>
        <w:numPr>
          <w:ilvl w:val="0"/>
          <w:numId w:val="2"/>
        </w:numPr>
        <w:shd w:val="clear" w:color="auto" w:fill="FFFFFF"/>
        <w:jc w:val="both"/>
        <w:rPr>
          <w:rFonts w:ascii="Open Sans" w:hAnsi="Open Sans" w:cs="Open Sans"/>
          <w:sz w:val="20"/>
          <w:szCs w:val="20"/>
        </w:rPr>
      </w:pPr>
      <w:r w:rsidRPr="00C8605C">
        <w:rPr>
          <w:rFonts w:ascii="Open Sans" w:hAnsi="Open Sans" w:cs="Open Sans"/>
          <w:sz w:val="20"/>
          <w:szCs w:val="20"/>
        </w:rPr>
        <w:t>les heures de récupération. Il s'agit d'heures normales déplacées ;</w:t>
      </w:r>
    </w:p>
    <w:p w14:paraId="70957DB6" w14:textId="77777777" w:rsidR="003D4AA6" w:rsidRPr="00C8605C" w:rsidRDefault="003D4AA6" w:rsidP="003D4AA6">
      <w:pPr>
        <w:pStyle w:val="Paragraphedeliste"/>
        <w:numPr>
          <w:ilvl w:val="0"/>
          <w:numId w:val="2"/>
        </w:numPr>
        <w:shd w:val="clear" w:color="auto" w:fill="FFFFFF"/>
        <w:jc w:val="both"/>
        <w:rPr>
          <w:rFonts w:ascii="Open Sans" w:hAnsi="Open Sans" w:cs="Open Sans"/>
          <w:sz w:val="20"/>
          <w:szCs w:val="20"/>
        </w:rPr>
      </w:pPr>
      <w:r w:rsidRPr="00C8605C">
        <w:rPr>
          <w:rFonts w:ascii="Open Sans" w:hAnsi="Open Sans" w:cs="Open Sans"/>
          <w:sz w:val="20"/>
          <w:szCs w:val="20"/>
        </w:rPr>
        <w:t>les heures correspondant à la journée de solidarité dans la limite de 7 heures.</w:t>
      </w:r>
    </w:p>
    <w:p w14:paraId="3204ACFF" w14:textId="77777777" w:rsidR="003D4AA6"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786D9278" w14:textId="77777777" w:rsidR="003D4AA6" w:rsidRPr="00C8605C" w:rsidRDefault="003D4AA6" w:rsidP="003D4AA6">
      <w:pPr>
        <w:shd w:val="clear" w:color="auto" w:fill="FFFFFF"/>
        <w:jc w:val="both"/>
        <w:rPr>
          <w:rFonts w:ascii="Open Sans" w:hAnsi="Open Sans" w:cs="Open Sans"/>
          <w:sz w:val="20"/>
          <w:szCs w:val="20"/>
        </w:rPr>
      </w:pPr>
    </w:p>
    <w:p w14:paraId="1E98EBA6" w14:textId="77777777" w:rsidR="003D4AA6" w:rsidRPr="00CF17D7" w:rsidRDefault="003D4AA6" w:rsidP="003D4AA6">
      <w:pPr>
        <w:pStyle w:val="Style1"/>
        <w:rPr>
          <w:sz w:val="28"/>
          <w:szCs w:val="28"/>
        </w:rPr>
      </w:pPr>
      <w:bookmarkStart w:id="8" w:name="_Toc116764311"/>
      <w:r w:rsidRPr="00CF17D7">
        <w:rPr>
          <w:sz w:val="28"/>
          <w:szCs w:val="28"/>
        </w:rPr>
        <w:lastRenderedPageBreak/>
        <w:t>Article 9 – Décompte individuel du contingent</w:t>
      </w:r>
      <w:bookmarkEnd w:id="8"/>
    </w:p>
    <w:p w14:paraId="6B950210"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 contingent annuel d'heures supplémentaires doit être décompté individuellement par salarié ; il ne peut, en aucune manière, être globalisé au niveau de l'entreprise ni donner lieu à transfert d'un salarié à un autre.</w:t>
      </w:r>
    </w:p>
    <w:p w14:paraId="4E7D19F2" w14:textId="77777777" w:rsidR="003D4AA6" w:rsidRPr="00BB0F5A" w:rsidRDefault="003D4AA6" w:rsidP="003D4AA6">
      <w:pPr>
        <w:pStyle w:val="Style1"/>
        <w:rPr>
          <w:sz w:val="28"/>
          <w:szCs w:val="28"/>
        </w:rPr>
      </w:pPr>
      <w:bookmarkStart w:id="9" w:name="_Toc116764312"/>
      <w:r w:rsidRPr="00BB0F5A">
        <w:rPr>
          <w:sz w:val="28"/>
          <w:szCs w:val="28"/>
        </w:rPr>
        <w:t>Article 10 – Absence de contrepartie en repos des heures supplémentaires effectuées dans le cadre du contingent</w:t>
      </w:r>
      <w:bookmarkEnd w:id="9"/>
    </w:p>
    <w:p w14:paraId="305935C0"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effectuées dans le cadre du contingent ne donnent pas lieu à une contrepartie en repos, à la différence des heures supplémentaires effectuées au-delà du contingent.</w:t>
      </w:r>
    </w:p>
    <w:p w14:paraId="696FE29C" w14:textId="77777777" w:rsidR="003D4AA6" w:rsidRPr="00C8605C" w:rsidRDefault="003D4AA6" w:rsidP="003D4AA6">
      <w:pPr>
        <w:shd w:val="clear" w:color="auto" w:fill="FFFFFF"/>
        <w:jc w:val="both"/>
        <w:rPr>
          <w:rFonts w:ascii="Open Sans" w:hAnsi="Open Sans" w:cs="Open Sans"/>
          <w:b/>
          <w:bCs/>
          <w:sz w:val="20"/>
          <w:szCs w:val="20"/>
        </w:rPr>
      </w:pPr>
      <w:r w:rsidRPr="00C8605C">
        <w:rPr>
          <w:rFonts w:ascii="Open Sans" w:hAnsi="Open Sans" w:cs="Open Sans"/>
          <w:sz w:val="20"/>
          <w:szCs w:val="20"/>
        </w:rPr>
        <w:t xml:space="preserve">Elles seront rémunérées et feront l’objet d’une </w:t>
      </w:r>
      <w:r w:rsidRPr="00C8605C">
        <w:rPr>
          <w:rFonts w:ascii="Open Sans" w:hAnsi="Open Sans" w:cs="Open Sans"/>
          <w:b/>
          <w:bCs/>
          <w:sz w:val="20"/>
          <w:szCs w:val="20"/>
        </w:rPr>
        <w:t>majoration :</w:t>
      </w:r>
    </w:p>
    <w:p w14:paraId="04556F0A" w14:textId="77777777" w:rsidR="003D4AA6" w:rsidRPr="00C8605C" w:rsidRDefault="003D4AA6" w:rsidP="003D4AA6">
      <w:pPr>
        <w:pStyle w:val="Paragraphedeliste"/>
        <w:numPr>
          <w:ilvl w:val="0"/>
          <w:numId w:val="3"/>
        </w:numPr>
        <w:shd w:val="clear" w:color="auto" w:fill="FFFFFF"/>
        <w:jc w:val="both"/>
        <w:rPr>
          <w:rFonts w:ascii="Open Sans" w:hAnsi="Open Sans" w:cs="Open Sans"/>
          <w:sz w:val="20"/>
          <w:szCs w:val="20"/>
        </w:rPr>
      </w:pPr>
      <w:r w:rsidRPr="00C8605C">
        <w:rPr>
          <w:rFonts w:ascii="Open Sans" w:hAnsi="Open Sans" w:cs="Open Sans"/>
          <w:sz w:val="20"/>
          <w:szCs w:val="20"/>
        </w:rPr>
        <w:t>de 25% de la 36</w:t>
      </w:r>
      <w:r w:rsidRPr="00C8605C">
        <w:rPr>
          <w:rFonts w:ascii="Open Sans" w:hAnsi="Open Sans" w:cs="Open Sans"/>
          <w:sz w:val="20"/>
          <w:szCs w:val="20"/>
          <w:vertAlign w:val="superscript"/>
        </w:rPr>
        <w:t>ème</w:t>
      </w:r>
      <w:r w:rsidRPr="00C8605C">
        <w:rPr>
          <w:rFonts w:ascii="Open Sans" w:hAnsi="Open Sans" w:cs="Open Sans"/>
          <w:sz w:val="20"/>
          <w:szCs w:val="20"/>
        </w:rPr>
        <w:t xml:space="preserve"> à 43</w:t>
      </w:r>
      <w:r w:rsidRPr="00C8605C">
        <w:rPr>
          <w:rFonts w:ascii="Open Sans" w:hAnsi="Open Sans" w:cs="Open Sans"/>
          <w:sz w:val="20"/>
          <w:szCs w:val="20"/>
          <w:vertAlign w:val="superscript"/>
        </w:rPr>
        <w:t>ème</w:t>
      </w:r>
      <w:r w:rsidRPr="00C8605C">
        <w:rPr>
          <w:rFonts w:ascii="Open Sans" w:hAnsi="Open Sans" w:cs="Open Sans"/>
          <w:sz w:val="20"/>
          <w:szCs w:val="20"/>
        </w:rPr>
        <w:t xml:space="preserve"> heures </w:t>
      </w:r>
    </w:p>
    <w:p w14:paraId="5C91897B" w14:textId="77777777" w:rsidR="003D4AA6" w:rsidRPr="00C8605C" w:rsidRDefault="003D4AA6" w:rsidP="003D4AA6">
      <w:pPr>
        <w:pStyle w:val="Paragraphedeliste"/>
        <w:numPr>
          <w:ilvl w:val="0"/>
          <w:numId w:val="3"/>
        </w:numPr>
        <w:shd w:val="clear" w:color="auto" w:fill="FFFFFF"/>
        <w:jc w:val="both"/>
        <w:rPr>
          <w:rFonts w:ascii="Open Sans" w:hAnsi="Open Sans" w:cs="Open Sans"/>
          <w:sz w:val="20"/>
          <w:szCs w:val="20"/>
        </w:rPr>
      </w:pPr>
      <w:r w:rsidRPr="00C8605C">
        <w:rPr>
          <w:rFonts w:ascii="Open Sans" w:hAnsi="Open Sans" w:cs="Open Sans"/>
          <w:sz w:val="20"/>
          <w:szCs w:val="20"/>
        </w:rPr>
        <w:t xml:space="preserve">de 50% au-delà de 44 heures </w:t>
      </w:r>
    </w:p>
    <w:p w14:paraId="56540C06" w14:textId="77777777" w:rsidR="003D4AA6" w:rsidRPr="00BB0F5A" w:rsidRDefault="003D4AA6" w:rsidP="003D4AA6">
      <w:pPr>
        <w:pStyle w:val="Style1"/>
        <w:rPr>
          <w:sz w:val="28"/>
          <w:szCs w:val="28"/>
        </w:rPr>
      </w:pPr>
      <w:bookmarkStart w:id="10" w:name="_Toc116764313"/>
      <w:r w:rsidRPr="00BB0F5A">
        <w:rPr>
          <w:sz w:val="28"/>
          <w:szCs w:val="28"/>
        </w:rPr>
        <w:t>Article 11 – Régime juridique des heures supplémentaires hors contingent</w:t>
      </w:r>
      <w:bookmarkEnd w:id="10"/>
    </w:p>
    <w:p w14:paraId="715E21EF" w14:textId="77777777" w:rsidR="003D4AA6" w:rsidRPr="00ED0913" w:rsidRDefault="003D4AA6" w:rsidP="003D4AA6">
      <w:pPr>
        <w:pStyle w:val="Section1"/>
      </w:pPr>
      <w:bookmarkStart w:id="11" w:name="_Toc116764314"/>
      <w:r w:rsidRPr="00ED0913">
        <w:t>Article 11-1 : Droit à une contrepartie en repos</w:t>
      </w:r>
      <w:bookmarkEnd w:id="11"/>
    </w:p>
    <w:p w14:paraId="4348D346"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Toute heure supplémentaire effectuée au-delà du contingent et dans la limite légale hebdomadaire ouvre droit à une contrepartie obligatoire en repos.</w:t>
      </w:r>
    </w:p>
    <w:p w14:paraId="5BDDEB3C" w14:textId="77777777" w:rsidR="003D4AA6" w:rsidRPr="00EC7C29" w:rsidRDefault="003D4AA6" w:rsidP="003D4AA6">
      <w:pPr>
        <w:pStyle w:val="Section1"/>
      </w:pPr>
      <w:bookmarkStart w:id="12" w:name="_Toc116764315"/>
      <w:r w:rsidRPr="00EC7C29">
        <w:t>Article 11-2 : La durée</w:t>
      </w:r>
      <w:bookmarkEnd w:id="12"/>
    </w:p>
    <w:p w14:paraId="6B964F96"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La contrepartie en repos due pour toute heure supplémentaire effectuée au-delà du contingent est de 100 % des heures accomplies au-delà du contingent.</w:t>
      </w:r>
    </w:p>
    <w:p w14:paraId="007811D3" w14:textId="77777777" w:rsidR="003D4AA6" w:rsidRPr="00EC7C29" w:rsidRDefault="003D4AA6" w:rsidP="003D4AA6">
      <w:pPr>
        <w:pStyle w:val="Section1"/>
      </w:pPr>
      <w:bookmarkStart w:id="13" w:name="_Toc116764316"/>
      <w:r w:rsidRPr="00EC7C29">
        <w:t>Article 1</w:t>
      </w:r>
      <w:r>
        <w:t>1</w:t>
      </w:r>
      <w:r w:rsidRPr="00EC7C29">
        <w:t>-3 : Les caractéristiques</w:t>
      </w:r>
      <w:bookmarkEnd w:id="13"/>
    </w:p>
    <w:p w14:paraId="19508786"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réalisées au-delà du contingent doivent être faites uniquement sur demande expresse et préalable de l’employeur et leur recours sera exceptionnel.</w:t>
      </w:r>
    </w:p>
    <w:p w14:paraId="416BD82D" w14:textId="77777777" w:rsidR="003D4AA6" w:rsidRPr="00C8605C" w:rsidRDefault="003D4AA6" w:rsidP="003D4AA6">
      <w:pPr>
        <w:spacing w:after="160" w:line="259" w:lineRule="auto"/>
        <w:rPr>
          <w:rFonts w:ascii="Open Sans" w:hAnsi="Open Sans" w:cs="Open Sans"/>
          <w:sz w:val="20"/>
          <w:szCs w:val="20"/>
        </w:rPr>
      </w:pPr>
      <w:r w:rsidRPr="00D40E3A">
        <w:rPr>
          <w:rFonts w:ascii="Open Sans" w:hAnsi="Open Sans" w:cs="Open Sans"/>
          <w:sz w:val="20"/>
          <w:szCs w:val="20"/>
        </w:rPr>
        <w:t>Les parties conviennent que le refus du salarié d’accomplir des heures supplémentaires en dépassement du contingent annuel ne constitue pas une faute et ne pourra motiver seul son licenciement.</w:t>
      </w:r>
    </w:p>
    <w:p w14:paraId="61511A0A"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7F60D223"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La durée du repos donne lieu à une indemnisation qui ne peut entraîner aucune diminution de rémunération par rapport à celle que le salarié aurait perçue s'il avait accompli son travail.</w:t>
      </w:r>
    </w:p>
    <w:p w14:paraId="406A871F"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lastRenderedPageBreak/>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1CE7439"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Le droit au repos est ouvert dès que sa durée atteint 7 heures.</w:t>
      </w:r>
    </w:p>
    <w:p w14:paraId="784D7EE1" w14:textId="77777777" w:rsidR="003D4AA6" w:rsidRPr="00EC7C29" w:rsidRDefault="003D4AA6" w:rsidP="003D4AA6">
      <w:pPr>
        <w:pStyle w:val="Section1"/>
      </w:pPr>
      <w:bookmarkStart w:id="14" w:name="_Toc116764317"/>
      <w:r w:rsidRPr="00EC7C29">
        <w:t>Article 11-4 : Information des salariés</w:t>
      </w:r>
      <w:bookmarkEnd w:id="14"/>
    </w:p>
    <w:p w14:paraId="50096537"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Les salariés sont informés du nombre d'heures de repos acquis par un compteur tenu à jour sur le bulletin de paie. Dès que ce nombre atteint 7 heures, ce document comporte</w:t>
      </w:r>
      <w:r w:rsidRPr="00C8605C">
        <w:rPr>
          <w:rFonts w:ascii="Open Sans" w:hAnsi="Open Sans" w:cs="Open Sans"/>
          <w:color w:val="000000"/>
          <w:sz w:val="20"/>
          <w:szCs w:val="20"/>
        </w:rPr>
        <w:t xml:space="preserve"> </w:t>
      </w:r>
      <w:r w:rsidRPr="00C8605C">
        <w:rPr>
          <w:rFonts w:ascii="Open Sans" w:hAnsi="Open Sans" w:cs="Open Sans"/>
          <w:sz w:val="20"/>
          <w:szCs w:val="20"/>
        </w:rPr>
        <w:t>une mention notifiant l'ouverture du droit à repos et l'obligation de le prendre dans un délai de 2 mois après son ouverture et d’un maximum exceptionnellement de 1 an, en accord commun des parties.</w:t>
      </w:r>
    </w:p>
    <w:p w14:paraId="137CC2FA" w14:textId="77777777" w:rsidR="003D4AA6" w:rsidRPr="00EC7C29" w:rsidRDefault="003D4AA6" w:rsidP="003D4AA6">
      <w:pPr>
        <w:pStyle w:val="Section1"/>
      </w:pPr>
      <w:bookmarkStart w:id="15" w:name="_Toc116764318"/>
      <w:r w:rsidRPr="00EC7C29">
        <w:t>Article 11-5 : Les conditions de prise de cette contrepartie obligatoire en repos</w:t>
      </w:r>
      <w:bookmarkEnd w:id="15"/>
    </w:p>
    <w:p w14:paraId="3450BC0D" w14:textId="77777777" w:rsidR="003D4AA6" w:rsidRPr="00ED0913" w:rsidRDefault="003D4AA6" w:rsidP="003D4AA6">
      <w:pPr>
        <w:pStyle w:val="Sous-section1"/>
      </w:pPr>
      <w:bookmarkStart w:id="16" w:name="_Toc116764319"/>
      <w:r w:rsidRPr="00ED0913">
        <w:t>Prise par journée ou demi-journée :</w:t>
      </w:r>
      <w:bookmarkEnd w:id="16"/>
    </w:p>
    <w:p w14:paraId="184B004A"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 repos peut être pris par journée entière ou par demi-journée, à la convenance du salarié.</w:t>
      </w:r>
    </w:p>
    <w:p w14:paraId="1056C7E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La journée ou demi-journée de prise du repos est déduite du droit à repos à raison du nombre d'heures de travail que le salarié aurait accompli pendant cette journée ou demi-journée.</w:t>
      </w:r>
    </w:p>
    <w:p w14:paraId="6C3F215C" w14:textId="77777777" w:rsidR="003D4AA6" w:rsidRPr="00EC7C29" w:rsidRDefault="003D4AA6" w:rsidP="003D4AA6">
      <w:pPr>
        <w:pStyle w:val="Sous-section1"/>
      </w:pPr>
      <w:bookmarkStart w:id="17" w:name="_Toc116764320"/>
      <w:r w:rsidRPr="00EC7C29">
        <w:t>Prise du repos dans un délai de 2 mois :</w:t>
      </w:r>
      <w:bookmarkEnd w:id="17"/>
    </w:p>
    <w:p w14:paraId="4CEFB4B7"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La contrepartie obligatoire en repos est prise dans un délai maximum de 2 mois suivant l'ouverture du droit, c'est-à-dire à compter de l'acquisition de 7 heures de repos.</w:t>
      </w:r>
    </w:p>
    <w:p w14:paraId="22F4B8B5"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Si le droit à repos restant est inférieur à une demi-journée ou à une journée, et sauf si les impératifs de bon fonctionnement de l'entreprise conduisent l'employeur à différer la prise du repos, le délai de 2 mois n'est pas applicable à ces heures de repos restantes. Il ne sera applicable qu'une fois que le salarié aura accumulé de nouveau 7 heures de repos.</w:t>
      </w:r>
    </w:p>
    <w:p w14:paraId="215EC4A2"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La durée pendant laquelle la contrepartie obligatoire en repos peut être différée par l'employeur ne peut excéder 2 mois.</w:t>
      </w:r>
    </w:p>
    <w:p w14:paraId="4BAA3C43" w14:textId="77777777" w:rsidR="003D4AA6" w:rsidRPr="00EC7C29" w:rsidRDefault="003D4AA6" w:rsidP="003D4AA6">
      <w:pPr>
        <w:pStyle w:val="Sous-section1"/>
      </w:pPr>
      <w:bookmarkStart w:id="18" w:name="_Toc116764321"/>
      <w:r w:rsidRPr="00EC7C29">
        <w:t>Formalisme :</w:t>
      </w:r>
      <w:bookmarkEnd w:id="18"/>
    </w:p>
    <w:p w14:paraId="5CD6C622" w14:textId="77777777" w:rsidR="003D4AA6" w:rsidRPr="00C8605C" w:rsidRDefault="003D4AA6" w:rsidP="003D4AA6">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Demande du salarié</w:t>
      </w:r>
      <w:r w:rsidRPr="00C8605C">
        <w:rPr>
          <w:rFonts w:ascii="Open Sans" w:hAnsi="Open Sans" w:cs="Open Sans"/>
          <w:color w:val="000000"/>
          <w:sz w:val="20"/>
          <w:szCs w:val="20"/>
        </w:rPr>
        <w:t> : Le salarié adresse sa demande de contrepartie obligatoire en repos à l'employeur au moins une semaine à l'avance. La demande précise la date et la durée du repos.</w:t>
      </w:r>
    </w:p>
    <w:p w14:paraId="367BE07E" w14:textId="77777777" w:rsidR="003D4AA6" w:rsidRPr="00C8605C" w:rsidRDefault="003D4AA6" w:rsidP="003D4AA6">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Réponse de l’employeur</w:t>
      </w:r>
      <w:r w:rsidRPr="00C8605C">
        <w:rPr>
          <w:rFonts w:ascii="Open Sans" w:hAnsi="Open Sans" w:cs="Open Sans"/>
          <w:color w:val="000000"/>
          <w:sz w:val="20"/>
          <w:szCs w:val="20"/>
        </w:rPr>
        <w:t> : Dans les sept jours suivant la réception de la demande, l'employeur informe l'intéressé soit de son accord, soit des raisons relevant d'impératifs liés au fonctionnement de l'entreprise qui motivent le report de la demande.</w:t>
      </w:r>
    </w:p>
    <w:p w14:paraId="496008F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En cas de report, l'employeur propose au salarié une autre date à l'intérieur du délai de deux mois.</w:t>
      </w:r>
    </w:p>
    <w:p w14:paraId="044467EA"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lastRenderedPageBreak/>
        <w:t>Lorsque des impératifs liés au fonctionnement de l'entreprise font obstacle à ce que plusieurs demandes de contrepartie obligatoire en repos soient simultanément satisfaites, les demandeurs sont départagés, selon l'ordre de priorité suivant :</w:t>
      </w:r>
    </w:p>
    <w:p w14:paraId="4F53255E" w14:textId="77777777" w:rsidR="003D4AA6" w:rsidRPr="00C8605C" w:rsidRDefault="003D4AA6" w:rsidP="003D4AA6">
      <w:pPr>
        <w:pStyle w:val="Paragraphedeliste"/>
        <w:numPr>
          <w:ilvl w:val="0"/>
          <w:numId w:val="4"/>
        </w:numPr>
        <w:spacing w:before="120" w:after="360" w:line="480" w:lineRule="auto"/>
        <w:ind w:left="714" w:hanging="357"/>
        <w:jc w:val="both"/>
        <w:rPr>
          <w:rFonts w:ascii="Open Sans" w:hAnsi="Open Sans" w:cs="Open Sans"/>
          <w:sz w:val="20"/>
          <w:szCs w:val="20"/>
        </w:rPr>
      </w:pPr>
      <w:r w:rsidRPr="00C8605C">
        <w:rPr>
          <w:rFonts w:ascii="Open Sans" w:hAnsi="Open Sans" w:cs="Open Sans"/>
          <w:sz w:val="20"/>
          <w:szCs w:val="20"/>
        </w:rPr>
        <w:t>Les demandes déjà différées ;</w:t>
      </w:r>
    </w:p>
    <w:p w14:paraId="43CD6B2E" w14:textId="77777777" w:rsidR="003D4AA6" w:rsidRPr="00C8605C" w:rsidRDefault="003D4AA6" w:rsidP="003D4AA6">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 situation de famille ;</w:t>
      </w:r>
    </w:p>
    <w:p w14:paraId="3A9589FF" w14:textId="77777777" w:rsidR="003D4AA6" w:rsidRPr="00C8605C" w:rsidRDefault="003D4AA6" w:rsidP="003D4AA6">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L'ancienneté dans l'entreprise.</w:t>
      </w:r>
    </w:p>
    <w:p w14:paraId="15DBBDA7" w14:textId="77777777" w:rsidR="003D4AA6" w:rsidRPr="00C8605C" w:rsidRDefault="003D4AA6" w:rsidP="003D4AA6">
      <w:pPr>
        <w:spacing w:after="160" w:line="259" w:lineRule="auto"/>
        <w:rPr>
          <w:rFonts w:ascii="Open Sans" w:hAnsi="Open Sans" w:cs="Open Sans"/>
          <w:sz w:val="20"/>
          <w:szCs w:val="20"/>
        </w:rPr>
      </w:pPr>
      <w:r w:rsidRPr="00C8605C">
        <w:rPr>
          <w:rFonts w:ascii="Open Sans" w:hAnsi="Open Sans" w:cs="Open Sans"/>
          <w:sz w:val="20"/>
          <w:szCs w:val="20"/>
        </w:rPr>
        <w:t>L’absence de demande de prise de repos par le salarié, dans le délai de 2 mois ne peut entraîner la perte du droit : l'employeur est tenu de demander au salarié de solder son droit dans le délai d’un an à compter de l’ouverture des droits du salarié.</w:t>
      </w:r>
    </w:p>
    <w:p w14:paraId="2A07641F" w14:textId="77777777" w:rsidR="003D4AA6" w:rsidRPr="00EC7C29" w:rsidRDefault="003D4AA6" w:rsidP="003D4AA6">
      <w:pPr>
        <w:pStyle w:val="Sous-section1"/>
      </w:pPr>
      <w:bookmarkStart w:id="19" w:name="_Toc116764322"/>
      <w:r w:rsidRPr="00EC7C29">
        <w:t>Rupture du contrat avant la prise du repos :</w:t>
      </w:r>
      <w:bookmarkEnd w:id="19"/>
    </w:p>
    <w:p w14:paraId="7898B26E"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15021682"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C26261D" w14:textId="77777777" w:rsidR="003D4AA6" w:rsidRPr="00C8605C" w:rsidRDefault="003D4AA6" w:rsidP="003D4AA6">
      <w:pPr>
        <w:shd w:val="clear" w:color="auto" w:fill="FFFFFF"/>
        <w:jc w:val="both"/>
        <w:rPr>
          <w:rFonts w:ascii="Open Sans" w:hAnsi="Open Sans" w:cs="Open Sans"/>
          <w:sz w:val="20"/>
          <w:szCs w:val="20"/>
        </w:rPr>
      </w:pPr>
      <w:r w:rsidRPr="00C8605C">
        <w:rPr>
          <w:rFonts w:ascii="Open Sans" w:hAnsi="Open Sans" w:cs="Open Sans"/>
          <w:sz w:val="20"/>
          <w:szCs w:val="20"/>
        </w:rPr>
        <w:t>Cette indemnité a le caractère de salaire.</w:t>
      </w:r>
    </w:p>
    <w:p w14:paraId="2E90D272" w14:textId="77777777" w:rsidR="003D4AA6" w:rsidRPr="009141BE" w:rsidRDefault="003D4AA6" w:rsidP="003D4AA6">
      <w:pPr>
        <w:pStyle w:val="Style1"/>
        <w:rPr>
          <w:sz w:val="28"/>
          <w:szCs w:val="28"/>
        </w:rPr>
      </w:pPr>
      <w:bookmarkStart w:id="20" w:name="_Toc116764323"/>
      <w:r w:rsidRPr="009141BE">
        <w:rPr>
          <w:sz w:val="28"/>
          <w:szCs w:val="28"/>
        </w:rPr>
        <w:t>Article 12 – Information du CSE</w:t>
      </w:r>
      <w:bookmarkEnd w:id="20"/>
    </w:p>
    <w:p w14:paraId="04E623D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Lorsque le contingent d'Heures supplémentaires est fixé par accord collectif, tout dépassement de ce contingent conventionnel est subordonné à l'avis préalable du comité social et économique (CSE), si CSE il y a.</w:t>
      </w:r>
    </w:p>
    <w:p w14:paraId="0BF92947" w14:textId="77777777" w:rsidR="003D4AA6" w:rsidRPr="00B953E0" w:rsidRDefault="003D4AA6" w:rsidP="003D4AA6">
      <w:pPr>
        <w:pStyle w:val="Style1"/>
        <w:rPr>
          <w:sz w:val="28"/>
          <w:szCs w:val="28"/>
        </w:rPr>
      </w:pPr>
      <w:bookmarkStart w:id="21" w:name="_Toc116764324"/>
      <w:r w:rsidRPr="00B953E0">
        <w:rPr>
          <w:sz w:val="28"/>
          <w:szCs w:val="28"/>
        </w:rPr>
        <w:t>Article 13 – Plafond du nombre d'heures supplémentaires</w:t>
      </w:r>
      <w:bookmarkEnd w:id="21"/>
    </w:p>
    <w:p w14:paraId="70B1312D" w14:textId="77777777" w:rsidR="003D4AA6" w:rsidRPr="009E6B7A" w:rsidRDefault="003D4AA6" w:rsidP="003D4AA6">
      <w:pPr>
        <w:jc w:val="both"/>
        <w:rPr>
          <w:rFonts w:ascii="Open Sans" w:hAnsi="Open Sans" w:cs="Open Sans"/>
          <w:sz w:val="20"/>
          <w:szCs w:val="20"/>
        </w:rPr>
      </w:pPr>
      <w:r w:rsidRPr="009E6B7A">
        <w:rPr>
          <w:rFonts w:ascii="Open Sans" w:hAnsi="Open Sans" w:cs="Open Sans"/>
          <w:sz w:val="20"/>
          <w:szCs w:val="20"/>
        </w:rPr>
        <w:t>Le contingent annuel ne constitue pas une limite absolue puisqu'il peut être dépassé. L’entreprise peut donc demander au salarié d’effectuer des heures supplémentaires en cas de besoin.</w:t>
      </w:r>
    </w:p>
    <w:p w14:paraId="58B887E1" w14:textId="77777777" w:rsidR="003D4AA6" w:rsidRPr="00C8605C" w:rsidRDefault="003D4AA6" w:rsidP="003D4AA6">
      <w:pPr>
        <w:jc w:val="both"/>
        <w:rPr>
          <w:rFonts w:ascii="Open Sans" w:hAnsi="Open Sans" w:cs="Open Sans"/>
          <w:sz w:val="20"/>
          <w:szCs w:val="20"/>
        </w:rPr>
      </w:pPr>
      <w:r w:rsidRPr="009E6B7A">
        <w:rPr>
          <w:rFonts w:ascii="Open Sans" w:hAnsi="Open Sans" w:cs="Open Sans"/>
          <w:sz w:val="20"/>
          <w:szCs w:val="20"/>
        </w:rPr>
        <w:t>Les parties au présent accord rappellent que l’utilisation du contingent d’heures supplémentaires ne peut en aucun cas avoir pour effet de déroger aux dispositions d’ordre public relatives aux durées maximales du travail et aux repos.</w:t>
      </w:r>
    </w:p>
    <w:p w14:paraId="3A419862" w14:textId="77777777" w:rsidR="003D4AA6" w:rsidRPr="00493318" w:rsidRDefault="003D4AA6" w:rsidP="003D4AA6">
      <w:pPr>
        <w:pStyle w:val="Section1"/>
      </w:pPr>
      <w:bookmarkStart w:id="22" w:name="_Toc116764325"/>
      <w:r w:rsidRPr="00493318">
        <w:t>Article 13-1 : Durée maximale quotidienne et repos</w:t>
      </w:r>
      <w:bookmarkEnd w:id="22"/>
    </w:p>
    <w:p w14:paraId="017FB2A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 xml:space="preserve">La durée de travail effectif est le temps pendant lequel un salarié est à la disposition de l'employeur et se conforme à ses directives sans pouvoir vaquer librement à ses occupations personnelles ne doit pas dépasser la durée maximale de 10 heures pouvant être portée à 12 heures par jour, en cas d’activité accrue ou pour des motifs liés à l’organisation de l’entreprise. </w:t>
      </w:r>
    </w:p>
    <w:p w14:paraId="1AF6973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lastRenderedPageBreak/>
        <w:t xml:space="preserve">Le temps de travail effectif du personnel roulant est calculé sur la base de l’amplitude diminuée des temps de pause et le cas échéant de la durée des coupures. </w:t>
      </w:r>
    </w:p>
    <w:p w14:paraId="01135F2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L'amplitude journalière de travail du personnel roulant est fixée à 12 heures pouvant être portée à 14 heures pour accomplir un transport jusqu'à son terme à la condition que la durée journalière de travail effectif n'excède pas 9 heures et dans la limite de 2 fois par semaine au maximum.</w:t>
      </w:r>
    </w:p>
    <w:p w14:paraId="5F359E5D"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sz w:val="20"/>
          <w:szCs w:val="20"/>
        </w:rPr>
        <w:t xml:space="preserve">Le temps d’attente est considéré comme du temps de travail effectif ; il est inclus dans le calcul des éventuelles heures supplémentaires et des durées maximales journalières. </w:t>
      </w:r>
    </w:p>
    <w:p w14:paraId="27093369"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 xml:space="preserve">En application de l’article L3131-1 du code du travail, tout salarié bénéficie d’un repos quotidien d’une durée minimale de 11 heures consécutives sauf exceptions prévues par l’article L3121-2 du code du travail. </w:t>
      </w:r>
    </w:p>
    <w:p w14:paraId="270613C5"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GEM TAXI </w:t>
      </w:r>
      <w:r w:rsidRPr="00C8605C">
        <w:rPr>
          <w:rFonts w:ascii="Open Sans" w:hAnsi="Open Sans" w:cs="Open Sans"/>
          <w:bCs/>
          <w:sz w:val="20"/>
          <w:szCs w:val="20"/>
        </w:rPr>
        <w:t>s’oblige à respecter en toute circonstance ces dispositions.</w:t>
      </w:r>
    </w:p>
    <w:p w14:paraId="2F313121" w14:textId="77777777" w:rsidR="003D4AA6" w:rsidRPr="00935D7A" w:rsidRDefault="003D4AA6" w:rsidP="003D4AA6">
      <w:pPr>
        <w:pStyle w:val="Section1"/>
      </w:pPr>
      <w:bookmarkStart w:id="23" w:name="_Toc116764326"/>
      <w:r w:rsidRPr="00935D7A">
        <w:t>Article 13-2 : Durée maximale hebdomadaire et repos</w:t>
      </w:r>
      <w:bookmarkEnd w:id="23"/>
    </w:p>
    <w:p w14:paraId="0D367A2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7DFA239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 xml:space="preserve">Il est rappelé qu’à la date du présent accord : </w:t>
      </w:r>
    </w:p>
    <w:p w14:paraId="0033E20D" w14:textId="77777777" w:rsidR="003D4AA6" w:rsidRPr="00C8605C" w:rsidRDefault="003D4AA6" w:rsidP="003D4AA6">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Dès que le temps de travail quotidien atteint 6 heures, le salarié bénéficie d’un temps de pause d’une durée minimale de 20 minutes consécutives. (Article L3121-16 du code du travail)</w:t>
      </w:r>
    </w:p>
    <w:p w14:paraId="6173B4CF" w14:textId="77777777" w:rsidR="003D4AA6" w:rsidRPr="00C8605C" w:rsidRDefault="003D4AA6" w:rsidP="003D4AA6">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maximale hebdomadaire de travail est de 48 heures (Article L3121-20 du code du travail) sauf circonstances exceptionnelles définies dans le cadre de l’article L3121-21 du code du travail.</w:t>
      </w:r>
    </w:p>
    <w:p w14:paraId="2EEC49DC" w14:textId="77777777" w:rsidR="003D4AA6" w:rsidRPr="00C8605C" w:rsidRDefault="003D4AA6" w:rsidP="003D4AA6">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hebdomadaire de travail calculée sur une période quelconque de douze semaines consécutives ne peut dépasser 44 heures sauf dans les cas prévus aux articles L3121-23 à L3121-25 du code du travail.</w:t>
      </w:r>
    </w:p>
    <w:p w14:paraId="39DA4AEC" w14:textId="77777777" w:rsidR="003D4AA6" w:rsidRPr="00C8605C" w:rsidRDefault="003D4AA6" w:rsidP="003D4AA6">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 xml:space="preserve">Il est interdit de faire travailler un même salarié plus de 6 jours par semaine (article L3132-1 du code du travail). </w:t>
      </w:r>
    </w:p>
    <w:p w14:paraId="06791CF3" w14:textId="77777777" w:rsidR="003D4AA6" w:rsidRPr="00C8605C" w:rsidRDefault="003D4AA6" w:rsidP="003D4AA6">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Le repos hebdomadaire a une durée minimale de 24 heures consécutives auxquelles s’ajoutent les heures consécutives de repos quotidien (article L3132-2 du code du travail).</w:t>
      </w:r>
    </w:p>
    <w:p w14:paraId="6F584841"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GEM TAXI </w:t>
      </w:r>
      <w:r w:rsidRPr="00C8605C">
        <w:rPr>
          <w:rFonts w:ascii="Open Sans" w:hAnsi="Open Sans" w:cs="Open Sans"/>
          <w:bCs/>
          <w:sz w:val="20"/>
          <w:szCs w:val="20"/>
        </w:rPr>
        <w:t>s’oblige à respecter en toute circonstance ces dispositions.</w:t>
      </w:r>
    </w:p>
    <w:p w14:paraId="28D8C560"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Des aménagements aux dispositions légales sont prévus par la convention collective nationale des taxis.</w:t>
      </w:r>
    </w:p>
    <w:p w14:paraId="1F18ACBF"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 xml:space="preserve">Il est prévu de manière conventionnelle qu’une pause de 25 minutes minimum doit être accordée dès que le temps de travail quotidien atteint 5 heures 30. En cas de journée continue, la pause repas est fixée à 30 minutes à prendre dans la période comprise entre 11 heures et 14 heures 30 pour le déjeuner et entre 19 heures et 22 heures pour le diner. </w:t>
      </w:r>
    </w:p>
    <w:p w14:paraId="10A7F00F"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 xml:space="preserve">Le repos quotidien peut être réduit de 11 heures à 9 heures à condition que des périodes de repos au moins équivalentes soient accordés au plus tard avant la fin de la 3e semaine civile suivant celle </w:t>
      </w:r>
      <w:r w:rsidRPr="00C8605C">
        <w:rPr>
          <w:rFonts w:ascii="Open Sans" w:hAnsi="Open Sans" w:cs="Open Sans"/>
          <w:bCs/>
          <w:sz w:val="20"/>
          <w:szCs w:val="20"/>
        </w:rPr>
        <w:lastRenderedPageBreak/>
        <w:t>où le repos quotidien a été réduit. En cas d'amplitude au-delà de 12 heures, le repos quotidien qui suit immédiatement ne peut être inférieur à 11 heures.</w:t>
      </w:r>
    </w:p>
    <w:p w14:paraId="15B12CAB" w14:textId="77777777" w:rsidR="003D4AA6" w:rsidRPr="00E11BDA" w:rsidRDefault="003D4AA6" w:rsidP="003D4AA6">
      <w:pPr>
        <w:pStyle w:val="Style1"/>
        <w:rPr>
          <w:sz w:val="28"/>
          <w:szCs w:val="28"/>
        </w:rPr>
      </w:pPr>
      <w:bookmarkStart w:id="24" w:name="_Toc116764327"/>
      <w:r w:rsidRPr="00E11BDA">
        <w:rPr>
          <w:sz w:val="28"/>
          <w:szCs w:val="28"/>
        </w:rPr>
        <w:t>Dispositions finales</w:t>
      </w:r>
      <w:bookmarkEnd w:id="24"/>
    </w:p>
    <w:p w14:paraId="490B5EF5" w14:textId="77777777" w:rsidR="003D4AA6" w:rsidRPr="00E11BDA" w:rsidRDefault="003D4AA6" w:rsidP="003D4AA6">
      <w:pPr>
        <w:pStyle w:val="Style1"/>
        <w:rPr>
          <w:sz w:val="28"/>
          <w:szCs w:val="28"/>
        </w:rPr>
      </w:pPr>
      <w:bookmarkStart w:id="25" w:name="_Toc116764328"/>
      <w:r w:rsidRPr="00E11BDA">
        <w:rPr>
          <w:sz w:val="28"/>
          <w:szCs w:val="28"/>
        </w:rPr>
        <w:t>Article 14 – Durée, dénonciation et révision de l’accord</w:t>
      </w:r>
      <w:bookmarkEnd w:id="25"/>
    </w:p>
    <w:p w14:paraId="5446B7BE"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La validité du présent accord est subordonnée à son approbation par la majorité des deux tiers du personnel, dans les conditions fixées par à l’Ordonnance nº2017-1385 du 22 septembre 2017 relative au renforcement de la négociation collective et au décret nº2017-1767 du 26 décembre 2017 relatif aux modalités d'approbation des accords dans les très petites entreprises.</w:t>
      </w:r>
    </w:p>
    <w:p w14:paraId="3803CC97"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Faute d’approbation, le présent accord est réputé non écrit.</w:t>
      </w:r>
    </w:p>
    <w:p w14:paraId="04CC8B29" w14:textId="77777777" w:rsidR="003D4AA6" w:rsidRPr="00D40E3A" w:rsidRDefault="003D4AA6" w:rsidP="003D4AA6">
      <w:pPr>
        <w:jc w:val="both"/>
        <w:rPr>
          <w:rFonts w:ascii="Open Sans" w:hAnsi="Open Sans" w:cs="Open Sans"/>
          <w:sz w:val="20"/>
          <w:szCs w:val="20"/>
        </w:rPr>
      </w:pPr>
      <w:r w:rsidRPr="00D40E3A">
        <w:rPr>
          <w:rFonts w:ascii="Open Sans" w:hAnsi="Open Sans" w:cs="Open Sans"/>
          <w:sz w:val="20"/>
          <w:szCs w:val="20"/>
        </w:rPr>
        <w:t xml:space="preserve">L’accord est conclu pour une durée indéterminée et entrera en vigueur à compter du lendemain de son dépôt à la </w:t>
      </w:r>
      <w:r w:rsidRPr="00C8605C">
        <w:rPr>
          <w:rFonts w:ascii="Open Sans" w:hAnsi="Open Sans" w:cs="Open Sans"/>
          <w:sz w:val="20"/>
          <w:szCs w:val="20"/>
        </w:rPr>
        <w:t>DREETS</w:t>
      </w:r>
      <w:r w:rsidRPr="00D40E3A">
        <w:rPr>
          <w:rFonts w:ascii="Open Sans" w:hAnsi="Open Sans" w:cs="Open Sans"/>
          <w:sz w:val="20"/>
          <w:szCs w:val="20"/>
        </w:rPr>
        <w:t>.</w:t>
      </w:r>
    </w:p>
    <w:p w14:paraId="36035041"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Il pourra être dénoncé par l’une ou l’autre des parties par lettre recommandée avec accusé de réception sous réserve de respecter un préavis de 3 mois.</w:t>
      </w:r>
    </w:p>
    <w:p w14:paraId="382A9578"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Dans une telle hypothèse, la dénonciation devra faire l’objet des mêmes formalités de publicité et de dépôt que celles accomplies lors de la signature du présent accord.</w:t>
      </w:r>
    </w:p>
    <w:p w14:paraId="54B4FDDA"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En outre, les parties se réuniront pendant la durée du préavis pour discuter des possibilités d’un nouvel accord.</w:t>
      </w:r>
    </w:p>
    <w:p w14:paraId="3E7B6531"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En cas de dénonciation, tant qu’un nouvel accord ne sera pas intervenu, les dispositions du présent accord continueront de s’appliquer.</w:t>
      </w:r>
    </w:p>
    <w:p w14:paraId="1EE5F034"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Toute demande de révision à l’initiative de l’une ou l’autre des parties devra être formulée par lettre recommandée avec accusé de réception à l’autre partie.</w:t>
      </w:r>
    </w:p>
    <w:p w14:paraId="763CC7D7"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14CB71DA" w14:textId="77777777" w:rsidR="003D4AA6" w:rsidRPr="00E11BDA" w:rsidRDefault="003D4AA6" w:rsidP="003D4AA6">
      <w:pPr>
        <w:pStyle w:val="Style1"/>
        <w:rPr>
          <w:sz w:val="28"/>
          <w:szCs w:val="28"/>
        </w:rPr>
      </w:pPr>
      <w:bookmarkStart w:id="26" w:name="_Toc116764330"/>
      <w:r w:rsidRPr="00E11BDA">
        <w:rPr>
          <w:sz w:val="28"/>
          <w:szCs w:val="28"/>
        </w:rPr>
        <w:t>Article 15 – Dépôt et publicité</w:t>
      </w:r>
      <w:bookmarkEnd w:id="26"/>
    </w:p>
    <w:p w14:paraId="5BDB7DA7"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 présent accord signé donnera lieu à dépôt et publicité dans les conditions prévues par le code du travail.</w:t>
      </w:r>
    </w:p>
    <w:p w14:paraId="0E70581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Il sera déposé – et publié – à l’initiative de l’entreprise sur la plateforme en ligne TéléAccords, qui transmettra ensuite le dossier à la Direction régionale de l’économie, de l’emploi, du travail et des solidarités (DREETS).</w:t>
      </w:r>
    </w:p>
    <w:p w14:paraId="06F158A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Une fois le dépôt réalisé, l'administration délivrera à l’employeur un récépissé de dépôt après instruction (délai de 4 mois).</w:t>
      </w:r>
    </w:p>
    <w:p w14:paraId="73E3E69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lastRenderedPageBreak/>
        <w:t>Il sera déposé en parallèle (support papier) au greffe du Conseil de Prud'hommes du lieu de conclusion en un exemplaire. Ce dépôt sera accompagné du procès-verbal du résultat de la consultation des salariés.</w:t>
      </w:r>
    </w:p>
    <w:p w14:paraId="091352AF"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 présent accord est affiché sur les panneaux d’affichage et un exemplaire est tenu à la disposition du personnel.</w:t>
      </w:r>
    </w:p>
    <w:p w14:paraId="4557ACDC" w14:textId="77777777" w:rsidR="003D4AA6" w:rsidRPr="00C8605C" w:rsidRDefault="003D4AA6" w:rsidP="003D4AA6">
      <w:pPr>
        <w:jc w:val="both"/>
        <w:rPr>
          <w:rFonts w:ascii="Open Sans" w:hAnsi="Open Sans" w:cs="Open Sans"/>
          <w:sz w:val="20"/>
          <w:szCs w:val="20"/>
        </w:rPr>
      </w:pPr>
    </w:p>
    <w:p w14:paraId="4F8F50FB" w14:textId="77777777" w:rsidR="003D4AA6" w:rsidRPr="00C8605C" w:rsidRDefault="003D4AA6" w:rsidP="003D4AA6">
      <w:pPr>
        <w:jc w:val="both"/>
        <w:rPr>
          <w:rFonts w:ascii="Open Sans" w:hAnsi="Open Sans" w:cs="Open Sans"/>
          <w:bCs/>
          <w:sz w:val="20"/>
          <w:szCs w:val="20"/>
        </w:rPr>
      </w:pPr>
      <w:r w:rsidRPr="00C8605C">
        <w:rPr>
          <w:rFonts w:ascii="Open Sans" w:hAnsi="Open Sans" w:cs="Open Sans"/>
          <w:bCs/>
          <w:sz w:val="20"/>
          <w:szCs w:val="20"/>
        </w:rPr>
        <w:t>Fait à ROQUEVAIRE,</w:t>
      </w:r>
    </w:p>
    <w:p w14:paraId="48229DF3" w14:textId="77777777" w:rsidR="003D4AA6" w:rsidRPr="00C8605C" w:rsidRDefault="003D4AA6" w:rsidP="003D4AA6">
      <w:pPr>
        <w:jc w:val="both"/>
        <w:rPr>
          <w:rFonts w:ascii="Open Sans" w:hAnsi="Open Sans" w:cs="Open Sans"/>
          <w:sz w:val="20"/>
          <w:szCs w:val="20"/>
        </w:rPr>
      </w:pPr>
      <w:r w:rsidRPr="00C8605C">
        <w:rPr>
          <w:rFonts w:ascii="Open Sans" w:hAnsi="Open Sans" w:cs="Open Sans"/>
          <w:sz w:val="20"/>
          <w:szCs w:val="20"/>
        </w:rPr>
        <w:t>Le 07/10/2025,</w:t>
      </w:r>
    </w:p>
    <w:p w14:paraId="73125B46" w14:textId="77777777" w:rsidR="003D4AA6" w:rsidRPr="00C8605C" w:rsidRDefault="003D4AA6" w:rsidP="003D4AA6">
      <w:pPr>
        <w:tabs>
          <w:tab w:val="center" w:pos="6804"/>
        </w:tabs>
        <w:jc w:val="both"/>
        <w:rPr>
          <w:rFonts w:ascii="Open Sans" w:hAnsi="Open Sans" w:cs="Open Sans"/>
          <w:bCs/>
          <w:sz w:val="20"/>
          <w:szCs w:val="20"/>
        </w:rPr>
      </w:pPr>
      <w:r w:rsidRPr="00C8605C">
        <w:rPr>
          <w:rFonts w:ascii="Open Sans" w:hAnsi="Open Sans" w:cs="Open Sans"/>
          <w:bCs/>
          <w:sz w:val="20"/>
          <w:szCs w:val="20"/>
        </w:rPr>
        <w:tab/>
        <w:t>Pour la Société GEM TAXI</w:t>
      </w:r>
    </w:p>
    <w:p w14:paraId="22449121" w14:textId="116D0C48" w:rsidR="003D4AA6" w:rsidRPr="00C8605C" w:rsidRDefault="003D4AA6" w:rsidP="003D4AA6">
      <w:pPr>
        <w:tabs>
          <w:tab w:val="center" w:pos="6804"/>
        </w:tabs>
        <w:jc w:val="both"/>
        <w:rPr>
          <w:rFonts w:ascii="Open Sans" w:hAnsi="Open Sans" w:cs="Open Sans"/>
          <w:bCs/>
          <w:sz w:val="20"/>
          <w:szCs w:val="20"/>
        </w:rPr>
      </w:pPr>
      <w:r w:rsidRPr="00C8605C">
        <w:rPr>
          <w:rFonts w:ascii="Open Sans" w:hAnsi="Open Sans" w:cs="Open Sans"/>
          <w:bCs/>
          <w:sz w:val="20"/>
          <w:szCs w:val="20"/>
        </w:rPr>
        <w:tab/>
        <w:t>Président</w:t>
      </w:r>
    </w:p>
    <w:p w14:paraId="3B806CD7" w14:textId="77777777" w:rsidR="003D4AA6" w:rsidRDefault="003D4AA6" w:rsidP="003D4AA6"/>
    <w:p w14:paraId="48DC4361" w14:textId="77777777" w:rsidR="003D4AA6" w:rsidRDefault="003D4AA6" w:rsidP="003D4AA6"/>
    <w:p w14:paraId="09305399" w14:textId="77777777" w:rsidR="000862CC" w:rsidRPr="003D4AA6" w:rsidRDefault="000862CC" w:rsidP="003D4AA6"/>
    <w:sectPr w:rsidR="000862CC" w:rsidRPr="003D4A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92EC" w14:textId="77777777" w:rsidR="005E12E6" w:rsidRDefault="005E12E6" w:rsidP="00FB508B">
      <w:pPr>
        <w:spacing w:after="0" w:line="240" w:lineRule="auto"/>
      </w:pPr>
      <w:r>
        <w:separator/>
      </w:r>
    </w:p>
  </w:endnote>
  <w:endnote w:type="continuationSeparator" w:id="0">
    <w:p w14:paraId="4C1638EB" w14:textId="77777777" w:rsidR="005E12E6" w:rsidRDefault="005E12E6" w:rsidP="00FB5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18CC" w14:textId="77777777" w:rsidR="005E12E6" w:rsidRDefault="005E12E6" w:rsidP="00FB508B">
      <w:pPr>
        <w:spacing w:after="0" w:line="240" w:lineRule="auto"/>
      </w:pPr>
      <w:r>
        <w:separator/>
      </w:r>
    </w:p>
  </w:footnote>
  <w:footnote w:type="continuationSeparator" w:id="0">
    <w:p w14:paraId="651A6A19" w14:textId="77777777" w:rsidR="005E12E6" w:rsidRDefault="005E12E6" w:rsidP="00FB50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9713387">
    <w:abstractNumId w:val="0"/>
  </w:num>
  <w:num w:numId="2" w16cid:durableId="1719815100">
    <w:abstractNumId w:val="4"/>
  </w:num>
  <w:num w:numId="3" w16cid:durableId="1048916904">
    <w:abstractNumId w:val="5"/>
  </w:num>
  <w:num w:numId="4" w16cid:durableId="203176076">
    <w:abstractNumId w:val="1"/>
  </w:num>
  <w:num w:numId="5" w16cid:durableId="1613634168">
    <w:abstractNumId w:val="3"/>
  </w:num>
  <w:num w:numId="6" w16cid:durableId="1523088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2F"/>
    <w:rsid w:val="000862CC"/>
    <w:rsid w:val="00134B41"/>
    <w:rsid w:val="0015023D"/>
    <w:rsid w:val="001853B2"/>
    <w:rsid w:val="001D60E1"/>
    <w:rsid w:val="002960C1"/>
    <w:rsid w:val="003A4C5C"/>
    <w:rsid w:val="003C164A"/>
    <w:rsid w:val="003D4AA6"/>
    <w:rsid w:val="004C0EFC"/>
    <w:rsid w:val="005B765A"/>
    <w:rsid w:val="005E12E6"/>
    <w:rsid w:val="005F156E"/>
    <w:rsid w:val="006D5202"/>
    <w:rsid w:val="006F4CA4"/>
    <w:rsid w:val="00721542"/>
    <w:rsid w:val="00C32A13"/>
    <w:rsid w:val="00DB75A8"/>
    <w:rsid w:val="00E7212F"/>
    <w:rsid w:val="00F5269B"/>
    <w:rsid w:val="00FB50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23F2"/>
  <w15:chartTrackingRefBased/>
  <w15:docId w15:val="{DF8B2B02-7A1F-44E9-B631-0264CB7B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12F"/>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E7212F"/>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E7212F"/>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E7212F"/>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E7212F"/>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E7212F"/>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E7212F"/>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E7212F"/>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E7212F"/>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E7212F"/>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7212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7212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7212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7212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7212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7212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7212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7212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7212F"/>
    <w:rPr>
      <w:rFonts w:eastAsiaTheme="majorEastAsia" w:cstheme="majorBidi"/>
      <w:color w:val="272727" w:themeColor="text1" w:themeTint="D8"/>
    </w:rPr>
  </w:style>
  <w:style w:type="paragraph" w:styleId="Titre">
    <w:name w:val="Title"/>
    <w:basedOn w:val="Normal"/>
    <w:next w:val="Normal"/>
    <w:link w:val="TitreCar"/>
    <w:uiPriority w:val="10"/>
    <w:qFormat/>
    <w:rsid w:val="00E7212F"/>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E7212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7212F"/>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E7212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7212F"/>
    <w:pPr>
      <w:spacing w:before="160"/>
      <w:jc w:val="center"/>
    </w:pPr>
    <w:rPr>
      <w:i/>
      <w:iCs/>
      <w:color w:val="404040" w:themeColor="text1" w:themeTint="BF"/>
    </w:rPr>
  </w:style>
  <w:style w:type="character" w:customStyle="1" w:styleId="CitationCar">
    <w:name w:val="Citation Car"/>
    <w:basedOn w:val="Policepardfaut"/>
    <w:link w:val="Citation"/>
    <w:uiPriority w:val="29"/>
    <w:rsid w:val="00E7212F"/>
    <w:rPr>
      <w:i/>
      <w:iCs/>
      <w:color w:val="404040" w:themeColor="text1" w:themeTint="BF"/>
    </w:rPr>
  </w:style>
  <w:style w:type="paragraph" w:styleId="Paragraphedeliste">
    <w:name w:val="List Paragraph"/>
    <w:basedOn w:val="Normal"/>
    <w:link w:val="ParagraphedelisteCar"/>
    <w:uiPriority w:val="34"/>
    <w:qFormat/>
    <w:rsid w:val="00E7212F"/>
    <w:pPr>
      <w:ind w:left="720"/>
      <w:contextualSpacing/>
    </w:pPr>
  </w:style>
  <w:style w:type="character" w:styleId="Accentuationintense">
    <w:name w:val="Intense Emphasis"/>
    <w:basedOn w:val="Policepardfaut"/>
    <w:uiPriority w:val="21"/>
    <w:qFormat/>
    <w:rsid w:val="00E7212F"/>
    <w:rPr>
      <w:i/>
      <w:iCs/>
      <w:color w:val="0F4761" w:themeColor="accent1" w:themeShade="BF"/>
    </w:rPr>
  </w:style>
  <w:style w:type="paragraph" w:styleId="Citationintense">
    <w:name w:val="Intense Quote"/>
    <w:basedOn w:val="Normal"/>
    <w:next w:val="Normal"/>
    <w:link w:val="CitationintenseCar"/>
    <w:uiPriority w:val="30"/>
    <w:qFormat/>
    <w:rsid w:val="00E721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7212F"/>
    <w:rPr>
      <w:i/>
      <w:iCs/>
      <w:color w:val="0F4761" w:themeColor="accent1" w:themeShade="BF"/>
    </w:rPr>
  </w:style>
  <w:style w:type="character" w:styleId="Rfrenceintense">
    <w:name w:val="Intense Reference"/>
    <w:basedOn w:val="Policepardfaut"/>
    <w:uiPriority w:val="32"/>
    <w:qFormat/>
    <w:rsid w:val="00E7212F"/>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E7212F"/>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E7212F"/>
    <w:pPr>
      <w:spacing w:after="100"/>
    </w:pPr>
  </w:style>
  <w:style w:type="paragraph" w:styleId="TM2">
    <w:name w:val="toc 2"/>
    <w:basedOn w:val="Normal"/>
    <w:next w:val="Normal"/>
    <w:autoRedefine/>
    <w:uiPriority w:val="39"/>
    <w:unhideWhenUsed/>
    <w:rsid w:val="00E7212F"/>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E7212F"/>
    <w:pPr>
      <w:spacing w:after="100"/>
      <w:ind w:left="480"/>
    </w:pPr>
  </w:style>
  <w:style w:type="character" w:styleId="Lienhypertexte">
    <w:name w:val="Hyperlink"/>
    <w:basedOn w:val="Policepardfaut"/>
    <w:uiPriority w:val="99"/>
    <w:unhideWhenUsed/>
    <w:rsid w:val="00E7212F"/>
    <w:rPr>
      <w:color w:val="467886" w:themeColor="hyperlink"/>
      <w:u w:val="single"/>
    </w:rPr>
  </w:style>
  <w:style w:type="paragraph" w:customStyle="1" w:styleId="Style1">
    <w:name w:val="Style1"/>
    <w:basedOn w:val="Normal"/>
    <w:link w:val="Style1Car"/>
    <w:qFormat/>
    <w:rsid w:val="00E7212F"/>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E7212F"/>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E7212F"/>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E7212F"/>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E7212F"/>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E7212F"/>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E7212F"/>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E7212F"/>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E7212F"/>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E7212F"/>
  </w:style>
  <w:style w:type="paragraph" w:styleId="En-tte">
    <w:name w:val="header"/>
    <w:basedOn w:val="Normal"/>
    <w:link w:val="En-tteCar"/>
    <w:uiPriority w:val="99"/>
    <w:unhideWhenUsed/>
    <w:rsid w:val="00FB508B"/>
    <w:pPr>
      <w:tabs>
        <w:tab w:val="center" w:pos="4536"/>
        <w:tab w:val="right" w:pos="9072"/>
      </w:tabs>
      <w:spacing w:after="0" w:line="240" w:lineRule="auto"/>
    </w:pPr>
  </w:style>
  <w:style w:type="character" w:customStyle="1" w:styleId="En-tteCar">
    <w:name w:val="En-tête Car"/>
    <w:basedOn w:val="Policepardfaut"/>
    <w:link w:val="En-tte"/>
    <w:uiPriority w:val="99"/>
    <w:rsid w:val="00FB508B"/>
    <w:rPr>
      <w:rFonts w:asciiTheme="majorHAnsi" w:eastAsiaTheme="majorEastAsia" w:hAnsiTheme="majorHAnsi" w:cstheme="majorBidi"/>
      <w:kern w:val="0"/>
      <w14:ligatures w14:val="none"/>
    </w:rPr>
  </w:style>
  <w:style w:type="paragraph" w:styleId="Pieddepage">
    <w:name w:val="footer"/>
    <w:basedOn w:val="Normal"/>
    <w:link w:val="PieddepageCar"/>
    <w:uiPriority w:val="99"/>
    <w:unhideWhenUsed/>
    <w:rsid w:val="00FB50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508B"/>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3508</Words>
  <Characters>19296</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Axelle Cacciaguerra</cp:lastModifiedBy>
  <cp:revision>5</cp:revision>
  <cp:lastPrinted>2025-07-07T13:30:00Z</cp:lastPrinted>
  <dcterms:created xsi:type="dcterms:W3CDTF">2025-07-07T13:30:00Z</dcterms:created>
  <dcterms:modified xsi:type="dcterms:W3CDTF">2025-12-16T14:03:00Z</dcterms:modified>
</cp:coreProperties>
</file>