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A9680" w14:textId="4AEC0610" w:rsidR="00617D47" w:rsidRPr="00E260F6" w:rsidRDefault="00617D47" w:rsidP="00617D47">
      <w:pPr>
        <w:spacing w:after="120"/>
        <w:jc w:val="center"/>
        <w:rPr>
          <w:rFonts w:ascii="Open Sans" w:hAnsi="Open Sans" w:cs="Open Sans"/>
          <w:b/>
          <w:bCs/>
          <w:color w:val="000000"/>
          <w:sz w:val="24"/>
          <w:szCs w:val="24"/>
          <w:shd w:val="clear" w:color="auto" w:fill="FFFFFF"/>
        </w:rPr>
      </w:pPr>
      <w:r>
        <w:rPr>
          <w:rFonts w:ascii="Open Sans" w:hAnsi="Open Sans" w:cs="Open Sans"/>
          <w:b/>
          <w:bCs/>
          <w:color w:val="000000"/>
          <w:sz w:val="24"/>
          <w:szCs w:val="24"/>
          <w:shd w:val="clear" w:color="auto" w:fill="FFFFFF"/>
        </w:rPr>
        <w:t xml:space="preserve">SARL </w:t>
      </w:r>
      <w:r w:rsidRPr="00617D47">
        <w:rPr>
          <w:rFonts w:ascii="Open Sans" w:hAnsi="Open Sans" w:cs="Open Sans"/>
          <w:b/>
          <w:bCs/>
          <w:color w:val="000000"/>
          <w:sz w:val="24"/>
          <w:szCs w:val="24"/>
          <w:shd w:val="clear" w:color="auto" w:fill="FFFFFF"/>
        </w:rPr>
        <w:t>ATELIER IZF</w:t>
      </w:r>
    </w:p>
    <w:p w14:paraId="248C8DD5" w14:textId="6254311F" w:rsidR="00617D47" w:rsidRPr="00FB5E11" w:rsidRDefault="00617D47" w:rsidP="00617D47">
      <w:pPr>
        <w:spacing w:after="120"/>
        <w:jc w:val="center"/>
        <w:rPr>
          <w:rFonts w:ascii="Open Sans" w:hAnsi="Open Sans" w:cs="Open Sans"/>
          <w:color w:val="000000"/>
          <w:shd w:val="clear" w:color="auto" w:fill="FFFFFF"/>
        </w:rPr>
      </w:pPr>
      <w:r>
        <w:rPr>
          <w:rFonts w:ascii="Open Sans" w:hAnsi="Open Sans" w:cs="Open Sans"/>
          <w:color w:val="000000"/>
          <w:shd w:val="clear" w:color="auto" w:fill="FFFFFF"/>
        </w:rPr>
        <w:t xml:space="preserve">32 </w:t>
      </w:r>
      <w:r w:rsidRPr="00617D47">
        <w:rPr>
          <w:rFonts w:ascii="Open Sans" w:hAnsi="Open Sans" w:cs="Open Sans"/>
          <w:color w:val="000000"/>
          <w:shd w:val="clear" w:color="auto" w:fill="FFFFFF"/>
        </w:rPr>
        <w:t>B</w:t>
      </w:r>
      <w:r>
        <w:rPr>
          <w:rFonts w:ascii="Open Sans" w:hAnsi="Open Sans" w:cs="Open Sans"/>
          <w:color w:val="000000"/>
          <w:shd w:val="clear" w:color="auto" w:fill="FFFFFF"/>
        </w:rPr>
        <w:t>OULEVAR</w:t>
      </w:r>
      <w:r w:rsidRPr="00617D47">
        <w:rPr>
          <w:rFonts w:ascii="Open Sans" w:hAnsi="Open Sans" w:cs="Open Sans"/>
          <w:color w:val="000000"/>
          <w:shd w:val="clear" w:color="auto" w:fill="FFFFFF"/>
        </w:rPr>
        <w:t>D CLEMENCEAU</w:t>
      </w:r>
    </w:p>
    <w:p w14:paraId="3F29FC6C" w14:textId="0FB3EB66" w:rsidR="00617D47" w:rsidRPr="00C50861" w:rsidRDefault="00617D47" w:rsidP="00617D47">
      <w:pPr>
        <w:spacing w:after="120"/>
        <w:jc w:val="center"/>
      </w:pPr>
      <w:r>
        <w:rPr>
          <w:rFonts w:ascii="Open Sans" w:hAnsi="Open Sans" w:cs="Open Sans"/>
          <w:color w:val="000000"/>
          <w:shd w:val="clear" w:color="auto" w:fill="FFFFFF"/>
        </w:rPr>
        <w:t xml:space="preserve">13300 SALON DE PROVENCE </w:t>
      </w:r>
    </w:p>
    <w:p w14:paraId="48C57F1F" w14:textId="11D9935A" w:rsidR="00617D47" w:rsidRPr="000337BF" w:rsidRDefault="00617D47" w:rsidP="00617D47">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SIREN : </w:t>
      </w:r>
      <w:r w:rsidRPr="00617D47">
        <w:rPr>
          <w:rFonts w:ascii="Open Sans" w:hAnsi="Open Sans" w:cs="Open Sans"/>
          <w:color w:val="000000"/>
          <w:shd w:val="clear" w:color="auto" w:fill="FFFFFF"/>
        </w:rPr>
        <w:t>479877342</w:t>
      </w:r>
    </w:p>
    <w:p w14:paraId="5BAA9177" w14:textId="57160060" w:rsidR="00617D47" w:rsidRPr="000337BF" w:rsidRDefault="00617D47" w:rsidP="00617D47">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NAF : </w:t>
      </w:r>
      <w:r w:rsidRPr="00617D47">
        <w:rPr>
          <w:rFonts w:ascii="Open Sans" w:hAnsi="Open Sans" w:cs="Open Sans"/>
          <w:color w:val="000000"/>
          <w:shd w:val="clear" w:color="auto" w:fill="FFFFFF"/>
        </w:rPr>
        <w:t>7111Z</w:t>
      </w:r>
    </w:p>
    <w:p w14:paraId="399B6DD4" w14:textId="77777777" w:rsidR="00617D47" w:rsidRPr="000337BF" w:rsidRDefault="00617D47" w:rsidP="00617D47">
      <w:pPr>
        <w:jc w:val="both"/>
        <w:rPr>
          <w:rFonts w:ascii="Open Sans" w:hAnsi="Open Sans" w:cs="Open Sans"/>
        </w:rPr>
      </w:pPr>
    </w:p>
    <w:p w14:paraId="1AD13190" w14:textId="77777777" w:rsidR="00617D47" w:rsidRDefault="00617D47" w:rsidP="00617D47">
      <w:pPr>
        <w:jc w:val="both"/>
        <w:rPr>
          <w:rFonts w:ascii="Open Sans" w:hAnsi="Open Sans" w:cs="Open Sans"/>
        </w:rPr>
      </w:pPr>
    </w:p>
    <w:p w14:paraId="66672917" w14:textId="77777777" w:rsidR="00617D47" w:rsidRPr="000337BF" w:rsidRDefault="00617D47" w:rsidP="00617D47">
      <w:pPr>
        <w:jc w:val="both"/>
        <w:rPr>
          <w:rFonts w:ascii="Open Sans" w:hAnsi="Open Sans" w:cs="Open Sans"/>
        </w:rPr>
      </w:pPr>
    </w:p>
    <w:p w14:paraId="1EA05802" w14:textId="77777777" w:rsidR="00617D47" w:rsidRPr="000337BF" w:rsidRDefault="00617D47" w:rsidP="00617D47">
      <w:pPr>
        <w:jc w:val="both"/>
        <w:rPr>
          <w:rFonts w:ascii="Open Sans" w:hAnsi="Open Sans" w:cs="Open Sans"/>
        </w:rPr>
      </w:pPr>
    </w:p>
    <w:p w14:paraId="085D19D9" w14:textId="77777777" w:rsidR="00617D47" w:rsidRPr="000337BF" w:rsidRDefault="00617D47" w:rsidP="00617D47">
      <w:pPr>
        <w:jc w:val="both"/>
        <w:rPr>
          <w:rFonts w:ascii="Open Sans" w:hAnsi="Open Sans" w:cs="Open Sans"/>
        </w:rPr>
      </w:pPr>
    </w:p>
    <w:p w14:paraId="76B55A7E" w14:textId="77777777" w:rsidR="00617D47" w:rsidRPr="00FA0DE9" w:rsidRDefault="00617D47" w:rsidP="00617D47">
      <w:pPr>
        <w:pStyle w:val="Titre40"/>
      </w:pPr>
    </w:p>
    <w:p w14:paraId="265D8A9D" w14:textId="77777777" w:rsidR="00617D47" w:rsidRPr="00E80308" w:rsidRDefault="00617D47" w:rsidP="00617D47">
      <w:pPr>
        <w:pStyle w:val="Titre40"/>
        <w:rPr>
          <w:color w:val="4C94D8" w:themeColor="text2" w:themeTint="80"/>
          <w:sz w:val="24"/>
          <w:szCs w:val="24"/>
        </w:rPr>
      </w:pPr>
    </w:p>
    <w:p w14:paraId="6D9B5FCE" w14:textId="77777777" w:rsidR="00617D47" w:rsidRPr="00E80308" w:rsidRDefault="00617D47" w:rsidP="00617D47">
      <w:pPr>
        <w:pStyle w:val="Titre40"/>
        <w:rPr>
          <w:color w:val="4C94D8" w:themeColor="text2" w:themeTint="80"/>
          <w:sz w:val="24"/>
          <w:szCs w:val="24"/>
        </w:rPr>
      </w:pPr>
      <w:r w:rsidRPr="00E80308">
        <w:rPr>
          <w:color w:val="4C94D8" w:themeColor="text2" w:themeTint="80"/>
          <w:sz w:val="24"/>
          <w:szCs w:val="24"/>
        </w:rPr>
        <w:t>Accord collectif d'entreprise</w:t>
      </w:r>
    </w:p>
    <w:p w14:paraId="7CB75991" w14:textId="77777777" w:rsidR="00617D47" w:rsidRDefault="00617D47" w:rsidP="00617D47">
      <w:pPr>
        <w:pStyle w:val="Titre40"/>
        <w:rPr>
          <w:color w:val="4C94D8" w:themeColor="text2" w:themeTint="80"/>
          <w:sz w:val="24"/>
          <w:szCs w:val="24"/>
        </w:rPr>
      </w:pPr>
      <w:r w:rsidRPr="00E80308">
        <w:rPr>
          <w:color w:val="4C94D8" w:themeColor="text2" w:themeTint="80"/>
          <w:sz w:val="24"/>
          <w:szCs w:val="24"/>
        </w:rPr>
        <w:t xml:space="preserve"> instituant un contingent d’heures supplémentaires </w:t>
      </w:r>
    </w:p>
    <w:p w14:paraId="20F41A12" w14:textId="3588B075" w:rsidR="00617D47" w:rsidRPr="00E80308" w:rsidRDefault="00617D47" w:rsidP="00617D47">
      <w:pPr>
        <w:pStyle w:val="Titre40"/>
        <w:rPr>
          <w:color w:val="4C94D8" w:themeColor="text2" w:themeTint="80"/>
          <w:sz w:val="24"/>
          <w:szCs w:val="24"/>
        </w:rPr>
      </w:pPr>
      <w:r w:rsidRPr="00E80308">
        <w:rPr>
          <w:color w:val="4C94D8" w:themeColor="text2" w:themeTint="80"/>
          <w:sz w:val="24"/>
          <w:szCs w:val="24"/>
        </w:rPr>
        <w:t xml:space="preserve">en date du </w:t>
      </w:r>
      <w:r>
        <w:rPr>
          <w:color w:val="4C94D8" w:themeColor="text2" w:themeTint="80"/>
          <w:sz w:val="24"/>
          <w:szCs w:val="24"/>
        </w:rPr>
        <w:t>0</w:t>
      </w:r>
      <w:r w:rsidR="00753E3C">
        <w:rPr>
          <w:color w:val="4C94D8" w:themeColor="text2" w:themeTint="80"/>
          <w:sz w:val="24"/>
          <w:szCs w:val="24"/>
        </w:rPr>
        <w:t>2</w:t>
      </w:r>
      <w:r>
        <w:rPr>
          <w:color w:val="4C94D8" w:themeColor="text2" w:themeTint="80"/>
          <w:sz w:val="24"/>
          <w:szCs w:val="24"/>
        </w:rPr>
        <w:t>/12/2025</w:t>
      </w:r>
    </w:p>
    <w:p w14:paraId="4F98EAE5" w14:textId="77777777" w:rsidR="00617D47" w:rsidRPr="00FA0DE9" w:rsidRDefault="00617D47" w:rsidP="00617D47">
      <w:pPr>
        <w:pStyle w:val="Titre40"/>
      </w:pPr>
    </w:p>
    <w:p w14:paraId="38784289" w14:textId="77777777" w:rsidR="00617D47" w:rsidRPr="00FA0DE9" w:rsidRDefault="00617D47" w:rsidP="00617D47">
      <w:pPr>
        <w:pStyle w:val="Titre40"/>
      </w:pPr>
    </w:p>
    <w:p w14:paraId="789D5875" w14:textId="77777777" w:rsidR="00617D47" w:rsidRPr="00E8409F" w:rsidRDefault="00617D47" w:rsidP="00617D47">
      <w:pPr>
        <w:jc w:val="both"/>
        <w:rPr>
          <w:rFonts w:ascii="Open Sans" w:hAnsi="Open Sans" w:cs="Open Sans"/>
        </w:rPr>
      </w:pPr>
    </w:p>
    <w:p w14:paraId="475786C6" w14:textId="77777777" w:rsidR="00617D47" w:rsidRDefault="00617D47" w:rsidP="00617D47">
      <w:pPr>
        <w:jc w:val="both"/>
        <w:rPr>
          <w:rFonts w:ascii="Open Sans" w:hAnsi="Open Sans" w:cs="Open Sans"/>
        </w:rPr>
      </w:pPr>
    </w:p>
    <w:p w14:paraId="03DA46F4" w14:textId="77777777" w:rsidR="00617D47" w:rsidRDefault="00617D47" w:rsidP="00617D47">
      <w:pPr>
        <w:jc w:val="both"/>
        <w:rPr>
          <w:rFonts w:ascii="Open Sans" w:hAnsi="Open Sans" w:cs="Open Sans"/>
        </w:rPr>
      </w:pPr>
    </w:p>
    <w:p w14:paraId="67E0BD21" w14:textId="77777777" w:rsidR="00617D47" w:rsidRPr="00E8409F" w:rsidRDefault="00617D47" w:rsidP="00617D47">
      <w:pPr>
        <w:jc w:val="both"/>
        <w:rPr>
          <w:rFonts w:ascii="Open Sans" w:hAnsi="Open Sans" w:cs="Open Sans"/>
        </w:rPr>
      </w:pPr>
    </w:p>
    <w:p w14:paraId="33C4878F" w14:textId="77777777" w:rsidR="00617D47" w:rsidRPr="00E8409F" w:rsidRDefault="00617D47" w:rsidP="00617D47">
      <w:pPr>
        <w:jc w:val="both"/>
        <w:rPr>
          <w:rFonts w:ascii="Open Sans" w:hAnsi="Open Sans" w:cs="Open Sans"/>
        </w:rPr>
      </w:pPr>
    </w:p>
    <w:p w14:paraId="15915A5C" w14:textId="77777777" w:rsidR="00617D47" w:rsidRPr="00E8409F" w:rsidRDefault="00617D47" w:rsidP="00617D47">
      <w:pPr>
        <w:jc w:val="both"/>
        <w:rPr>
          <w:rFonts w:ascii="Open Sans" w:hAnsi="Open Sans" w:cs="Open Sans"/>
          <w:color w:val="000000"/>
        </w:rPr>
      </w:pPr>
    </w:p>
    <w:p w14:paraId="044433FF" w14:textId="77777777" w:rsidR="00617D47" w:rsidRDefault="00617D47" w:rsidP="00617D47">
      <w:pPr>
        <w:jc w:val="both"/>
        <w:rPr>
          <w:rFonts w:ascii="Open Sans" w:hAnsi="Open Sans" w:cs="Open Sans"/>
          <w:color w:val="000000"/>
        </w:rPr>
      </w:pPr>
    </w:p>
    <w:p w14:paraId="478B766F" w14:textId="77777777" w:rsidR="00617D47" w:rsidRDefault="00617D47" w:rsidP="00617D47">
      <w:pPr>
        <w:jc w:val="both"/>
        <w:rPr>
          <w:rFonts w:ascii="Open Sans" w:hAnsi="Open Sans" w:cs="Open Sans"/>
          <w:color w:val="000000"/>
        </w:rPr>
      </w:pPr>
    </w:p>
    <w:p w14:paraId="4C4B4E06" w14:textId="77777777" w:rsidR="00617D47" w:rsidRDefault="00617D47" w:rsidP="00617D47">
      <w:pPr>
        <w:jc w:val="both"/>
        <w:rPr>
          <w:rFonts w:ascii="Open Sans" w:hAnsi="Open Sans" w:cs="Open Sans"/>
          <w:color w:val="000000"/>
        </w:rPr>
      </w:pPr>
    </w:p>
    <w:p w14:paraId="7FFD23E0" w14:textId="77777777" w:rsidR="00617D47" w:rsidRPr="00E8409F" w:rsidRDefault="00617D47" w:rsidP="00617D47">
      <w:pPr>
        <w:jc w:val="both"/>
        <w:rPr>
          <w:rFonts w:ascii="Open Sans" w:hAnsi="Open Sans" w:cs="Open Sans"/>
          <w:color w:val="000000"/>
        </w:rPr>
      </w:pPr>
    </w:p>
    <w:p w14:paraId="2D565790" w14:textId="7479342E" w:rsidR="00617D47" w:rsidRPr="00862D15" w:rsidRDefault="00617D47" w:rsidP="00617D47">
      <w:pPr>
        <w:ind w:firstLine="708"/>
        <w:jc w:val="right"/>
        <w:rPr>
          <w:rFonts w:ascii="Open Sans" w:hAnsi="Open Sans" w:cs="Open Sans"/>
          <w:color w:val="000000"/>
        </w:rPr>
      </w:pPr>
      <w:r w:rsidRPr="002B0BEE">
        <w:rPr>
          <w:rFonts w:ascii="Open Sans" w:hAnsi="Open Sans" w:cs="Open Sans"/>
          <w:color w:val="000000"/>
        </w:rPr>
        <w:t xml:space="preserve">Contact : </w:t>
      </w:r>
      <w:r>
        <w:rPr>
          <w:rFonts w:ascii="Open Sans" w:hAnsi="Open Sans" w:cs="Open Sans"/>
          <w:color w:val="000000"/>
        </w:rPr>
        <w:t>Madame</w:t>
      </w:r>
      <w:r w:rsidRPr="002B0BEE">
        <w:rPr>
          <w:rFonts w:ascii="Open Sans" w:hAnsi="Open Sans" w:cs="Open Sans"/>
          <w:color w:val="000000"/>
        </w:rPr>
        <w:t xml:space="preserve"> </w:t>
      </w:r>
      <w:r>
        <w:rPr>
          <w:rFonts w:ascii="Open Sans" w:hAnsi="Open Sans" w:cs="Open Sans"/>
          <w:color w:val="000000"/>
        </w:rPr>
        <w:t>XXX</w:t>
      </w:r>
      <w:r w:rsidRPr="002B0BEE">
        <w:rPr>
          <w:rFonts w:ascii="Open Sans" w:hAnsi="Open Sans" w:cs="Open Sans"/>
          <w:color w:val="000000"/>
        </w:rPr>
        <w:t xml:space="preserve">, </w:t>
      </w:r>
      <w:r>
        <w:rPr>
          <w:rFonts w:ascii="Open Sans" w:hAnsi="Open Sans" w:cs="Open Sans"/>
          <w:color w:val="000000"/>
        </w:rPr>
        <w:t>Gérante</w:t>
      </w:r>
      <w:r>
        <w:br w:type="page"/>
      </w:r>
    </w:p>
    <w:p w14:paraId="646A0DA5" w14:textId="77777777" w:rsidR="00617D47" w:rsidRPr="00C960FF" w:rsidRDefault="00617D47" w:rsidP="00617D47">
      <w:pPr>
        <w:jc w:val="both"/>
        <w:rPr>
          <w:rFonts w:ascii="Open Sans" w:hAnsi="Open Sans" w:cs="Open Sans"/>
          <w:color w:val="000000"/>
        </w:rPr>
      </w:pPr>
    </w:p>
    <w:p w14:paraId="539A6714" w14:textId="77777777" w:rsidR="00617D47" w:rsidRPr="00E80308" w:rsidRDefault="00617D47" w:rsidP="00617D47">
      <w:pPr>
        <w:pStyle w:val="Titre40"/>
        <w:jc w:val="left"/>
        <w:rPr>
          <w:color w:val="4C94D8" w:themeColor="text2" w:themeTint="80"/>
          <w:sz w:val="24"/>
          <w:szCs w:val="24"/>
        </w:rPr>
      </w:pPr>
    </w:p>
    <w:p w14:paraId="657158EF" w14:textId="77777777" w:rsidR="00617D47" w:rsidRPr="00E80308" w:rsidRDefault="00617D47" w:rsidP="00617D47">
      <w:pPr>
        <w:pStyle w:val="Titre40"/>
        <w:rPr>
          <w:color w:val="4C94D8" w:themeColor="text2" w:themeTint="80"/>
          <w:sz w:val="24"/>
          <w:szCs w:val="24"/>
        </w:rPr>
      </w:pPr>
      <w:r w:rsidRPr="00E80308">
        <w:rPr>
          <w:color w:val="4C94D8" w:themeColor="text2" w:themeTint="80"/>
          <w:sz w:val="24"/>
          <w:szCs w:val="24"/>
        </w:rPr>
        <w:t>Accord collectif d'entreprise</w:t>
      </w:r>
    </w:p>
    <w:p w14:paraId="486DAD87" w14:textId="77777777" w:rsidR="00617D47" w:rsidRDefault="00617D47" w:rsidP="00617D47">
      <w:pPr>
        <w:pStyle w:val="Titre40"/>
        <w:rPr>
          <w:color w:val="4C94D8" w:themeColor="text2" w:themeTint="80"/>
          <w:sz w:val="24"/>
          <w:szCs w:val="24"/>
        </w:rPr>
      </w:pPr>
      <w:r w:rsidRPr="00E80308">
        <w:rPr>
          <w:color w:val="4C94D8" w:themeColor="text2" w:themeTint="80"/>
          <w:sz w:val="24"/>
          <w:szCs w:val="24"/>
        </w:rPr>
        <w:t xml:space="preserve"> instituant un contingent d’heures supplémentaires </w:t>
      </w:r>
    </w:p>
    <w:p w14:paraId="32A6F2AE" w14:textId="38C6D917" w:rsidR="00617D47" w:rsidRPr="00E80308" w:rsidRDefault="00617D47" w:rsidP="00617D47">
      <w:pPr>
        <w:pStyle w:val="Titre40"/>
        <w:rPr>
          <w:color w:val="4C94D8" w:themeColor="text2" w:themeTint="80"/>
          <w:sz w:val="24"/>
          <w:szCs w:val="24"/>
        </w:rPr>
      </w:pPr>
      <w:r w:rsidRPr="00E80308">
        <w:rPr>
          <w:color w:val="4C94D8" w:themeColor="text2" w:themeTint="80"/>
          <w:sz w:val="24"/>
          <w:szCs w:val="24"/>
        </w:rPr>
        <w:t xml:space="preserve">en date du </w:t>
      </w:r>
      <w:r>
        <w:rPr>
          <w:color w:val="4C94D8" w:themeColor="text2" w:themeTint="80"/>
          <w:sz w:val="24"/>
          <w:szCs w:val="24"/>
        </w:rPr>
        <w:t>0</w:t>
      </w:r>
      <w:r w:rsidR="00753E3C">
        <w:rPr>
          <w:color w:val="4C94D8" w:themeColor="text2" w:themeTint="80"/>
          <w:sz w:val="24"/>
          <w:szCs w:val="24"/>
        </w:rPr>
        <w:t>2</w:t>
      </w:r>
      <w:r>
        <w:rPr>
          <w:color w:val="4C94D8" w:themeColor="text2" w:themeTint="80"/>
          <w:sz w:val="24"/>
          <w:szCs w:val="24"/>
        </w:rPr>
        <w:t>/12</w:t>
      </w:r>
      <w:r w:rsidRPr="00E80308">
        <w:rPr>
          <w:color w:val="4C94D8" w:themeColor="text2" w:themeTint="80"/>
          <w:sz w:val="24"/>
          <w:szCs w:val="24"/>
        </w:rPr>
        <w:t>/2025</w:t>
      </w:r>
    </w:p>
    <w:p w14:paraId="49B8C07F" w14:textId="77777777" w:rsidR="00617D47" w:rsidRPr="00FA0DE9" w:rsidRDefault="00617D47" w:rsidP="00617D47">
      <w:pPr>
        <w:pStyle w:val="Titre40"/>
      </w:pPr>
    </w:p>
    <w:p w14:paraId="4FBDA652" w14:textId="77777777" w:rsidR="00617D47" w:rsidRPr="00C960FF" w:rsidRDefault="00617D47" w:rsidP="00617D47">
      <w:pPr>
        <w:jc w:val="both"/>
        <w:rPr>
          <w:rFonts w:ascii="Open Sans" w:hAnsi="Open Sans" w:cs="Open Sans"/>
          <w:color w:val="000000"/>
        </w:rPr>
      </w:pPr>
    </w:p>
    <w:p w14:paraId="39A27DFE" w14:textId="77777777" w:rsidR="00617D47" w:rsidRPr="00C960FF" w:rsidRDefault="00617D47" w:rsidP="00617D47">
      <w:pPr>
        <w:jc w:val="both"/>
        <w:rPr>
          <w:rFonts w:ascii="Open Sans" w:hAnsi="Open Sans" w:cs="Open Sans"/>
          <w:color w:val="000000"/>
        </w:rPr>
      </w:pPr>
      <w:r w:rsidRPr="00C960FF">
        <w:rPr>
          <w:rFonts w:ascii="Open Sans" w:hAnsi="Open Sans" w:cs="Open Sans"/>
          <w:color w:val="000000"/>
        </w:rPr>
        <w:t>Entre</w:t>
      </w:r>
    </w:p>
    <w:p w14:paraId="29C849D3" w14:textId="77777777" w:rsidR="00617D47" w:rsidRDefault="00617D47" w:rsidP="00617D47">
      <w:pPr>
        <w:jc w:val="both"/>
        <w:rPr>
          <w:rFonts w:ascii="Open Sans" w:hAnsi="Open Sans" w:cs="Open Sans"/>
          <w:color w:val="000000"/>
        </w:rPr>
      </w:pPr>
    </w:p>
    <w:p w14:paraId="03C4E13F" w14:textId="649590F3" w:rsidR="00617D47" w:rsidRPr="00C960FF" w:rsidRDefault="00617D47" w:rsidP="00617D47">
      <w:pPr>
        <w:jc w:val="both"/>
        <w:rPr>
          <w:rFonts w:ascii="Open Sans" w:hAnsi="Open Sans" w:cs="Open Sans"/>
          <w:color w:val="000000"/>
        </w:rPr>
      </w:pPr>
      <w:r>
        <w:rPr>
          <w:rFonts w:ascii="Open Sans" w:hAnsi="Open Sans" w:cs="Open Sans"/>
          <w:b/>
          <w:bCs/>
          <w:color w:val="000000"/>
        </w:rPr>
        <w:t xml:space="preserve">SARL </w:t>
      </w:r>
      <w:r w:rsidRPr="00617D47">
        <w:rPr>
          <w:rFonts w:ascii="Open Sans" w:hAnsi="Open Sans" w:cs="Open Sans"/>
          <w:b/>
          <w:bCs/>
          <w:color w:val="000000"/>
        </w:rPr>
        <w:t>ATELIER IZF</w:t>
      </w:r>
      <w:r>
        <w:rPr>
          <w:rFonts w:ascii="Open Sans" w:hAnsi="Open Sans" w:cs="Open Sans"/>
          <w:color w:val="000000"/>
        </w:rPr>
        <w:t xml:space="preserve">, immatriculée au RCS de Salon de Provence sous le numéro </w:t>
      </w:r>
      <w:r w:rsidRPr="00617D47">
        <w:rPr>
          <w:rFonts w:ascii="Open Sans" w:hAnsi="Open Sans" w:cs="Open Sans"/>
          <w:color w:val="000000"/>
        </w:rPr>
        <w:t>47987734200044</w:t>
      </w:r>
      <w:r>
        <w:rPr>
          <w:rFonts w:ascii="Open Sans" w:hAnsi="Open Sans" w:cs="Open Sans"/>
          <w:color w:val="000000"/>
        </w:rPr>
        <w:t xml:space="preserve">, dont le siège social est situé 32 </w:t>
      </w:r>
      <w:r w:rsidRPr="00617D47">
        <w:rPr>
          <w:rFonts w:ascii="Open Sans" w:hAnsi="Open Sans" w:cs="Open Sans"/>
          <w:color w:val="000000"/>
        </w:rPr>
        <w:t>B</w:t>
      </w:r>
      <w:r>
        <w:rPr>
          <w:rFonts w:ascii="Open Sans" w:hAnsi="Open Sans" w:cs="Open Sans"/>
          <w:color w:val="000000"/>
        </w:rPr>
        <w:t>OULEVAR</w:t>
      </w:r>
      <w:r w:rsidRPr="00617D47">
        <w:rPr>
          <w:rFonts w:ascii="Open Sans" w:hAnsi="Open Sans" w:cs="Open Sans"/>
          <w:color w:val="000000"/>
        </w:rPr>
        <w:t>D CLEMENCEAU</w:t>
      </w:r>
      <w:r>
        <w:rPr>
          <w:rFonts w:ascii="Open Sans" w:hAnsi="Open Sans" w:cs="Open Sans"/>
          <w:color w:val="000000"/>
        </w:rPr>
        <w:t xml:space="preserve"> 13300 SALON DE PROVENCE </w:t>
      </w:r>
    </w:p>
    <w:p w14:paraId="3301ED34" w14:textId="3B290FCA" w:rsidR="00617D47" w:rsidRPr="00C960FF" w:rsidRDefault="00617D47" w:rsidP="00617D47">
      <w:pPr>
        <w:jc w:val="both"/>
        <w:rPr>
          <w:rFonts w:ascii="Open Sans" w:hAnsi="Open Sans" w:cs="Open Sans"/>
          <w:color w:val="000000"/>
        </w:rPr>
      </w:pPr>
      <w:r w:rsidRPr="00C960FF">
        <w:rPr>
          <w:rFonts w:ascii="Open Sans" w:hAnsi="Open Sans" w:cs="Open Sans"/>
          <w:color w:val="000000"/>
        </w:rPr>
        <w:t>Représentée par</w:t>
      </w:r>
      <w:r>
        <w:rPr>
          <w:rFonts w:ascii="Open Sans" w:hAnsi="Open Sans" w:cs="Open Sans"/>
          <w:color w:val="000000"/>
        </w:rPr>
        <w:t xml:space="preserve"> </w:t>
      </w:r>
      <w:r>
        <w:rPr>
          <w:rFonts w:ascii="Open Sans" w:hAnsi="Open Sans" w:cs="Open Sans"/>
          <w:b/>
          <w:bCs/>
          <w:color w:val="000000"/>
        </w:rPr>
        <w:t>Madame XXX</w:t>
      </w:r>
      <w:r>
        <w:rPr>
          <w:rFonts w:ascii="Open Sans" w:hAnsi="Open Sans" w:cs="Open Sans"/>
          <w:color w:val="000000"/>
        </w:rPr>
        <w:t xml:space="preserve">, </w:t>
      </w:r>
      <w:r w:rsidRPr="00C960FF">
        <w:rPr>
          <w:rFonts w:ascii="Open Sans" w:hAnsi="Open Sans" w:cs="Open Sans"/>
          <w:color w:val="000000"/>
        </w:rPr>
        <w:t xml:space="preserve">en sa qualité de </w:t>
      </w:r>
      <w:r>
        <w:rPr>
          <w:rFonts w:ascii="Open Sans" w:hAnsi="Open Sans" w:cs="Open Sans"/>
          <w:b/>
          <w:bCs/>
          <w:color w:val="000000"/>
        </w:rPr>
        <w:t>Gérante</w:t>
      </w:r>
      <w:r w:rsidRPr="00C960FF">
        <w:rPr>
          <w:rFonts w:ascii="Open Sans" w:hAnsi="Open Sans" w:cs="Open Sans"/>
          <w:color w:val="000000"/>
        </w:rPr>
        <w:t>,</w:t>
      </w:r>
    </w:p>
    <w:p w14:paraId="6BF5AA05" w14:textId="77777777" w:rsidR="00617D47" w:rsidRDefault="00617D47" w:rsidP="00617D47">
      <w:pPr>
        <w:shd w:val="clear" w:color="auto" w:fill="FFFFFF"/>
        <w:jc w:val="both"/>
        <w:rPr>
          <w:rFonts w:ascii="Open Sans" w:hAnsi="Open Sans" w:cs="Open Sans"/>
        </w:rPr>
      </w:pPr>
    </w:p>
    <w:p w14:paraId="4A88829E" w14:textId="77777777" w:rsidR="00617D47" w:rsidRPr="00C960FF" w:rsidRDefault="00617D47" w:rsidP="00617D47">
      <w:pPr>
        <w:jc w:val="both"/>
        <w:rPr>
          <w:rFonts w:ascii="Open Sans" w:hAnsi="Open Sans" w:cs="Open Sans"/>
          <w:color w:val="000000"/>
        </w:rPr>
      </w:pPr>
      <w:r w:rsidRPr="00C960FF">
        <w:rPr>
          <w:rFonts w:ascii="Open Sans" w:hAnsi="Open Sans" w:cs="Open Sans"/>
          <w:color w:val="000000"/>
        </w:rPr>
        <w:t>D’une part,</w:t>
      </w:r>
    </w:p>
    <w:p w14:paraId="7207CA87" w14:textId="77777777" w:rsidR="00617D47" w:rsidRPr="00C960FF" w:rsidRDefault="00617D47" w:rsidP="00617D47">
      <w:pPr>
        <w:shd w:val="clear" w:color="auto" w:fill="FFFFFF"/>
        <w:jc w:val="both"/>
        <w:rPr>
          <w:rFonts w:ascii="Open Sans" w:hAnsi="Open Sans" w:cs="Open Sans"/>
        </w:rPr>
      </w:pPr>
    </w:p>
    <w:p w14:paraId="2FF182CC" w14:textId="77777777" w:rsidR="00617D47" w:rsidRDefault="00617D47" w:rsidP="00617D47">
      <w:pPr>
        <w:jc w:val="both"/>
        <w:rPr>
          <w:rFonts w:ascii="Open Sans" w:hAnsi="Open Sans" w:cs="Open Sans"/>
          <w:color w:val="000000"/>
        </w:rPr>
      </w:pPr>
      <w:r w:rsidRPr="00C960FF">
        <w:rPr>
          <w:rFonts w:ascii="Open Sans" w:hAnsi="Open Sans" w:cs="Open Sans"/>
          <w:color w:val="000000"/>
        </w:rPr>
        <w:t>Et</w:t>
      </w:r>
    </w:p>
    <w:p w14:paraId="5F33995C" w14:textId="77777777" w:rsidR="00617D47" w:rsidRDefault="00617D47" w:rsidP="00617D47">
      <w:pPr>
        <w:rPr>
          <w:rFonts w:ascii="Open Sans" w:hAnsi="Open Sans" w:cs="Open Sans"/>
        </w:rPr>
      </w:pPr>
    </w:p>
    <w:p w14:paraId="598F42AD" w14:textId="77777777" w:rsidR="00617D47" w:rsidRDefault="00617D47" w:rsidP="00617D47">
      <w:pPr>
        <w:jc w:val="both"/>
        <w:rPr>
          <w:rFonts w:ascii="Open Sans" w:hAnsi="Open Sans" w:cs="Open Sans"/>
          <w:color w:val="000000"/>
        </w:rPr>
      </w:pPr>
      <w:r w:rsidRPr="00C960FF">
        <w:rPr>
          <w:rFonts w:ascii="Open Sans" w:hAnsi="Open Sans" w:cs="Open Sans"/>
          <w:b/>
          <w:bCs/>
          <w:color w:val="000000"/>
        </w:rPr>
        <w:t>Les salariés de l’entreprise,</w:t>
      </w:r>
      <w:r w:rsidRPr="00C960FF">
        <w:rPr>
          <w:rFonts w:ascii="Open Sans" w:hAnsi="Open Sans" w:cs="Open Sans"/>
          <w:color w:val="000000"/>
        </w:rPr>
        <w:t xml:space="preserve"> </w:t>
      </w:r>
      <w:r w:rsidRPr="00842D8F">
        <w:rPr>
          <w:rFonts w:ascii="Open Sans" w:hAnsi="Open Sans" w:cs="Open Sans"/>
          <w:color w:val="000000"/>
        </w:rPr>
        <w:t>consultés sur le projet d'accord</w:t>
      </w:r>
      <w:r w:rsidRPr="00C960FF">
        <w:rPr>
          <w:rFonts w:ascii="Open Sans" w:hAnsi="Open Sans" w:cs="Open Sans"/>
          <w:color w:val="000000"/>
        </w:rPr>
        <w:t>,</w:t>
      </w:r>
    </w:p>
    <w:p w14:paraId="67FDC209" w14:textId="77777777" w:rsidR="00617D47" w:rsidRDefault="00617D47" w:rsidP="00617D47">
      <w:pPr>
        <w:rPr>
          <w:rFonts w:ascii="Open Sans" w:hAnsi="Open Sans" w:cs="Open Sans"/>
        </w:rPr>
      </w:pPr>
    </w:p>
    <w:p w14:paraId="0D09AF49" w14:textId="77777777" w:rsidR="00617D47" w:rsidRPr="00C960FF" w:rsidRDefault="00617D47" w:rsidP="00617D47">
      <w:pPr>
        <w:jc w:val="both"/>
        <w:rPr>
          <w:rFonts w:ascii="Open Sans" w:hAnsi="Open Sans" w:cs="Open Sans"/>
          <w:color w:val="000000"/>
        </w:rPr>
      </w:pPr>
      <w:r w:rsidRPr="00C960FF">
        <w:rPr>
          <w:rFonts w:ascii="Open Sans" w:hAnsi="Open Sans" w:cs="Open Sans"/>
          <w:color w:val="000000"/>
        </w:rPr>
        <w:t>D’autre part,</w:t>
      </w:r>
    </w:p>
    <w:p w14:paraId="47963918" w14:textId="77777777" w:rsidR="00617D47" w:rsidRPr="001D4886" w:rsidRDefault="00617D47" w:rsidP="00617D47">
      <w:pPr>
        <w:rPr>
          <w:rFonts w:ascii="Open Sans" w:hAnsi="Open Sans" w:cs="Open Sans"/>
          <w:b/>
          <w:bCs/>
          <w:color w:val="000000"/>
          <w:u w:val="single"/>
        </w:rPr>
      </w:pPr>
      <w:r>
        <w:rPr>
          <w:rFonts w:ascii="Open Sans" w:hAnsi="Open Sans" w:cs="Open Sans"/>
          <w:b/>
          <w:bCs/>
          <w:color w:val="000000"/>
          <w:sz w:val="40"/>
          <w:szCs w:val="40"/>
          <w:u w:val="single"/>
        </w:rPr>
        <w:br w:type="page"/>
      </w:r>
    </w:p>
    <w:sdt>
      <w:sdtPr>
        <w:rPr>
          <w:rFonts w:asciiTheme="majorHAnsi" w:hAnsiTheme="majorHAnsi"/>
          <w:caps w:val="0"/>
          <w:smallCaps w:val="0"/>
          <w:color w:val="auto"/>
          <w:spacing w:val="0"/>
          <w:kern w:val="0"/>
          <w:sz w:val="22"/>
          <w:szCs w:val="22"/>
          <w:lang w:bidi="ar-SA"/>
        </w:rPr>
        <w:id w:val="544959029"/>
        <w:docPartObj>
          <w:docPartGallery w:val="Table of Contents"/>
          <w:docPartUnique/>
        </w:docPartObj>
      </w:sdtPr>
      <w:sdtEndPr>
        <w:rPr>
          <w:rStyle w:val="Lienhypertexte"/>
          <w:rFonts w:ascii="Cambria" w:hAnsi="Cambria"/>
          <w:smallCaps/>
          <w:noProof/>
          <w:color w:val="0F4761" w:themeColor="accent1" w:themeShade="BF"/>
          <w:u w:val="single"/>
        </w:rPr>
      </w:sdtEndPr>
      <w:sdtContent>
        <w:p w14:paraId="691922AF" w14:textId="77777777" w:rsidR="00617D47" w:rsidRDefault="00617D47" w:rsidP="00617D47">
          <w:pPr>
            <w:pStyle w:val="En-ttedetabledesmatires"/>
          </w:pPr>
          <w:r>
            <w:t>Table des matières</w:t>
          </w:r>
        </w:p>
        <w:p w14:paraId="04549308" w14:textId="0CA396D8" w:rsidR="00617D47" w:rsidRPr="00F85644" w:rsidRDefault="00617D47" w:rsidP="00617D47">
          <w:pPr>
            <w:pStyle w:val="TM1"/>
            <w:tabs>
              <w:tab w:val="right" w:leader="dot" w:pos="9062"/>
            </w:tabs>
            <w:rPr>
              <w:rStyle w:val="Lienhypertexte"/>
              <w:rFonts w:ascii="Cambria" w:hAnsi="Cambria"/>
              <w:smallCaps/>
              <w:color w:val="0F4761" w:themeColor="accent1" w:themeShade="BF"/>
            </w:rPr>
          </w:pPr>
          <w:r w:rsidRPr="00F85644">
            <w:rPr>
              <w:rStyle w:val="Lienhypertexte"/>
              <w:noProof/>
              <w:color w:val="0F4761" w:themeColor="accent1" w:themeShade="BF"/>
            </w:rPr>
            <w:fldChar w:fldCharType="begin"/>
          </w:r>
          <w:r w:rsidRPr="00F85644">
            <w:rPr>
              <w:rStyle w:val="Lienhypertexte"/>
              <w:noProof/>
              <w:color w:val="0F4761" w:themeColor="accent1" w:themeShade="BF"/>
            </w:rPr>
            <w:instrText xml:space="preserve"> TOC \o "1-3" \h \z \u </w:instrText>
          </w:r>
          <w:r w:rsidRPr="00F85644">
            <w:rPr>
              <w:rStyle w:val="Lienhypertexte"/>
              <w:noProof/>
              <w:color w:val="0F4761" w:themeColor="accent1" w:themeShade="BF"/>
            </w:rPr>
            <w:fldChar w:fldCharType="separate"/>
          </w:r>
          <w:hyperlink w:anchor="_Toc210722299" w:history="1">
            <w:r w:rsidRPr="00F85644">
              <w:rPr>
                <w:rStyle w:val="Lienhypertexte"/>
                <w:noProof/>
                <w:color w:val="0F4761" w:themeColor="accent1" w:themeShade="BF"/>
              </w:rPr>
              <w:t>Préambule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_Toc210722299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4</w:t>
            </w:r>
            <w:r w:rsidRPr="00F85644">
              <w:rPr>
                <w:rStyle w:val="Lienhypertexte"/>
                <w:rFonts w:ascii="Cambria" w:hAnsi="Cambria"/>
                <w:smallCaps/>
                <w:webHidden/>
                <w:color w:val="0F4761" w:themeColor="accent1" w:themeShade="BF"/>
              </w:rPr>
              <w:fldChar w:fldCharType="end"/>
            </w:r>
          </w:hyperlink>
        </w:p>
        <w:p w14:paraId="3B994C42" w14:textId="308C02B5"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00" w:history="1">
            <w:r w:rsidRPr="00F85644">
              <w:rPr>
                <w:rStyle w:val="Lienhypertexte"/>
                <w:rFonts w:ascii="Cambria" w:hAnsi="Cambria"/>
                <w:smallCaps/>
                <w:noProof/>
                <w:color w:val="0F4761" w:themeColor="accent1" w:themeShade="BF"/>
              </w:rPr>
              <w:t>Article 1 – Cadre juridique de l’accord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4</w:t>
            </w:r>
            <w:r w:rsidRPr="00F85644">
              <w:rPr>
                <w:rStyle w:val="Lienhypertexte"/>
                <w:rFonts w:ascii="Cambria" w:hAnsi="Cambria"/>
                <w:smallCaps/>
                <w:webHidden/>
                <w:color w:val="0F4761" w:themeColor="accent1" w:themeShade="BF"/>
              </w:rPr>
              <w:fldChar w:fldCharType="end"/>
            </w:r>
          </w:hyperlink>
        </w:p>
        <w:p w14:paraId="030F5C38" w14:textId="5ED3393D"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01" w:history="1">
            <w:r w:rsidRPr="00F85644">
              <w:rPr>
                <w:rStyle w:val="Lienhypertexte"/>
                <w:rFonts w:ascii="Cambria" w:hAnsi="Cambria"/>
                <w:smallCaps/>
                <w:noProof/>
                <w:color w:val="0F4761" w:themeColor="accent1" w:themeShade="BF"/>
              </w:rPr>
              <w:t>Article 2 – Objet du présent 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5</w:t>
            </w:r>
            <w:r w:rsidRPr="00F85644">
              <w:rPr>
                <w:rStyle w:val="Lienhypertexte"/>
                <w:rFonts w:ascii="Cambria" w:hAnsi="Cambria"/>
                <w:smallCaps/>
                <w:webHidden/>
                <w:color w:val="0F4761" w:themeColor="accent1" w:themeShade="BF"/>
              </w:rPr>
              <w:fldChar w:fldCharType="end"/>
            </w:r>
          </w:hyperlink>
        </w:p>
        <w:p w14:paraId="7F517475" w14:textId="21EA15D4"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02" w:history="1">
            <w:r w:rsidRPr="00F85644">
              <w:rPr>
                <w:rStyle w:val="Lienhypertexte"/>
                <w:rFonts w:ascii="Cambria" w:hAnsi="Cambria"/>
                <w:smallCaps/>
                <w:noProof/>
                <w:color w:val="0F4761" w:themeColor="accent1" w:themeShade="BF"/>
              </w:rPr>
              <w:t>Article 3 – Champ d’application</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5</w:t>
            </w:r>
            <w:r w:rsidRPr="00F85644">
              <w:rPr>
                <w:rStyle w:val="Lienhypertexte"/>
                <w:rFonts w:ascii="Cambria" w:hAnsi="Cambria"/>
                <w:smallCaps/>
                <w:webHidden/>
                <w:color w:val="0F4761" w:themeColor="accent1" w:themeShade="BF"/>
              </w:rPr>
              <w:fldChar w:fldCharType="end"/>
            </w:r>
          </w:hyperlink>
        </w:p>
        <w:p w14:paraId="72ED9B79" w14:textId="34FA9F10"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03" w:history="1">
            <w:r w:rsidRPr="00F85644">
              <w:rPr>
                <w:rStyle w:val="Lienhypertexte"/>
                <w:rFonts w:ascii="Cambria" w:hAnsi="Cambria"/>
                <w:smallCaps/>
                <w:noProof/>
                <w:color w:val="0F4761" w:themeColor="accent1" w:themeShade="BF"/>
              </w:rPr>
              <w:t>Article 4 – Définition du temps de travail effectif</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6</w:t>
            </w:r>
            <w:r w:rsidRPr="00F85644">
              <w:rPr>
                <w:rStyle w:val="Lienhypertexte"/>
                <w:rFonts w:ascii="Cambria" w:hAnsi="Cambria"/>
                <w:smallCaps/>
                <w:webHidden/>
                <w:color w:val="0F4761" w:themeColor="accent1" w:themeShade="BF"/>
              </w:rPr>
              <w:fldChar w:fldCharType="end"/>
            </w:r>
          </w:hyperlink>
        </w:p>
        <w:p w14:paraId="2072622D" w14:textId="71FA6BF2" w:rsidR="00617D47" w:rsidRPr="00F85644" w:rsidRDefault="00617D47" w:rsidP="00617D47">
          <w:pPr>
            <w:pStyle w:val="TM1"/>
            <w:tabs>
              <w:tab w:val="right" w:leader="dot" w:pos="9062"/>
            </w:tabs>
            <w:ind w:left="708"/>
            <w:rPr>
              <w:rStyle w:val="Lienhypertexte"/>
              <w:rFonts w:ascii="Cambria" w:hAnsi="Cambria"/>
              <w:noProof/>
              <w:color w:val="0F4761" w:themeColor="accent1" w:themeShade="BF"/>
            </w:rPr>
          </w:pPr>
          <w:hyperlink w:anchor="_Toc210722304" w:history="1">
            <w:r w:rsidRPr="00F85644">
              <w:rPr>
                <w:rStyle w:val="Lienhypertexte"/>
                <w:rFonts w:ascii="Cambria" w:hAnsi="Cambria"/>
                <w:smallCaps/>
                <w:noProof/>
                <w:color w:val="0F4761" w:themeColor="accent1" w:themeShade="BF"/>
              </w:rPr>
              <w:t>Article 4-1 Temps de pause</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_Toc210722304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485A38">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5F2D1D81" w14:textId="7B67B8C9" w:rsidR="00617D47" w:rsidRPr="00F85644" w:rsidRDefault="00617D47" w:rsidP="00617D47">
          <w:pPr>
            <w:pStyle w:val="TM1"/>
            <w:tabs>
              <w:tab w:val="right" w:leader="dot" w:pos="9062"/>
            </w:tabs>
            <w:ind w:left="708"/>
            <w:rPr>
              <w:rStyle w:val="Lienhypertexte"/>
              <w:rFonts w:ascii="Cambria" w:hAnsi="Cambria"/>
              <w:noProof/>
              <w:color w:val="0F4761" w:themeColor="accent1" w:themeShade="BF"/>
            </w:rPr>
          </w:pPr>
          <w:hyperlink w:anchor="_Toc210722305" w:history="1">
            <w:r w:rsidRPr="00F85644">
              <w:rPr>
                <w:rStyle w:val="Lienhypertexte"/>
                <w:rFonts w:ascii="Cambria" w:hAnsi="Cambria"/>
                <w:smallCaps/>
                <w:noProof/>
                <w:color w:val="0F4761" w:themeColor="accent1" w:themeShade="BF"/>
              </w:rPr>
              <w:t>Article 4-2 Temps de déplacement</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_Toc210722305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485A38">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60D1D0CD" w14:textId="1F92B82D" w:rsidR="00617D47" w:rsidRPr="00F85644" w:rsidRDefault="00617D47" w:rsidP="00617D47">
          <w:pPr>
            <w:pStyle w:val="TM1"/>
            <w:tabs>
              <w:tab w:val="right" w:leader="dot" w:pos="9062"/>
            </w:tabs>
            <w:ind w:left="708"/>
            <w:rPr>
              <w:rStyle w:val="Lienhypertexte"/>
              <w:rFonts w:ascii="Cambria" w:hAnsi="Cambria"/>
              <w:noProof/>
              <w:color w:val="0F4761" w:themeColor="accent1" w:themeShade="BF"/>
            </w:rPr>
          </w:pPr>
          <w:hyperlink w:anchor="_Toc210722306" w:history="1">
            <w:r w:rsidRPr="00F85644">
              <w:rPr>
                <w:rStyle w:val="Lienhypertexte"/>
                <w:rFonts w:ascii="Cambria" w:hAnsi="Cambria"/>
                <w:smallCaps/>
                <w:noProof/>
                <w:color w:val="0F4761" w:themeColor="accent1" w:themeShade="BF"/>
              </w:rPr>
              <w:t>Article 4-3 : Durée maximale quotidienne et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_Toc210722306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485A38">
              <w:rPr>
                <w:rStyle w:val="Lienhypertexte"/>
                <w:rFonts w:ascii="Cambria" w:hAnsi="Cambria"/>
                <w:smallCaps/>
                <w:noProof/>
                <w:webHidden/>
                <w:color w:val="0F4761" w:themeColor="accent1" w:themeShade="BF"/>
              </w:rPr>
              <w:t>6</w:t>
            </w:r>
            <w:r w:rsidRPr="00F85644">
              <w:rPr>
                <w:rStyle w:val="Lienhypertexte"/>
                <w:rFonts w:ascii="Cambria" w:hAnsi="Cambria"/>
                <w:smallCaps/>
                <w:noProof/>
                <w:webHidden/>
                <w:color w:val="0F4761" w:themeColor="accent1" w:themeShade="BF"/>
              </w:rPr>
              <w:fldChar w:fldCharType="end"/>
            </w:r>
          </w:hyperlink>
        </w:p>
        <w:p w14:paraId="6C443ABC" w14:textId="3D28DA7B" w:rsidR="00617D47" w:rsidRPr="00F85644" w:rsidRDefault="00617D47" w:rsidP="00617D47">
          <w:pPr>
            <w:pStyle w:val="TM1"/>
            <w:tabs>
              <w:tab w:val="right" w:leader="dot" w:pos="9062"/>
            </w:tabs>
            <w:ind w:left="708"/>
            <w:rPr>
              <w:rStyle w:val="Lienhypertexte"/>
              <w:rFonts w:ascii="Cambria" w:hAnsi="Cambria"/>
              <w:noProof/>
              <w:color w:val="0F4761" w:themeColor="accent1" w:themeShade="BF"/>
            </w:rPr>
          </w:pPr>
          <w:hyperlink w:anchor="_Toc210722307" w:history="1">
            <w:r w:rsidRPr="00F85644">
              <w:rPr>
                <w:rStyle w:val="Lienhypertexte"/>
                <w:rFonts w:ascii="Cambria" w:hAnsi="Cambria"/>
                <w:smallCaps/>
                <w:noProof/>
                <w:color w:val="0F4761" w:themeColor="accent1" w:themeShade="BF"/>
              </w:rPr>
              <w:t>Article 4-4 : Durée maximale hebdomadaire et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_Toc210722307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485A38">
              <w:rPr>
                <w:rStyle w:val="Lienhypertexte"/>
                <w:rFonts w:ascii="Cambria" w:hAnsi="Cambria"/>
                <w:smallCaps/>
                <w:noProof/>
                <w:webHidden/>
                <w:color w:val="0F4761" w:themeColor="accent1" w:themeShade="BF"/>
              </w:rPr>
              <w:t>7</w:t>
            </w:r>
            <w:r w:rsidRPr="00F85644">
              <w:rPr>
                <w:rStyle w:val="Lienhypertexte"/>
                <w:rFonts w:ascii="Cambria" w:hAnsi="Cambria"/>
                <w:smallCaps/>
                <w:noProof/>
                <w:webHidden/>
                <w:color w:val="0F4761" w:themeColor="accent1" w:themeShade="BF"/>
              </w:rPr>
              <w:fldChar w:fldCharType="end"/>
            </w:r>
          </w:hyperlink>
        </w:p>
        <w:p w14:paraId="108E3E94" w14:textId="6ED710FA"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08" w:history="1">
            <w:r w:rsidRPr="00F85644">
              <w:rPr>
                <w:rStyle w:val="Lienhypertexte"/>
                <w:rFonts w:ascii="Cambria" w:hAnsi="Cambria"/>
                <w:smallCaps/>
                <w:noProof/>
                <w:color w:val="0F4761" w:themeColor="accent1" w:themeShade="BF"/>
              </w:rPr>
              <w:t>Article 5 – Volume du contingent annuel d’heures supplémentaires</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_Toc210722308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7</w:t>
            </w:r>
            <w:r w:rsidRPr="00F85644">
              <w:rPr>
                <w:rStyle w:val="Lienhypertexte"/>
                <w:rFonts w:ascii="Cambria" w:hAnsi="Cambria"/>
                <w:smallCaps/>
                <w:webHidden/>
                <w:color w:val="0F4761" w:themeColor="accent1" w:themeShade="BF"/>
              </w:rPr>
              <w:fldChar w:fldCharType="end"/>
            </w:r>
          </w:hyperlink>
        </w:p>
        <w:p w14:paraId="3C03660B" w14:textId="36F22BED"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09" w:history="1">
            <w:r w:rsidRPr="00F85644">
              <w:rPr>
                <w:rStyle w:val="Lienhypertexte"/>
                <w:rFonts w:ascii="Cambria" w:hAnsi="Cambria"/>
                <w:smallCaps/>
                <w:noProof/>
                <w:color w:val="0F4761" w:themeColor="accent1" w:themeShade="BF"/>
              </w:rPr>
              <w:t>Article 6 – Période de référence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_Toc210722309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7</w:t>
            </w:r>
            <w:r w:rsidRPr="00F85644">
              <w:rPr>
                <w:rStyle w:val="Lienhypertexte"/>
                <w:rFonts w:ascii="Cambria" w:hAnsi="Cambria"/>
                <w:smallCaps/>
                <w:webHidden/>
                <w:color w:val="0F4761" w:themeColor="accent1" w:themeShade="BF"/>
              </w:rPr>
              <w:fldChar w:fldCharType="end"/>
            </w:r>
          </w:hyperlink>
        </w:p>
        <w:p w14:paraId="696E8943" w14:textId="2B178482"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10" w:history="1">
            <w:r w:rsidRPr="00F85644">
              <w:rPr>
                <w:rStyle w:val="Lienhypertexte"/>
                <w:rFonts w:ascii="Cambria" w:hAnsi="Cambria"/>
                <w:smallCaps/>
                <w:noProof/>
                <w:color w:val="0F4761" w:themeColor="accent1" w:themeShade="BF"/>
              </w:rPr>
              <w:t>Article 7 – Heures supplémentaires s’imputant sur le contingent annuel</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5094C44D" w14:textId="7042C3C0"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11" w:history="1">
            <w:r w:rsidRPr="00F85644">
              <w:rPr>
                <w:rStyle w:val="Lienhypertexte"/>
                <w:rFonts w:ascii="Cambria" w:hAnsi="Cambria"/>
                <w:smallCaps/>
                <w:noProof/>
                <w:color w:val="0F4761" w:themeColor="accent1" w:themeShade="BF"/>
              </w:rPr>
              <w:t>Article 8 – Heures supplémentaires ne s’imputant pas sur le contingent annuel</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763BAC90" w14:textId="167FBFAA"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12" w:history="1">
            <w:r w:rsidRPr="00F85644">
              <w:rPr>
                <w:rStyle w:val="Lienhypertexte"/>
                <w:rFonts w:ascii="Cambria" w:hAnsi="Cambria"/>
                <w:smallCaps/>
                <w:noProof/>
                <w:color w:val="0F4761" w:themeColor="accent1" w:themeShade="BF"/>
              </w:rPr>
              <w:t>Article 9 – Décompte individuel du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8</w:t>
            </w:r>
            <w:r w:rsidRPr="00F85644">
              <w:rPr>
                <w:rStyle w:val="Lienhypertexte"/>
                <w:rFonts w:ascii="Cambria" w:hAnsi="Cambria"/>
                <w:smallCaps/>
                <w:webHidden/>
                <w:color w:val="0F4761" w:themeColor="accent1" w:themeShade="BF"/>
              </w:rPr>
              <w:fldChar w:fldCharType="end"/>
            </w:r>
          </w:hyperlink>
        </w:p>
        <w:p w14:paraId="6A581469" w14:textId="219E152E"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13" w:history="1">
            <w:r w:rsidRPr="00F85644">
              <w:rPr>
                <w:rStyle w:val="Lienhypertexte"/>
                <w:rFonts w:ascii="Cambria" w:hAnsi="Cambria"/>
                <w:smallCaps/>
                <w:noProof/>
                <w:color w:val="0F4761" w:themeColor="accent1" w:themeShade="BF"/>
              </w:rPr>
              <w:t>Article 10 – Absence de contrepartie en repos des heures supplémentaires effectuées dans le cadre du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5013E2F9" w14:textId="24555F14"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14" w:history="1">
            <w:r w:rsidRPr="00F85644">
              <w:rPr>
                <w:rStyle w:val="Lienhypertexte"/>
                <w:rFonts w:ascii="Cambria" w:hAnsi="Cambria"/>
                <w:smallCaps/>
                <w:noProof/>
                <w:color w:val="0F4761" w:themeColor="accent1" w:themeShade="BF"/>
              </w:rPr>
              <w:t>Article 11 – Régime juridique des heures supplémentaires hors contingent</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_Toc210722314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9</w:t>
            </w:r>
            <w:r w:rsidRPr="00F85644">
              <w:rPr>
                <w:rStyle w:val="Lienhypertexte"/>
                <w:rFonts w:ascii="Cambria" w:hAnsi="Cambria"/>
                <w:smallCaps/>
                <w:webHidden/>
                <w:color w:val="0F4761" w:themeColor="accent1" w:themeShade="BF"/>
              </w:rPr>
              <w:fldChar w:fldCharType="end"/>
            </w:r>
          </w:hyperlink>
        </w:p>
        <w:p w14:paraId="25F75AB4" w14:textId="36FD02F5" w:rsidR="00617D47" w:rsidRPr="00F85644" w:rsidRDefault="00617D47" w:rsidP="00617D47">
          <w:pPr>
            <w:pStyle w:val="TM1"/>
            <w:tabs>
              <w:tab w:val="right" w:leader="dot" w:pos="9062"/>
            </w:tabs>
            <w:ind w:left="708"/>
            <w:rPr>
              <w:rStyle w:val="Lienhypertexte"/>
              <w:rFonts w:ascii="Cambria" w:hAnsi="Cambria"/>
              <w:noProof/>
              <w:color w:val="0F4761" w:themeColor="accent1" w:themeShade="BF"/>
            </w:rPr>
          </w:pPr>
          <w:hyperlink w:anchor="_Toc210722315" w:history="1">
            <w:r w:rsidRPr="00F85644">
              <w:rPr>
                <w:rStyle w:val="Lienhypertexte"/>
                <w:rFonts w:ascii="Cambria" w:hAnsi="Cambria"/>
                <w:smallCaps/>
                <w:noProof/>
                <w:color w:val="0F4761" w:themeColor="accent1" w:themeShade="BF"/>
              </w:rPr>
              <w:t>Article 11-1 : Droit à une contrepartie en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_Toc210722315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485A38">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1D5F629D" w14:textId="4D8F480D" w:rsidR="00617D47" w:rsidRPr="00F85644" w:rsidRDefault="00617D47" w:rsidP="00617D47">
          <w:pPr>
            <w:pStyle w:val="TM1"/>
            <w:tabs>
              <w:tab w:val="right" w:leader="dot" w:pos="9062"/>
            </w:tabs>
            <w:ind w:left="708"/>
            <w:rPr>
              <w:rStyle w:val="Lienhypertexte"/>
              <w:rFonts w:ascii="Cambria" w:hAnsi="Cambria"/>
              <w:noProof/>
              <w:color w:val="0F4761" w:themeColor="accent1" w:themeShade="BF"/>
            </w:rPr>
          </w:pPr>
          <w:hyperlink w:anchor="_Toc210722316" w:history="1">
            <w:r w:rsidRPr="00F85644">
              <w:rPr>
                <w:rStyle w:val="Lienhypertexte"/>
                <w:rFonts w:ascii="Cambria" w:hAnsi="Cambria"/>
                <w:smallCaps/>
                <w:noProof/>
                <w:color w:val="0F4761" w:themeColor="accent1" w:themeShade="BF"/>
              </w:rPr>
              <w:t>Article 11-2 : La durée</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_Toc210722316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485A38">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6F56F5DA" w14:textId="0AF2E1A3" w:rsidR="00617D47" w:rsidRPr="00F85644" w:rsidRDefault="00617D47" w:rsidP="00617D47">
          <w:pPr>
            <w:pStyle w:val="TM1"/>
            <w:tabs>
              <w:tab w:val="right" w:leader="dot" w:pos="9062"/>
            </w:tabs>
            <w:ind w:left="708"/>
            <w:rPr>
              <w:rStyle w:val="Lienhypertexte"/>
              <w:rFonts w:ascii="Cambria" w:hAnsi="Cambria"/>
              <w:noProof/>
              <w:color w:val="0F4761" w:themeColor="accent1" w:themeShade="BF"/>
            </w:rPr>
          </w:pPr>
          <w:hyperlink w:anchor="_Toc210722317" w:history="1">
            <w:r w:rsidRPr="00F85644">
              <w:rPr>
                <w:rStyle w:val="Lienhypertexte"/>
                <w:rFonts w:ascii="Cambria" w:hAnsi="Cambria"/>
                <w:smallCaps/>
                <w:noProof/>
                <w:color w:val="0F4761" w:themeColor="accent1" w:themeShade="BF"/>
              </w:rPr>
              <w:t>Article 11-3 : Les caractéristiques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_Toc210722317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485A38">
              <w:rPr>
                <w:rStyle w:val="Lienhypertexte"/>
                <w:rFonts w:ascii="Cambria" w:hAnsi="Cambria"/>
                <w:smallCaps/>
                <w:noProof/>
                <w:webHidden/>
                <w:color w:val="0F4761" w:themeColor="accent1" w:themeShade="BF"/>
              </w:rPr>
              <w:t>9</w:t>
            </w:r>
            <w:r w:rsidRPr="00F85644">
              <w:rPr>
                <w:rStyle w:val="Lienhypertexte"/>
                <w:rFonts w:ascii="Cambria" w:hAnsi="Cambria"/>
                <w:smallCaps/>
                <w:noProof/>
                <w:webHidden/>
                <w:color w:val="0F4761" w:themeColor="accent1" w:themeShade="BF"/>
              </w:rPr>
              <w:fldChar w:fldCharType="end"/>
            </w:r>
          </w:hyperlink>
        </w:p>
        <w:p w14:paraId="76229DB5" w14:textId="44EB41AD" w:rsidR="00617D47" w:rsidRPr="00F85644" w:rsidRDefault="00617D47" w:rsidP="00617D47">
          <w:pPr>
            <w:pStyle w:val="TM1"/>
            <w:tabs>
              <w:tab w:val="right" w:leader="dot" w:pos="9062"/>
            </w:tabs>
            <w:ind w:left="708"/>
            <w:rPr>
              <w:rStyle w:val="Lienhypertexte"/>
              <w:rFonts w:ascii="Cambria" w:hAnsi="Cambria"/>
              <w:noProof/>
              <w:color w:val="0F4761" w:themeColor="accent1" w:themeShade="BF"/>
            </w:rPr>
          </w:pPr>
          <w:hyperlink w:anchor="_Toc210722318" w:history="1">
            <w:r w:rsidRPr="00F85644">
              <w:rPr>
                <w:rStyle w:val="Lienhypertexte"/>
                <w:rFonts w:ascii="Cambria" w:hAnsi="Cambria"/>
                <w:smallCaps/>
                <w:noProof/>
                <w:color w:val="0F4761" w:themeColor="accent1" w:themeShade="BF"/>
              </w:rPr>
              <w:t>Article 11-4 : Information des salariés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_Toc210722318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485A38">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29093027" w14:textId="0448A921" w:rsidR="00617D47" w:rsidRPr="00F85644" w:rsidRDefault="00617D47" w:rsidP="00617D47">
          <w:pPr>
            <w:pStyle w:val="TM1"/>
            <w:tabs>
              <w:tab w:val="right" w:leader="dot" w:pos="9062"/>
            </w:tabs>
            <w:ind w:left="708"/>
            <w:rPr>
              <w:rStyle w:val="Lienhypertexte"/>
              <w:rFonts w:ascii="Cambria" w:hAnsi="Cambria"/>
              <w:noProof/>
              <w:color w:val="0F4761" w:themeColor="accent1" w:themeShade="BF"/>
            </w:rPr>
          </w:pPr>
          <w:hyperlink w:anchor="_Toc210722319" w:history="1">
            <w:r w:rsidRPr="00F85644">
              <w:rPr>
                <w:rStyle w:val="Lienhypertexte"/>
                <w:rFonts w:ascii="Cambria" w:hAnsi="Cambria"/>
                <w:smallCaps/>
                <w:noProof/>
                <w:color w:val="0F4761" w:themeColor="accent1" w:themeShade="BF"/>
              </w:rPr>
              <w:t>Article 11-5 : Les conditions de prise de cette contrepartie obligatoire en repos</w:t>
            </w:r>
            <w:r w:rsidRPr="00F85644">
              <w:rPr>
                <w:rStyle w:val="Lienhypertexte"/>
                <w:rFonts w:ascii="Cambria" w:hAnsi="Cambria"/>
                <w:smallCaps/>
                <w:noProof/>
                <w:webHidden/>
                <w:color w:val="0F4761" w:themeColor="accent1" w:themeShade="BF"/>
              </w:rPr>
              <w:tab/>
            </w:r>
            <w:r w:rsidRPr="00F85644">
              <w:rPr>
                <w:rStyle w:val="Lienhypertexte"/>
                <w:rFonts w:ascii="Cambria" w:hAnsi="Cambria"/>
                <w:smallCaps/>
                <w:noProof/>
                <w:webHidden/>
                <w:color w:val="0F4761" w:themeColor="accent1" w:themeShade="BF"/>
              </w:rPr>
              <w:fldChar w:fldCharType="begin"/>
            </w:r>
            <w:r w:rsidRPr="00F85644">
              <w:rPr>
                <w:rStyle w:val="Lienhypertexte"/>
                <w:rFonts w:ascii="Cambria" w:hAnsi="Cambria"/>
                <w:smallCaps/>
                <w:noProof/>
                <w:webHidden/>
                <w:color w:val="0F4761" w:themeColor="accent1" w:themeShade="BF"/>
              </w:rPr>
              <w:instrText xml:space="preserve"> PAGEREF _Toc210722319 \h </w:instrText>
            </w:r>
            <w:r w:rsidRPr="00F85644">
              <w:rPr>
                <w:rStyle w:val="Lienhypertexte"/>
                <w:rFonts w:ascii="Cambria" w:hAnsi="Cambria"/>
                <w:smallCaps/>
                <w:noProof/>
                <w:webHidden/>
                <w:color w:val="0F4761" w:themeColor="accent1" w:themeShade="BF"/>
              </w:rPr>
            </w:r>
            <w:r w:rsidRPr="00F85644">
              <w:rPr>
                <w:rStyle w:val="Lienhypertexte"/>
                <w:rFonts w:ascii="Cambria" w:hAnsi="Cambria"/>
                <w:smallCaps/>
                <w:noProof/>
                <w:webHidden/>
                <w:color w:val="0F4761" w:themeColor="accent1" w:themeShade="BF"/>
              </w:rPr>
              <w:fldChar w:fldCharType="separate"/>
            </w:r>
            <w:r w:rsidR="00485A38">
              <w:rPr>
                <w:rStyle w:val="Lienhypertexte"/>
                <w:rFonts w:ascii="Cambria" w:hAnsi="Cambria"/>
                <w:smallCaps/>
                <w:noProof/>
                <w:webHidden/>
                <w:color w:val="0F4761" w:themeColor="accent1" w:themeShade="BF"/>
              </w:rPr>
              <w:t>10</w:t>
            </w:r>
            <w:r w:rsidRPr="00F85644">
              <w:rPr>
                <w:rStyle w:val="Lienhypertexte"/>
                <w:rFonts w:ascii="Cambria" w:hAnsi="Cambria"/>
                <w:smallCaps/>
                <w:noProof/>
                <w:webHidden/>
                <w:color w:val="0F4761" w:themeColor="accent1" w:themeShade="BF"/>
              </w:rPr>
              <w:fldChar w:fldCharType="end"/>
            </w:r>
          </w:hyperlink>
        </w:p>
        <w:p w14:paraId="60890455" w14:textId="2A3E6D3A" w:rsidR="00617D47" w:rsidRPr="00F85644" w:rsidRDefault="00617D47" w:rsidP="00617D47">
          <w:pPr>
            <w:pStyle w:val="TM1"/>
            <w:tabs>
              <w:tab w:val="right" w:leader="dot" w:pos="9062"/>
            </w:tabs>
            <w:ind w:left="1416"/>
            <w:rPr>
              <w:rStyle w:val="Lienhypertexte"/>
              <w:rFonts w:ascii="Cambria" w:hAnsi="Cambria"/>
              <w:smallCaps/>
              <w:color w:val="0F4761" w:themeColor="accent1" w:themeShade="BF"/>
            </w:rPr>
          </w:pPr>
          <w:hyperlink w:anchor="_Toc210722320" w:history="1">
            <w:r w:rsidRPr="00F85644">
              <w:rPr>
                <w:rStyle w:val="Lienhypertexte"/>
                <w:rFonts w:ascii="Cambria" w:hAnsi="Cambria"/>
                <w:smallCaps/>
                <w:noProof/>
                <w:color w:val="0F4761" w:themeColor="accent1" w:themeShade="BF"/>
              </w:rPr>
              <w:t>Prise par journée ou demi-journée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_Toc210722320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03782B9E" w14:textId="38FB7351" w:rsidR="00617D47" w:rsidRPr="00F85644" w:rsidRDefault="00617D47" w:rsidP="00617D47">
          <w:pPr>
            <w:pStyle w:val="TM1"/>
            <w:tabs>
              <w:tab w:val="right" w:leader="dot" w:pos="9062"/>
            </w:tabs>
            <w:ind w:left="1416"/>
            <w:rPr>
              <w:rStyle w:val="Lienhypertexte"/>
              <w:rFonts w:ascii="Cambria" w:hAnsi="Cambria"/>
              <w:smallCaps/>
              <w:color w:val="0F4761" w:themeColor="accent1" w:themeShade="BF"/>
            </w:rPr>
          </w:pPr>
          <w:hyperlink w:anchor="_Toc210722321" w:history="1">
            <w:r w:rsidRPr="00F85644">
              <w:rPr>
                <w:rStyle w:val="Lienhypertexte"/>
                <w:rFonts w:ascii="Cambria" w:hAnsi="Cambria"/>
                <w:smallCaps/>
                <w:noProof/>
                <w:color w:val="0F4761" w:themeColor="accent1" w:themeShade="BF"/>
              </w:rPr>
              <w:t>Prise du repos dans un délai de 2 mois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_Toc210722321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342DEDBE" w14:textId="56FBF726" w:rsidR="00617D47" w:rsidRPr="00F85644" w:rsidRDefault="00617D47" w:rsidP="00617D47">
          <w:pPr>
            <w:pStyle w:val="TM1"/>
            <w:tabs>
              <w:tab w:val="right" w:leader="dot" w:pos="9062"/>
            </w:tabs>
            <w:ind w:left="1416"/>
            <w:rPr>
              <w:rStyle w:val="Lienhypertexte"/>
              <w:rFonts w:ascii="Cambria" w:hAnsi="Cambria"/>
              <w:smallCaps/>
              <w:color w:val="0F4761" w:themeColor="accent1" w:themeShade="BF"/>
            </w:rPr>
          </w:pPr>
          <w:hyperlink w:anchor="_Toc210722322" w:history="1">
            <w:r w:rsidRPr="00F85644">
              <w:rPr>
                <w:rStyle w:val="Lienhypertexte"/>
                <w:rFonts w:ascii="Cambria" w:hAnsi="Cambria"/>
                <w:smallCaps/>
                <w:noProof/>
                <w:color w:val="0F4761" w:themeColor="accent1" w:themeShade="BF"/>
              </w:rPr>
              <w:t>Formalisme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_Toc210722322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10</w:t>
            </w:r>
            <w:r w:rsidRPr="00F85644">
              <w:rPr>
                <w:rStyle w:val="Lienhypertexte"/>
                <w:rFonts w:ascii="Cambria" w:hAnsi="Cambria"/>
                <w:smallCaps/>
                <w:webHidden/>
                <w:color w:val="0F4761" w:themeColor="accent1" w:themeShade="BF"/>
              </w:rPr>
              <w:fldChar w:fldCharType="end"/>
            </w:r>
          </w:hyperlink>
        </w:p>
        <w:p w14:paraId="61066558" w14:textId="4F574FB6" w:rsidR="00617D47" w:rsidRPr="00F85644" w:rsidRDefault="00617D47" w:rsidP="00617D47">
          <w:pPr>
            <w:pStyle w:val="TM1"/>
            <w:tabs>
              <w:tab w:val="right" w:leader="dot" w:pos="9062"/>
            </w:tabs>
            <w:ind w:left="1416"/>
            <w:rPr>
              <w:rStyle w:val="Lienhypertexte"/>
              <w:rFonts w:ascii="Cambria" w:hAnsi="Cambria"/>
              <w:smallCaps/>
              <w:color w:val="0F4761" w:themeColor="accent1" w:themeShade="BF"/>
            </w:rPr>
          </w:pPr>
          <w:hyperlink w:anchor="_Toc210722323" w:history="1">
            <w:r w:rsidRPr="00F85644">
              <w:rPr>
                <w:rStyle w:val="Lienhypertexte"/>
                <w:rFonts w:ascii="Cambria" w:hAnsi="Cambria"/>
                <w:smallCaps/>
                <w:noProof/>
                <w:color w:val="0F4761" w:themeColor="accent1" w:themeShade="BF"/>
              </w:rPr>
              <w:t>Rupture du contrat avant la prise du repos :</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_Toc210722323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4D6ABA35" w14:textId="204D0685"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24" w:history="1">
            <w:r w:rsidRPr="00F85644">
              <w:rPr>
                <w:rStyle w:val="Lienhypertexte"/>
                <w:rFonts w:ascii="Cambria" w:hAnsi="Cambria"/>
                <w:smallCaps/>
                <w:noProof/>
                <w:color w:val="0F4761" w:themeColor="accent1" w:themeShade="BF"/>
              </w:rPr>
              <w:t>Article 12 – Information du CSE</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_Toc210722324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127669E9" w14:textId="06F23573"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25" w:history="1">
            <w:r w:rsidRPr="00F85644">
              <w:rPr>
                <w:rStyle w:val="Lienhypertexte"/>
                <w:rFonts w:ascii="Cambria" w:hAnsi="Cambria"/>
                <w:smallCaps/>
                <w:noProof/>
                <w:color w:val="0F4761" w:themeColor="accent1" w:themeShade="BF"/>
              </w:rPr>
              <w:t>Dispositions finales</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_Toc210722325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63C9BD46" w14:textId="36C2BF07"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26" w:history="1">
            <w:r w:rsidRPr="00F85644">
              <w:rPr>
                <w:rStyle w:val="Lienhypertexte"/>
                <w:rFonts w:ascii="Cambria" w:hAnsi="Cambria"/>
                <w:smallCaps/>
                <w:noProof/>
                <w:color w:val="0F4761" w:themeColor="accent1" w:themeShade="BF"/>
              </w:rPr>
              <w:t>Article 13 – Durée, dénonciation et révision de l’accord</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_Toc210722326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11</w:t>
            </w:r>
            <w:r w:rsidRPr="00F85644">
              <w:rPr>
                <w:rStyle w:val="Lienhypertexte"/>
                <w:rFonts w:ascii="Cambria" w:hAnsi="Cambria"/>
                <w:smallCaps/>
                <w:webHidden/>
                <w:color w:val="0F4761" w:themeColor="accent1" w:themeShade="BF"/>
              </w:rPr>
              <w:fldChar w:fldCharType="end"/>
            </w:r>
          </w:hyperlink>
        </w:p>
        <w:p w14:paraId="4D6F1805" w14:textId="44E99546" w:rsidR="00617D47" w:rsidRPr="00F85644" w:rsidRDefault="00617D47" w:rsidP="00617D47">
          <w:pPr>
            <w:pStyle w:val="TM1"/>
            <w:tabs>
              <w:tab w:val="right" w:leader="dot" w:pos="9062"/>
            </w:tabs>
            <w:rPr>
              <w:rStyle w:val="Lienhypertexte"/>
              <w:rFonts w:ascii="Cambria" w:hAnsi="Cambria"/>
              <w:smallCaps/>
              <w:color w:val="0F4761" w:themeColor="accent1" w:themeShade="BF"/>
            </w:rPr>
          </w:pPr>
          <w:hyperlink w:anchor="_Toc210722327" w:history="1">
            <w:r w:rsidRPr="00F85644">
              <w:rPr>
                <w:rStyle w:val="Lienhypertexte"/>
                <w:rFonts w:ascii="Cambria" w:hAnsi="Cambria"/>
                <w:smallCaps/>
                <w:noProof/>
                <w:color w:val="0F4761" w:themeColor="accent1" w:themeShade="BF"/>
              </w:rPr>
              <w:t>Article 14 – Dépôt et publicité</w:t>
            </w:r>
            <w:r w:rsidRPr="00F85644">
              <w:rPr>
                <w:rStyle w:val="Lienhypertexte"/>
                <w:rFonts w:ascii="Cambria" w:hAnsi="Cambria"/>
                <w:smallCaps/>
                <w:webHidden/>
                <w:color w:val="0F4761" w:themeColor="accent1" w:themeShade="BF"/>
              </w:rPr>
              <w:tab/>
            </w:r>
            <w:r w:rsidRPr="00F85644">
              <w:rPr>
                <w:rStyle w:val="Lienhypertexte"/>
                <w:rFonts w:ascii="Cambria" w:hAnsi="Cambria"/>
                <w:smallCaps/>
                <w:webHidden/>
                <w:color w:val="0F4761" w:themeColor="accent1" w:themeShade="BF"/>
              </w:rPr>
              <w:fldChar w:fldCharType="begin"/>
            </w:r>
            <w:r w:rsidRPr="00F85644">
              <w:rPr>
                <w:rStyle w:val="Lienhypertexte"/>
                <w:rFonts w:ascii="Cambria" w:hAnsi="Cambria"/>
                <w:smallCaps/>
                <w:webHidden/>
                <w:color w:val="0F4761" w:themeColor="accent1" w:themeShade="BF"/>
              </w:rPr>
              <w:instrText xml:space="preserve"> PAGEREF _Toc210722327 \h </w:instrText>
            </w:r>
            <w:r w:rsidRPr="00F85644">
              <w:rPr>
                <w:rStyle w:val="Lienhypertexte"/>
                <w:rFonts w:ascii="Cambria" w:hAnsi="Cambria"/>
                <w:smallCaps/>
                <w:webHidden/>
                <w:color w:val="0F4761" w:themeColor="accent1" w:themeShade="BF"/>
              </w:rPr>
            </w:r>
            <w:r w:rsidRPr="00F85644">
              <w:rPr>
                <w:rStyle w:val="Lienhypertexte"/>
                <w:rFonts w:ascii="Cambria" w:hAnsi="Cambria"/>
                <w:smallCaps/>
                <w:webHidden/>
                <w:color w:val="0F4761" w:themeColor="accent1" w:themeShade="BF"/>
              </w:rPr>
              <w:fldChar w:fldCharType="separate"/>
            </w:r>
            <w:r w:rsidR="00485A38">
              <w:rPr>
                <w:rStyle w:val="Lienhypertexte"/>
                <w:rFonts w:ascii="Cambria" w:hAnsi="Cambria"/>
                <w:smallCaps/>
                <w:noProof/>
                <w:webHidden/>
                <w:color w:val="0F4761" w:themeColor="accent1" w:themeShade="BF"/>
              </w:rPr>
              <w:t>12</w:t>
            </w:r>
            <w:r w:rsidRPr="00F85644">
              <w:rPr>
                <w:rStyle w:val="Lienhypertexte"/>
                <w:rFonts w:ascii="Cambria" w:hAnsi="Cambria"/>
                <w:smallCaps/>
                <w:webHidden/>
                <w:color w:val="0F4761" w:themeColor="accent1" w:themeShade="BF"/>
              </w:rPr>
              <w:fldChar w:fldCharType="end"/>
            </w:r>
          </w:hyperlink>
        </w:p>
        <w:p w14:paraId="39F95FBE" w14:textId="77777777" w:rsidR="00617D47" w:rsidRPr="00F85644" w:rsidRDefault="00617D47" w:rsidP="00617D47">
          <w:pPr>
            <w:pStyle w:val="TM1"/>
            <w:tabs>
              <w:tab w:val="right" w:leader="dot" w:pos="9062"/>
            </w:tabs>
            <w:rPr>
              <w:rStyle w:val="Lienhypertexte"/>
              <w:noProof/>
              <w:color w:val="0F4761" w:themeColor="accent1" w:themeShade="BF"/>
            </w:rPr>
          </w:pPr>
          <w:r w:rsidRPr="00F85644">
            <w:rPr>
              <w:rStyle w:val="Lienhypertexte"/>
              <w:noProof/>
              <w:color w:val="0F4761" w:themeColor="accent1" w:themeShade="BF"/>
            </w:rPr>
            <w:fldChar w:fldCharType="end"/>
          </w:r>
        </w:p>
      </w:sdtContent>
    </w:sdt>
    <w:p w14:paraId="2EDAD364" w14:textId="77777777" w:rsidR="00617D47" w:rsidRPr="001D4886" w:rsidRDefault="00617D47" w:rsidP="00617D47">
      <w:pPr>
        <w:rPr>
          <w:rFonts w:ascii="Open Sans" w:hAnsi="Open Sans" w:cs="Open Sans"/>
          <w:b/>
          <w:bCs/>
          <w:color w:val="000000"/>
          <w:u w:val="single"/>
        </w:rPr>
      </w:pPr>
      <w:r>
        <w:rPr>
          <w:rFonts w:ascii="Open Sans" w:hAnsi="Open Sans" w:cs="Open Sans"/>
          <w:b/>
          <w:bCs/>
          <w:color w:val="000000"/>
          <w:sz w:val="40"/>
          <w:szCs w:val="40"/>
          <w:u w:val="single"/>
        </w:rPr>
        <w:br w:type="page"/>
      </w:r>
    </w:p>
    <w:p w14:paraId="1BEC753A" w14:textId="77777777" w:rsidR="00617D47" w:rsidRPr="00FA0DE9" w:rsidRDefault="00617D47" w:rsidP="00617D47">
      <w:pPr>
        <w:pStyle w:val="Style1"/>
      </w:pPr>
      <w:bookmarkStart w:id="0" w:name="_Toc210722299"/>
      <w:r w:rsidRPr="00A14C33">
        <w:lastRenderedPageBreak/>
        <w:t>Préambule</w:t>
      </w:r>
      <w:bookmarkEnd w:id="0"/>
    </w:p>
    <w:p w14:paraId="5959FA00" w14:textId="2CA9F0F3" w:rsidR="00617D47" w:rsidRPr="00CA4A8C" w:rsidRDefault="00617D47" w:rsidP="00617D47">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Le présent accord vise à définir et à fixer le contingent annuel d’heures supplémentaires applicable au sein de la </w:t>
      </w:r>
      <w:r>
        <w:rPr>
          <w:rFonts w:ascii="Open Sans" w:eastAsia="Calibri" w:hAnsi="Open Sans" w:cs="Open Sans"/>
        </w:rPr>
        <w:t xml:space="preserve">société SARL </w:t>
      </w:r>
      <w:r w:rsidRPr="00617D47">
        <w:rPr>
          <w:rFonts w:ascii="Open Sans" w:eastAsia="Calibri" w:hAnsi="Open Sans" w:cs="Open Sans"/>
        </w:rPr>
        <w:t>ATELIER IZF</w:t>
      </w:r>
      <w:r>
        <w:rPr>
          <w:rFonts w:ascii="Open Sans" w:eastAsia="Calibri" w:hAnsi="Open Sans" w:cs="Open Sans"/>
        </w:rPr>
        <w:t>.</w:t>
      </w:r>
    </w:p>
    <w:p w14:paraId="6BD8BA39"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rPr>
      </w:pPr>
    </w:p>
    <w:p w14:paraId="746D0FF2"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Les parties au présent accord ont en effet constaté que les dispositions en vigueur au sein de la société devaient être revues et adaptées pour tenir compte des impératifs d'organisation de la société ainsi que de la motivation d</w:t>
      </w:r>
      <w:r>
        <w:rPr>
          <w:rFonts w:ascii="Open Sans" w:eastAsia="Calibri" w:hAnsi="Open Sans" w:cs="Open Sans"/>
        </w:rPr>
        <w:t>u</w:t>
      </w:r>
      <w:r w:rsidRPr="00CA4A8C">
        <w:rPr>
          <w:rFonts w:ascii="Open Sans" w:eastAsia="Calibri" w:hAnsi="Open Sans" w:cs="Open Sans"/>
        </w:rPr>
        <w:t xml:space="preserve"> </w:t>
      </w:r>
      <w:r>
        <w:rPr>
          <w:rFonts w:ascii="Open Sans" w:eastAsia="Calibri" w:hAnsi="Open Sans" w:cs="Open Sans"/>
        </w:rPr>
        <w:t>personnel</w:t>
      </w:r>
      <w:r w:rsidRPr="00CA4A8C">
        <w:rPr>
          <w:rFonts w:ascii="Open Sans" w:eastAsia="Calibri" w:hAnsi="Open Sans" w:cs="Open Sans"/>
        </w:rPr>
        <w:t xml:space="preserve"> </w:t>
      </w:r>
      <w:r>
        <w:rPr>
          <w:rFonts w:ascii="Open Sans" w:eastAsia="Calibri" w:hAnsi="Open Sans" w:cs="Open Sans"/>
        </w:rPr>
        <w:t>d’augmenter son pouvoir d’achat par l’accomplissement d’heures supplémentaires rémunérées.</w:t>
      </w:r>
    </w:p>
    <w:p w14:paraId="17099ED8"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rPr>
      </w:pPr>
    </w:p>
    <w:p w14:paraId="671F758B" w14:textId="7B3EECE0" w:rsidR="00617D47" w:rsidRPr="00CA4A8C" w:rsidRDefault="00617D47" w:rsidP="00617D47">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A ce jour, le contingent annuel d’heures supplémentaires prévu par la convention </w:t>
      </w:r>
      <w:r>
        <w:rPr>
          <w:rFonts w:ascii="Open Sans" w:eastAsia="Calibri" w:hAnsi="Open Sans" w:cs="Open Sans"/>
        </w:rPr>
        <w:t>collective Architecture</w:t>
      </w:r>
      <w:r w:rsidRPr="00644D9D">
        <w:rPr>
          <w:rFonts w:ascii="Open Sans" w:hAnsi="Open Sans" w:cs="Open Sans"/>
        </w:rPr>
        <w:t xml:space="preserve"> (code IDCC </w:t>
      </w:r>
      <w:r>
        <w:rPr>
          <w:rFonts w:ascii="Open Sans" w:hAnsi="Open Sans" w:cs="Open Sans"/>
        </w:rPr>
        <w:t>2332</w:t>
      </w:r>
      <w:r w:rsidRPr="00644D9D">
        <w:rPr>
          <w:rFonts w:ascii="Open Sans" w:hAnsi="Open Sans" w:cs="Open Sans"/>
        </w:rPr>
        <w:t>)</w:t>
      </w:r>
      <w:r>
        <w:rPr>
          <w:rFonts w:ascii="Open Sans" w:hAnsi="Open Sans" w:cs="Open Sans"/>
        </w:rPr>
        <w:t xml:space="preserve"> </w:t>
      </w:r>
      <w:r w:rsidRPr="00CA4A8C">
        <w:rPr>
          <w:rFonts w:ascii="Open Sans" w:eastAsia="Calibri" w:hAnsi="Open Sans" w:cs="Open Sans"/>
        </w:rPr>
        <w:t xml:space="preserve">est fixé </w:t>
      </w:r>
      <w:r>
        <w:rPr>
          <w:rFonts w:ascii="Open Sans" w:eastAsia="Calibri" w:hAnsi="Open Sans" w:cs="Open Sans"/>
        </w:rPr>
        <w:t xml:space="preserve">à 176 heures </w:t>
      </w:r>
      <w:r w:rsidRPr="00CA4A8C">
        <w:rPr>
          <w:rFonts w:ascii="Open Sans" w:eastAsia="Calibri" w:hAnsi="Open Sans" w:cs="Open Sans"/>
        </w:rPr>
        <w:t>par an et par salarié.</w:t>
      </w:r>
    </w:p>
    <w:p w14:paraId="3CED54BA"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rPr>
      </w:pPr>
    </w:p>
    <w:p w14:paraId="77D82761"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 xml:space="preserve">Rappel du contexte : Les heures supplémentaires sont décomptées dans le cadre d’un contingent annuel. Ce dernier vise à instituer une limite au nombre d’heures supplémentaires, le décompte s’effectuant dès la première heure supplémentaire. Au-delà de cette limite, une contrepartie obligatoire en repos s’impose. </w:t>
      </w:r>
    </w:p>
    <w:p w14:paraId="3A6B9CD7"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rPr>
      </w:pPr>
    </w:p>
    <w:p w14:paraId="4D6CAD76"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Compte tenu des besoins et impératifs du secteur et de la volonté d’assurer une gestion optimale de l’activité, les parties ont convenu d’adopter, par le présent accord, un contingent annuel d’heures supplémentaires supérieur à celui prévu par la convention collective tout en reconnaissant la nécessité de prendre en compte les impératifs de sécurité, de la santé et de la vie sociale et familiale des salariés.</w:t>
      </w:r>
    </w:p>
    <w:p w14:paraId="5D475B09"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color w:val="212529"/>
          <w:sz w:val="20"/>
          <w:szCs w:val="20"/>
        </w:rPr>
      </w:pPr>
    </w:p>
    <w:p w14:paraId="157C59F0"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Au-delà de l’augmentation du contingent annuel d’heures supplémentaires, le présent accord a pour objet de fixer les contreparties prévues pour les heures supplémentaires effectuées dans le cadre dudit contingent, et de fixer les modalités de dépassement éventuel du contingent d’heures supplémentaires et de prise des contreparties en repos des heures supplémentaires effectuées au-delà dudit contingent.</w:t>
      </w:r>
    </w:p>
    <w:p w14:paraId="5E9314B7"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rPr>
      </w:pPr>
    </w:p>
    <w:p w14:paraId="4B8EAA17"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rPr>
      </w:pPr>
      <w:r w:rsidRPr="00CA4A8C">
        <w:rPr>
          <w:rFonts w:ascii="Open Sans" w:eastAsia="Calibri" w:hAnsi="Open Sans" w:cs="Open Sans"/>
        </w:rPr>
        <w:t>Les parties au présent accord reconnaissent que le texte du présent accord est le produit d'une élaboration conjointe des parties et, au-delà, d'une concertation avec l'ensemble du personnel.</w:t>
      </w:r>
    </w:p>
    <w:p w14:paraId="3B2006A1"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b/>
          <w:bCs/>
          <w:u w:val="single"/>
        </w:rPr>
      </w:pPr>
    </w:p>
    <w:p w14:paraId="56AB12E6" w14:textId="77777777" w:rsidR="00617D47" w:rsidRPr="00CA4A8C" w:rsidRDefault="00617D47" w:rsidP="00617D47">
      <w:pPr>
        <w:autoSpaceDE w:val="0"/>
        <w:autoSpaceDN w:val="0"/>
        <w:adjustRightInd w:val="0"/>
        <w:spacing w:after="0" w:line="240" w:lineRule="auto"/>
        <w:jc w:val="both"/>
        <w:rPr>
          <w:rFonts w:ascii="Open Sans" w:eastAsia="Calibri" w:hAnsi="Open Sans" w:cs="Open Sans"/>
          <w:b/>
          <w:bCs/>
        </w:rPr>
      </w:pPr>
      <w:r w:rsidRPr="00CA4A8C">
        <w:rPr>
          <w:rFonts w:ascii="Open Sans" w:eastAsia="Calibri" w:hAnsi="Open Sans" w:cs="Open Sans"/>
          <w:b/>
          <w:bCs/>
        </w:rPr>
        <w:t xml:space="preserve">Dès lors, il a été convenu ce qui suit. </w:t>
      </w:r>
    </w:p>
    <w:p w14:paraId="7C00D52C" w14:textId="77777777" w:rsidR="00617D47" w:rsidRPr="00ED0913" w:rsidRDefault="00617D47" w:rsidP="00617D47">
      <w:pPr>
        <w:pStyle w:val="Style1"/>
      </w:pPr>
      <w:bookmarkStart w:id="1" w:name="_Toc210722300"/>
      <w:r w:rsidRPr="00ED0913">
        <w:t xml:space="preserve">Article 1 – </w:t>
      </w:r>
      <w:r>
        <w:t>Cadre juridique de l’accord</w:t>
      </w:r>
      <w:bookmarkEnd w:id="1"/>
    </w:p>
    <w:p w14:paraId="46FEEE19" w14:textId="77777777" w:rsidR="00617D47" w:rsidRPr="0031660F" w:rsidRDefault="00617D47" w:rsidP="00617D47">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 présent accord est conclu, notamment, en application des dispositions suivantes :</w:t>
      </w:r>
    </w:p>
    <w:p w14:paraId="3D010B53" w14:textId="77777777" w:rsidR="00617D47" w:rsidRPr="0031660F" w:rsidRDefault="00617D47" w:rsidP="00617D47">
      <w:pPr>
        <w:autoSpaceDE w:val="0"/>
        <w:autoSpaceDN w:val="0"/>
        <w:adjustRightInd w:val="0"/>
        <w:spacing w:after="0" w:line="240" w:lineRule="auto"/>
        <w:jc w:val="both"/>
        <w:rPr>
          <w:rFonts w:ascii="Open Sans" w:eastAsia="Calibri" w:hAnsi="Open Sans" w:cs="Open Sans"/>
        </w:rPr>
      </w:pPr>
    </w:p>
    <w:p w14:paraId="6C1C4B9D" w14:textId="77777777" w:rsidR="00617D47" w:rsidRPr="0031660F" w:rsidRDefault="00617D47" w:rsidP="00617D47">
      <w:pPr>
        <w:pStyle w:val="Paragraphedeliste"/>
        <w:numPr>
          <w:ilvl w:val="0"/>
          <w:numId w:val="6"/>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Les articles L.2232-21 à L.2232-22 et R.2232-10 à R.2232-13 du Code du travail relatifs aux modalités de négociation des accords collectifs dans les entreprises dont l’effectif habituel est inférieur à 11 salariés équivalents temps complet, dépourvues de délégué syndical et de représentant élu au Comité social et économique ;</w:t>
      </w:r>
    </w:p>
    <w:p w14:paraId="148DA56C" w14:textId="77777777" w:rsidR="00617D47" w:rsidRPr="0031660F" w:rsidRDefault="00617D47" w:rsidP="00617D47">
      <w:pPr>
        <w:pStyle w:val="Paragraphedeliste"/>
        <w:numPr>
          <w:ilvl w:val="0"/>
          <w:numId w:val="6"/>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lastRenderedPageBreak/>
        <w:t>L'article L.2253-3 du Code du travail consacrant la primauté de l’accord collectif d’entreprise sur l’accord de branche ;</w:t>
      </w:r>
    </w:p>
    <w:p w14:paraId="190FDC8E" w14:textId="77777777" w:rsidR="00617D47" w:rsidRPr="0031660F" w:rsidRDefault="00617D47" w:rsidP="00617D47">
      <w:pPr>
        <w:autoSpaceDE w:val="0"/>
        <w:autoSpaceDN w:val="0"/>
        <w:adjustRightInd w:val="0"/>
        <w:spacing w:after="0" w:line="240" w:lineRule="auto"/>
        <w:jc w:val="both"/>
        <w:rPr>
          <w:rFonts w:ascii="Open Sans" w:eastAsia="Calibri" w:hAnsi="Open Sans" w:cs="Open Sans"/>
        </w:rPr>
      </w:pPr>
    </w:p>
    <w:p w14:paraId="108CEF88" w14:textId="77777777" w:rsidR="00617D47" w:rsidRPr="0031660F" w:rsidRDefault="00617D47" w:rsidP="00617D47">
      <w:pPr>
        <w:pStyle w:val="Paragraphedeliste"/>
        <w:numPr>
          <w:ilvl w:val="0"/>
          <w:numId w:val="6"/>
        </w:num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Les articles L.3121-27 et suivants du Code du travail, relatifs à la durée légale du travail et aux heures supplémentaires, fixant notamment les dispositions d’ordre public, les dispositions supplétives et le champ de la négociation collective et, plus particulièrement, l’article L.3121-33 du Code.</w:t>
      </w:r>
    </w:p>
    <w:p w14:paraId="09CDF3E0" w14:textId="77777777" w:rsidR="00617D47" w:rsidRPr="0031660F" w:rsidRDefault="00617D47" w:rsidP="00617D47">
      <w:pPr>
        <w:autoSpaceDE w:val="0"/>
        <w:autoSpaceDN w:val="0"/>
        <w:adjustRightInd w:val="0"/>
        <w:spacing w:after="0" w:line="240" w:lineRule="auto"/>
        <w:jc w:val="both"/>
        <w:rPr>
          <w:rFonts w:ascii="Open Sans" w:eastAsia="Calibri" w:hAnsi="Open Sans" w:cs="Open Sans"/>
        </w:rPr>
      </w:pPr>
    </w:p>
    <w:p w14:paraId="3D118615" w14:textId="77777777" w:rsidR="00617D47" w:rsidRPr="0031660F" w:rsidRDefault="00617D47" w:rsidP="00617D47">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Conformément aux dispositions en vigueur, le présent accord prévaut sur les dispositions conventionnelles de branche applicables et ayant le même objet.</w:t>
      </w:r>
    </w:p>
    <w:p w14:paraId="6451A5D3" w14:textId="77777777" w:rsidR="00617D47" w:rsidRPr="0031660F" w:rsidRDefault="00617D47" w:rsidP="00617D47">
      <w:pPr>
        <w:autoSpaceDE w:val="0"/>
        <w:autoSpaceDN w:val="0"/>
        <w:adjustRightInd w:val="0"/>
        <w:spacing w:after="0" w:line="240" w:lineRule="auto"/>
        <w:jc w:val="both"/>
        <w:rPr>
          <w:rFonts w:ascii="Open Sans" w:eastAsia="Calibri" w:hAnsi="Open Sans" w:cs="Open Sans"/>
        </w:rPr>
      </w:pPr>
    </w:p>
    <w:p w14:paraId="2B537375" w14:textId="77777777" w:rsidR="00617D47" w:rsidRPr="0031660F" w:rsidRDefault="00617D47" w:rsidP="00617D47">
      <w:pPr>
        <w:autoSpaceDE w:val="0"/>
        <w:autoSpaceDN w:val="0"/>
        <w:adjustRightInd w:val="0"/>
        <w:spacing w:after="0" w:line="240" w:lineRule="auto"/>
        <w:jc w:val="both"/>
        <w:rPr>
          <w:rFonts w:ascii="Open Sans" w:eastAsia="Calibri" w:hAnsi="Open Sans" w:cs="Open Sans"/>
        </w:rPr>
      </w:pPr>
      <w:r w:rsidRPr="0031660F">
        <w:rPr>
          <w:rFonts w:ascii="Open Sans" w:eastAsia="Calibri" w:hAnsi="Open Sans" w:cs="Open Sans"/>
        </w:rPr>
        <w:t>Il est toutefois précisé que, en cas de modification importante des dispositions légales pouvant avoir un impact significatif sur le présent accord, les parties conviennent de se rencontrer afin d’adapter l’accord, si nécessaire, au nouveau dispositif légal.</w:t>
      </w:r>
    </w:p>
    <w:p w14:paraId="3B81273F" w14:textId="77777777" w:rsidR="00617D47" w:rsidRPr="0031660F" w:rsidRDefault="00617D47" w:rsidP="00617D47">
      <w:pPr>
        <w:autoSpaceDE w:val="0"/>
        <w:autoSpaceDN w:val="0"/>
        <w:adjustRightInd w:val="0"/>
        <w:spacing w:after="0" w:line="240" w:lineRule="auto"/>
        <w:jc w:val="both"/>
        <w:rPr>
          <w:rFonts w:ascii="Open Sans" w:eastAsia="Calibri" w:hAnsi="Open Sans" w:cs="Open Sans"/>
        </w:rPr>
      </w:pPr>
    </w:p>
    <w:p w14:paraId="64CB6A43" w14:textId="77777777" w:rsidR="00617D47" w:rsidRPr="00854908" w:rsidRDefault="00617D47" w:rsidP="00617D47">
      <w:pPr>
        <w:pStyle w:val="Style1"/>
      </w:pPr>
      <w:bookmarkStart w:id="2" w:name="_Toc210722301"/>
      <w:r w:rsidRPr="00854908">
        <w:t>Article 2 – Objet du présent accord</w:t>
      </w:r>
      <w:bookmarkEnd w:id="2"/>
    </w:p>
    <w:p w14:paraId="6AB86607" w14:textId="77777777" w:rsidR="00617D47" w:rsidRPr="00CA4A8C" w:rsidRDefault="00617D47" w:rsidP="00617D47">
      <w:pPr>
        <w:autoSpaceDE w:val="0"/>
        <w:autoSpaceDN w:val="0"/>
        <w:adjustRightInd w:val="0"/>
        <w:spacing w:after="0" w:line="240" w:lineRule="auto"/>
        <w:jc w:val="both"/>
        <w:rPr>
          <w:rFonts w:ascii="Open Sans" w:hAnsi="Open Sans" w:cs="Open Sans"/>
        </w:rPr>
      </w:pPr>
      <w:r w:rsidRPr="00CA4A8C">
        <w:rPr>
          <w:rFonts w:ascii="Open Sans" w:hAnsi="Open Sans" w:cs="Open Sans"/>
        </w:rPr>
        <w:t>Le présent accord a pour objet de déterminer le contingent annuel des heures supplémentaires qui peut être effectué par l’ensemble des salariés de la société.</w:t>
      </w:r>
    </w:p>
    <w:p w14:paraId="3F2F04A4" w14:textId="77777777" w:rsidR="00617D47" w:rsidRPr="00CA4A8C" w:rsidRDefault="00617D47" w:rsidP="00617D47">
      <w:pPr>
        <w:autoSpaceDE w:val="0"/>
        <w:autoSpaceDN w:val="0"/>
        <w:adjustRightInd w:val="0"/>
        <w:spacing w:after="0" w:line="240" w:lineRule="auto"/>
        <w:jc w:val="both"/>
        <w:rPr>
          <w:rFonts w:ascii="Open Sans" w:hAnsi="Open Sans" w:cs="Open Sans"/>
        </w:rPr>
      </w:pPr>
    </w:p>
    <w:p w14:paraId="09D1E937" w14:textId="77777777" w:rsidR="00617D47" w:rsidRPr="006E6CE6" w:rsidRDefault="00617D47" w:rsidP="00617D47">
      <w:pPr>
        <w:autoSpaceDE w:val="0"/>
        <w:autoSpaceDN w:val="0"/>
        <w:adjustRightInd w:val="0"/>
        <w:spacing w:after="0" w:line="240" w:lineRule="auto"/>
        <w:jc w:val="both"/>
        <w:rPr>
          <w:rFonts w:ascii="Open Sans" w:hAnsi="Open Sans" w:cs="Open Sans"/>
        </w:rPr>
      </w:pPr>
      <w:r w:rsidRPr="00CA4A8C">
        <w:rPr>
          <w:rFonts w:ascii="Open Sans" w:hAnsi="Open Sans" w:cs="Open Sans"/>
        </w:rPr>
        <w:t>Il définit le nombre d’heures supplémentaires qui constitue ledit contingent, les modalités dans lesquelles il y sera recouru ainsi que les contreparties auxquelles il pourra donner lieu.</w:t>
      </w:r>
    </w:p>
    <w:p w14:paraId="54EC8A18" w14:textId="77777777" w:rsidR="00617D47" w:rsidRPr="00FA0DE9" w:rsidRDefault="00617D47" w:rsidP="00617D47">
      <w:pPr>
        <w:pStyle w:val="Style1"/>
      </w:pPr>
      <w:bookmarkStart w:id="3" w:name="_Toc210722302"/>
      <w:r w:rsidRPr="00FA0DE9">
        <w:t xml:space="preserve">Article 3 – </w:t>
      </w:r>
      <w:r>
        <w:t>Champ d’application</w:t>
      </w:r>
      <w:bookmarkEnd w:id="3"/>
    </w:p>
    <w:p w14:paraId="117A8D85" w14:textId="1A795A16" w:rsidR="00617D47" w:rsidRPr="00CA4A8C" w:rsidRDefault="00617D47" w:rsidP="00617D47">
      <w:pPr>
        <w:autoSpaceDE w:val="0"/>
        <w:autoSpaceDN w:val="0"/>
        <w:adjustRightInd w:val="0"/>
        <w:spacing w:after="0"/>
        <w:jc w:val="both"/>
        <w:rPr>
          <w:rFonts w:ascii="Open Sans" w:hAnsi="Open Sans" w:cs="Open Sans"/>
        </w:rPr>
      </w:pPr>
      <w:r w:rsidRPr="00CA4A8C">
        <w:rPr>
          <w:rFonts w:ascii="Open Sans" w:hAnsi="Open Sans" w:cs="Open Sans"/>
        </w:rPr>
        <w:t xml:space="preserve">Le présent accord concerne </w:t>
      </w:r>
      <w:r w:rsidRPr="00CA4A8C">
        <w:rPr>
          <w:rFonts w:ascii="Open Sans" w:hAnsi="Open Sans" w:cs="Open Sans"/>
          <w:u w:val="single"/>
        </w:rPr>
        <w:t>l’ensemble des salariés à temps complet</w:t>
      </w:r>
      <w:r w:rsidRPr="00CA4A8C">
        <w:rPr>
          <w:rFonts w:ascii="Open Sans" w:hAnsi="Open Sans" w:cs="Open Sans"/>
        </w:rPr>
        <w:t xml:space="preserve">, cadres et non-cadres, liés à la société </w:t>
      </w:r>
      <w:r>
        <w:rPr>
          <w:rFonts w:ascii="Open Sans" w:hAnsi="Open Sans" w:cs="Open Sans"/>
        </w:rPr>
        <w:t xml:space="preserve">SARL </w:t>
      </w:r>
      <w:r w:rsidRPr="00617D47">
        <w:rPr>
          <w:rFonts w:ascii="Open Sans" w:hAnsi="Open Sans" w:cs="Open Sans"/>
        </w:rPr>
        <w:t>ATELIER IZF</w:t>
      </w:r>
      <w:r>
        <w:rPr>
          <w:rFonts w:ascii="Open Sans" w:hAnsi="Open Sans" w:cs="Open Sans"/>
        </w:rPr>
        <w:t xml:space="preserve"> </w:t>
      </w:r>
      <w:r w:rsidRPr="00CA4A8C">
        <w:rPr>
          <w:rFonts w:ascii="Open Sans" w:hAnsi="Open Sans" w:cs="Open Sans"/>
        </w:rPr>
        <w:t>par un contrat de travail quelle qu’en soit la nature (contrats à durée indéterminée ou à durée déterminée), sous réserve de dispositions spécifiques à certains d’entre eux.</w:t>
      </w:r>
    </w:p>
    <w:p w14:paraId="2593CFC8" w14:textId="77777777" w:rsidR="00617D47" w:rsidRPr="00CA4A8C" w:rsidRDefault="00617D47" w:rsidP="00617D47">
      <w:pPr>
        <w:autoSpaceDE w:val="0"/>
        <w:autoSpaceDN w:val="0"/>
        <w:adjustRightInd w:val="0"/>
        <w:spacing w:after="0"/>
        <w:jc w:val="both"/>
        <w:rPr>
          <w:rFonts w:ascii="Open Sans" w:hAnsi="Open Sans" w:cs="Open Sans"/>
        </w:rPr>
      </w:pPr>
    </w:p>
    <w:p w14:paraId="3296E26E" w14:textId="77777777" w:rsidR="00617D47" w:rsidRPr="00CA4A8C" w:rsidRDefault="00617D47" w:rsidP="00617D47">
      <w:pPr>
        <w:autoSpaceDE w:val="0"/>
        <w:autoSpaceDN w:val="0"/>
        <w:adjustRightInd w:val="0"/>
        <w:spacing w:after="0"/>
        <w:jc w:val="both"/>
        <w:rPr>
          <w:rFonts w:ascii="Open Sans" w:hAnsi="Open Sans" w:cs="Open Sans"/>
        </w:rPr>
      </w:pPr>
      <w:r w:rsidRPr="00CA4A8C">
        <w:rPr>
          <w:rFonts w:ascii="Open Sans" w:hAnsi="Open Sans" w:cs="Open Sans"/>
        </w:rPr>
        <w:t>Il exclut ainsi les salariés titulaires d’un contrat de travail à temps partiel, qui ne sont pas amenés à effectuer des heures supplémentaires stricto sensu.</w:t>
      </w:r>
    </w:p>
    <w:p w14:paraId="61796755" w14:textId="77777777" w:rsidR="00617D47" w:rsidRPr="00CA4A8C" w:rsidRDefault="00617D47" w:rsidP="00617D47">
      <w:pPr>
        <w:autoSpaceDE w:val="0"/>
        <w:autoSpaceDN w:val="0"/>
        <w:adjustRightInd w:val="0"/>
        <w:spacing w:after="0"/>
        <w:jc w:val="both"/>
        <w:rPr>
          <w:rFonts w:ascii="Open Sans" w:hAnsi="Open Sans" w:cs="Open Sans"/>
        </w:rPr>
      </w:pPr>
    </w:p>
    <w:p w14:paraId="097E0BC3" w14:textId="77777777" w:rsidR="00617D47" w:rsidRDefault="00617D47" w:rsidP="00617D47">
      <w:pPr>
        <w:autoSpaceDE w:val="0"/>
        <w:autoSpaceDN w:val="0"/>
        <w:adjustRightInd w:val="0"/>
        <w:spacing w:after="0"/>
        <w:jc w:val="both"/>
        <w:rPr>
          <w:rFonts w:ascii="Open Sans" w:hAnsi="Open Sans" w:cs="Open Sans"/>
        </w:rPr>
      </w:pPr>
      <w:r w:rsidRPr="00CA4A8C">
        <w:rPr>
          <w:rFonts w:ascii="Open Sans" w:hAnsi="Open Sans" w:cs="Open Sans"/>
        </w:rPr>
        <w:t>En outre, il ne s’applique pas :</w:t>
      </w:r>
    </w:p>
    <w:p w14:paraId="4395F030" w14:textId="77777777" w:rsidR="00617D47" w:rsidRPr="00CA4A8C" w:rsidRDefault="00617D47" w:rsidP="00617D47">
      <w:pPr>
        <w:autoSpaceDE w:val="0"/>
        <w:autoSpaceDN w:val="0"/>
        <w:adjustRightInd w:val="0"/>
        <w:spacing w:after="0"/>
        <w:jc w:val="both"/>
        <w:rPr>
          <w:rFonts w:ascii="Open Sans" w:hAnsi="Open Sans" w:cs="Open Sans"/>
        </w:rPr>
      </w:pPr>
    </w:p>
    <w:p w14:paraId="6A2C2BB0" w14:textId="77777777" w:rsidR="00617D47" w:rsidRPr="00CA4A8C" w:rsidRDefault="00617D47" w:rsidP="00617D47">
      <w:pPr>
        <w:pStyle w:val="Paragraphedeliste"/>
        <w:widowControl w:val="0"/>
        <w:numPr>
          <w:ilvl w:val="0"/>
          <w:numId w:val="5"/>
        </w:numPr>
        <w:tabs>
          <w:tab w:val="num" w:pos="720"/>
        </w:tabs>
        <w:autoSpaceDE w:val="0"/>
        <w:autoSpaceDN w:val="0"/>
        <w:adjustRightInd w:val="0"/>
        <w:spacing w:after="0" w:line="240" w:lineRule="auto"/>
        <w:contextualSpacing w:val="0"/>
        <w:jc w:val="both"/>
        <w:rPr>
          <w:rFonts w:ascii="Open Sans" w:hAnsi="Open Sans" w:cs="Open Sans"/>
        </w:rPr>
      </w:pPr>
      <w:r w:rsidRPr="00CA4A8C">
        <w:rPr>
          <w:rFonts w:ascii="Open Sans" w:hAnsi="Open Sans" w:cs="Open Sans"/>
        </w:rPr>
        <w:t>Aux salariés qui bénéficient d’une convention individuelle annuelle de forfait en jours ou en heures, qui ne sont pas soumis à la législation sur les heures supplémentaires ;</w:t>
      </w:r>
    </w:p>
    <w:p w14:paraId="3B94FF5D" w14:textId="77777777" w:rsidR="00617D47" w:rsidRDefault="00617D47" w:rsidP="00617D47">
      <w:pPr>
        <w:pStyle w:val="Paragraphedeliste"/>
        <w:widowControl w:val="0"/>
        <w:numPr>
          <w:ilvl w:val="0"/>
          <w:numId w:val="5"/>
        </w:numPr>
        <w:tabs>
          <w:tab w:val="num" w:pos="720"/>
        </w:tabs>
        <w:autoSpaceDE w:val="0"/>
        <w:autoSpaceDN w:val="0"/>
        <w:adjustRightInd w:val="0"/>
        <w:spacing w:after="0" w:line="240" w:lineRule="auto"/>
        <w:contextualSpacing w:val="0"/>
        <w:jc w:val="both"/>
        <w:rPr>
          <w:rFonts w:ascii="Open Sans" w:hAnsi="Open Sans" w:cs="Open Sans"/>
        </w:rPr>
      </w:pPr>
      <w:r w:rsidRPr="00CA4A8C">
        <w:rPr>
          <w:rFonts w:ascii="Open Sans" w:hAnsi="Open Sans" w:cs="Open Sans"/>
        </w:rPr>
        <w:t>Aux cadres dirigeants, qui ne sont, quant à eux, pas soumis à la législation sur la durée du travail.</w:t>
      </w:r>
    </w:p>
    <w:p w14:paraId="5E15795C" w14:textId="77777777" w:rsidR="00617D47" w:rsidRDefault="00617D47" w:rsidP="00617D47">
      <w:pPr>
        <w:widowControl w:val="0"/>
        <w:tabs>
          <w:tab w:val="num" w:pos="720"/>
        </w:tabs>
        <w:autoSpaceDE w:val="0"/>
        <w:autoSpaceDN w:val="0"/>
        <w:adjustRightInd w:val="0"/>
        <w:spacing w:after="0" w:line="240" w:lineRule="auto"/>
        <w:jc w:val="both"/>
        <w:rPr>
          <w:rFonts w:ascii="Open Sans" w:hAnsi="Open Sans" w:cs="Open Sans"/>
        </w:rPr>
      </w:pPr>
    </w:p>
    <w:p w14:paraId="78DDB1CF" w14:textId="77777777" w:rsidR="00617D47" w:rsidRDefault="00617D47" w:rsidP="00617D47">
      <w:pPr>
        <w:widowControl w:val="0"/>
        <w:tabs>
          <w:tab w:val="num" w:pos="720"/>
        </w:tabs>
        <w:autoSpaceDE w:val="0"/>
        <w:autoSpaceDN w:val="0"/>
        <w:adjustRightInd w:val="0"/>
        <w:spacing w:after="0" w:line="240" w:lineRule="auto"/>
        <w:jc w:val="both"/>
        <w:rPr>
          <w:rFonts w:ascii="Open Sans" w:hAnsi="Open Sans" w:cs="Open Sans"/>
        </w:rPr>
      </w:pPr>
    </w:p>
    <w:p w14:paraId="6BFB47E9" w14:textId="77777777" w:rsidR="00617D47" w:rsidRPr="00CA18DB" w:rsidRDefault="00617D47" w:rsidP="00617D47">
      <w:pPr>
        <w:pStyle w:val="Style1"/>
      </w:pPr>
      <w:bookmarkStart w:id="4" w:name="_Toc210722303"/>
      <w:r>
        <w:lastRenderedPageBreak/>
        <w:t>A</w:t>
      </w:r>
      <w:r w:rsidRPr="00CA18DB">
        <w:t xml:space="preserve">rticle </w:t>
      </w:r>
      <w:r>
        <w:t>4</w:t>
      </w:r>
      <w:r w:rsidRPr="00CA18DB">
        <w:t xml:space="preserve"> – </w:t>
      </w:r>
      <w:r>
        <w:t>Définition du temps de travail effectif</w:t>
      </w:r>
      <w:bookmarkEnd w:id="4"/>
    </w:p>
    <w:p w14:paraId="22029D46" w14:textId="77777777" w:rsidR="00617D47" w:rsidRDefault="00617D47" w:rsidP="00617D47">
      <w:pPr>
        <w:autoSpaceDE w:val="0"/>
        <w:autoSpaceDN w:val="0"/>
        <w:adjustRightInd w:val="0"/>
        <w:spacing w:after="0"/>
        <w:jc w:val="both"/>
        <w:rPr>
          <w:rFonts w:ascii="Open Sans" w:hAnsi="Open Sans" w:cs="Open Sans"/>
        </w:rPr>
      </w:pPr>
      <w:r w:rsidRPr="0031375D">
        <w:rPr>
          <w:rFonts w:ascii="Open Sans" w:hAnsi="Open Sans" w:cs="Open Sans"/>
        </w:rPr>
        <w:t>Le temps de travail effectif doit s’entendre du temps pendant lequel le salarié est à la disposition de son employeur et doit se conformer à ses directives sans pouvoir vaquer librement à des occupations personnelles (article L. 3121-1 du Code du travail).</w:t>
      </w:r>
    </w:p>
    <w:p w14:paraId="595841FF" w14:textId="77777777" w:rsidR="00617D47" w:rsidRPr="0031375D" w:rsidRDefault="00617D47" w:rsidP="00617D47">
      <w:pPr>
        <w:autoSpaceDE w:val="0"/>
        <w:autoSpaceDN w:val="0"/>
        <w:adjustRightInd w:val="0"/>
        <w:spacing w:after="0"/>
        <w:jc w:val="both"/>
        <w:rPr>
          <w:rFonts w:ascii="Open Sans" w:hAnsi="Open Sans" w:cs="Open Sans"/>
        </w:rPr>
      </w:pPr>
    </w:p>
    <w:p w14:paraId="29E8BCFD" w14:textId="77777777" w:rsidR="00617D47" w:rsidRDefault="00617D47" w:rsidP="00617D47">
      <w:pPr>
        <w:autoSpaceDE w:val="0"/>
        <w:autoSpaceDN w:val="0"/>
        <w:adjustRightInd w:val="0"/>
        <w:spacing w:after="0"/>
        <w:jc w:val="both"/>
        <w:rPr>
          <w:rFonts w:ascii="Open Sans" w:hAnsi="Open Sans" w:cs="Open Sans"/>
        </w:rPr>
      </w:pPr>
      <w:r w:rsidRPr="0031375D">
        <w:rPr>
          <w:rFonts w:ascii="Open Sans" w:hAnsi="Open Sans" w:cs="Open Sans"/>
        </w:rPr>
        <w:t>Cette définition permet :</w:t>
      </w:r>
    </w:p>
    <w:p w14:paraId="60A6F838" w14:textId="77777777" w:rsidR="00617D47" w:rsidRPr="0031375D" w:rsidRDefault="00617D47" w:rsidP="00617D47">
      <w:pPr>
        <w:autoSpaceDE w:val="0"/>
        <w:autoSpaceDN w:val="0"/>
        <w:adjustRightInd w:val="0"/>
        <w:spacing w:after="0"/>
        <w:jc w:val="both"/>
        <w:rPr>
          <w:rFonts w:ascii="Open Sans" w:hAnsi="Open Sans" w:cs="Open Sans"/>
        </w:rPr>
      </w:pPr>
    </w:p>
    <w:p w14:paraId="008D7309" w14:textId="77777777" w:rsidR="00617D47" w:rsidRPr="0031375D" w:rsidRDefault="00617D47" w:rsidP="00617D47">
      <w:pPr>
        <w:pStyle w:val="Paragraphedeliste"/>
        <w:numPr>
          <w:ilvl w:val="0"/>
          <w:numId w:val="7"/>
        </w:numPr>
        <w:autoSpaceDE w:val="0"/>
        <w:autoSpaceDN w:val="0"/>
        <w:adjustRightInd w:val="0"/>
        <w:spacing w:after="0"/>
        <w:jc w:val="both"/>
        <w:rPr>
          <w:rFonts w:ascii="Open Sans" w:hAnsi="Open Sans" w:cs="Open Sans"/>
        </w:rPr>
      </w:pPr>
      <w:r w:rsidRPr="0031375D">
        <w:rPr>
          <w:rFonts w:ascii="Open Sans" w:hAnsi="Open Sans" w:cs="Open Sans"/>
        </w:rPr>
        <w:t>De calculer le temps de travail effectif réalisé par chaque salarié et par voie de conséquence les éventuelles heures supplémentaires réalisées au cours d’une semaine</w:t>
      </w:r>
    </w:p>
    <w:p w14:paraId="4D82C8F5" w14:textId="77777777" w:rsidR="00617D47" w:rsidRPr="0031375D" w:rsidRDefault="00617D47" w:rsidP="00617D47">
      <w:pPr>
        <w:pStyle w:val="Paragraphedeliste"/>
        <w:numPr>
          <w:ilvl w:val="0"/>
          <w:numId w:val="7"/>
        </w:numPr>
        <w:autoSpaceDE w:val="0"/>
        <w:autoSpaceDN w:val="0"/>
        <w:adjustRightInd w:val="0"/>
        <w:spacing w:after="0"/>
        <w:jc w:val="both"/>
        <w:rPr>
          <w:rFonts w:ascii="Open Sans" w:hAnsi="Open Sans" w:cs="Open Sans"/>
        </w:rPr>
      </w:pPr>
      <w:r w:rsidRPr="0031375D">
        <w:rPr>
          <w:rFonts w:ascii="Open Sans" w:hAnsi="Open Sans" w:cs="Open Sans"/>
        </w:rPr>
        <w:t>Et de vérifier notamment le respect des durées maximales de travail.</w:t>
      </w:r>
    </w:p>
    <w:p w14:paraId="2D642AAF" w14:textId="77777777" w:rsidR="00617D47" w:rsidRPr="0031375D" w:rsidRDefault="00617D47" w:rsidP="00617D47">
      <w:pPr>
        <w:pStyle w:val="Section1"/>
      </w:pPr>
      <w:bookmarkStart w:id="5" w:name="_Toc210722304"/>
      <w:r>
        <w:t xml:space="preserve">Article </w:t>
      </w:r>
      <w:r w:rsidRPr="0031375D">
        <w:t>4</w:t>
      </w:r>
      <w:r>
        <w:t>-</w:t>
      </w:r>
      <w:r w:rsidRPr="0031375D">
        <w:t>1 Temps de pause</w:t>
      </w:r>
      <w:bookmarkEnd w:id="5"/>
    </w:p>
    <w:p w14:paraId="76C64C0B" w14:textId="77777777" w:rsidR="00617D47" w:rsidRPr="0031375D" w:rsidRDefault="00617D47" w:rsidP="00617D47">
      <w:pPr>
        <w:autoSpaceDE w:val="0"/>
        <w:autoSpaceDN w:val="0"/>
        <w:adjustRightInd w:val="0"/>
        <w:spacing w:after="0"/>
        <w:jc w:val="both"/>
        <w:rPr>
          <w:rFonts w:ascii="Open Sans" w:hAnsi="Open Sans" w:cs="Open Sans"/>
        </w:rPr>
      </w:pPr>
      <w:r w:rsidRPr="0031375D">
        <w:rPr>
          <w:rFonts w:ascii="Open Sans" w:hAnsi="Open Sans" w:cs="Open Sans"/>
        </w:rPr>
        <w:t>Le temps nécessaire à la restauration ainsi que les temps consacrés aux pauses ne sont donc pas considérés comme du temps de travail effectif (puisque chaque salarié peut vaquer librement à ses occupations personnelles). Ils ne sont par conséquent pas comptabilisés dans le temps de travail effectif de chaque salarié</w:t>
      </w:r>
      <w:r>
        <w:rPr>
          <w:rFonts w:ascii="Open Sans" w:hAnsi="Open Sans" w:cs="Open Sans"/>
        </w:rPr>
        <w:t>.</w:t>
      </w:r>
    </w:p>
    <w:p w14:paraId="30604559" w14:textId="77777777" w:rsidR="00617D47" w:rsidRPr="0031375D" w:rsidRDefault="00617D47" w:rsidP="00617D47">
      <w:pPr>
        <w:pStyle w:val="Section1"/>
      </w:pPr>
      <w:bookmarkStart w:id="6" w:name="_Toc210722305"/>
      <w:r>
        <w:t xml:space="preserve">Article 4-2 </w:t>
      </w:r>
      <w:r w:rsidRPr="0031375D">
        <w:t>Temps de déplacement</w:t>
      </w:r>
      <w:bookmarkEnd w:id="6"/>
    </w:p>
    <w:p w14:paraId="78512AD7" w14:textId="77777777" w:rsidR="00617D47" w:rsidRPr="0031375D" w:rsidRDefault="00617D47" w:rsidP="00617D47">
      <w:pPr>
        <w:autoSpaceDE w:val="0"/>
        <w:autoSpaceDN w:val="0"/>
        <w:adjustRightInd w:val="0"/>
        <w:spacing w:after="0"/>
        <w:jc w:val="both"/>
        <w:rPr>
          <w:rFonts w:ascii="Open Sans" w:hAnsi="Open Sans" w:cs="Open Sans"/>
        </w:rPr>
      </w:pPr>
    </w:p>
    <w:p w14:paraId="5CE56D32" w14:textId="77777777" w:rsidR="00617D47" w:rsidRPr="0031375D" w:rsidRDefault="00617D47" w:rsidP="00617D47">
      <w:pPr>
        <w:autoSpaceDE w:val="0"/>
        <w:autoSpaceDN w:val="0"/>
        <w:adjustRightInd w:val="0"/>
        <w:spacing w:after="0"/>
        <w:jc w:val="both"/>
        <w:rPr>
          <w:rFonts w:ascii="Open Sans" w:hAnsi="Open Sans" w:cs="Open Sans"/>
        </w:rPr>
      </w:pPr>
      <w:r w:rsidRPr="0031375D">
        <w:rPr>
          <w:rFonts w:ascii="Open Sans" w:hAnsi="Open Sans" w:cs="Open Sans"/>
        </w:rPr>
        <w:t>De même, le temps de déplacement professionnel pour se rendre sur le lieu d’exécution du contrat de travail n’est pas un temps de travail effectif (article L. 3121-4 du Code du travail).</w:t>
      </w:r>
    </w:p>
    <w:p w14:paraId="689AF100" w14:textId="77777777" w:rsidR="00617D47" w:rsidRPr="0031375D" w:rsidRDefault="00617D47" w:rsidP="00617D47">
      <w:pPr>
        <w:autoSpaceDE w:val="0"/>
        <w:autoSpaceDN w:val="0"/>
        <w:adjustRightInd w:val="0"/>
        <w:spacing w:after="0"/>
        <w:jc w:val="both"/>
        <w:rPr>
          <w:rFonts w:ascii="Open Sans" w:hAnsi="Open Sans" w:cs="Open Sans"/>
        </w:rPr>
      </w:pPr>
    </w:p>
    <w:p w14:paraId="1B1C850A" w14:textId="77777777" w:rsidR="00617D47" w:rsidRDefault="00617D47" w:rsidP="00617D47">
      <w:pPr>
        <w:autoSpaceDE w:val="0"/>
        <w:autoSpaceDN w:val="0"/>
        <w:adjustRightInd w:val="0"/>
        <w:spacing w:after="0"/>
        <w:jc w:val="both"/>
        <w:rPr>
          <w:rFonts w:ascii="Open Sans" w:hAnsi="Open Sans" w:cs="Open Sans"/>
        </w:rPr>
      </w:pPr>
      <w:r w:rsidRPr="0031375D">
        <w:rPr>
          <w:rFonts w:ascii="Open Sans" w:hAnsi="Open Sans" w:cs="Open Sans"/>
        </w:rPr>
        <w:t>Toutefois, s'il dépasse le temps normal de trajet entre le domicile et le lieu habituel de travail, il fait l'objet d'une contrepartie. Ainsi, tout temps de déplacement en dehors de l’horaire de travail au-delà du temps de trajet habituel du salarié fera l’objet d’une assimilation à du temps de travail effectif. Il est tenu compte pour le calcul du temps de trajet habituel :</w:t>
      </w:r>
    </w:p>
    <w:p w14:paraId="302883A9" w14:textId="77777777" w:rsidR="00617D47" w:rsidRDefault="00617D47" w:rsidP="00617D47">
      <w:pPr>
        <w:autoSpaceDE w:val="0"/>
        <w:autoSpaceDN w:val="0"/>
        <w:adjustRightInd w:val="0"/>
        <w:spacing w:after="0"/>
        <w:jc w:val="both"/>
        <w:rPr>
          <w:rFonts w:ascii="Open Sans" w:hAnsi="Open Sans" w:cs="Open Sans"/>
        </w:rPr>
      </w:pPr>
    </w:p>
    <w:p w14:paraId="1D4FB89F" w14:textId="77777777" w:rsidR="00617D47" w:rsidRPr="0031375D" w:rsidRDefault="00617D47" w:rsidP="00617D47">
      <w:pPr>
        <w:pStyle w:val="Paragraphedeliste"/>
        <w:numPr>
          <w:ilvl w:val="0"/>
          <w:numId w:val="8"/>
        </w:numPr>
        <w:autoSpaceDE w:val="0"/>
        <w:autoSpaceDN w:val="0"/>
        <w:adjustRightInd w:val="0"/>
        <w:spacing w:after="0"/>
        <w:jc w:val="both"/>
        <w:rPr>
          <w:rFonts w:ascii="Open Sans" w:hAnsi="Open Sans" w:cs="Open Sans"/>
        </w:rPr>
      </w:pPr>
      <w:r w:rsidRPr="0031375D">
        <w:rPr>
          <w:rFonts w:ascii="Open Sans" w:hAnsi="Open Sans" w:cs="Open Sans"/>
        </w:rPr>
        <w:t>Du domicile déclaré par le salarié sur son bulletin de paye,</w:t>
      </w:r>
    </w:p>
    <w:p w14:paraId="166A7784" w14:textId="77777777" w:rsidR="00617D47" w:rsidRPr="0031375D" w:rsidRDefault="00617D47" w:rsidP="00617D47">
      <w:pPr>
        <w:pStyle w:val="Paragraphedeliste"/>
        <w:numPr>
          <w:ilvl w:val="0"/>
          <w:numId w:val="8"/>
        </w:numPr>
        <w:autoSpaceDE w:val="0"/>
        <w:autoSpaceDN w:val="0"/>
        <w:adjustRightInd w:val="0"/>
        <w:spacing w:after="0"/>
        <w:jc w:val="both"/>
        <w:rPr>
          <w:rFonts w:ascii="Open Sans" w:hAnsi="Open Sans" w:cs="Open Sans"/>
        </w:rPr>
      </w:pPr>
      <w:r w:rsidRPr="0031375D">
        <w:rPr>
          <w:rFonts w:ascii="Open Sans" w:hAnsi="Open Sans" w:cs="Open Sans"/>
        </w:rPr>
        <w:t>De l’adresse de l’établissement sur lequel le salarié est affecté.</w:t>
      </w:r>
    </w:p>
    <w:p w14:paraId="0D77CEEF" w14:textId="77777777" w:rsidR="00617D47" w:rsidRPr="00EC7C29" w:rsidRDefault="00617D47" w:rsidP="00617D47">
      <w:pPr>
        <w:pStyle w:val="Section1"/>
      </w:pPr>
      <w:bookmarkStart w:id="7" w:name="_Toc210722306"/>
      <w:r w:rsidRPr="00EC7C29">
        <w:t xml:space="preserve">Article </w:t>
      </w:r>
      <w:r>
        <w:t>4-3</w:t>
      </w:r>
      <w:r w:rsidRPr="00EC7C29">
        <w:t> : Durée maximale quotidienne</w:t>
      </w:r>
      <w:r>
        <w:t xml:space="preserve"> et repos</w:t>
      </w:r>
      <w:bookmarkEnd w:id="7"/>
    </w:p>
    <w:p w14:paraId="484A6158" w14:textId="77777777" w:rsidR="00617D47" w:rsidRPr="002B2297" w:rsidRDefault="00617D47" w:rsidP="00617D47">
      <w:pPr>
        <w:jc w:val="both"/>
        <w:rPr>
          <w:rFonts w:ascii="Open Sans" w:hAnsi="Open Sans" w:cs="Open Sans"/>
        </w:rPr>
      </w:pPr>
      <w:r w:rsidRPr="002B2297">
        <w:rPr>
          <w:rFonts w:ascii="Open Sans" w:hAnsi="Open Sans" w:cs="Open Sans"/>
        </w:rPr>
        <w:t xml:space="preserve">Le temps de travail effectif ne doit pas dépasser la durée maximale de 10 heures pouvant être portée à 12 heures par jour, en cas d’activité accrue ou pour des motifs liés à l’organisation de l’entreprise. </w:t>
      </w:r>
    </w:p>
    <w:p w14:paraId="6885417C" w14:textId="49530B49" w:rsidR="00617D47" w:rsidRPr="002B2297" w:rsidRDefault="00617D47" w:rsidP="00617D47">
      <w:pPr>
        <w:jc w:val="both"/>
        <w:rPr>
          <w:rFonts w:ascii="Open Sans" w:hAnsi="Open Sans" w:cs="Open Sans"/>
          <w:bCs/>
        </w:rPr>
      </w:pPr>
      <w:r w:rsidRPr="002B2297">
        <w:rPr>
          <w:rFonts w:ascii="Open Sans" w:hAnsi="Open Sans" w:cs="Open Sans"/>
          <w:bCs/>
        </w:rPr>
        <w:t xml:space="preserve">La </w:t>
      </w:r>
      <w:r w:rsidRPr="002B2297">
        <w:rPr>
          <w:rFonts w:ascii="Open Sans" w:hAnsi="Open Sans" w:cs="Open Sans"/>
        </w:rPr>
        <w:t xml:space="preserve">Société </w:t>
      </w:r>
      <w:r>
        <w:rPr>
          <w:rFonts w:ascii="Open Sans" w:hAnsi="Open Sans" w:cs="Open Sans"/>
        </w:rPr>
        <w:t xml:space="preserve">SARL </w:t>
      </w:r>
      <w:r w:rsidRPr="00617D47">
        <w:rPr>
          <w:rFonts w:ascii="Open Sans" w:hAnsi="Open Sans" w:cs="Open Sans"/>
        </w:rPr>
        <w:t>ATELIER IZF</w:t>
      </w:r>
      <w:r>
        <w:rPr>
          <w:rFonts w:ascii="Open Sans" w:hAnsi="Open Sans" w:cs="Open Sans"/>
        </w:rPr>
        <w:t xml:space="preserve"> </w:t>
      </w:r>
      <w:r w:rsidRPr="002B2297">
        <w:rPr>
          <w:rFonts w:ascii="Open Sans" w:hAnsi="Open Sans" w:cs="Open Sans"/>
          <w:bCs/>
        </w:rPr>
        <w:t>s’oblige à respecter en toute circonstance ces dispositions.</w:t>
      </w:r>
    </w:p>
    <w:p w14:paraId="5B2E2E0D" w14:textId="77777777" w:rsidR="00617D47" w:rsidRPr="002B2297" w:rsidRDefault="00617D47" w:rsidP="00617D47">
      <w:pPr>
        <w:pStyle w:val="Section1"/>
      </w:pPr>
      <w:bookmarkStart w:id="8" w:name="_Toc210722307"/>
      <w:r w:rsidRPr="002B2297">
        <w:lastRenderedPageBreak/>
        <w:t>Article 4-4 : Durée maximale hebdomadaire et repos</w:t>
      </w:r>
      <w:bookmarkEnd w:id="8"/>
    </w:p>
    <w:p w14:paraId="15A99A2B" w14:textId="77777777" w:rsidR="00617D47" w:rsidRPr="002B2297" w:rsidRDefault="00617D47" w:rsidP="00617D47">
      <w:pPr>
        <w:jc w:val="both"/>
        <w:rPr>
          <w:rFonts w:ascii="Open Sans" w:hAnsi="Open Sans" w:cs="Open Sans"/>
        </w:rPr>
      </w:pPr>
      <w:r w:rsidRPr="002B2297">
        <w:rPr>
          <w:rFonts w:ascii="Open Sans" w:hAnsi="Open Sans" w:cs="Open Sans"/>
        </w:rPr>
        <w:t xml:space="preserve">Les parties au présent accord rappellent que l’utilisation du contingent d’heures supplémentaires ne peut en aucun cas avoir pour effet de déroger aux dispositions d’ordre public relatives aux durées maximales du travail et aux repos. </w:t>
      </w:r>
    </w:p>
    <w:p w14:paraId="268C1740" w14:textId="77777777" w:rsidR="00617D47" w:rsidRPr="002B2297" w:rsidRDefault="00617D47" w:rsidP="00617D47">
      <w:pPr>
        <w:jc w:val="both"/>
        <w:rPr>
          <w:rFonts w:ascii="Open Sans" w:hAnsi="Open Sans" w:cs="Open Sans"/>
        </w:rPr>
      </w:pPr>
      <w:r w:rsidRPr="002B2297">
        <w:rPr>
          <w:rFonts w:ascii="Open Sans" w:hAnsi="Open Sans" w:cs="Open Sans"/>
        </w:rPr>
        <w:t xml:space="preserve">Il est rappelé qu’à la date du présent accord : </w:t>
      </w:r>
    </w:p>
    <w:p w14:paraId="6764AB7E" w14:textId="77777777" w:rsidR="00617D47" w:rsidRPr="002B2297" w:rsidRDefault="00617D47" w:rsidP="00617D47">
      <w:pPr>
        <w:pStyle w:val="Paragraphedeliste"/>
        <w:numPr>
          <w:ilvl w:val="0"/>
          <w:numId w:val="3"/>
        </w:numPr>
        <w:jc w:val="both"/>
        <w:rPr>
          <w:rFonts w:ascii="Open Sans" w:hAnsi="Open Sans" w:cs="Open Sans"/>
        </w:rPr>
      </w:pPr>
      <w:r w:rsidRPr="002B2297">
        <w:rPr>
          <w:rFonts w:ascii="Open Sans" w:hAnsi="Open Sans" w:cs="Open Sans"/>
        </w:rPr>
        <w:t>Dès que le temps de travail quotidien atteint 6 heures, le salarié bénéficie d’un temps de pause d’une durée minimale de 20 minutes consécutives. (Article L3121-16 du code du travail)</w:t>
      </w:r>
    </w:p>
    <w:p w14:paraId="1C13F849" w14:textId="77777777" w:rsidR="00617D47" w:rsidRPr="002B2297" w:rsidRDefault="00617D47" w:rsidP="00617D47">
      <w:pPr>
        <w:pStyle w:val="Paragraphedeliste"/>
        <w:numPr>
          <w:ilvl w:val="0"/>
          <w:numId w:val="3"/>
        </w:numPr>
        <w:jc w:val="both"/>
        <w:rPr>
          <w:rFonts w:ascii="Open Sans" w:hAnsi="Open Sans" w:cs="Open Sans"/>
        </w:rPr>
      </w:pPr>
      <w:r w:rsidRPr="002B2297">
        <w:rPr>
          <w:rFonts w:ascii="Open Sans" w:hAnsi="Open Sans" w:cs="Open Sans"/>
        </w:rPr>
        <w:t>La durée maximale hebdomadaire de travail est de 48 heures (Article L3121-20 du code du travail) sauf circonstances exceptionnelles définies dans le cadre de l’article L3121-21 du code du travail.</w:t>
      </w:r>
    </w:p>
    <w:p w14:paraId="4528D77E" w14:textId="77777777" w:rsidR="00617D47" w:rsidRPr="002B2297" w:rsidRDefault="00617D47" w:rsidP="00617D47">
      <w:pPr>
        <w:pStyle w:val="Paragraphedeliste"/>
        <w:numPr>
          <w:ilvl w:val="0"/>
          <w:numId w:val="3"/>
        </w:numPr>
        <w:jc w:val="both"/>
        <w:rPr>
          <w:rFonts w:ascii="Open Sans" w:hAnsi="Open Sans" w:cs="Open Sans"/>
        </w:rPr>
      </w:pPr>
      <w:r w:rsidRPr="002B2297">
        <w:rPr>
          <w:rFonts w:ascii="Open Sans" w:hAnsi="Open Sans" w:cs="Open Sans"/>
        </w:rPr>
        <w:t>La durée hebdomadaire de travail calculée sur une période quelconque de douze semaines consécutives ne peut dépasser 44 heures sauf dans les cas prévus aux articles L3121-23 à L3121-25 du code du travail.</w:t>
      </w:r>
    </w:p>
    <w:p w14:paraId="4ADFE7D8" w14:textId="77777777" w:rsidR="00617D47" w:rsidRPr="002B2297" w:rsidRDefault="00617D47" w:rsidP="00617D47">
      <w:pPr>
        <w:pStyle w:val="Paragraphedeliste"/>
        <w:numPr>
          <w:ilvl w:val="0"/>
          <w:numId w:val="3"/>
        </w:numPr>
        <w:jc w:val="both"/>
        <w:rPr>
          <w:rFonts w:ascii="Open Sans" w:hAnsi="Open Sans" w:cs="Open Sans"/>
        </w:rPr>
      </w:pPr>
      <w:r w:rsidRPr="002B2297">
        <w:rPr>
          <w:rFonts w:ascii="Open Sans" w:hAnsi="Open Sans" w:cs="Open Sans"/>
        </w:rPr>
        <w:t xml:space="preserve">Il est interdit de faire travailler un même salarié plus de 6 jours par semaine (article L3132-1 du code du travail). </w:t>
      </w:r>
    </w:p>
    <w:p w14:paraId="0ACE38F7" w14:textId="77777777" w:rsidR="00617D47" w:rsidRPr="002B2297" w:rsidRDefault="00617D47" w:rsidP="00617D47">
      <w:pPr>
        <w:pStyle w:val="Paragraphedeliste"/>
        <w:numPr>
          <w:ilvl w:val="0"/>
          <w:numId w:val="3"/>
        </w:numPr>
        <w:jc w:val="both"/>
        <w:rPr>
          <w:rFonts w:ascii="Open Sans" w:hAnsi="Open Sans" w:cs="Open Sans"/>
        </w:rPr>
      </w:pPr>
      <w:r w:rsidRPr="002B2297">
        <w:rPr>
          <w:rFonts w:ascii="Open Sans" w:hAnsi="Open Sans" w:cs="Open Sans"/>
        </w:rPr>
        <w:t>Le repos hebdomadaire a une durée minimale de 24 heures consécutives auxquelles s’ajoutent les heures consécutives de repos quotidien (article L3132-2 du code du travail).</w:t>
      </w:r>
    </w:p>
    <w:p w14:paraId="246C19FF" w14:textId="42CCF5B6" w:rsidR="00617D47" w:rsidRPr="002B2297" w:rsidRDefault="00617D47" w:rsidP="00617D47">
      <w:pPr>
        <w:jc w:val="both"/>
        <w:rPr>
          <w:rFonts w:ascii="Open Sans" w:hAnsi="Open Sans" w:cs="Open Sans"/>
          <w:bCs/>
        </w:rPr>
      </w:pPr>
      <w:r w:rsidRPr="002B2297">
        <w:rPr>
          <w:rFonts w:ascii="Open Sans" w:hAnsi="Open Sans" w:cs="Open Sans"/>
          <w:bCs/>
        </w:rPr>
        <w:t xml:space="preserve">La </w:t>
      </w:r>
      <w:r>
        <w:rPr>
          <w:rFonts w:ascii="Open Sans" w:hAnsi="Open Sans" w:cs="Open Sans"/>
        </w:rPr>
        <w:t xml:space="preserve">société </w:t>
      </w:r>
      <w:r w:rsidRPr="00617D47">
        <w:rPr>
          <w:rFonts w:ascii="Open Sans" w:hAnsi="Open Sans" w:cs="Open Sans"/>
        </w:rPr>
        <w:t>ATELIER IZF</w:t>
      </w:r>
      <w:r>
        <w:rPr>
          <w:rFonts w:ascii="Open Sans" w:hAnsi="Open Sans" w:cs="Open Sans"/>
        </w:rPr>
        <w:t xml:space="preserve"> </w:t>
      </w:r>
      <w:r w:rsidRPr="002B2297">
        <w:rPr>
          <w:rFonts w:ascii="Open Sans" w:hAnsi="Open Sans" w:cs="Open Sans"/>
          <w:bCs/>
        </w:rPr>
        <w:t>s’oblige à respecter en toute circonstance ces dispositions.</w:t>
      </w:r>
    </w:p>
    <w:p w14:paraId="0A44311B" w14:textId="77777777" w:rsidR="00617D47" w:rsidRPr="00FA0DE9" w:rsidRDefault="00617D47" w:rsidP="00617D47">
      <w:pPr>
        <w:pStyle w:val="Style1"/>
      </w:pPr>
      <w:bookmarkStart w:id="9" w:name="_Toc210722308"/>
      <w:r w:rsidRPr="00FA0DE9">
        <w:t xml:space="preserve">Article </w:t>
      </w:r>
      <w:r>
        <w:t>5</w:t>
      </w:r>
      <w:r w:rsidRPr="00FA0DE9">
        <w:t xml:space="preserve"> – Volume du contingent annuel d’heures supplémentaires</w:t>
      </w:r>
      <w:bookmarkEnd w:id="9"/>
    </w:p>
    <w:p w14:paraId="751C9798" w14:textId="7888A1A2" w:rsidR="00617D47" w:rsidRPr="0031660F" w:rsidRDefault="00617D47" w:rsidP="00617D47">
      <w:pPr>
        <w:shd w:val="clear" w:color="auto" w:fill="FFFFFF"/>
        <w:jc w:val="both"/>
        <w:rPr>
          <w:rFonts w:ascii="Open Sans" w:hAnsi="Open Sans" w:cs="Open Sans"/>
          <w:bCs/>
        </w:rPr>
      </w:pPr>
      <w:r>
        <w:rPr>
          <w:rFonts w:ascii="Open Sans" w:hAnsi="Open Sans" w:cs="Open Sans"/>
          <w:bCs/>
        </w:rPr>
        <w:t>Le</w:t>
      </w:r>
      <w:r w:rsidRPr="007C37B6">
        <w:rPr>
          <w:rFonts w:ascii="Open Sans" w:hAnsi="Open Sans" w:cs="Open Sans"/>
          <w:bCs/>
        </w:rPr>
        <w:t xml:space="preserve"> contingent</w:t>
      </w:r>
      <w:r>
        <w:rPr>
          <w:rFonts w:ascii="Open Sans" w:hAnsi="Open Sans" w:cs="Open Sans"/>
          <w:bCs/>
        </w:rPr>
        <w:t xml:space="preserve"> annuel</w:t>
      </w:r>
      <w:r w:rsidRPr="007C37B6">
        <w:rPr>
          <w:rFonts w:ascii="Open Sans" w:hAnsi="Open Sans" w:cs="Open Sans"/>
          <w:bCs/>
        </w:rPr>
        <w:t xml:space="preserve"> </w:t>
      </w:r>
      <w:r w:rsidRPr="00326B0D">
        <w:rPr>
          <w:rFonts w:ascii="Open Sans" w:hAnsi="Open Sans" w:cs="Open Sans"/>
          <w:bCs/>
        </w:rPr>
        <w:t xml:space="preserve">d'heures supplémentaires est fixé à </w:t>
      </w:r>
      <w:r w:rsidRPr="00710A08">
        <w:rPr>
          <w:rFonts w:ascii="Open Sans" w:hAnsi="Open Sans" w:cs="Open Sans"/>
          <w:b/>
          <w:u w:val="single"/>
        </w:rPr>
        <w:t xml:space="preserve">517 heures au sein de la </w:t>
      </w:r>
      <w:r>
        <w:rPr>
          <w:rFonts w:ascii="Open Sans" w:hAnsi="Open Sans" w:cs="Open Sans"/>
          <w:b/>
          <w:u w:val="single"/>
        </w:rPr>
        <w:t>s</w:t>
      </w:r>
      <w:r w:rsidRPr="00710A08">
        <w:rPr>
          <w:rFonts w:ascii="Open Sans" w:hAnsi="Open Sans" w:cs="Open Sans"/>
          <w:b/>
          <w:u w:val="single"/>
        </w:rPr>
        <w:t>ociété</w:t>
      </w:r>
      <w:r w:rsidRPr="00326B0D">
        <w:rPr>
          <w:rFonts w:ascii="Open Sans" w:hAnsi="Open Sans" w:cs="Open Sans"/>
        </w:rPr>
        <w:t xml:space="preserve"> </w:t>
      </w:r>
      <w:r>
        <w:rPr>
          <w:rFonts w:ascii="Open Sans" w:hAnsi="Open Sans" w:cs="Open Sans"/>
        </w:rPr>
        <w:t xml:space="preserve">SARL </w:t>
      </w:r>
      <w:r w:rsidRPr="00617D47">
        <w:rPr>
          <w:rFonts w:ascii="Open Sans" w:hAnsi="Open Sans" w:cs="Open Sans"/>
        </w:rPr>
        <w:t>ATELIER IZF</w:t>
      </w:r>
      <w:r w:rsidRPr="00326B0D">
        <w:rPr>
          <w:rFonts w:ascii="Open Sans" w:hAnsi="Open Sans" w:cs="Open Sans"/>
        </w:rPr>
        <w:t>.</w:t>
      </w:r>
    </w:p>
    <w:p w14:paraId="64F0AAA9" w14:textId="77777777" w:rsidR="00617D47" w:rsidRPr="00FA0DE9" w:rsidRDefault="00617D47" w:rsidP="00617D47">
      <w:pPr>
        <w:pStyle w:val="Style1"/>
      </w:pPr>
      <w:bookmarkStart w:id="10" w:name="_Toc210722309"/>
      <w:r w:rsidRPr="00FA0DE9">
        <w:t xml:space="preserve">Article </w:t>
      </w:r>
      <w:r>
        <w:t>6</w:t>
      </w:r>
      <w:r w:rsidRPr="00FA0DE9">
        <w:t xml:space="preserve"> – Période de référence</w:t>
      </w:r>
      <w:bookmarkEnd w:id="10"/>
    </w:p>
    <w:p w14:paraId="7FD00CC0" w14:textId="77777777" w:rsidR="00617D47" w:rsidRPr="006E6CE6" w:rsidRDefault="00617D47" w:rsidP="00617D47">
      <w:pPr>
        <w:shd w:val="clear" w:color="auto" w:fill="FFFFFF"/>
        <w:jc w:val="both"/>
        <w:rPr>
          <w:rFonts w:ascii="Open Sans" w:hAnsi="Open Sans" w:cs="Open Sans"/>
        </w:rPr>
      </w:pPr>
      <w:r w:rsidRPr="006E6CE6">
        <w:rPr>
          <w:rFonts w:ascii="Open Sans" w:hAnsi="Open Sans" w:cs="Open Sans"/>
        </w:rPr>
        <w:t>La période de référence est annuelle du 1</w:t>
      </w:r>
      <w:r w:rsidRPr="00B0243C">
        <w:rPr>
          <w:rFonts w:ascii="Open Sans" w:hAnsi="Open Sans" w:cs="Open Sans"/>
          <w:vertAlign w:val="superscript"/>
        </w:rPr>
        <w:t>er</w:t>
      </w:r>
      <w:r>
        <w:rPr>
          <w:rFonts w:ascii="Open Sans" w:hAnsi="Open Sans" w:cs="Open Sans"/>
        </w:rPr>
        <w:t xml:space="preserve"> </w:t>
      </w:r>
      <w:r w:rsidRPr="006E6CE6">
        <w:rPr>
          <w:rFonts w:ascii="Open Sans" w:hAnsi="Open Sans" w:cs="Open Sans"/>
        </w:rPr>
        <w:t>janvier au 31 décembre.</w:t>
      </w:r>
    </w:p>
    <w:p w14:paraId="6B862F83" w14:textId="77777777" w:rsidR="00617D47" w:rsidRDefault="00617D47" w:rsidP="00617D47">
      <w:pPr>
        <w:shd w:val="clear" w:color="auto" w:fill="FFFFFF"/>
        <w:jc w:val="both"/>
        <w:rPr>
          <w:rFonts w:ascii="Open Sans" w:hAnsi="Open Sans" w:cs="Open Sans"/>
        </w:rPr>
      </w:pPr>
      <w:r>
        <w:rPr>
          <w:rFonts w:ascii="Open Sans" w:hAnsi="Open Sans" w:cs="Open Sans"/>
        </w:rPr>
        <w:t>À</w:t>
      </w:r>
      <w:r w:rsidRPr="006E6CE6">
        <w:rPr>
          <w:rFonts w:ascii="Open Sans" w:hAnsi="Open Sans" w:cs="Open Sans"/>
        </w:rPr>
        <w:t xml:space="preserve"> titre indicatif, le présent accord sera appliqué de manière opérationnelle pour la première période d’un an à compter </w:t>
      </w:r>
      <w:r>
        <w:rPr>
          <w:rFonts w:ascii="Open Sans" w:hAnsi="Open Sans" w:cs="Open Sans"/>
        </w:rPr>
        <w:t>du 1</w:t>
      </w:r>
      <w:r w:rsidRPr="00E10989">
        <w:rPr>
          <w:rFonts w:ascii="Open Sans" w:hAnsi="Open Sans" w:cs="Open Sans"/>
          <w:vertAlign w:val="superscript"/>
        </w:rPr>
        <w:t>er</w:t>
      </w:r>
      <w:r>
        <w:rPr>
          <w:rFonts w:ascii="Open Sans" w:hAnsi="Open Sans" w:cs="Open Sans"/>
        </w:rPr>
        <w:t xml:space="preserve"> janvier 2026</w:t>
      </w:r>
      <w:r w:rsidRPr="006E6CE6">
        <w:rPr>
          <w:rFonts w:ascii="Open Sans" w:hAnsi="Open Sans" w:cs="Open Sans"/>
        </w:rPr>
        <w:t>, et ce jusqu’au</w:t>
      </w:r>
      <w:r>
        <w:rPr>
          <w:rFonts w:ascii="Open Sans" w:hAnsi="Open Sans" w:cs="Open Sans"/>
        </w:rPr>
        <w:t xml:space="preserve"> 31 décembre 2026</w:t>
      </w:r>
      <w:r w:rsidRPr="006E6CE6">
        <w:rPr>
          <w:rFonts w:ascii="Open Sans" w:hAnsi="Open Sans" w:cs="Open Sans"/>
        </w:rPr>
        <w:t>.</w:t>
      </w:r>
    </w:p>
    <w:p w14:paraId="15D9A7E8" w14:textId="77777777" w:rsidR="00617D47" w:rsidRPr="006E6CE6" w:rsidRDefault="00617D47" w:rsidP="00617D47">
      <w:pPr>
        <w:shd w:val="clear" w:color="auto" w:fill="FFFFFF"/>
        <w:jc w:val="both"/>
        <w:rPr>
          <w:rFonts w:ascii="Open Sans" w:hAnsi="Open Sans" w:cs="Open Sans"/>
        </w:rPr>
      </w:pPr>
      <w:r w:rsidRPr="0031660F">
        <w:rPr>
          <w:rFonts w:ascii="Open Sans" w:hAnsi="Open Sans" w:cs="Open Sans"/>
        </w:rPr>
        <w:t>Le contingent s’applique intégralement aux salariés qui intègrent la société en cours d’année civile, sans donner lieu à sa réduction prorata temporis, de sorte que chaque nouvel embauché dispose, dès son entrée dans la société et quelle qu’en soit la date, d’un contingent annuel de cinq cent dix-sept (517) heures supplémentaires.</w:t>
      </w:r>
    </w:p>
    <w:p w14:paraId="5A0B37BC" w14:textId="77777777" w:rsidR="00617D47" w:rsidRPr="00FA0DE9" w:rsidRDefault="00617D47" w:rsidP="00617D47">
      <w:pPr>
        <w:pStyle w:val="Style1"/>
      </w:pPr>
      <w:bookmarkStart w:id="11" w:name="_Toc210722310"/>
      <w:r w:rsidRPr="00FA0DE9">
        <w:lastRenderedPageBreak/>
        <w:t>Article 7 – Heures supplémentaires s’imputant sur le contingent annuel</w:t>
      </w:r>
      <w:bookmarkEnd w:id="11"/>
    </w:p>
    <w:p w14:paraId="7B6619EF" w14:textId="77777777" w:rsidR="00617D47" w:rsidRPr="0031375D" w:rsidRDefault="00617D47" w:rsidP="00617D47">
      <w:pPr>
        <w:shd w:val="clear" w:color="auto" w:fill="FFFFFF"/>
        <w:jc w:val="both"/>
        <w:rPr>
          <w:rFonts w:ascii="Open Sans" w:hAnsi="Open Sans" w:cs="Open Sans"/>
        </w:rPr>
      </w:pPr>
      <w:r w:rsidRPr="0031375D">
        <w:rPr>
          <w:rFonts w:ascii="Open Sans" w:hAnsi="Open Sans" w:cs="Open Sans"/>
        </w:rPr>
        <w:t>Les heures imputées sur le contingent annuel d'heures supplémentaires sont celles accomplies au-delà de la durée légale, c’est-à-dire au-delà de 35 heures hebdomadaires.</w:t>
      </w:r>
    </w:p>
    <w:p w14:paraId="16FDE295" w14:textId="77777777" w:rsidR="00617D47" w:rsidRPr="0031375D" w:rsidRDefault="00617D47" w:rsidP="00617D47">
      <w:pPr>
        <w:shd w:val="clear" w:color="auto" w:fill="FFFFFF"/>
        <w:jc w:val="both"/>
        <w:rPr>
          <w:rFonts w:ascii="Open Sans" w:hAnsi="Open Sans" w:cs="Open Sans"/>
        </w:rPr>
      </w:pPr>
      <w:r w:rsidRPr="0031375D">
        <w:rPr>
          <w:rFonts w:ascii="Open Sans" w:hAnsi="Open Sans" w:cs="Open Sans"/>
        </w:rPr>
        <w:t>Il s'agit des heures de travail effectif ou assimilées comme telles par la loi au regard de la législation sur les heures supplémentaires.</w:t>
      </w:r>
    </w:p>
    <w:p w14:paraId="24EA323E" w14:textId="77777777" w:rsidR="00617D47" w:rsidRPr="006E6CE6" w:rsidRDefault="00617D47" w:rsidP="00617D47">
      <w:pPr>
        <w:shd w:val="clear" w:color="auto" w:fill="FFFFFF"/>
        <w:jc w:val="both"/>
        <w:rPr>
          <w:rFonts w:ascii="Open Sans" w:hAnsi="Open Sans" w:cs="Open Sans"/>
        </w:rPr>
      </w:pPr>
      <w:r w:rsidRPr="0031375D">
        <w:rPr>
          <w:rFonts w:ascii="Open Sans" w:hAnsi="Open Sans" w:cs="Open Sans"/>
        </w:rPr>
        <w:t>Les heures supplémentaires sont décomptées à la fin de chaque semaine civile, soit du lundi 0 heure au dimanche 24 heures, conformément aux articles L. 3121-29 et L3121-35 du Code du travail.</w:t>
      </w:r>
    </w:p>
    <w:p w14:paraId="47962C45" w14:textId="77777777" w:rsidR="00617D47" w:rsidRPr="00FA0DE9" w:rsidRDefault="00617D47" w:rsidP="00617D47">
      <w:pPr>
        <w:pStyle w:val="Style1"/>
      </w:pPr>
      <w:bookmarkStart w:id="12" w:name="_Toc210722311"/>
      <w:r w:rsidRPr="00FA0DE9">
        <w:t>Article 8 – Heures supplémentaires ne s’imputant pas sur le contingent annuel</w:t>
      </w:r>
      <w:bookmarkEnd w:id="12"/>
    </w:p>
    <w:p w14:paraId="672D324C" w14:textId="77777777" w:rsidR="00617D47" w:rsidRPr="0031375D" w:rsidRDefault="00617D47" w:rsidP="00617D47">
      <w:pPr>
        <w:shd w:val="clear" w:color="auto" w:fill="FFFFFF"/>
        <w:jc w:val="both"/>
        <w:rPr>
          <w:rFonts w:ascii="Open Sans" w:hAnsi="Open Sans" w:cs="Open Sans"/>
        </w:rPr>
      </w:pPr>
      <w:r w:rsidRPr="0031375D">
        <w:rPr>
          <w:rFonts w:ascii="Open Sans" w:hAnsi="Open Sans" w:cs="Open Sans"/>
        </w:rPr>
        <w:t>Certaines heures ne sont pas imputées sur le contingent annuel. Il s'agit des heures suivantes :</w:t>
      </w:r>
    </w:p>
    <w:p w14:paraId="4BEF88A4" w14:textId="77777777" w:rsidR="00617D47" w:rsidRPr="0031375D" w:rsidRDefault="00617D47" w:rsidP="00617D47">
      <w:pPr>
        <w:pStyle w:val="Paragraphedeliste"/>
        <w:numPr>
          <w:ilvl w:val="0"/>
          <w:numId w:val="2"/>
        </w:numPr>
        <w:shd w:val="clear" w:color="auto" w:fill="FFFFFF"/>
        <w:jc w:val="both"/>
        <w:rPr>
          <w:rFonts w:ascii="Open Sans" w:hAnsi="Open Sans" w:cs="Open Sans"/>
        </w:rPr>
      </w:pPr>
      <w:r w:rsidRPr="0031375D">
        <w:rPr>
          <w:rFonts w:ascii="Open Sans" w:hAnsi="Open Sans" w:cs="Open Sans"/>
        </w:rPr>
        <w:t>les heures supplémentaires effectuées dans le cadre de travaux urgents déterminés à l'article</w:t>
      </w:r>
      <w:hyperlink r:id="rId5" w:history="1">
        <w:r w:rsidRPr="0031375D">
          <w:rPr>
            <w:rFonts w:ascii="Open Sans" w:hAnsi="Open Sans" w:cs="Open Sans"/>
          </w:rPr>
          <w:t xml:space="preserve"> </w:t>
        </w:r>
        <w:r w:rsidRPr="0031375D">
          <w:rPr>
            <w:rFonts w:ascii="Open Sans" w:hAnsi="Open Sans" w:cs="Open Sans"/>
            <w:bCs/>
          </w:rPr>
          <w:t>L.</w:t>
        </w:r>
        <w:r w:rsidRPr="0031375D">
          <w:rPr>
            <w:rFonts w:ascii="Open Sans" w:hAnsi="Open Sans" w:cs="Open Sans"/>
          </w:rPr>
          <w:t> 3132-4</w:t>
        </w:r>
      </w:hyperlink>
      <w:r w:rsidRPr="0031375D">
        <w:rPr>
          <w:rFonts w:ascii="Open Sans" w:hAnsi="Open Sans" w:cs="Open Sans"/>
        </w:rPr>
        <w:t>. Il s'agit de travaux urgents dont l'exécution immédiate est nécessaire pour organiser des mesures de sauvetage, pour prévenir des accidents imminents ou réparer des accidents survenus au matériel, aux installations ou aux bâtiments de l'établissement ;</w:t>
      </w:r>
    </w:p>
    <w:p w14:paraId="3F59DF28" w14:textId="77777777" w:rsidR="00617D47" w:rsidRPr="0031375D" w:rsidRDefault="00617D47" w:rsidP="00617D47">
      <w:pPr>
        <w:pStyle w:val="Paragraphedeliste"/>
        <w:numPr>
          <w:ilvl w:val="0"/>
          <w:numId w:val="2"/>
        </w:numPr>
        <w:shd w:val="clear" w:color="auto" w:fill="FFFFFF"/>
        <w:jc w:val="both"/>
        <w:rPr>
          <w:rFonts w:ascii="Open Sans" w:hAnsi="Open Sans" w:cs="Open Sans"/>
        </w:rPr>
      </w:pPr>
      <w:r w:rsidRPr="0031375D">
        <w:rPr>
          <w:rFonts w:ascii="Open Sans" w:hAnsi="Open Sans" w:cs="Open Sans"/>
        </w:rPr>
        <w:t>les heures supplémentaires ouvrant droit par accord collectif au repos compensateur équivalent ou de remplacement. Seules les heures supplémentaires donnant lieu à une compensation intégrale sous forme de repos portant à la fois sur le paiement de l'heure et sur sa majoration sont non imputables ;</w:t>
      </w:r>
    </w:p>
    <w:p w14:paraId="75D2EABA" w14:textId="77777777" w:rsidR="00617D47" w:rsidRPr="0031375D" w:rsidRDefault="00617D47" w:rsidP="00617D47">
      <w:pPr>
        <w:pStyle w:val="Paragraphedeliste"/>
        <w:numPr>
          <w:ilvl w:val="0"/>
          <w:numId w:val="2"/>
        </w:numPr>
        <w:shd w:val="clear" w:color="auto" w:fill="FFFFFF"/>
        <w:jc w:val="both"/>
        <w:rPr>
          <w:rFonts w:ascii="Open Sans" w:hAnsi="Open Sans" w:cs="Open Sans"/>
        </w:rPr>
      </w:pPr>
      <w:r w:rsidRPr="0031375D">
        <w:rPr>
          <w:rFonts w:ascii="Open Sans" w:hAnsi="Open Sans" w:cs="Open Sans"/>
        </w:rPr>
        <w:t>les heures de récupération. Il s'agit d'heures normales déplacées ;</w:t>
      </w:r>
    </w:p>
    <w:p w14:paraId="3783E2AC" w14:textId="77777777" w:rsidR="00617D47" w:rsidRPr="0031375D" w:rsidRDefault="00617D47" w:rsidP="00617D47">
      <w:pPr>
        <w:pStyle w:val="Paragraphedeliste"/>
        <w:numPr>
          <w:ilvl w:val="0"/>
          <w:numId w:val="2"/>
        </w:numPr>
        <w:shd w:val="clear" w:color="auto" w:fill="FFFFFF"/>
        <w:jc w:val="both"/>
        <w:rPr>
          <w:rFonts w:ascii="Open Sans" w:hAnsi="Open Sans" w:cs="Open Sans"/>
        </w:rPr>
      </w:pPr>
      <w:r w:rsidRPr="0031375D">
        <w:rPr>
          <w:rFonts w:ascii="Open Sans" w:hAnsi="Open Sans" w:cs="Open Sans"/>
        </w:rPr>
        <w:t>les heures correspondant à la journée de solidarité dans la limite de 7 heures.</w:t>
      </w:r>
    </w:p>
    <w:p w14:paraId="599BB920" w14:textId="77777777" w:rsidR="00617D47" w:rsidRDefault="00617D47" w:rsidP="00617D47">
      <w:pPr>
        <w:shd w:val="clear" w:color="auto" w:fill="FFFFFF"/>
        <w:jc w:val="both"/>
        <w:rPr>
          <w:rFonts w:ascii="Open Sans" w:hAnsi="Open Sans" w:cs="Open Sans"/>
        </w:rPr>
      </w:pPr>
      <w:r w:rsidRPr="0031375D">
        <w:rPr>
          <w:rFonts w:ascii="Open Sans" w:hAnsi="Open Sans" w:cs="Open Sans"/>
        </w:rPr>
        <w:t>En revanche, lorsqu'un salarié a déjà accompli, au titre de l'année en cours, une journée de solidarité, s'il s'acquitte d'une nouvelle journée de solidarité en raison d'un changement d'employeur, les heures travaillées ce jour s'imputent sur le contingent annuel d'heures supplémentaires</w:t>
      </w:r>
      <w:r>
        <w:rPr>
          <w:rFonts w:ascii="Open Sans" w:hAnsi="Open Sans" w:cs="Open Sans"/>
        </w:rPr>
        <w:t>.</w:t>
      </w:r>
    </w:p>
    <w:p w14:paraId="4619D5E5" w14:textId="77777777" w:rsidR="00617D47" w:rsidRPr="006E6CE6" w:rsidRDefault="00617D47" w:rsidP="00617D47">
      <w:pPr>
        <w:shd w:val="clear" w:color="auto" w:fill="FFFFFF"/>
        <w:jc w:val="both"/>
        <w:rPr>
          <w:rFonts w:ascii="Open Sans" w:hAnsi="Open Sans" w:cs="Open Sans"/>
        </w:rPr>
      </w:pPr>
    </w:p>
    <w:p w14:paraId="682F80CA" w14:textId="77777777" w:rsidR="00617D47" w:rsidRPr="0031375D" w:rsidRDefault="00617D47" w:rsidP="00617D47">
      <w:pPr>
        <w:pStyle w:val="Style1"/>
      </w:pPr>
      <w:bookmarkStart w:id="13" w:name="_Toc210722312"/>
      <w:r w:rsidRPr="0031375D">
        <w:t>Article 9 – Décompte individuel du contingent</w:t>
      </w:r>
      <w:bookmarkEnd w:id="13"/>
    </w:p>
    <w:p w14:paraId="016CB3FB" w14:textId="77777777" w:rsidR="00617D47" w:rsidRPr="006E6CE6" w:rsidRDefault="00617D47" w:rsidP="00617D47">
      <w:pPr>
        <w:shd w:val="clear" w:color="auto" w:fill="FFFFFF"/>
        <w:jc w:val="both"/>
        <w:rPr>
          <w:rFonts w:ascii="Open Sans" w:hAnsi="Open Sans" w:cs="Open Sans"/>
        </w:rPr>
      </w:pPr>
      <w:r w:rsidRPr="0031375D">
        <w:rPr>
          <w:rFonts w:ascii="Open Sans" w:hAnsi="Open Sans" w:cs="Open Sans"/>
        </w:rPr>
        <w:t>Le contingent annuel d'heures supplémentaires doit être décompté individuellement par salarié ; il ne peut, en aucune manière, être globalisé au niveau de l'entreprise ni donner lieu à transfert d'un salarié à un autre.</w:t>
      </w:r>
    </w:p>
    <w:p w14:paraId="42415B8E" w14:textId="77777777" w:rsidR="00617D47" w:rsidRPr="008062A7" w:rsidRDefault="00617D47" w:rsidP="00617D47">
      <w:pPr>
        <w:pStyle w:val="Style1"/>
      </w:pPr>
      <w:bookmarkStart w:id="14" w:name="_Toc210722313"/>
      <w:r w:rsidRPr="008062A7">
        <w:lastRenderedPageBreak/>
        <w:t>Article 10</w:t>
      </w:r>
      <w:r>
        <w:t xml:space="preserve"> </w:t>
      </w:r>
      <w:r w:rsidRPr="008062A7">
        <w:t xml:space="preserve">– </w:t>
      </w:r>
      <w:r>
        <w:t>A</w:t>
      </w:r>
      <w:r w:rsidRPr="008062A7">
        <w:t>bsence de contrepartie en repos des heures supplémentaires effectuées dans le cadre du contingent</w:t>
      </w:r>
      <w:bookmarkEnd w:id="14"/>
    </w:p>
    <w:p w14:paraId="60623957" w14:textId="77777777" w:rsidR="00617D47" w:rsidRPr="006E6CE6" w:rsidRDefault="00617D47" w:rsidP="00617D47">
      <w:pPr>
        <w:shd w:val="clear" w:color="auto" w:fill="FFFFFF"/>
        <w:jc w:val="both"/>
        <w:rPr>
          <w:rFonts w:ascii="Open Sans" w:hAnsi="Open Sans" w:cs="Open Sans"/>
        </w:rPr>
      </w:pPr>
      <w:r w:rsidRPr="006E6CE6">
        <w:rPr>
          <w:rFonts w:ascii="Open Sans" w:hAnsi="Open Sans" w:cs="Open Sans"/>
        </w:rPr>
        <w:t>Les</w:t>
      </w:r>
      <w:r>
        <w:rPr>
          <w:rFonts w:ascii="Open Sans" w:hAnsi="Open Sans" w:cs="Open Sans"/>
        </w:rPr>
        <w:t xml:space="preserve"> </w:t>
      </w:r>
      <w:r w:rsidRPr="006E6CE6">
        <w:rPr>
          <w:rFonts w:ascii="Open Sans" w:hAnsi="Open Sans" w:cs="Open Sans"/>
        </w:rPr>
        <w:t>heures</w:t>
      </w:r>
      <w:r>
        <w:rPr>
          <w:rFonts w:ascii="Open Sans" w:hAnsi="Open Sans" w:cs="Open Sans"/>
        </w:rPr>
        <w:t xml:space="preserve"> </w:t>
      </w:r>
      <w:r w:rsidRPr="006E6CE6">
        <w:rPr>
          <w:rFonts w:ascii="Open Sans" w:hAnsi="Open Sans" w:cs="Open Sans"/>
        </w:rPr>
        <w:t>supplémentaires</w:t>
      </w:r>
      <w:r>
        <w:rPr>
          <w:rFonts w:ascii="Open Sans" w:hAnsi="Open Sans" w:cs="Open Sans"/>
        </w:rPr>
        <w:t xml:space="preserve"> </w:t>
      </w:r>
      <w:r w:rsidRPr="006E6CE6">
        <w:rPr>
          <w:rFonts w:ascii="Open Sans" w:hAnsi="Open Sans" w:cs="Open Sans"/>
        </w:rPr>
        <w:t>effectuées dans le cadre du</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ne donnent pas lieu à une contrepartie en repos, à la différence des</w:t>
      </w:r>
      <w:r>
        <w:rPr>
          <w:rFonts w:ascii="Open Sans" w:hAnsi="Open Sans" w:cs="Open Sans"/>
        </w:rPr>
        <w:t xml:space="preserve"> </w:t>
      </w:r>
      <w:r w:rsidRPr="006E6CE6">
        <w:rPr>
          <w:rFonts w:ascii="Open Sans" w:hAnsi="Open Sans" w:cs="Open Sans"/>
        </w:rPr>
        <w:t>heures</w:t>
      </w:r>
      <w:r>
        <w:rPr>
          <w:rFonts w:ascii="Open Sans" w:hAnsi="Open Sans" w:cs="Open Sans"/>
        </w:rPr>
        <w:t xml:space="preserve"> </w:t>
      </w:r>
      <w:r w:rsidRPr="006E6CE6">
        <w:rPr>
          <w:rFonts w:ascii="Open Sans" w:hAnsi="Open Sans" w:cs="Open Sans"/>
        </w:rPr>
        <w:t>supplémentaires</w:t>
      </w:r>
      <w:r>
        <w:rPr>
          <w:rFonts w:ascii="Open Sans" w:hAnsi="Open Sans" w:cs="Open Sans"/>
        </w:rPr>
        <w:t xml:space="preserve"> </w:t>
      </w:r>
      <w:r w:rsidRPr="006E6CE6">
        <w:rPr>
          <w:rFonts w:ascii="Open Sans" w:hAnsi="Open Sans" w:cs="Open Sans"/>
        </w:rPr>
        <w:t>effectuées au-delà du</w:t>
      </w:r>
      <w:r>
        <w:rPr>
          <w:rFonts w:ascii="Open Sans" w:hAnsi="Open Sans" w:cs="Open Sans"/>
        </w:rPr>
        <w:t xml:space="preserve"> </w:t>
      </w:r>
      <w:r w:rsidRPr="006E6CE6">
        <w:rPr>
          <w:rFonts w:ascii="Open Sans" w:hAnsi="Open Sans" w:cs="Open Sans"/>
        </w:rPr>
        <w:t>contingent.</w:t>
      </w:r>
    </w:p>
    <w:p w14:paraId="333EB358" w14:textId="77777777" w:rsidR="00617D47" w:rsidRDefault="00617D47" w:rsidP="00617D47">
      <w:pPr>
        <w:shd w:val="clear" w:color="auto" w:fill="FFFFFF"/>
        <w:jc w:val="both"/>
        <w:rPr>
          <w:rFonts w:ascii="Open Sans" w:hAnsi="Open Sans" w:cs="Open Sans"/>
          <w:b/>
          <w:bCs/>
        </w:rPr>
      </w:pPr>
      <w:r w:rsidRPr="00343374">
        <w:rPr>
          <w:rFonts w:ascii="Open Sans" w:hAnsi="Open Sans" w:cs="Open Sans"/>
        </w:rPr>
        <w:t xml:space="preserve">Elles seront rémunérées et feront l’objet d’une </w:t>
      </w:r>
      <w:r w:rsidRPr="00EB369E">
        <w:rPr>
          <w:rFonts w:ascii="Open Sans" w:hAnsi="Open Sans" w:cs="Open Sans"/>
          <w:b/>
          <w:bCs/>
        </w:rPr>
        <w:t>majoration</w:t>
      </w:r>
      <w:r>
        <w:rPr>
          <w:rFonts w:ascii="Open Sans" w:hAnsi="Open Sans" w:cs="Open Sans"/>
          <w:b/>
          <w:bCs/>
        </w:rPr>
        <w:t> * :</w:t>
      </w:r>
    </w:p>
    <w:p w14:paraId="077310A9" w14:textId="77777777" w:rsidR="00617D47" w:rsidRPr="00E2084F" w:rsidRDefault="00617D47" w:rsidP="00617D47">
      <w:pPr>
        <w:pStyle w:val="Paragraphedeliste"/>
        <w:numPr>
          <w:ilvl w:val="0"/>
          <w:numId w:val="3"/>
        </w:numPr>
        <w:shd w:val="clear" w:color="auto" w:fill="FFFFFF"/>
        <w:jc w:val="both"/>
        <w:rPr>
          <w:rFonts w:ascii="Open Sans" w:hAnsi="Open Sans" w:cs="Open Sans"/>
        </w:rPr>
      </w:pPr>
      <w:r w:rsidRPr="00E2084F">
        <w:rPr>
          <w:rFonts w:ascii="Open Sans" w:hAnsi="Open Sans" w:cs="Open Sans"/>
        </w:rPr>
        <w:t>de 25% de la 36</w:t>
      </w:r>
      <w:r w:rsidRPr="00E2084F">
        <w:rPr>
          <w:rFonts w:ascii="Open Sans" w:hAnsi="Open Sans" w:cs="Open Sans"/>
          <w:vertAlign w:val="superscript"/>
        </w:rPr>
        <w:t>ème</w:t>
      </w:r>
      <w:r w:rsidRPr="00E2084F">
        <w:rPr>
          <w:rFonts w:ascii="Open Sans" w:hAnsi="Open Sans" w:cs="Open Sans"/>
        </w:rPr>
        <w:t xml:space="preserve"> à 43</w:t>
      </w:r>
      <w:r w:rsidRPr="00E2084F">
        <w:rPr>
          <w:rFonts w:ascii="Open Sans" w:hAnsi="Open Sans" w:cs="Open Sans"/>
          <w:vertAlign w:val="superscript"/>
        </w:rPr>
        <w:t>ème</w:t>
      </w:r>
      <w:r w:rsidRPr="00E2084F">
        <w:rPr>
          <w:rFonts w:ascii="Open Sans" w:hAnsi="Open Sans" w:cs="Open Sans"/>
        </w:rPr>
        <w:t xml:space="preserve"> heures </w:t>
      </w:r>
    </w:p>
    <w:p w14:paraId="6452E721" w14:textId="77777777" w:rsidR="00617D47" w:rsidRPr="00230EAE" w:rsidRDefault="00617D47" w:rsidP="00617D47">
      <w:pPr>
        <w:pStyle w:val="Paragraphedeliste"/>
        <w:numPr>
          <w:ilvl w:val="0"/>
          <w:numId w:val="3"/>
        </w:numPr>
        <w:shd w:val="clear" w:color="auto" w:fill="FFFFFF"/>
        <w:jc w:val="both"/>
        <w:rPr>
          <w:rFonts w:ascii="Open Sans" w:hAnsi="Open Sans" w:cs="Open Sans"/>
        </w:rPr>
      </w:pPr>
      <w:r w:rsidRPr="00E2084F">
        <w:rPr>
          <w:rFonts w:ascii="Open Sans" w:hAnsi="Open Sans" w:cs="Open Sans"/>
        </w:rPr>
        <w:t>de 50% au-delà de 44 heures</w:t>
      </w:r>
      <w:bookmarkStart w:id="15" w:name="_Toc210722314"/>
    </w:p>
    <w:p w14:paraId="5B79BE9E" w14:textId="77777777" w:rsidR="00617D47" w:rsidRDefault="00617D47" w:rsidP="00617D47">
      <w:pPr>
        <w:pStyle w:val="Style1"/>
      </w:pPr>
      <w:r w:rsidRPr="00CA18DB">
        <w:t>Article 11</w:t>
      </w:r>
      <w:r>
        <w:t xml:space="preserve"> – R</w:t>
      </w:r>
      <w:r w:rsidRPr="00CA18DB">
        <w:t>égime juridique des heures supplémentaires hors contingent</w:t>
      </w:r>
      <w:bookmarkEnd w:id="15"/>
    </w:p>
    <w:p w14:paraId="6892A73C" w14:textId="77777777" w:rsidR="00617D47" w:rsidRPr="00ED0913" w:rsidRDefault="00617D47" w:rsidP="00617D47">
      <w:pPr>
        <w:pStyle w:val="Section1"/>
      </w:pPr>
      <w:bookmarkStart w:id="16" w:name="_Toc210722315"/>
      <w:r w:rsidRPr="00ED0913">
        <w:t>Article 11-1 : Droit à une contrepartie en repos</w:t>
      </w:r>
      <w:bookmarkEnd w:id="16"/>
    </w:p>
    <w:p w14:paraId="5D26A1F4" w14:textId="77777777" w:rsidR="00617D47" w:rsidRDefault="00617D47" w:rsidP="00617D47">
      <w:pPr>
        <w:shd w:val="clear" w:color="auto" w:fill="FFFFFF"/>
        <w:jc w:val="both"/>
        <w:rPr>
          <w:rFonts w:ascii="Open Sans" w:hAnsi="Open Sans" w:cs="Open Sans"/>
        </w:rPr>
      </w:pPr>
      <w:r w:rsidRPr="009D606B">
        <w:rPr>
          <w:rFonts w:ascii="Open Sans" w:hAnsi="Open Sans" w:cs="Open Sans"/>
        </w:rPr>
        <w:t>Toute heure supplémentaire effectuée au-delà du contingent et dans la limite légale hebdomadaire ouvre droit à une</w:t>
      </w:r>
      <w:r w:rsidRPr="006E6CE6">
        <w:rPr>
          <w:rFonts w:ascii="Open Sans" w:hAnsi="Open Sans" w:cs="Open Sans"/>
        </w:rPr>
        <w:t xml:space="preserve"> contrepartie obligatoire en repos.</w:t>
      </w:r>
    </w:p>
    <w:p w14:paraId="2E2002D4" w14:textId="77777777" w:rsidR="00617D47" w:rsidRPr="00EC7C29" w:rsidRDefault="00617D47" w:rsidP="00617D47">
      <w:pPr>
        <w:pStyle w:val="Section1"/>
      </w:pPr>
      <w:bookmarkStart w:id="17" w:name="_Toc210722316"/>
      <w:r w:rsidRPr="00EC7C29">
        <w:t>Article 11-2 : La durée</w:t>
      </w:r>
      <w:bookmarkEnd w:id="17"/>
    </w:p>
    <w:p w14:paraId="1D195C27" w14:textId="77777777" w:rsidR="00617D47" w:rsidRDefault="00617D47" w:rsidP="00617D47">
      <w:pPr>
        <w:shd w:val="clear" w:color="auto" w:fill="FFFFFF"/>
        <w:jc w:val="both"/>
        <w:rPr>
          <w:rFonts w:ascii="Open Sans" w:hAnsi="Open Sans" w:cs="Open Sans"/>
        </w:rPr>
      </w:pPr>
      <w:r w:rsidRPr="006E6CE6">
        <w:rPr>
          <w:rFonts w:ascii="Open Sans" w:hAnsi="Open Sans" w:cs="Open Sans"/>
        </w:rPr>
        <w:t>La contrepartie en repos due pour toute heure</w:t>
      </w:r>
      <w:r>
        <w:rPr>
          <w:rFonts w:ascii="Open Sans" w:hAnsi="Open Sans" w:cs="Open Sans"/>
        </w:rPr>
        <w:t xml:space="preserve"> </w:t>
      </w:r>
      <w:r w:rsidRPr="006E6CE6">
        <w:rPr>
          <w:rFonts w:ascii="Open Sans" w:hAnsi="Open Sans" w:cs="Open Sans"/>
        </w:rPr>
        <w:t>supplémentaire</w:t>
      </w:r>
      <w:r>
        <w:rPr>
          <w:rFonts w:ascii="Open Sans" w:hAnsi="Open Sans" w:cs="Open Sans"/>
        </w:rPr>
        <w:t xml:space="preserve"> </w:t>
      </w:r>
      <w:r w:rsidRPr="006E6CE6">
        <w:rPr>
          <w:rFonts w:ascii="Open Sans" w:hAnsi="Open Sans" w:cs="Open Sans"/>
        </w:rPr>
        <w:t>effectuée au-delà du</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 xml:space="preserve">est </w:t>
      </w:r>
      <w:r w:rsidRPr="00F7742C">
        <w:rPr>
          <w:rFonts w:ascii="Open Sans" w:hAnsi="Open Sans" w:cs="Open Sans"/>
        </w:rPr>
        <w:t>de 50 % des</w:t>
      </w:r>
      <w:r w:rsidRPr="006E6CE6">
        <w:rPr>
          <w:rFonts w:ascii="Open Sans" w:hAnsi="Open Sans" w:cs="Open Sans"/>
        </w:rPr>
        <w:t xml:space="preserve"> heures accomplies au-delà du contingent.</w:t>
      </w:r>
    </w:p>
    <w:p w14:paraId="70F1158A" w14:textId="77777777" w:rsidR="00617D47" w:rsidRPr="00EC7C29" w:rsidRDefault="00617D47" w:rsidP="00617D47">
      <w:pPr>
        <w:pStyle w:val="Section1"/>
      </w:pPr>
      <w:bookmarkStart w:id="18" w:name="_Toc210722317"/>
      <w:r w:rsidRPr="00EC7C29">
        <w:t>Article 1</w:t>
      </w:r>
      <w:r>
        <w:t>1</w:t>
      </w:r>
      <w:r w:rsidRPr="00EC7C29">
        <w:t>-3 : Les caractéristiques</w:t>
      </w:r>
      <w:bookmarkEnd w:id="18"/>
    </w:p>
    <w:p w14:paraId="6BD43303" w14:textId="77777777" w:rsidR="00617D47" w:rsidRDefault="00617D47" w:rsidP="00617D47">
      <w:pPr>
        <w:shd w:val="clear" w:color="auto" w:fill="FFFFFF"/>
        <w:jc w:val="both"/>
        <w:rPr>
          <w:rFonts w:ascii="Open Sans" w:hAnsi="Open Sans" w:cs="Open Sans"/>
        </w:rPr>
      </w:pPr>
      <w:r w:rsidRPr="006E6CE6">
        <w:rPr>
          <w:rFonts w:ascii="Open Sans" w:hAnsi="Open Sans" w:cs="Open Sans"/>
        </w:rPr>
        <w:t xml:space="preserve">Les heures supplémentaires réalisées au-delà du contingent doivent être faites </w:t>
      </w:r>
      <w:r w:rsidRPr="006C193E">
        <w:rPr>
          <w:rFonts w:ascii="Open Sans" w:hAnsi="Open Sans" w:cs="Open Sans"/>
          <w:b/>
          <w:bCs/>
        </w:rPr>
        <w:t>uniquement sur demande expresse et préalable de l’employeur</w:t>
      </w:r>
      <w:r w:rsidRPr="00750B66">
        <w:rPr>
          <w:rFonts w:ascii="Open Sans" w:hAnsi="Open Sans" w:cs="Open Sans"/>
        </w:rPr>
        <w:t xml:space="preserve"> </w:t>
      </w:r>
      <w:r>
        <w:rPr>
          <w:rFonts w:ascii="Open Sans" w:hAnsi="Open Sans" w:cs="Open Sans"/>
        </w:rPr>
        <w:t>et leur recours sera exceptionnel</w:t>
      </w:r>
      <w:r w:rsidRPr="006E6CE6">
        <w:rPr>
          <w:rFonts w:ascii="Open Sans" w:hAnsi="Open Sans" w:cs="Open Sans"/>
        </w:rPr>
        <w:t>.</w:t>
      </w:r>
    </w:p>
    <w:p w14:paraId="46B5D8E0" w14:textId="77777777" w:rsidR="00617D47" w:rsidRPr="006C193E" w:rsidRDefault="00617D47" w:rsidP="00617D47">
      <w:pPr>
        <w:shd w:val="clear" w:color="auto" w:fill="FFFFFF"/>
        <w:jc w:val="both"/>
        <w:rPr>
          <w:rFonts w:ascii="Open Sans" w:hAnsi="Open Sans" w:cs="Open Sans"/>
          <w:b/>
          <w:bCs/>
        </w:rPr>
      </w:pPr>
      <w:r w:rsidRPr="006C193E">
        <w:rPr>
          <w:rFonts w:ascii="Open Sans" w:hAnsi="Open Sans" w:cs="Open Sans"/>
        </w:rPr>
        <w:t xml:space="preserve">Les parties conviennent que le refus du salarié d’accomplir des heures supplémentaires en dépassement du contingent annuel ne constitue pas une faute et ne pourra motiver seul son </w:t>
      </w:r>
      <w:r>
        <w:rPr>
          <w:rFonts w:ascii="Open Sans" w:hAnsi="Open Sans" w:cs="Open Sans"/>
        </w:rPr>
        <w:t>l</w:t>
      </w:r>
      <w:r w:rsidRPr="006C193E">
        <w:rPr>
          <w:rFonts w:ascii="Open Sans" w:hAnsi="Open Sans" w:cs="Open Sans"/>
        </w:rPr>
        <w:t>icenciement.</w:t>
      </w:r>
    </w:p>
    <w:p w14:paraId="494DDAAC" w14:textId="77777777" w:rsidR="00617D47" w:rsidRPr="006E6CE6" w:rsidRDefault="00617D47" w:rsidP="00617D47">
      <w:pPr>
        <w:shd w:val="clear" w:color="auto" w:fill="FFFFFF"/>
        <w:jc w:val="both"/>
        <w:rPr>
          <w:rFonts w:ascii="Open Sans" w:hAnsi="Open Sans" w:cs="Open Sans"/>
        </w:rPr>
      </w:pPr>
      <w:r w:rsidRPr="006E6CE6">
        <w:rPr>
          <w:rFonts w:ascii="Open Sans" w:hAnsi="Open Sans" w:cs="Open Sans"/>
        </w:rPr>
        <w:t>La contrepartie obligatoire en repos est assimilée à une période de travail effectif pour le calcul des droits des salariés. Cette assimilation au travail effectif vaut pour la détermination des congés payés et pour le décompte des droits liés à l'ancienneté.</w:t>
      </w:r>
    </w:p>
    <w:p w14:paraId="4ACAD565" w14:textId="77777777" w:rsidR="00617D47" w:rsidRPr="006E6CE6" w:rsidRDefault="00617D47" w:rsidP="00617D47">
      <w:pPr>
        <w:shd w:val="clear" w:color="auto" w:fill="FFFFFF"/>
        <w:jc w:val="both"/>
        <w:rPr>
          <w:rFonts w:ascii="Open Sans" w:hAnsi="Open Sans" w:cs="Open Sans"/>
        </w:rPr>
      </w:pPr>
      <w:r w:rsidRPr="006E6CE6">
        <w:rPr>
          <w:rFonts w:ascii="Open Sans" w:hAnsi="Open Sans" w:cs="Open Sans"/>
        </w:rPr>
        <w:t>La durée du repos donne lieu à une indemnisation qui ne peut entraîner aucune diminution de rémunération par rapport à celle que le salarié aurait perçue s'il avait accompli son travail.</w:t>
      </w:r>
    </w:p>
    <w:p w14:paraId="62696685" w14:textId="77777777" w:rsidR="00617D47" w:rsidRPr="006E6CE6" w:rsidRDefault="00617D47" w:rsidP="00617D47">
      <w:pPr>
        <w:shd w:val="clear" w:color="auto" w:fill="FFFFFF"/>
        <w:jc w:val="both"/>
        <w:rPr>
          <w:rFonts w:ascii="Open Sans" w:hAnsi="Open Sans" w:cs="Open Sans"/>
        </w:rPr>
      </w:pPr>
      <w:r w:rsidRPr="006E6CE6">
        <w:rPr>
          <w:rFonts w:ascii="Open Sans" w:hAnsi="Open Sans" w:cs="Open Sans"/>
        </w:rPr>
        <w:t xml:space="preserve">Ce repos n'est pas, en revanche, assimilé à du temps de travail effectif au regard du calcul du nombre d'heures supplémentaires. Il n'est pas non plus considéré comme temps de </w:t>
      </w:r>
      <w:r w:rsidRPr="006E6CE6">
        <w:rPr>
          <w:rFonts w:ascii="Open Sans" w:hAnsi="Open Sans" w:cs="Open Sans"/>
        </w:rPr>
        <w:lastRenderedPageBreak/>
        <w:t>travail pour apprécier si les limites des durées maximales ou moyennes de travail sont atteintes.</w:t>
      </w:r>
    </w:p>
    <w:p w14:paraId="008EEC90" w14:textId="77777777" w:rsidR="00617D47" w:rsidRDefault="00617D47" w:rsidP="00617D47">
      <w:pPr>
        <w:shd w:val="clear" w:color="auto" w:fill="FFFFFF"/>
        <w:jc w:val="both"/>
        <w:rPr>
          <w:rFonts w:ascii="Open Sans" w:hAnsi="Open Sans" w:cs="Open Sans"/>
        </w:rPr>
      </w:pPr>
      <w:r w:rsidRPr="006E6CE6">
        <w:rPr>
          <w:rFonts w:ascii="Open Sans" w:hAnsi="Open Sans" w:cs="Open Sans"/>
        </w:rPr>
        <w:t>Le droit au repos est ouvert dès que sa durée atteint 7 heures.</w:t>
      </w:r>
    </w:p>
    <w:p w14:paraId="0616078A" w14:textId="77777777" w:rsidR="00617D47" w:rsidRPr="00EC7C29" w:rsidRDefault="00617D47" w:rsidP="00617D47">
      <w:pPr>
        <w:pStyle w:val="Section1"/>
      </w:pPr>
      <w:bookmarkStart w:id="19" w:name="_Toc210722318"/>
      <w:r w:rsidRPr="00EC7C29">
        <w:t>Article 11-4 : Information des salariés</w:t>
      </w:r>
      <w:bookmarkEnd w:id="19"/>
    </w:p>
    <w:p w14:paraId="162BE798" w14:textId="77777777" w:rsidR="00617D47" w:rsidRPr="006E6CE6" w:rsidRDefault="00617D47" w:rsidP="00617D47">
      <w:pPr>
        <w:jc w:val="both"/>
        <w:rPr>
          <w:rFonts w:ascii="Open Sans" w:hAnsi="Open Sans" w:cs="Open Sans"/>
        </w:rPr>
      </w:pPr>
      <w:r w:rsidRPr="006E6CE6">
        <w:rPr>
          <w:rFonts w:ascii="Open Sans" w:hAnsi="Open Sans" w:cs="Open Sans"/>
        </w:rPr>
        <w:t>Les salariés sont informés du nombre d'heures de repos acquis par un compteur tenu à jour sur le bulletin de paie. Dès que ce nombre atteint 7</w:t>
      </w:r>
      <w:r>
        <w:rPr>
          <w:rFonts w:ascii="Open Sans" w:hAnsi="Open Sans" w:cs="Open Sans"/>
        </w:rPr>
        <w:t xml:space="preserve"> </w:t>
      </w:r>
      <w:r w:rsidRPr="006E6CE6">
        <w:rPr>
          <w:rFonts w:ascii="Open Sans" w:hAnsi="Open Sans" w:cs="Open Sans"/>
        </w:rPr>
        <w:t>heures, ce document comporte</w:t>
      </w:r>
      <w:r w:rsidRPr="00CA18DB">
        <w:rPr>
          <w:rFonts w:ascii="Open Sans" w:hAnsi="Open Sans" w:cs="Open Sans"/>
          <w:color w:val="000000"/>
        </w:rPr>
        <w:t xml:space="preserve"> </w:t>
      </w:r>
      <w:r w:rsidRPr="006E6CE6">
        <w:rPr>
          <w:rFonts w:ascii="Open Sans" w:hAnsi="Open Sans" w:cs="Open Sans"/>
        </w:rPr>
        <w:t>une mention notifiant l'ouverture du droit à repos et l'obligation de le prendre dans un délai de 2</w:t>
      </w:r>
      <w:r>
        <w:rPr>
          <w:rFonts w:ascii="Open Sans" w:hAnsi="Open Sans" w:cs="Open Sans"/>
        </w:rPr>
        <w:t xml:space="preserve"> </w:t>
      </w:r>
      <w:r w:rsidRPr="006E6CE6">
        <w:rPr>
          <w:rFonts w:ascii="Open Sans" w:hAnsi="Open Sans" w:cs="Open Sans"/>
        </w:rPr>
        <w:t>mois après son ouverture et d’un maximum exceptionnellement de 1 an, en accord commun des parties.</w:t>
      </w:r>
    </w:p>
    <w:p w14:paraId="2D606282" w14:textId="77777777" w:rsidR="00617D47" w:rsidRPr="00EC7C29" w:rsidRDefault="00617D47" w:rsidP="00617D47">
      <w:pPr>
        <w:pStyle w:val="Section1"/>
      </w:pPr>
      <w:bookmarkStart w:id="20" w:name="_Toc210722319"/>
      <w:r w:rsidRPr="00EC7C29">
        <w:t>Article 11-5 : Les conditions de prise de cette contrepartie obligatoire en repos</w:t>
      </w:r>
      <w:bookmarkEnd w:id="20"/>
    </w:p>
    <w:p w14:paraId="65AFD6D8" w14:textId="77777777" w:rsidR="00617D47" w:rsidRPr="00ED0913" w:rsidRDefault="00617D47" w:rsidP="00617D47">
      <w:pPr>
        <w:pStyle w:val="Sous-section1"/>
      </w:pPr>
      <w:bookmarkStart w:id="21" w:name="_Toc210722320"/>
      <w:r w:rsidRPr="00ED0913">
        <w:t>Prise par journée ou demi-journée :</w:t>
      </w:r>
      <w:bookmarkEnd w:id="21"/>
    </w:p>
    <w:p w14:paraId="25D202AC" w14:textId="77777777" w:rsidR="00617D47" w:rsidRPr="006E6CE6" w:rsidRDefault="00617D47" w:rsidP="00617D47">
      <w:pPr>
        <w:jc w:val="both"/>
        <w:rPr>
          <w:rFonts w:ascii="Open Sans" w:hAnsi="Open Sans" w:cs="Open Sans"/>
        </w:rPr>
      </w:pPr>
      <w:r w:rsidRPr="006E6CE6">
        <w:rPr>
          <w:rFonts w:ascii="Open Sans" w:hAnsi="Open Sans" w:cs="Open Sans"/>
        </w:rPr>
        <w:t>Le repos peut être pris par journée entière ou par demi-journée, à la convenance du salarié.</w:t>
      </w:r>
    </w:p>
    <w:p w14:paraId="04BD5109" w14:textId="77777777" w:rsidR="00617D47" w:rsidRPr="006E6CE6" w:rsidRDefault="00617D47" w:rsidP="00617D47">
      <w:pPr>
        <w:jc w:val="both"/>
        <w:rPr>
          <w:rFonts w:ascii="Open Sans" w:hAnsi="Open Sans" w:cs="Open Sans"/>
        </w:rPr>
      </w:pPr>
      <w:r w:rsidRPr="006E6CE6">
        <w:rPr>
          <w:rFonts w:ascii="Open Sans" w:hAnsi="Open Sans" w:cs="Open Sans"/>
        </w:rPr>
        <w:t>La journée ou demi-journée de prise du repos est déduite du droit à repos à raison du nombre d'heures de travail que le salarié aurait accompli pendant cette journée ou demi-journée.</w:t>
      </w:r>
    </w:p>
    <w:p w14:paraId="6DDA83DC" w14:textId="77777777" w:rsidR="00617D47" w:rsidRPr="00EC7C29" w:rsidRDefault="00617D47" w:rsidP="00617D47">
      <w:pPr>
        <w:pStyle w:val="Sous-section1"/>
      </w:pPr>
      <w:bookmarkStart w:id="22" w:name="_Toc210722321"/>
      <w:r w:rsidRPr="00EC7C29">
        <w:t>Prise du repos dans un délai de 2 mois :</w:t>
      </w:r>
      <w:bookmarkEnd w:id="22"/>
    </w:p>
    <w:p w14:paraId="73017499" w14:textId="77777777" w:rsidR="00617D47" w:rsidRPr="006E6CE6" w:rsidRDefault="00617D47" w:rsidP="00617D47">
      <w:pPr>
        <w:jc w:val="both"/>
        <w:rPr>
          <w:rFonts w:ascii="Open Sans" w:hAnsi="Open Sans" w:cs="Open Sans"/>
        </w:rPr>
      </w:pPr>
      <w:r w:rsidRPr="006E6CE6">
        <w:rPr>
          <w:rFonts w:ascii="Open Sans" w:hAnsi="Open Sans" w:cs="Open Sans"/>
        </w:rPr>
        <w:t>La contrepartie obligatoire en repos est prise dans un délai maximum de 2</w:t>
      </w:r>
      <w:r>
        <w:rPr>
          <w:rFonts w:ascii="Open Sans" w:hAnsi="Open Sans" w:cs="Open Sans"/>
        </w:rPr>
        <w:t xml:space="preserve"> </w:t>
      </w:r>
      <w:r w:rsidRPr="006E6CE6">
        <w:rPr>
          <w:rFonts w:ascii="Open Sans" w:hAnsi="Open Sans" w:cs="Open Sans"/>
        </w:rPr>
        <w:t>mois suivant l'ouverture du droit, c'est-à-dire à compter de l'acquisition de 7</w:t>
      </w:r>
      <w:r>
        <w:rPr>
          <w:rFonts w:ascii="Open Sans" w:hAnsi="Open Sans" w:cs="Open Sans"/>
        </w:rPr>
        <w:t xml:space="preserve"> </w:t>
      </w:r>
      <w:r w:rsidRPr="006E6CE6">
        <w:rPr>
          <w:rFonts w:ascii="Open Sans" w:hAnsi="Open Sans" w:cs="Open Sans"/>
        </w:rPr>
        <w:t>heures de repos.</w:t>
      </w:r>
    </w:p>
    <w:p w14:paraId="19E2FE28" w14:textId="77777777" w:rsidR="00617D47" w:rsidRPr="006E6CE6" w:rsidRDefault="00617D47" w:rsidP="00617D47">
      <w:pPr>
        <w:jc w:val="both"/>
        <w:rPr>
          <w:rFonts w:ascii="Open Sans" w:hAnsi="Open Sans" w:cs="Open Sans"/>
        </w:rPr>
      </w:pPr>
      <w:r w:rsidRPr="006E6CE6">
        <w:rPr>
          <w:rFonts w:ascii="Open Sans" w:hAnsi="Open Sans" w:cs="Open Sans"/>
        </w:rPr>
        <w:t>Si le droit à repos restant est inférieur à une demi-journée ou à une journée, et sauf si les impératifs de bon fonctionnement de l'entreprise conduisent l'employeur à différer la prise du repos, le délai de 2</w:t>
      </w:r>
      <w:r>
        <w:rPr>
          <w:rFonts w:ascii="Open Sans" w:hAnsi="Open Sans" w:cs="Open Sans"/>
        </w:rPr>
        <w:t xml:space="preserve"> </w:t>
      </w:r>
      <w:r w:rsidRPr="006E6CE6">
        <w:rPr>
          <w:rFonts w:ascii="Open Sans" w:hAnsi="Open Sans" w:cs="Open Sans"/>
        </w:rPr>
        <w:t>mois n'est pas applicable à ces heures de repos restantes. Il ne sera applicable qu'une fois que le salarié aura accumulé de nouveau 7</w:t>
      </w:r>
      <w:r>
        <w:rPr>
          <w:rFonts w:ascii="Open Sans" w:hAnsi="Open Sans" w:cs="Open Sans"/>
        </w:rPr>
        <w:t xml:space="preserve"> </w:t>
      </w:r>
      <w:r w:rsidRPr="006E6CE6">
        <w:rPr>
          <w:rFonts w:ascii="Open Sans" w:hAnsi="Open Sans" w:cs="Open Sans"/>
        </w:rPr>
        <w:t>heures de repos.</w:t>
      </w:r>
    </w:p>
    <w:p w14:paraId="6058F14A" w14:textId="2187DD03" w:rsidR="00617D47" w:rsidRPr="006E6CE6" w:rsidRDefault="00617D47" w:rsidP="00617D47">
      <w:pPr>
        <w:jc w:val="both"/>
        <w:rPr>
          <w:rFonts w:ascii="Open Sans" w:hAnsi="Open Sans" w:cs="Open Sans"/>
        </w:rPr>
      </w:pPr>
      <w:r w:rsidRPr="006E6CE6">
        <w:rPr>
          <w:rFonts w:ascii="Open Sans" w:hAnsi="Open Sans" w:cs="Open Sans"/>
        </w:rPr>
        <w:t>La durée pendant laquelle la contrepartie obligatoire en repos peut être différée par l'employeur ne peut excéder 2 mois.</w:t>
      </w:r>
    </w:p>
    <w:p w14:paraId="4F2D9852" w14:textId="77777777" w:rsidR="00617D47" w:rsidRPr="00EC7C29" w:rsidRDefault="00617D47" w:rsidP="00617D47">
      <w:pPr>
        <w:pStyle w:val="Sous-section1"/>
      </w:pPr>
      <w:bookmarkStart w:id="23" w:name="_Toc210722322"/>
      <w:r w:rsidRPr="00EC7C29">
        <w:t>Formalisme :</w:t>
      </w:r>
      <w:bookmarkEnd w:id="23"/>
    </w:p>
    <w:p w14:paraId="233965F8" w14:textId="77777777" w:rsidR="00617D47" w:rsidRPr="00CA18DB" w:rsidRDefault="00617D47" w:rsidP="00617D47">
      <w:pPr>
        <w:numPr>
          <w:ilvl w:val="0"/>
          <w:numId w:val="1"/>
        </w:numPr>
        <w:ind w:left="1440"/>
        <w:jc w:val="both"/>
        <w:textAlignment w:val="baseline"/>
        <w:rPr>
          <w:rFonts w:ascii="Open Sans" w:hAnsi="Open Sans" w:cs="Open Sans"/>
          <w:color w:val="000000"/>
          <w:u w:val="single"/>
        </w:rPr>
      </w:pPr>
      <w:r w:rsidRPr="00CA18DB">
        <w:rPr>
          <w:rFonts w:ascii="Open Sans" w:hAnsi="Open Sans" w:cs="Open Sans"/>
          <w:color w:val="000000"/>
          <w:u w:val="single"/>
        </w:rPr>
        <w:t>Demande du salarié</w:t>
      </w:r>
      <w:r w:rsidRPr="00CA18DB">
        <w:rPr>
          <w:rFonts w:ascii="Open Sans" w:hAnsi="Open Sans" w:cs="Open Sans"/>
          <w:color w:val="000000"/>
        </w:rPr>
        <w:t> : Le salarié adresse sa demande de contrepartie obligatoire en repos à l'employeur au moins une semaine à l'avance. La demande précise la date et la durée du repos.</w:t>
      </w:r>
    </w:p>
    <w:p w14:paraId="6C09AF50" w14:textId="77777777" w:rsidR="00617D47" w:rsidRPr="00CA18DB" w:rsidRDefault="00617D47" w:rsidP="00617D47">
      <w:pPr>
        <w:numPr>
          <w:ilvl w:val="0"/>
          <w:numId w:val="1"/>
        </w:numPr>
        <w:ind w:left="1440"/>
        <w:jc w:val="both"/>
        <w:textAlignment w:val="baseline"/>
        <w:rPr>
          <w:rFonts w:ascii="Open Sans" w:hAnsi="Open Sans" w:cs="Open Sans"/>
          <w:color w:val="000000"/>
          <w:u w:val="single"/>
        </w:rPr>
      </w:pPr>
      <w:r w:rsidRPr="00CA18DB">
        <w:rPr>
          <w:rFonts w:ascii="Open Sans" w:hAnsi="Open Sans" w:cs="Open Sans"/>
          <w:color w:val="000000"/>
          <w:u w:val="single"/>
        </w:rPr>
        <w:t>Réponse de l’employeur</w:t>
      </w:r>
      <w:r w:rsidRPr="00CA18DB">
        <w:rPr>
          <w:rFonts w:ascii="Open Sans" w:hAnsi="Open Sans" w:cs="Open Sans"/>
          <w:color w:val="000000"/>
        </w:rPr>
        <w:t xml:space="preserve"> : Dans les sept jours suivant la réception de la demande, l'employeur informe l'intéressé soit de son accord, soit des </w:t>
      </w:r>
      <w:r w:rsidRPr="00CA18DB">
        <w:rPr>
          <w:rFonts w:ascii="Open Sans" w:hAnsi="Open Sans" w:cs="Open Sans"/>
          <w:color w:val="000000"/>
        </w:rPr>
        <w:lastRenderedPageBreak/>
        <w:t>raisons relevant d'impératifs liés au fonctionnement de l'entreprise qui motivent le report de la demande.</w:t>
      </w:r>
    </w:p>
    <w:p w14:paraId="4A977032" w14:textId="77777777" w:rsidR="00617D47" w:rsidRPr="006E6CE6" w:rsidRDefault="00617D47" w:rsidP="00617D47">
      <w:pPr>
        <w:jc w:val="both"/>
        <w:rPr>
          <w:rFonts w:ascii="Open Sans" w:hAnsi="Open Sans" w:cs="Open Sans"/>
        </w:rPr>
      </w:pPr>
      <w:r w:rsidRPr="006E6CE6">
        <w:rPr>
          <w:rFonts w:ascii="Open Sans" w:hAnsi="Open Sans" w:cs="Open Sans"/>
        </w:rPr>
        <w:t>En cas de report, l'employeur propose au salarié une autre date à l'intérieur du délai de deux mois.</w:t>
      </w:r>
    </w:p>
    <w:p w14:paraId="2EB809CE" w14:textId="77777777" w:rsidR="00617D47" w:rsidRPr="006E6CE6" w:rsidRDefault="00617D47" w:rsidP="00617D47">
      <w:pPr>
        <w:jc w:val="both"/>
        <w:rPr>
          <w:rFonts w:ascii="Open Sans" w:hAnsi="Open Sans" w:cs="Open Sans"/>
        </w:rPr>
      </w:pPr>
      <w:r w:rsidRPr="006E6CE6">
        <w:rPr>
          <w:rFonts w:ascii="Open Sans" w:hAnsi="Open Sans" w:cs="Open Sans"/>
        </w:rPr>
        <w:t>Lorsque des impératifs liés au fonctionnement de l'entreprise font obstacle à ce que plusieurs demandes de contrepartie obligatoire en repos soient simultanément satisfaites, les demandeurs sont départagés, selon l'ordre de priorité suivant</w:t>
      </w:r>
      <w:r>
        <w:rPr>
          <w:rFonts w:ascii="Open Sans" w:hAnsi="Open Sans" w:cs="Open Sans"/>
        </w:rPr>
        <w:t> :</w:t>
      </w:r>
    </w:p>
    <w:p w14:paraId="655CDCEE" w14:textId="77777777" w:rsidR="00617D47" w:rsidRPr="005B048E" w:rsidRDefault="00617D47" w:rsidP="00617D47">
      <w:pPr>
        <w:pStyle w:val="Paragraphedeliste"/>
        <w:numPr>
          <w:ilvl w:val="0"/>
          <w:numId w:val="4"/>
        </w:numPr>
        <w:spacing w:before="120" w:after="360" w:line="480" w:lineRule="auto"/>
        <w:ind w:left="714" w:hanging="357"/>
        <w:jc w:val="both"/>
        <w:rPr>
          <w:rFonts w:ascii="Open Sans" w:hAnsi="Open Sans" w:cs="Open Sans"/>
        </w:rPr>
      </w:pPr>
      <w:r w:rsidRPr="005B048E">
        <w:rPr>
          <w:rFonts w:ascii="Open Sans" w:hAnsi="Open Sans" w:cs="Open Sans"/>
        </w:rPr>
        <w:t>Les demandes déjà différées ;</w:t>
      </w:r>
    </w:p>
    <w:p w14:paraId="36948009" w14:textId="77777777" w:rsidR="00617D47" w:rsidRPr="005B048E" w:rsidRDefault="00617D47" w:rsidP="00617D47">
      <w:pPr>
        <w:pStyle w:val="Paragraphedeliste"/>
        <w:numPr>
          <w:ilvl w:val="0"/>
          <w:numId w:val="4"/>
        </w:numPr>
        <w:spacing w:line="480" w:lineRule="auto"/>
        <w:jc w:val="both"/>
        <w:rPr>
          <w:rFonts w:ascii="Open Sans" w:hAnsi="Open Sans" w:cs="Open Sans"/>
        </w:rPr>
      </w:pPr>
      <w:r w:rsidRPr="005B048E">
        <w:rPr>
          <w:rFonts w:ascii="Open Sans" w:hAnsi="Open Sans" w:cs="Open Sans"/>
        </w:rPr>
        <w:t>La situation de famille ;</w:t>
      </w:r>
    </w:p>
    <w:p w14:paraId="7A00B07C" w14:textId="77777777" w:rsidR="00617D47" w:rsidRDefault="00617D47" w:rsidP="00617D47">
      <w:pPr>
        <w:pStyle w:val="Paragraphedeliste"/>
        <w:numPr>
          <w:ilvl w:val="0"/>
          <w:numId w:val="4"/>
        </w:numPr>
        <w:spacing w:line="480" w:lineRule="auto"/>
        <w:jc w:val="both"/>
        <w:rPr>
          <w:rFonts w:ascii="Open Sans" w:hAnsi="Open Sans" w:cs="Open Sans"/>
        </w:rPr>
      </w:pPr>
      <w:r w:rsidRPr="005B048E">
        <w:rPr>
          <w:rFonts w:ascii="Open Sans" w:hAnsi="Open Sans" w:cs="Open Sans"/>
        </w:rPr>
        <w:t>L'ancienneté dans l'entreprise.</w:t>
      </w:r>
    </w:p>
    <w:p w14:paraId="077F6F60" w14:textId="77777777" w:rsidR="00617D47" w:rsidRPr="006C193E" w:rsidRDefault="00617D47" w:rsidP="00617D47">
      <w:pPr>
        <w:jc w:val="both"/>
        <w:rPr>
          <w:rFonts w:ascii="Open Sans" w:hAnsi="Open Sans" w:cs="Open Sans"/>
        </w:rPr>
      </w:pPr>
      <w:r w:rsidRPr="006C193E">
        <w:rPr>
          <w:rFonts w:ascii="Open Sans" w:hAnsi="Open Sans" w:cs="Open Sans"/>
        </w:rPr>
        <w:t>L’absence de demande de prise de repos par le salarié, dans le délai de 2 mois ne peut entraîner la perte du droit : l'employeur est tenu de demander au salarié de solder son droit dans le délai d’un an à compter de l’ouverture des droits du salarié</w:t>
      </w:r>
      <w:r>
        <w:rPr>
          <w:rFonts w:ascii="Open Sans" w:hAnsi="Open Sans" w:cs="Open Sans"/>
        </w:rPr>
        <w:t>.</w:t>
      </w:r>
    </w:p>
    <w:p w14:paraId="3EE05FC3" w14:textId="77777777" w:rsidR="00617D47" w:rsidRPr="00EC7C29" w:rsidRDefault="00617D47" w:rsidP="00617D47">
      <w:pPr>
        <w:pStyle w:val="Sous-section1"/>
      </w:pPr>
      <w:bookmarkStart w:id="24" w:name="_Toc210722323"/>
      <w:r w:rsidRPr="00EC7C29">
        <w:t>Rupture du contrat avant la prise du repos :</w:t>
      </w:r>
      <w:bookmarkEnd w:id="24"/>
    </w:p>
    <w:p w14:paraId="40C683EC" w14:textId="77777777" w:rsidR="00617D47" w:rsidRPr="006E6CE6" w:rsidRDefault="00617D47" w:rsidP="00617D47">
      <w:pPr>
        <w:jc w:val="both"/>
        <w:rPr>
          <w:rFonts w:ascii="Open Sans" w:hAnsi="Open Sans" w:cs="Open Sans"/>
        </w:rPr>
      </w:pPr>
      <w:r w:rsidRPr="006E6CE6">
        <w:rPr>
          <w:rFonts w:ascii="Open Sans" w:hAnsi="Open Sans" w:cs="Open Sans"/>
        </w:rPr>
        <w:t>Le salarié dont le contrat de travail prend fin avant qu'il ait pu bénéficier de la contrepartie obligatoire en repos à laquelle il a droit ou avant qu'il ait acquis des droits suffisants pour pouvoir prendre ce repos reçoit une indemnité en espèces dont le montant correspond à ses droits acquis.</w:t>
      </w:r>
    </w:p>
    <w:p w14:paraId="1ABFC489" w14:textId="77777777" w:rsidR="00617D47" w:rsidRPr="006E6CE6" w:rsidRDefault="00617D47" w:rsidP="00617D47">
      <w:pPr>
        <w:jc w:val="both"/>
        <w:rPr>
          <w:rFonts w:ascii="Open Sans" w:hAnsi="Open Sans" w:cs="Open Sans"/>
        </w:rPr>
      </w:pPr>
      <w:r w:rsidRPr="006E6CE6">
        <w:rPr>
          <w:rFonts w:ascii="Open Sans" w:hAnsi="Open Sans" w:cs="Open Sans"/>
        </w:rPr>
        <w:t>Cette indemnité est également due aux ayants droit du salarié dont le décès survient avant qu'il ait pu bénéficier de la contrepartie obligatoire en repos à laquelle il avait droit ou avant qu'il ait acquis des droits suffisants pour pouvoir prendre ce repos. Elle est alors versée à ceux des ayants droit qui auraient qualité pour obtenir le paiement des salaires arriérés.</w:t>
      </w:r>
    </w:p>
    <w:p w14:paraId="2286214D" w14:textId="519A24F0" w:rsidR="00617D47" w:rsidRDefault="00617D47" w:rsidP="00617D47">
      <w:pPr>
        <w:shd w:val="clear" w:color="auto" w:fill="FFFFFF"/>
        <w:jc w:val="both"/>
        <w:rPr>
          <w:rFonts w:ascii="Open Sans" w:hAnsi="Open Sans" w:cs="Open Sans"/>
        </w:rPr>
      </w:pPr>
      <w:r w:rsidRPr="006E6CE6">
        <w:rPr>
          <w:rFonts w:ascii="Open Sans" w:hAnsi="Open Sans" w:cs="Open Sans"/>
        </w:rPr>
        <w:t>Cette indemnité a le caractère de salaire.</w:t>
      </w:r>
    </w:p>
    <w:p w14:paraId="0EB85E44" w14:textId="77777777" w:rsidR="00617D47" w:rsidRPr="00CA18DB" w:rsidRDefault="00617D47" w:rsidP="00617D47">
      <w:pPr>
        <w:pStyle w:val="Style1"/>
      </w:pPr>
      <w:bookmarkStart w:id="25" w:name="_Toc210722324"/>
      <w:r w:rsidRPr="00CA18DB">
        <w:t xml:space="preserve">Article 12 – </w:t>
      </w:r>
      <w:r>
        <w:t>I</w:t>
      </w:r>
      <w:r w:rsidRPr="00CA18DB">
        <w:t xml:space="preserve">nformation du </w:t>
      </w:r>
      <w:r>
        <w:t>CSE</w:t>
      </w:r>
      <w:bookmarkEnd w:id="25"/>
    </w:p>
    <w:p w14:paraId="520521A1" w14:textId="77777777" w:rsidR="00617D47" w:rsidRPr="006E6CE6" w:rsidRDefault="00617D47" w:rsidP="00617D47">
      <w:pPr>
        <w:jc w:val="both"/>
        <w:rPr>
          <w:rFonts w:ascii="Open Sans" w:hAnsi="Open Sans" w:cs="Open Sans"/>
        </w:rPr>
      </w:pPr>
      <w:r w:rsidRPr="006E6CE6">
        <w:rPr>
          <w:rFonts w:ascii="Open Sans" w:hAnsi="Open Sans" w:cs="Open Sans"/>
        </w:rPr>
        <w:t>Lorsque le</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d'Heures supplémentaires est fixé par accord collectif, tout dépassement de ce</w:t>
      </w:r>
      <w:r>
        <w:rPr>
          <w:rFonts w:ascii="Open Sans" w:hAnsi="Open Sans" w:cs="Open Sans"/>
        </w:rPr>
        <w:t xml:space="preserve"> </w:t>
      </w:r>
      <w:r w:rsidRPr="006E6CE6">
        <w:rPr>
          <w:rFonts w:ascii="Open Sans" w:hAnsi="Open Sans" w:cs="Open Sans"/>
        </w:rPr>
        <w:t>contingent</w:t>
      </w:r>
      <w:r>
        <w:rPr>
          <w:rFonts w:ascii="Open Sans" w:hAnsi="Open Sans" w:cs="Open Sans"/>
        </w:rPr>
        <w:t xml:space="preserve"> </w:t>
      </w:r>
      <w:r w:rsidRPr="006E6CE6">
        <w:rPr>
          <w:rFonts w:ascii="Open Sans" w:hAnsi="Open Sans" w:cs="Open Sans"/>
        </w:rPr>
        <w:t>conventionnel est subordonné à l'avis préalable du comité social et économique (CSE), si CSE il y a.</w:t>
      </w:r>
    </w:p>
    <w:p w14:paraId="29E80FE8" w14:textId="77777777" w:rsidR="00617D47" w:rsidRPr="00910B5C" w:rsidRDefault="00617D47" w:rsidP="00617D47">
      <w:pPr>
        <w:pStyle w:val="Style1"/>
      </w:pPr>
      <w:bookmarkStart w:id="26" w:name="_Toc210722325"/>
      <w:r w:rsidRPr="00910B5C">
        <w:t>Dispositions finales</w:t>
      </w:r>
      <w:bookmarkEnd w:id="26"/>
    </w:p>
    <w:p w14:paraId="46B6F8C5" w14:textId="77777777" w:rsidR="00617D47" w:rsidRPr="0014150C" w:rsidRDefault="00617D47" w:rsidP="00617D47">
      <w:pPr>
        <w:pStyle w:val="Style1"/>
      </w:pPr>
      <w:bookmarkStart w:id="27" w:name="_Toc210722326"/>
      <w:r w:rsidRPr="0014150C">
        <w:t>Article 1</w:t>
      </w:r>
      <w:r>
        <w:t>3 – D</w:t>
      </w:r>
      <w:r w:rsidRPr="0014150C">
        <w:t>urée, dénonciation et révision de l’accord</w:t>
      </w:r>
      <w:bookmarkEnd w:id="27"/>
    </w:p>
    <w:p w14:paraId="74726DF6" w14:textId="77777777" w:rsidR="00617D47" w:rsidRPr="006E6CE6" w:rsidRDefault="00617D47" w:rsidP="00617D47">
      <w:pPr>
        <w:jc w:val="both"/>
        <w:rPr>
          <w:rFonts w:ascii="Open Sans" w:hAnsi="Open Sans" w:cs="Open Sans"/>
        </w:rPr>
      </w:pPr>
      <w:r w:rsidRPr="006E6CE6">
        <w:rPr>
          <w:rFonts w:ascii="Open Sans" w:hAnsi="Open Sans" w:cs="Open Sans"/>
        </w:rPr>
        <w:lastRenderedPageBreak/>
        <w:t>La validité du présent accord est subordonnée à son approbation par la majorité des deux tiers du personnel, dans les conditions fixées par à l’Ordonnance</w:t>
      </w:r>
      <w:r>
        <w:rPr>
          <w:rFonts w:ascii="Open Sans" w:hAnsi="Open Sans" w:cs="Open Sans"/>
        </w:rPr>
        <w:t xml:space="preserve"> </w:t>
      </w:r>
      <w:r w:rsidRPr="006E6CE6">
        <w:rPr>
          <w:rFonts w:ascii="Open Sans" w:hAnsi="Open Sans" w:cs="Open Sans"/>
        </w:rPr>
        <w:t>nº2017-1385 du 22 septembre 2017 relative au renforcement de la négociation collective et au décret nº2017-1767 du 26 décembre 2017 relatif aux modalités d'approbation des accords dans les très petites entreprises.</w:t>
      </w:r>
    </w:p>
    <w:p w14:paraId="64F172BF" w14:textId="77777777" w:rsidR="00617D47" w:rsidRPr="006E6CE6" w:rsidRDefault="00617D47" w:rsidP="00617D47">
      <w:pPr>
        <w:jc w:val="both"/>
        <w:rPr>
          <w:rFonts w:ascii="Open Sans" w:hAnsi="Open Sans" w:cs="Open Sans"/>
        </w:rPr>
      </w:pPr>
      <w:r w:rsidRPr="006E6CE6">
        <w:rPr>
          <w:rFonts w:ascii="Open Sans" w:hAnsi="Open Sans" w:cs="Open Sans"/>
        </w:rPr>
        <w:t>Faute d’approbation, le présent accord est réputé non écrit.</w:t>
      </w:r>
    </w:p>
    <w:p w14:paraId="1DCBF74F" w14:textId="3FECFD47" w:rsidR="00617D47" w:rsidRPr="006E6CE6" w:rsidRDefault="00617D47" w:rsidP="00617D47">
      <w:pPr>
        <w:jc w:val="both"/>
        <w:rPr>
          <w:rFonts w:ascii="Open Sans" w:hAnsi="Open Sans" w:cs="Open Sans"/>
        </w:rPr>
      </w:pPr>
      <w:r w:rsidRPr="006E6CE6">
        <w:rPr>
          <w:rFonts w:ascii="Open Sans" w:hAnsi="Open Sans" w:cs="Open Sans"/>
        </w:rPr>
        <w:t xml:space="preserve">L’accord est conclu pour une durée indéterminée et </w:t>
      </w:r>
      <w:r w:rsidRPr="004905F5">
        <w:rPr>
          <w:rFonts w:ascii="Open Sans" w:hAnsi="Open Sans" w:cs="Open Sans"/>
        </w:rPr>
        <w:t xml:space="preserve">entrera en vigueur à compter du lendemain de son dépôt à la </w:t>
      </w:r>
      <w:r w:rsidR="00B3115A" w:rsidRPr="006E6CE6">
        <w:rPr>
          <w:rFonts w:ascii="Open Sans" w:hAnsi="Open Sans" w:cs="Open Sans"/>
        </w:rPr>
        <w:t>DREETS</w:t>
      </w:r>
      <w:r>
        <w:rPr>
          <w:rFonts w:ascii="Open Sans" w:hAnsi="Open Sans" w:cs="Open Sans"/>
        </w:rPr>
        <w:t>.</w:t>
      </w:r>
    </w:p>
    <w:p w14:paraId="34DB5715" w14:textId="77777777" w:rsidR="00617D47" w:rsidRPr="006E6CE6" w:rsidRDefault="00617D47" w:rsidP="00617D47">
      <w:pPr>
        <w:jc w:val="both"/>
        <w:rPr>
          <w:rFonts w:ascii="Open Sans" w:hAnsi="Open Sans" w:cs="Open Sans"/>
        </w:rPr>
      </w:pPr>
      <w:r w:rsidRPr="006E6CE6">
        <w:rPr>
          <w:rFonts w:ascii="Open Sans" w:hAnsi="Open Sans" w:cs="Open Sans"/>
        </w:rPr>
        <w:t>Il pourra être dénoncé par l’une ou l’autre des parties par lettre recommandée avec accusé de réception sous réserve de respecter un préavis de 3 mois.</w:t>
      </w:r>
    </w:p>
    <w:p w14:paraId="5DA8A21C" w14:textId="77777777" w:rsidR="00617D47" w:rsidRPr="006E6CE6" w:rsidRDefault="00617D47" w:rsidP="00617D47">
      <w:pPr>
        <w:jc w:val="both"/>
        <w:rPr>
          <w:rFonts w:ascii="Open Sans" w:hAnsi="Open Sans" w:cs="Open Sans"/>
        </w:rPr>
      </w:pPr>
      <w:r w:rsidRPr="006E6CE6">
        <w:rPr>
          <w:rFonts w:ascii="Open Sans" w:hAnsi="Open Sans" w:cs="Open Sans"/>
        </w:rPr>
        <w:t>Dans une telle hypothèse, la dénonciation devra faire l’objet des mêmes formalités de publicité et de dépôt que celles accomplies lors de la signature du présent accord.</w:t>
      </w:r>
    </w:p>
    <w:p w14:paraId="295FF213" w14:textId="77777777" w:rsidR="00617D47" w:rsidRPr="006E6CE6" w:rsidRDefault="00617D47" w:rsidP="00617D47">
      <w:pPr>
        <w:jc w:val="both"/>
        <w:rPr>
          <w:rFonts w:ascii="Open Sans" w:hAnsi="Open Sans" w:cs="Open Sans"/>
        </w:rPr>
      </w:pPr>
      <w:r w:rsidRPr="006E6CE6">
        <w:rPr>
          <w:rFonts w:ascii="Open Sans" w:hAnsi="Open Sans" w:cs="Open Sans"/>
        </w:rPr>
        <w:t>En outre, les parties se réuniront pendant la durée du préavis pour discuter des possibilités d’un nouvel accord.</w:t>
      </w:r>
    </w:p>
    <w:p w14:paraId="60D69DF0" w14:textId="77777777" w:rsidR="00617D47" w:rsidRPr="006E6CE6" w:rsidRDefault="00617D47" w:rsidP="00617D47">
      <w:pPr>
        <w:jc w:val="both"/>
        <w:rPr>
          <w:rFonts w:ascii="Open Sans" w:hAnsi="Open Sans" w:cs="Open Sans"/>
        </w:rPr>
      </w:pPr>
      <w:r w:rsidRPr="006E6CE6">
        <w:rPr>
          <w:rFonts w:ascii="Open Sans" w:hAnsi="Open Sans" w:cs="Open Sans"/>
        </w:rPr>
        <w:t>En cas de dénonciation, tant qu’un nouvel accord ne sera pas intervenu, les dispositions du présent accord continueront de s’appliquer.</w:t>
      </w:r>
    </w:p>
    <w:p w14:paraId="2475F4A1" w14:textId="77777777" w:rsidR="00617D47" w:rsidRPr="006E6CE6" w:rsidRDefault="00617D47" w:rsidP="00617D47">
      <w:pPr>
        <w:jc w:val="both"/>
        <w:rPr>
          <w:rFonts w:ascii="Open Sans" w:hAnsi="Open Sans" w:cs="Open Sans"/>
        </w:rPr>
      </w:pPr>
      <w:r w:rsidRPr="006E6CE6">
        <w:rPr>
          <w:rFonts w:ascii="Open Sans" w:hAnsi="Open Sans" w:cs="Open Sans"/>
        </w:rPr>
        <w:t>Toute demande de révision à l’initiative de l’une ou l’autre des parties devra être formulée par lettre recommandée avec accusé de réception à l’autre partie.</w:t>
      </w:r>
    </w:p>
    <w:p w14:paraId="39682DB8" w14:textId="74367D0D" w:rsidR="00617D47" w:rsidRPr="00B3115A" w:rsidRDefault="00617D47" w:rsidP="00B3115A">
      <w:pPr>
        <w:jc w:val="both"/>
        <w:rPr>
          <w:rFonts w:ascii="Open Sans" w:hAnsi="Open Sans" w:cs="Open Sans"/>
        </w:rPr>
      </w:pPr>
      <w:r w:rsidRPr="006E6CE6">
        <w:rPr>
          <w:rFonts w:ascii="Open Sans" w:hAnsi="Open Sans" w:cs="Open Sans"/>
        </w:rPr>
        <w:t>En cas de révision, toute modification qui ferait l’objet d’un accord entre les parties signataires donnera lieu à la signature d’un nouvel avenant. Cet avenant répondra aux mêmes formalités de publicité et de dépôt que celles accomplies lors de la signature du présent accord.</w:t>
      </w:r>
      <w:bookmarkStart w:id="28" w:name="_Toc210722327"/>
    </w:p>
    <w:p w14:paraId="6CAEC767" w14:textId="77777777" w:rsidR="00617D47" w:rsidRPr="0014150C" w:rsidRDefault="00617D47" w:rsidP="00617D47">
      <w:pPr>
        <w:pStyle w:val="Style1"/>
      </w:pPr>
      <w:r w:rsidRPr="0014150C">
        <w:t>Article 1</w:t>
      </w:r>
      <w:r>
        <w:t xml:space="preserve">4 </w:t>
      </w:r>
      <w:r w:rsidRPr="0014150C">
        <w:t xml:space="preserve">– </w:t>
      </w:r>
      <w:r>
        <w:t>D</w:t>
      </w:r>
      <w:r w:rsidRPr="0014150C">
        <w:t>épôt et publicité</w:t>
      </w:r>
      <w:bookmarkEnd w:id="28"/>
    </w:p>
    <w:p w14:paraId="0824B946" w14:textId="77777777" w:rsidR="00617D47" w:rsidRPr="006E6CE6" w:rsidRDefault="00617D47" w:rsidP="00617D47">
      <w:pPr>
        <w:jc w:val="both"/>
        <w:rPr>
          <w:rFonts w:ascii="Open Sans" w:hAnsi="Open Sans" w:cs="Open Sans"/>
        </w:rPr>
      </w:pPr>
      <w:r w:rsidRPr="006E6CE6">
        <w:rPr>
          <w:rFonts w:ascii="Open Sans" w:hAnsi="Open Sans" w:cs="Open Sans"/>
        </w:rPr>
        <w:t>Le présent accord signé donnera lieu à dépôt et publicité dans les conditions prévues par le code du travail.</w:t>
      </w:r>
    </w:p>
    <w:p w14:paraId="03E479D7" w14:textId="77777777" w:rsidR="00617D47" w:rsidRPr="006E6CE6" w:rsidRDefault="00617D47" w:rsidP="00617D47">
      <w:pPr>
        <w:jc w:val="both"/>
        <w:rPr>
          <w:rFonts w:ascii="Open Sans" w:hAnsi="Open Sans" w:cs="Open Sans"/>
        </w:rPr>
      </w:pPr>
      <w:r w:rsidRPr="006E6CE6">
        <w:rPr>
          <w:rFonts w:ascii="Open Sans" w:hAnsi="Open Sans" w:cs="Open Sans"/>
        </w:rPr>
        <w:t xml:space="preserve">Il sera déposé – et publié </w:t>
      </w:r>
      <w:r>
        <w:rPr>
          <w:rFonts w:ascii="Open Sans" w:hAnsi="Open Sans" w:cs="Open Sans"/>
        </w:rPr>
        <w:t>–</w:t>
      </w:r>
      <w:r w:rsidRPr="006E6CE6">
        <w:rPr>
          <w:rFonts w:ascii="Open Sans" w:hAnsi="Open Sans" w:cs="Open Sans"/>
        </w:rPr>
        <w:t xml:space="preserve"> à l’initiative de l’entreprise sur la plateforme en ligne TéléAccords, qui transmettra ensuite le dossier à la Direction régionale de l’économie, de l’emploi, du travail et des solidarités (DREETS).</w:t>
      </w:r>
    </w:p>
    <w:p w14:paraId="6F22E48D" w14:textId="77777777" w:rsidR="00617D47" w:rsidRPr="006E6CE6" w:rsidRDefault="00617D47" w:rsidP="00617D47">
      <w:pPr>
        <w:jc w:val="both"/>
        <w:rPr>
          <w:rFonts w:ascii="Open Sans" w:hAnsi="Open Sans" w:cs="Open Sans"/>
        </w:rPr>
      </w:pPr>
      <w:r w:rsidRPr="006E6CE6">
        <w:rPr>
          <w:rFonts w:ascii="Open Sans" w:hAnsi="Open Sans" w:cs="Open Sans"/>
        </w:rPr>
        <w:t>Une fois le dépôt réalisé, l'administration délivrera à l’employeur un récépissé de dépôt après instruction (délai de 4 mois).</w:t>
      </w:r>
    </w:p>
    <w:p w14:paraId="28A6DEF3" w14:textId="77777777" w:rsidR="00617D47" w:rsidRPr="006E6CE6" w:rsidRDefault="00617D47" w:rsidP="00617D47">
      <w:pPr>
        <w:jc w:val="both"/>
        <w:rPr>
          <w:rFonts w:ascii="Open Sans" w:hAnsi="Open Sans" w:cs="Open Sans"/>
        </w:rPr>
      </w:pPr>
      <w:r w:rsidRPr="006E6CE6">
        <w:rPr>
          <w:rFonts w:ascii="Open Sans" w:hAnsi="Open Sans" w:cs="Open Sans"/>
        </w:rPr>
        <w:t>Il sera déposé en parallèle (support papier) au greffe du Conseil de Prud'hommes du lieu de conclusion en un exemplaire. Ce dépôt sera accompagné du procès-verbal du résultat de la consultation des salariés.</w:t>
      </w:r>
    </w:p>
    <w:p w14:paraId="24C3CF25" w14:textId="77777777" w:rsidR="00617D47" w:rsidRPr="006E6CE6" w:rsidRDefault="00617D47" w:rsidP="00617D47">
      <w:pPr>
        <w:jc w:val="both"/>
        <w:rPr>
          <w:rFonts w:ascii="Open Sans" w:hAnsi="Open Sans" w:cs="Open Sans"/>
        </w:rPr>
      </w:pPr>
      <w:r w:rsidRPr="006E6CE6">
        <w:rPr>
          <w:rFonts w:ascii="Open Sans" w:hAnsi="Open Sans" w:cs="Open Sans"/>
        </w:rPr>
        <w:lastRenderedPageBreak/>
        <w:t>Le présent accord est affiché sur les panneaux d’affichage et un exemplaire est tenu à la disposition du personnel.</w:t>
      </w:r>
    </w:p>
    <w:p w14:paraId="06EE8122" w14:textId="77777777" w:rsidR="00617D47" w:rsidRPr="006E6CE6" w:rsidRDefault="00617D47" w:rsidP="00617D47">
      <w:pPr>
        <w:jc w:val="both"/>
        <w:rPr>
          <w:rFonts w:ascii="Open Sans" w:hAnsi="Open Sans" w:cs="Open Sans"/>
        </w:rPr>
      </w:pPr>
    </w:p>
    <w:p w14:paraId="06DC9BCB" w14:textId="36216A31" w:rsidR="00617D47" w:rsidRDefault="00617D47" w:rsidP="00617D47">
      <w:pPr>
        <w:spacing w:after="0"/>
        <w:jc w:val="both"/>
        <w:rPr>
          <w:rFonts w:ascii="Open Sans" w:hAnsi="Open Sans" w:cs="Open Sans"/>
          <w:bCs/>
        </w:rPr>
      </w:pPr>
      <w:r w:rsidRPr="00910B5C">
        <w:rPr>
          <w:rFonts w:ascii="Open Sans" w:hAnsi="Open Sans" w:cs="Open Sans"/>
          <w:bCs/>
        </w:rPr>
        <w:t>Fait à</w:t>
      </w:r>
      <w:r>
        <w:rPr>
          <w:rFonts w:ascii="Open Sans" w:hAnsi="Open Sans" w:cs="Open Sans"/>
          <w:bCs/>
        </w:rPr>
        <w:t xml:space="preserve"> </w:t>
      </w:r>
      <w:r w:rsidR="00B3115A">
        <w:rPr>
          <w:rFonts w:ascii="Open Sans" w:hAnsi="Open Sans" w:cs="Open Sans"/>
          <w:bCs/>
        </w:rPr>
        <w:t>Salon de Provence</w:t>
      </w:r>
      <w:r w:rsidRPr="00910B5C">
        <w:rPr>
          <w:rFonts w:ascii="Open Sans" w:hAnsi="Open Sans" w:cs="Open Sans"/>
          <w:bCs/>
        </w:rPr>
        <w:t>,</w:t>
      </w:r>
    </w:p>
    <w:p w14:paraId="58517530" w14:textId="4853A234" w:rsidR="00617D47" w:rsidRPr="004A7127" w:rsidRDefault="00617D47" w:rsidP="00617D47">
      <w:pPr>
        <w:spacing w:after="0"/>
        <w:jc w:val="both"/>
        <w:rPr>
          <w:rFonts w:ascii="Open Sans" w:hAnsi="Open Sans" w:cs="Open Sans"/>
          <w:bCs/>
        </w:rPr>
      </w:pPr>
      <w:r w:rsidRPr="004E7F1D">
        <w:rPr>
          <w:rFonts w:ascii="Open Sans" w:hAnsi="Open Sans" w:cs="Open Sans"/>
        </w:rPr>
        <w:t xml:space="preserve">Le </w:t>
      </w:r>
      <w:r w:rsidR="00B3115A">
        <w:rPr>
          <w:rFonts w:ascii="Open Sans" w:hAnsi="Open Sans" w:cs="Open Sans"/>
        </w:rPr>
        <w:t>0</w:t>
      </w:r>
      <w:r w:rsidR="00753E3C">
        <w:rPr>
          <w:rFonts w:ascii="Open Sans" w:hAnsi="Open Sans" w:cs="Open Sans"/>
        </w:rPr>
        <w:t>2</w:t>
      </w:r>
      <w:r w:rsidR="00B3115A">
        <w:rPr>
          <w:rFonts w:ascii="Open Sans" w:hAnsi="Open Sans" w:cs="Open Sans"/>
        </w:rPr>
        <w:t>/12</w:t>
      </w:r>
      <w:r w:rsidRPr="004E7F1D">
        <w:rPr>
          <w:rFonts w:ascii="Open Sans" w:hAnsi="Open Sans" w:cs="Open Sans"/>
        </w:rPr>
        <w:t>/2025,</w:t>
      </w:r>
    </w:p>
    <w:p w14:paraId="4809A65A" w14:textId="167193CB" w:rsidR="00617D47" w:rsidRPr="00910B5C" w:rsidRDefault="00617D47" w:rsidP="00617D47">
      <w:pPr>
        <w:tabs>
          <w:tab w:val="center" w:pos="6804"/>
        </w:tabs>
        <w:spacing w:after="0"/>
        <w:jc w:val="both"/>
        <w:rPr>
          <w:rFonts w:ascii="Open Sans" w:hAnsi="Open Sans" w:cs="Open Sans"/>
          <w:bCs/>
        </w:rPr>
      </w:pPr>
      <w:r w:rsidRPr="00910B5C">
        <w:rPr>
          <w:rFonts w:ascii="Open Sans" w:hAnsi="Open Sans" w:cs="Open Sans"/>
          <w:bCs/>
        </w:rPr>
        <w:tab/>
        <w:t xml:space="preserve">Pour la </w:t>
      </w:r>
      <w:r>
        <w:rPr>
          <w:rFonts w:ascii="Open Sans" w:hAnsi="Open Sans" w:cs="Open Sans"/>
          <w:bCs/>
        </w:rPr>
        <w:t>s</w:t>
      </w:r>
      <w:r w:rsidRPr="00910B5C">
        <w:rPr>
          <w:rFonts w:ascii="Open Sans" w:hAnsi="Open Sans" w:cs="Open Sans"/>
          <w:bCs/>
        </w:rPr>
        <w:t xml:space="preserve">ociété </w:t>
      </w:r>
      <w:r>
        <w:rPr>
          <w:rFonts w:ascii="Open Sans" w:hAnsi="Open Sans" w:cs="Open Sans"/>
          <w:bCs/>
        </w:rPr>
        <w:t xml:space="preserve">SARL </w:t>
      </w:r>
      <w:r w:rsidR="00B3115A">
        <w:rPr>
          <w:rFonts w:ascii="Open Sans" w:hAnsi="Open Sans" w:cs="Open Sans"/>
        </w:rPr>
        <w:t>ATELIER IZF</w:t>
      </w:r>
    </w:p>
    <w:p w14:paraId="353FA476" w14:textId="4609D13B" w:rsidR="00617D47" w:rsidRPr="00910B5C" w:rsidRDefault="00617D47" w:rsidP="00617D47">
      <w:pPr>
        <w:tabs>
          <w:tab w:val="center" w:pos="6804"/>
        </w:tabs>
        <w:spacing w:after="0"/>
        <w:jc w:val="both"/>
        <w:rPr>
          <w:rFonts w:ascii="Open Sans" w:hAnsi="Open Sans" w:cs="Open Sans"/>
          <w:bCs/>
        </w:rPr>
      </w:pPr>
      <w:r>
        <w:rPr>
          <w:rFonts w:ascii="Open Sans" w:hAnsi="Open Sans" w:cs="Open Sans"/>
          <w:bCs/>
        </w:rPr>
        <w:t xml:space="preserve">                                                                                     </w:t>
      </w:r>
      <w:r w:rsidR="00B3115A">
        <w:rPr>
          <w:rFonts w:ascii="Open Sans" w:hAnsi="Open Sans" w:cs="Open Sans"/>
          <w:bCs/>
        </w:rPr>
        <w:tab/>
        <w:t>Madame</w:t>
      </w:r>
      <w:r w:rsidRPr="00910B5C">
        <w:rPr>
          <w:rFonts w:ascii="Open Sans" w:hAnsi="Open Sans" w:cs="Open Sans"/>
          <w:bCs/>
        </w:rPr>
        <w:t xml:space="preserve"> </w:t>
      </w:r>
      <w:r>
        <w:rPr>
          <w:rFonts w:ascii="Open Sans" w:hAnsi="Open Sans" w:cs="Open Sans"/>
          <w:bCs/>
        </w:rPr>
        <w:t>XXX</w:t>
      </w:r>
      <w:r w:rsidRPr="00910B5C">
        <w:rPr>
          <w:rFonts w:ascii="Open Sans" w:hAnsi="Open Sans" w:cs="Open Sans"/>
          <w:bCs/>
        </w:rPr>
        <w:t xml:space="preserve">, </w:t>
      </w:r>
      <w:r>
        <w:rPr>
          <w:rFonts w:ascii="Open Sans" w:hAnsi="Open Sans" w:cs="Open Sans"/>
          <w:bCs/>
        </w:rPr>
        <w:t>Gérant</w:t>
      </w:r>
      <w:r w:rsidR="00B3115A">
        <w:rPr>
          <w:rFonts w:ascii="Open Sans" w:hAnsi="Open Sans" w:cs="Open Sans"/>
          <w:bCs/>
        </w:rPr>
        <w:t>e</w:t>
      </w:r>
    </w:p>
    <w:p w14:paraId="65950D92" w14:textId="77777777" w:rsidR="00617D47" w:rsidRDefault="00617D47" w:rsidP="00617D47"/>
    <w:p w14:paraId="2236778D" w14:textId="77777777" w:rsidR="00617D47" w:rsidRDefault="00617D47" w:rsidP="00617D47"/>
    <w:p w14:paraId="79FAA315" w14:textId="77777777" w:rsidR="000862CC" w:rsidRDefault="000862CC"/>
    <w:sectPr w:rsidR="000862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2DE"/>
    <w:multiLevelType w:val="hybridMultilevel"/>
    <w:tmpl w:val="D0C0F8C6"/>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F02F1C"/>
    <w:multiLevelType w:val="multilevel"/>
    <w:tmpl w:val="E2AA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D625AD"/>
    <w:multiLevelType w:val="hybridMultilevel"/>
    <w:tmpl w:val="7C08E5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91F4379"/>
    <w:multiLevelType w:val="hybridMultilevel"/>
    <w:tmpl w:val="FD30C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7B5CEE"/>
    <w:multiLevelType w:val="hybridMultilevel"/>
    <w:tmpl w:val="D5A24F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421D86"/>
    <w:multiLevelType w:val="hybridMultilevel"/>
    <w:tmpl w:val="F1E8015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DD627C"/>
    <w:multiLevelType w:val="hybridMultilevel"/>
    <w:tmpl w:val="0D803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23E79B2"/>
    <w:multiLevelType w:val="hybridMultilevel"/>
    <w:tmpl w:val="CC2E7714"/>
    <w:lvl w:ilvl="0" w:tplc="4B22CF3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9713387">
    <w:abstractNumId w:val="1"/>
  </w:num>
  <w:num w:numId="2" w16cid:durableId="1719815100">
    <w:abstractNumId w:val="6"/>
  </w:num>
  <w:num w:numId="3" w16cid:durableId="1048916904">
    <w:abstractNumId w:val="7"/>
  </w:num>
  <w:num w:numId="4" w16cid:durableId="203176076">
    <w:abstractNumId w:val="2"/>
  </w:num>
  <w:num w:numId="5" w16cid:durableId="259679456">
    <w:abstractNumId w:val="3"/>
  </w:num>
  <w:num w:numId="6" w16cid:durableId="371685695">
    <w:abstractNumId w:val="4"/>
  </w:num>
  <w:num w:numId="7" w16cid:durableId="215774566">
    <w:abstractNumId w:val="5"/>
  </w:num>
  <w:num w:numId="8" w16cid:durableId="179860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D47"/>
    <w:rsid w:val="000862CC"/>
    <w:rsid w:val="000A5E1C"/>
    <w:rsid w:val="00100CC5"/>
    <w:rsid w:val="001D60E1"/>
    <w:rsid w:val="00485A38"/>
    <w:rsid w:val="005F156E"/>
    <w:rsid w:val="00617D47"/>
    <w:rsid w:val="00753E3C"/>
    <w:rsid w:val="00B3115A"/>
    <w:rsid w:val="00B769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ACDB3"/>
  <w15:chartTrackingRefBased/>
  <w15:docId w15:val="{E5DF33E8-5290-4A35-8CB2-6B9E6EB3D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D47"/>
    <w:pPr>
      <w:spacing w:after="200" w:line="252" w:lineRule="auto"/>
    </w:pPr>
    <w:rPr>
      <w:rFonts w:asciiTheme="majorHAnsi" w:eastAsiaTheme="majorEastAsia" w:hAnsiTheme="majorHAnsi" w:cstheme="majorBidi"/>
      <w:kern w:val="0"/>
      <w14:ligatures w14:val="none"/>
    </w:rPr>
  </w:style>
  <w:style w:type="paragraph" w:styleId="Titre1">
    <w:name w:val="heading 1"/>
    <w:basedOn w:val="Normal"/>
    <w:next w:val="Normal"/>
    <w:link w:val="Titre1Car"/>
    <w:uiPriority w:val="9"/>
    <w:qFormat/>
    <w:rsid w:val="00617D47"/>
    <w:pPr>
      <w:keepNext/>
      <w:keepLines/>
      <w:spacing w:before="360" w:after="80"/>
      <w:outlineLvl w:val="0"/>
    </w:pPr>
    <w:rPr>
      <w:color w:val="0F4761" w:themeColor="accent1" w:themeShade="BF"/>
      <w:sz w:val="40"/>
      <w:szCs w:val="40"/>
    </w:rPr>
  </w:style>
  <w:style w:type="paragraph" w:styleId="Titre2">
    <w:name w:val="heading 2"/>
    <w:basedOn w:val="Normal"/>
    <w:next w:val="Normal"/>
    <w:link w:val="Titre2Car"/>
    <w:uiPriority w:val="9"/>
    <w:semiHidden/>
    <w:unhideWhenUsed/>
    <w:qFormat/>
    <w:rsid w:val="00617D47"/>
    <w:pPr>
      <w:keepNext/>
      <w:keepLines/>
      <w:spacing w:before="160" w:after="80"/>
      <w:outlineLvl w:val="1"/>
    </w:pPr>
    <w:rPr>
      <w:color w:val="0F4761" w:themeColor="accent1" w:themeShade="BF"/>
      <w:sz w:val="32"/>
      <w:szCs w:val="32"/>
    </w:rPr>
  </w:style>
  <w:style w:type="paragraph" w:styleId="Titre3">
    <w:name w:val="heading 3"/>
    <w:basedOn w:val="Normal"/>
    <w:next w:val="Normal"/>
    <w:link w:val="Titre3Car"/>
    <w:uiPriority w:val="9"/>
    <w:semiHidden/>
    <w:unhideWhenUsed/>
    <w:qFormat/>
    <w:rsid w:val="00617D47"/>
    <w:pPr>
      <w:keepNext/>
      <w:keepLines/>
      <w:spacing w:before="160" w:after="80"/>
      <w:outlineLvl w:val="2"/>
    </w:pPr>
    <w:rPr>
      <w:color w:val="0F4761" w:themeColor="accent1" w:themeShade="BF"/>
      <w:sz w:val="28"/>
      <w:szCs w:val="28"/>
    </w:rPr>
  </w:style>
  <w:style w:type="paragraph" w:styleId="Titre4">
    <w:name w:val="heading 4"/>
    <w:basedOn w:val="Normal"/>
    <w:next w:val="Normal"/>
    <w:link w:val="Titre4Car"/>
    <w:uiPriority w:val="9"/>
    <w:semiHidden/>
    <w:unhideWhenUsed/>
    <w:qFormat/>
    <w:rsid w:val="00617D47"/>
    <w:pPr>
      <w:keepNext/>
      <w:keepLines/>
      <w:spacing w:before="80" w:after="40"/>
      <w:outlineLvl w:val="3"/>
    </w:pPr>
    <w:rPr>
      <w:i/>
      <w:iCs/>
      <w:color w:val="0F4761" w:themeColor="accent1" w:themeShade="BF"/>
    </w:rPr>
  </w:style>
  <w:style w:type="paragraph" w:styleId="Titre5">
    <w:name w:val="heading 5"/>
    <w:basedOn w:val="Normal"/>
    <w:next w:val="Normal"/>
    <w:link w:val="Titre5Car"/>
    <w:uiPriority w:val="9"/>
    <w:semiHidden/>
    <w:unhideWhenUsed/>
    <w:qFormat/>
    <w:rsid w:val="00617D47"/>
    <w:pPr>
      <w:keepNext/>
      <w:keepLines/>
      <w:spacing w:before="80" w:after="40"/>
      <w:outlineLvl w:val="4"/>
    </w:pPr>
    <w:rPr>
      <w:color w:val="0F4761" w:themeColor="accent1" w:themeShade="BF"/>
    </w:rPr>
  </w:style>
  <w:style w:type="paragraph" w:styleId="Titre6">
    <w:name w:val="heading 6"/>
    <w:basedOn w:val="Normal"/>
    <w:next w:val="Normal"/>
    <w:link w:val="Titre6Car"/>
    <w:uiPriority w:val="9"/>
    <w:semiHidden/>
    <w:unhideWhenUsed/>
    <w:qFormat/>
    <w:rsid w:val="00617D47"/>
    <w:pPr>
      <w:keepNext/>
      <w:keepLines/>
      <w:spacing w:before="40" w:after="0"/>
      <w:outlineLvl w:val="5"/>
    </w:pPr>
    <w:rPr>
      <w:i/>
      <w:iCs/>
      <w:color w:val="595959" w:themeColor="text1" w:themeTint="A6"/>
    </w:rPr>
  </w:style>
  <w:style w:type="paragraph" w:styleId="Titre7">
    <w:name w:val="heading 7"/>
    <w:basedOn w:val="Normal"/>
    <w:next w:val="Normal"/>
    <w:link w:val="Titre7Car"/>
    <w:uiPriority w:val="9"/>
    <w:semiHidden/>
    <w:unhideWhenUsed/>
    <w:qFormat/>
    <w:rsid w:val="00617D47"/>
    <w:pPr>
      <w:keepNext/>
      <w:keepLines/>
      <w:spacing w:before="40" w:after="0"/>
      <w:outlineLvl w:val="6"/>
    </w:pPr>
    <w:rPr>
      <w:color w:val="595959" w:themeColor="text1" w:themeTint="A6"/>
    </w:rPr>
  </w:style>
  <w:style w:type="paragraph" w:styleId="Titre8">
    <w:name w:val="heading 8"/>
    <w:basedOn w:val="Normal"/>
    <w:next w:val="Normal"/>
    <w:link w:val="Titre8Car"/>
    <w:uiPriority w:val="9"/>
    <w:semiHidden/>
    <w:unhideWhenUsed/>
    <w:qFormat/>
    <w:rsid w:val="00617D47"/>
    <w:pPr>
      <w:keepNext/>
      <w:keepLines/>
      <w:spacing w:after="0"/>
      <w:outlineLvl w:val="7"/>
    </w:pPr>
    <w:rPr>
      <w:i/>
      <w:iCs/>
      <w:color w:val="272727" w:themeColor="text1" w:themeTint="D8"/>
    </w:rPr>
  </w:style>
  <w:style w:type="paragraph" w:styleId="Titre9">
    <w:name w:val="heading 9"/>
    <w:basedOn w:val="Normal"/>
    <w:next w:val="Normal"/>
    <w:link w:val="Titre9Car"/>
    <w:uiPriority w:val="9"/>
    <w:semiHidden/>
    <w:unhideWhenUsed/>
    <w:qFormat/>
    <w:rsid w:val="00617D47"/>
    <w:pPr>
      <w:keepNext/>
      <w:keepLines/>
      <w:spacing w:after="0"/>
      <w:outlineLvl w:val="8"/>
    </w:pPr>
    <w:rPr>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17D4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17D4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17D4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17D4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17D4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17D4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17D4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17D4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17D47"/>
    <w:rPr>
      <w:rFonts w:eastAsiaTheme="majorEastAsia" w:cstheme="majorBidi"/>
      <w:color w:val="272727" w:themeColor="text1" w:themeTint="D8"/>
    </w:rPr>
  </w:style>
  <w:style w:type="paragraph" w:styleId="Titre">
    <w:name w:val="Title"/>
    <w:basedOn w:val="Normal"/>
    <w:next w:val="Normal"/>
    <w:link w:val="TitreCar"/>
    <w:uiPriority w:val="10"/>
    <w:qFormat/>
    <w:rsid w:val="00617D47"/>
    <w:pPr>
      <w:spacing w:after="80" w:line="240" w:lineRule="auto"/>
      <w:contextualSpacing/>
    </w:pPr>
    <w:rPr>
      <w:spacing w:val="-10"/>
      <w:kern w:val="28"/>
      <w:sz w:val="56"/>
      <w:szCs w:val="56"/>
    </w:rPr>
  </w:style>
  <w:style w:type="character" w:customStyle="1" w:styleId="TitreCar">
    <w:name w:val="Titre Car"/>
    <w:basedOn w:val="Policepardfaut"/>
    <w:link w:val="Titre"/>
    <w:uiPriority w:val="10"/>
    <w:rsid w:val="00617D4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17D47"/>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sid w:val="00617D4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17D47"/>
    <w:pPr>
      <w:spacing w:before="160"/>
      <w:jc w:val="center"/>
    </w:pPr>
    <w:rPr>
      <w:i/>
      <w:iCs/>
      <w:color w:val="404040" w:themeColor="text1" w:themeTint="BF"/>
    </w:rPr>
  </w:style>
  <w:style w:type="character" w:customStyle="1" w:styleId="CitationCar">
    <w:name w:val="Citation Car"/>
    <w:basedOn w:val="Policepardfaut"/>
    <w:link w:val="Citation"/>
    <w:uiPriority w:val="29"/>
    <w:rsid w:val="00617D47"/>
    <w:rPr>
      <w:i/>
      <w:iCs/>
      <w:color w:val="404040" w:themeColor="text1" w:themeTint="BF"/>
    </w:rPr>
  </w:style>
  <w:style w:type="paragraph" w:styleId="Paragraphedeliste">
    <w:name w:val="List Paragraph"/>
    <w:basedOn w:val="Normal"/>
    <w:link w:val="ParagraphedelisteCar"/>
    <w:uiPriority w:val="1"/>
    <w:qFormat/>
    <w:rsid w:val="00617D47"/>
    <w:pPr>
      <w:ind w:left="720"/>
      <w:contextualSpacing/>
    </w:pPr>
  </w:style>
  <w:style w:type="character" w:styleId="Accentuationintense">
    <w:name w:val="Intense Emphasis"/>
    <w:basedOn w:val="Policepardfaut"/>
    <w:uiPriority w:val="21"/>
    <w:qFormat/>
    <w:rsid w:val="00617D47"/>
    <w:rPr>
      <w:i/>
      <w:iCs/>
      <w:color w:val="0F4761" w:themeColor="accent1" w:themeShade="BF"/>
    </w:rPr>
  </w:style>
  <w:style w:type="paragraph" w:styleId="Citationintense">
    <w:name w:val="Intense Quote"/>
    <w:basedOn w:val="Normal"/>
    <w:next w:val="Normal"/>
    <w:link w:val="CitationintenseCar"/>
    <w:uiPriority w:val="30"/>
    <w:qFormat/>
    <w:rsid w:val="00617D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17D47"/>
    <w:rPr>
      <w:i/>
      <w:iCs/>
      <w:color w:val="0F4761" w:themeColor="accent1" w:themeShade="BF"/>
    </w:rPr>
  </w:style>
  <w:style w:type="character" w:styleId="Rfrenceintense">
    <w:name w:val="Intense Reference"/>
    <w:basedOn w:val="Policepardfaut"/>
    <w:uiPriority w:val="32"/>
    <w:qFormat/>
    <w:rsid w:val="00617D47"/>
    <w:rPr>
      <w:b/>
      <w:bCs/>
      <w:smallCaps/>
      <w:color w:val="0F4761" w:themeColor="accent1" w:themeShade="BF"/>
      <w:spacing w:val="5"/>
    </w:rPr>
  </w:style>
  <w:style w:type="paragraph" w:styleId="En-ttedetabledesmatires">
    <w:name w:val="TOC Heading"/>
    <w:basedOn w:val="Titre1"/>
    <w:next w:val="Normal"/>
    <w:link w:val="En-ttedetabledesmatiresCar"/>
    <w:uiPriority w:val="39"/>
    <w:unhideWhenUsed/>
    <w:qFormat/>
    <w:rsid w:val="00617D47"/>
    <w:pPr>
      <w:keepNext w:val="0"/>
      <w:keepLines w:val="0"/>
      <w:pBdr>
        <w:bottom w:val="thinThickSmallGap" w:sz="12" w:space="1" w:color="BF4E14" w:themeColor="accent2" w:themeShade="BF"/>
      </w:pBdr>
      <w:spacing w:before="400" w:after="200"/>
      <w:jc w:val="center"/>
      <w:outlineLvl w:val="9"/>
    </w:pPr>
    <w:rPr>
      <w:rFonts w:ascii="Cambria" w:hAnsi="Cambria"/>
      <w:caps/>
      <w:smallCaps/>
      <w:color w:val="BF4E14" w:themeColor="accent2" w:themeShade="BF"/>
      <w:spacing w:val="20"/>
      <w:kern w:val="36"/>
      <w:sz w:val="28"/>
      <w:szCs w:val="28"/>
      <w:lang w:bidi="en-US"/>
    </w:rPr>
  </w:style>
  <w:style w:type="paragraph" w:styleId="TM1">
    <w:name w:val="toc 1"/>
    <w:basedOn w:val="Normal"/>
    <w:next w:val="Normal"/>
    <w:autoRedefine/>
    <w:uiPriority w:val="39"/>
    <w:unhideWhenUsed/>
    <w:rsid w:val="00617D47"/>
    <w:pPr>
      <w:spacing w:after="100"/>
    </w:pPr>
  </w:style>
  <w:style w:type="character" w:styleId="Lienhypertexte">
    <w:name w:val="Hyperlink"/>
    <w:basedOn w:val="Policepardfaut"/>
    <w:uiPriority w:val="99"/>
    <w:unhideWhenUsed/>
    <w:rsid w:val="00617D47"/>
    <w:rPr>
      <w:color w:val="467886" w:themeColor="hyperlink"/>
      <w:u w:val="single"/>
    </w:rPr>
  </w:style>
  <w:style w:type="paragraph" w:customStyle="1" w:styleId="Style1">
    <w:name w:val="Style1"/>
    <w:basedOn w:val="Normal"/>
    <w:link w:val="Style1Car"/>
    <w:qFormat/>
    <w:rsid w:val="00617D47"/>
    <w:pPr>
      <w:pBdr>
        <w:bottom w:val="single" w:sz="12" w:space="1" w:color="943734"/>
      </w:pBdr>
      <w:spacing w:before="400"/>
      <w:jc w:val="center"/>
      <w:outlineLvl w:val="0"/>
    </w:pPr>
    <w:rPr>
      <w:rFonts w:ascii="Cambria" w:hAnsi="Cambria"/>
      <w:smallCaps/>
      <w:color w:val="0F4761" w:themeColor="accent1" w:themeShade="BF"/>
      <w:kern w:val="36"/>
      <w:sz w:val="32"/>
      <w:szCs w:val="32"/>
    </w:rPr>
  </w:style>
  <w:style w:type="paragraph" w:customStyle="1" w:styleId="Section1">
    <w:name w:val="Section1"/>
    <w:basedOn w:val="Normal"/>
    <w:link w:val="Section1Car"/>
    <w:qFormat/>
    <w:rsid w:val="00617D47"/>
    <w:pPr>
      <w:pBdr>
        <w:bottom w:val="single" w:sz="4" w:space="1" w:color="622423"/>
      </w:pBdr>
      <w:spacing w:before="400"/>
      <w:jc w:val="both"/>
      <w:outlineLvl w:val="1"/>
    </w:pPr>
    <w:rPr>
      <w:rFonts w:ascii="Open Sans" w:hAnsi="Open Sans" w:cs="Open Sans"/>
      <w:smallCaps/>
      <w:color w:val="0F4761" w:themeColor="accent1" w:themeShade="BF"/>
      <w:sz w:val="24"/>
      <w:szCs w:val="24"/>
    </w:rPr>
  </w:style>
  <w:style w:type="character" w:customStyle="1" w:styleId="Style1Car">
    <w:name w:val="Style1 Car"/>
    <w:basedOn w:val="Policepardfaut"/>
    <w:link w:val="Style1"/>
    <w:rsid w:val="00617D47"/>
    <w:rPr>
      <w:rFonts w:ascii="Cambria" w:eastAsiaTheme="majorEastAsia" w:hAnsi="Cambria" w:cstheme="majorBidi"/>
      <w:smallCaps/>
      <w:color w:val="0F4761" w:themeColor="accent1" w:themeShade="BF"/>
      <w:kern w:val="36"/>
      <w:sz w:val="32"/>
      <w:szCs w:val="32"/>
      <w14:ligatures w14:val="none"/>
    </w:rPr>
  </w:style>
  <w:style w:type="paragraph" w:customStyle="1" w:styleId="Sous-section1">
    <w:name w:val="Sous-section1"/>
    <w:basedOn w:val="Normal"/>
    <w:link w:val="Sous-section1Car"/>
    <w:qFormat/>
    <w:rsid w:val="00617D47"/>
    <w:pPr>
      <w:pBdr>
        <w:top w:val="dotted" w:sz="4" w:space="1" w:color="622423"/>
        <w:bottom w:val="dotted" w:sz="4" w:space="1" w:color="622423"/>
      </w:pBdr>
      <w:spacing w:before="300"/>
      <w:jc w:val="both"/>
      <w:outlineLvl w:val="2"/>
    </w:pPr>
    <w:rPr>
      <w:rFonts w:ascii="Open Sans" w:hAnsi="Open Sans" w:cs="Open Sans"/>
      <w:smallCaps/>
      <w:color w:val="0F4761" w:themeColor="accent1" w:themeShade="BF"/>
      <w:sz w:val="24"/>
      <w:szCs w:val="24"/>
    </w:rPr>
  </w:style>
  <w:style w:type="character" w:customStyle="1" w:styleId="Section1Car">
    <w:name w:val="Section1 Car"/>
    <w:basedOn w:val="Policepardfaut"/>
    <w:link w:val="Section1"/>
    <w:rsid w:val="00617D47"/>
    <w:rPr>
      <w:rFonts w:ascii="Open Sans" w:eastAsiaTheme="majorEastAsia" w:hAnsi="Open Sans" w:cs="Open Sans"/>
      <w:smallCaps/>
      <w:color w:val="0F4761" w:themeColor="accent1" w:themeShade="BF"/>
      <w:kern w:val="0"/>
      <w:sz w:val="24"/>
      <w:szCs w:val="24"/>
      <w14:ligatures w14:val="none"/>
    </w:rPr>
  </w:style>
  <w:style w:type="character" w:customStyle="1" w:styleId="Sous-section1Car">
    <w:name w:val="Sous-section1 Car"/>
    <w:basedOn w:val="Policepardfaut"/>
    <w:link w:val="Sous-section1"/>
    <w:rsid w:val="00617D47"/>
    <w:rPr>
      <w:rFonts w:ascii="Open Sans" w:eastAsiaTheme="majorEastAsia" w:hAnsi="Open Sans" w:cs="Open Sans"/>
      <w:smallCaps/>
      <w:color w:val="0F4761" w:themeColor="accent1" w:themeShade="BF"/>
      <w:kern w:val="0"/>
      <w:sz w:val="24"/>
      <w:szCs w:val="24"/>
      <w14:ligatures w14:val="none"/>
    </w:rPr>
  </w:style>
  <w:style w:type="paragraph" w:customStyle="1" w:styleId="Titre40">
    <w:name w:val="Titre4"/>
    <w:basedOn w:val="Normal"/>
    <w:link w:val="Titre4Car0"/>
    <w:qFormat/>
    <w:rsid w:val="00617D47"/>
    <w:pPr>
      <w:pBdr>
        <w:top w:val="single" w:sz="12" w:space="1" w:color="943734"/>
        <w:left w:val="single" w:sz="12" w:space="4" w:color="943734"/>
        <w:bottom w:val="single" w:sz="12" w:space="1" w:color="943734"/>
        <w:right w:val="single" w:sz="12" w:space="4" w:color="943734"/>
      </w:pBdr>
      <w:spacing w:after="0"/>
      <w:jc w:val="center"/>
    </w:pPr>
    <w:rPr>
      <w:rFonts w:ascii="Cambria" w:hAnsi="Cambria"/>
      <w:b/>
      <w:bCs/>
      <w:smallCaps/>
      <w:color w:val="0F4761" w:themeColor="accent1" w:themeShade="BF"/>
      <w:sz w:val="28"/>
      <w:szCs w:val="28"/>
    </w:rPr>
  </w:style>
  <w:style w:type="character" w:customStyle="1" w:styleId="En-ttedetabledesmatiresCar">
    <w:name w:val="En-tête de table des matières Car"/>
    <w:basedOn w:val="Titre1Car"/>
    <w:link w:val="En-ttedetabledesmatires"/>
    <w:uiPriority w:val="39"/>
    <w:rsid w:val="00617D47"/>
    <w:rPr>
      <w:rFonts w:ascii="Cambria" w:eastAsiaTheme="majorEastAsia" w:hAnsi="Cambria" w:cstheme="majorBidi"/>
      <w:caps/>
      <w:smallCaps/>
      <w:color w:val="BF4E14" w:themeColor="accent2" w:themeShade="BF"/>
      <w:spacing w:val="20"/>
      <w:kern w:val="36"/>
      <w:sz w:val="28"/>
      <w:szCs w:val="28"/>
      <w:lang w:bidi="en-US"/>
      <w14:ligatures w14:val="none"/>
    </w:rPr>
  </w:style>
  <w:style w:type="character" w:customStyle="1" w:styleId="Titre4Car0">
    <w:name w:val="Titre4 Car"/>
    <w:basedOn w:val="Policepardfaut"/>
    <w:link w:val="Titre40"/>
    <w:rsid w:val="00617D47"/>
    <w:rPr>
      <w:rFonts w:ascii="Cambria" w:eastAsiaTheme="majorEastAsia" w:hAnsi="Cambria" w:cstheme="majorBidi"/>
      <w:b/>
      <w:bCs/>
      <w:smallCaps/>
      <w:color w:val="0F4761" w:themeColor="accent1" w:themeShade="BF"/>
      <w:kern w:val="0"/>
      <w:sz w:val="28"/>
      <w:szCs w:val="28"/>
      <w14:ligatures w14:val="none"/>
    </w:rPr>
  </w:style>
  <w:style w:type="character" w:customStyle="1" w:styleId="ParagraphedelisteCar">
    <w:name w:val="Paragraphe de liste Car"/>
    <w:basedOn w:val="Policepardfaut"/>
    <w:link w:val="Paragraphedeliste"/>
    <w:uiPriority w:val="1"/>
    <w:rsid w:val="00617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lnet.fr/documentation/Document?id=CODE_CTRA_ARTI_L3132-4&amp;FromId=Z2078"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13</Pages>
  <Words>3545</Words>
  <Characters>19502</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Axelle Cacciaguerra</dc:creator>
  <cp:keywords/>
  <dc:description/>
  <cp:lastModifiedBy>Axelle Cacciaguerra</cp:lastModifiedBy>
  <cp:revision>3</cp:revision>
  <cp:lastPrinted>2025-12-04T18:16:00Z</cp:lastPrinted>
  <dcterms:created xsi:type="dcterms:W3CDTF">2025-12-04T17:35:00Z</dcterms:created>
  <dcterms:modified xsi:type="dcterms:W3CDTF">2025-12-04T18:16:00Z</dcterms:modified>
</cp:coreProperties>
</file>