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F16994" w:rsidRDefault="00F16994">
      <w:pPr>
        <w:rPr>
          <w:rFonts w:ascii="Arial" w:eastAsia="Arial" w:hAnsi="Arial" w:cs="Arial"/>
          <w:sz w:val="20"/>
          <w:szCs w:val="20"/>
        </w:rPr>
      </w:pPr>
      <w:bookmarkStart w:id="0" w:name="_GoBack"/>
      <w:bookmarkEnd w:id="0"/>
    </w:p>
    <w:p w:rsidR="00F16994" w:rsidRDefault="00F16994">
      <w:pPr>
        <w:rPr>
          <w:rFonts w:ascii="Arial" w:eastAsia="Arial" w:hAnsi="Arial" w:cs="Arial"/>
          <w:sz w:val="20"/>
          <w:szCs w:val="20"/>
        </w:rPr>
      </w:pPr>
    </w:p>
    <w:tbl>
      <w:tblPr>
        <w:tblStyle w:val="a"/>
        <w:tblW w:w="96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638"/>
      </w:tblGrid>
      <w:tr w:rsidR="00F16994">
        <w:tc>
          <w:tcPr>
            <w:tcW w:w="9638" w:type="dxa"/>
            <w:shd w:val="clear" w:color="auto" w:fill="auto"/>
            <w:tcMar>
              <w:top w:w="100" w:type="dxa"/>
              <w:left w:w="100" w:type="dxa"/>
              <w:bottom w:w="100" w:type="dxa"/>
              <w:right w:w="100" w:type="dxa"/>
            </w:tcMar>
          </w:tcPr>
          <w:p w:rsidR="00F16994" w:rsidRDefault="00FF77C6">
            <w:pPr>
              <w:jc w:val="center"/>
              <w:rPr>
                <w:rFonts w:ascii="Arial" w:eastAsia="Arial" w:hAnsi="Arial" w:cs="Arial"/>
                <w:sz w:val="20"/>
                <w:szCs w:val="20"/>
              </w:rPr>
            </w:pPr>
            <w:r>
              <w:rPr>
                <w:rFonts w:ascii="Arial" w:eastAsia="Arial" w:hAnsi="Arial" w:cs="Arial"/>
                <w:b/>
                <w:bCs/>
                <w:sz w:val="20"/>
                <w:szCs w:val="20"/>
              </w:rPr>
              <w:t>ACCORD COLLECTIF RELATIF À LA NÉGOCIATION SUR LA RÉMUNÉRATION AU TITRE DE L'ANNÉE 2026 AU SEIN DE LA SOCIÉTÉ APERAM ALLOYS RESCAL</w:t>
            </w:r>
          </w:p>
        </w:tc>
      </w:tr>
    </w:tbl>
    <w:p w:rsidR="00F16994" w:rsidRDefault="00F16994">
      <w:pPr>
        <w:jc w:val="both"/>
        <w:rPr>
          <w:rFonts w:ascii="Arial" w:eastAsia="Arial" w:hAnsi="Arial" w:cs="Arial"/>
          <w:sz w:val="20"/>
          <w:szCs w:val="20"/>
        </w:rPr>
      </w:pPr>
    </w:p>
    <w:p w:rsidR="00F16994" w:rsidRDefault="00FF77C6">
      <w:pPr>
        <w:keepLines/>
        <w:jc w:val="both"/>
        <w:rPr>
          <w:rFonts w:ascii="Arial" w:eastAsia="Arial" w:hAnsi="Arial" w:cs="Arial"/>
          <w:b/>
          <w:bCs/>
          <w:sz w:val="20"/>
          <w:szCs w:val="20"/>
        </w:rPr>
      </w:pPr>
      <w:r>
        <w:rPr>
          <w:rFonts w:ascii="Arial" w:eastAsia="Arial" w:hAnsi="Arial" w:cs="Arial"/>
          <w:b/>
          <w:bCs/>
          <w:sz w:val="20"/>
          <w:szCs w:val="20"/>
        </w:rPr>
        <w:t>ENTRE</w:t>
      </w:r>
    </w:p>
    <w:p w:rsidR="00F16994" w:rsidRDefault="00F16994">
      <w:pPr>
        <w:keepLines/>
        <w:jc w:val="both"/>
        <w:rPr>
          <w:rFonts w:ascii="Arial" w:eastAsia="Arial" w:hAnsi="Arial" w:cs="Arial"/>
          <w:b/>
          <w:bCs/>
          <w:sz w:val="20"/>
          <w:szCs w:val="20"/>
        </w:rPr>
      </w:pPr>
    </w:p>
    <w:p w:rsidR="00F16994" w:rsidRDefault="00FF77C6">
      <w:pPr>
        <w:spacing w:line="288" w:lineRule="auto"/>
        <w:jc w:val="both"/>
        <w:rPr>
          <w:rFonts w:ascii="Arial" w:eastAsia="Arial" w:hAnsi="Arial" w:cs="Arial"/>
          <w:sz w:val="20"/>
          <w:szCs w:val="20"/>
        </w:rPr>
      </w:pPr>
      <w:r>
        <w:rPr>
          <w:rFonts w:ascii="Arial" w:eastAsia="Arial" w:hAnsi="Arial" w:cs="Arial"/>
          <w:sz w:val="20"/>
          <w:szCs w:val="20"/>
        </w:rPr>
        <w:t>La société Aperam Alloys Rescal, société dont le siège social est situé 200 rue de la couronne des prés 78680 EPÔNE, représentée par Hervé FERNANDEZ, agissant en qualité de Directeur d’établissement et par Christiane BORRHOMEE, agissant en qualité de Respo</w:t>
      </w:r>
      <w:r>
        <w:rPr>
          <w:rFonts w:ascii="Arial" w:eastAsia="Arial" w:hAnsi="Arial" w:cs="Arial"/>
          <w:sz w:val="20"/>
          <w:szCs w:val="20"/>
        </w:rPr>
        <w:t>nsable des Ressources Humaines,</w:t>
      </w:r>
    </w:p>
    <w:p w:rsidR="00F16994" w:rsidRDefault="00FF77C6">
      <w:pPr>
        <w:spacing w:line="288" w:lineRule="auto"/>
        <w:jc w:val="right"/>
        <w:rPr>
          <w:rFonts w:ascii="Arial" w:eastAsia="Arial" w:hAnsi="Arial" w:cs="Arial"/>
          <w:sz w:val="20"/>
          <w:szCs w:val="20"/>
        </w:rPr>
      </w:pPr>
      <w:r>
        <w:rPr>
          <w:rFonts w:ascii="Arial" w:eastAsia="Arial" w:hAnsi="Arial" w:cs="Arial"/>
          <w:b/>
          <w:bCs/>
          <w:sz w:val="20"/>
          <w:szCs w:val="20"/>
        </w:rPr>
        <w:t>D’une part,</w:t>
      </w:r>
    </w:p>
    <w:p w:rsidR="00F16994" w:rsidRDefault="00FF77C6">
      <w:pPr>
        <w:spacing w:line="288" w:lineRule="auto"/>
        <w:jc w:val="both"/>
        <w:rPr>
          <w:rFonts w:ascii="Arial" w:eastAsia="Arial" w:hAnsi="Arial" w:cs="Arial"/>
          <w:sz w:val="20"/>
          <w:szCs w:val="20"/>
        </w:rPr>
      </w:pPr>
      <w:r>
        <w:rPr>
          <w:rFonts w:ascii="Arial" w:eastAsia="Arial" w:hAnsi="Arial" w:cs="Arial"/>
          <w:sz w:val="20"/>
          <w:szCs w:val="20"/>
        </w:rPr>
        <w:t>Et l’organisation syndicale représentative représentée par :</w:t>
      </w:r>
    </w:p>
    <w:p w:rsidR="00F16994" w:rsidRDefault="00F16994">
      <w:pPr>
        <w:spacing w:line="288" w:lineRule="auto"/>
        <w:jc w:val="both"/>
        <w:rPr>
          <w:rFonts w:ascii="Arial" w:eastAsia="Arial" w:hAnsi="Arial" w:cs="Arial"/>
          <w:sz w:val="20"/>
          <w:szCs w:val="20"/>
        </w:rPr>
      </w:pPr>
    </w:p>
    <w:p w:rsidR="00F16994" w:rsidRDefault="00FF77C6">
      <w:pPr>
        <w:spacing w:line="288" w:lineRule="auto"/>
        <w:jc w:val="both"/>
        <w:rPr>
          <w:rFonts w:ascii="Arial" w:eastAsia="Arial" w:hAnsi="Arial" w:cs="Arial"/>
          <w:sz w:val="20"/>
          <w:szCs w:val="20"/>
        </w:rPr>
      </w:pPr>
      <w:r>
        <w:rPr>
          <w:rFonts w:ascii="Arial" w:eastAsia="Arial" w:hAnsi="Arial" w:cs="Arial"/>
          <w:sz w:val="22"/>
          <w:szCs w:val="22"/>
        </w:rPr>
        <w:t>Abdurrahman YAZLI</w:t>
      </w:r>
      <w:r>
        <w:rPr>
          <w:rFonts w:ascii="Arial" w:eastAsia="Arial" w:hAnsi="Arial" w:cs="Arial"/>
          <w:sz w:val="20"/>
          <w:szCs w:val="20"/>
        </w:rPr>
        <w:t>, en sa qualité de délégué syndical CFDT,</w:t>
      </w:r>
    </w:p>
    <w:p w:rsidR="00F16994" w:rsidRDefault="00F16994">
      <w:pPr>
        <w:spacing w:line="288" w:lineRule="auto"/>
        <w:jc w:val="both"/>
        <w:rPr>
          <w:rFonts w:ascii="Arial" w:eastAsia="Arial" w:hAnsi="Arial" w:cs="Arial"/>
          <w:sz w:val="20"/>
          <w:szCs w:val="20"/>
        </w:rPr>
      </w:pPr>
    </w:p>
    <w:p w:rsidR="00F16994" w:rsidRDefault="00F16994">
      <w:pPr>
        <w:keepLines/>
        <w:jc w:val="both"/>
        <w:rPr>
          <w:rFonts w:ascii="Arial" w:eastAsia="Arial" w:hAnsi="Arial" w:cs="Arial"/>
          <w:sz w:val="20"/>
          <w:szCs w:val="20"/>
        </w:rPr>
      </w:pPr>
    </w:p>
    <w:p w:rsidR="00F16994" w:rsidRDefault="00FF77C6">
      <w:pPr>
        <w:keepLines/>
        <w:jc w:val="right"/>
        <w:rPr>
          <w:rFonts w:ascii="Arial" w:eastAsia="Arial" w:hAnsi="Arial" w:cs="Arial"/>
          <w:b/>
          <w:bCs/>
          <w:sz w:val="20"/>
          <w:szCs w:val="20"/>
        </w:rPr>
      </w:pPr>
      <w:r>
        <w:rPr>
          <w:rFonts w:ascii="Arial" w:eastAsia="Arial" w:hAnsi="Arial" w:cs="Arial"/>
          <w:b/>
          <w:bCs/>
          <w:sz w:val="20"/>
          <w:szCs w:val="20"/>
        </w:rPr>
        <w:t>D’autre part,</w:t>
      </w:r>
    </w:p>
    <w:p w:rsidR="00F16994" w:rsidRDefault="00F16994">
      <w:pPr>
        <w:jc w:val="right"/>
        <w:rPr>
          <w:rFonts w:ascii="Arial" w:eastAsia="Arial" w:hAnsi="Arial" w:cs="Arial"/>
          <w:sz w:val="20"/>
          <w:szCs w:val="20"/>
        </w:rPr>
      </w:pPr>
    </w:p>
    <w:p w:rsidR="00F16994" w:rsidRDefault="00F16994">
      <w:pPr>
        <w:jc w:val="both"/>
        <w:rPr>
          <w:rFonts w:ascii="Arial" w:eastAsia="Arial" w:hAnsi="Arial" w:cs="Arial"/>
          <w:sz w:val="20"/>
          <w:szCs w:val="20"/>
        </w:rPr>
      </w:pPr>
    </w:p>
    <w:p w:rsidR="00F16994" w:rsidRDefault="00FF77C6">
      <w:pPr>
        <w:jc w:val="both"/>
        <w:rPr>
          <w:rFonts w:ascii="Arial" w:eastAsia="Arial" w:hAnsi="Arial" w:cs="Arial"/>
          <w:b/>
          <w:bCs/>
          <w:sz w:val="20"/>
          <w:szCs w:val="20"/>
        </w:rPr>
      </w:pPr>
      <w:r>
        <w:rPr>
          <w:rFonts w:ascii="Arial" w:eastAsia="Arial" w:hAnsi="Arial" w:cs="Arial"/>
          <w:b/>
          <w:bCs/>
          <w:sz w:val="20"/>
          <w:szCs w:val="20"/>
        </w:rPr>
        <w:t xml:space="preserve">PREAMBULE </w:t>
      </w:r>
    </w:p>
    <w:p w:rsidR="00F16994" w:rsidRDefault="00F16994">
      <w:pPr>
        <w:jc w:val="both"/>
        <w:rPr>
          <w:rFonts w:ascii="Arial" w:eastAsia="Arial" w:hAnsi="Arial" w:cs="Arial"/>
          <w:sz w:val="20"/>
          <w:szCs w:val="20"/>
        </w:rPr>
      </w:pPr>
    </w:p>
    <w:p w:rsidR="00F16994" w:rsidRDefault="00FF77C6">
      <w:pPr>
        <w:jc w:val="both"/>
        <w:rPr>
          <w:rFonts w:ascii="Arial" w:eastAsia="Arial" w:hAnsi="Arial" w:cs="Arial"/>
          <w:sz w:val="20"/>
          <w:szCs w:val="20"/>
        </w:rPr>
      </w:pPr>
      <w:r>
        <w:rPr>
          <w:rFonts w:ascii="Arial" w:eastAsia="Arial" w:hAnsi="Arial" w:cs="Arial"/>
          <w:sz w:val="20"/>
          <w:szCs w:val="20"/>
        </w:rPr>
        <w:t xml:space="preserve">Dans le cadre de la négociation prévue par l’article L.2242-1 et L. 2242-17 du Code du travail, les organisations syndicales et la Direction se sont réunies les 20 janvier, 17 et 27 février 2026. </w:t>
      </w:r>
    </w:p>
    <w:p w:rsidR="00F16994" w:rsidRDefault="00F16994">
      <w:pPr>
        <w:jc w:val="both"/>
        <w:rPr>
          <w:rFonts w:ascii="Arial" w:eastAsia="Arial" w:hAnsi="Arial" w:cs="Arial"/>
          <w:sz w:val="20"/>
          <w:szCs w:val="20"/>
        </w:rPr>
      </w:pPr>
    </w:p>
    <w:p w:rsidR="00F16994" w:rsidRDefault="00FF77C6">
      <w:pPr>
        <w:jc w:val="both"/>
        <w:rPr>
          <w:rFonts w:ascii="Arial" w:eastAsia="Arial" w:hAnsi="Arial" w:cs="Arial"/>
          <w:sz w:val="20"/>
          <w:szCs w:val="20"/>
        </w:rPr>
      </w:pPr>
      <w:r>
        <w:rPr>
          <w:rFonts w:ascii="Arial" w:eastAsia="Arial" w:hAnsi="Arial" w:cs="Arial"/>
          <w:sz w:val="20"/>
          <w:szCs w:val="20"/>
        </w:rPr>
        <w:t>Lors de la première réunion de négociation du 20 janvier 2</w:t>
      </w:r>
      <w:r>
        <w:rPr>
          <w:rFonts w:ascii="Arial" w:eastAsia="Arial" w:hAnsi="Arial" w:cs="Arial"/>
          <w:sz w:val="20"/>
          <w:szCs w:val="20"/>
        </w:rPr>
        <w:t>026, le suivi des écarts de rémunérations entre les femmes et les hommes au sein de la Société Aperam Alloys Rescal ont été présentés à l’organisation syndicale.</w:t>
      </w:r>
    </w:p>
    <w:p w:rsidR="00F16994" w:rsidRDefault="00F16994">
      <w:pPr>
        <w:jc w:val="both"/>
        <w:rPr>
          <w:rFonts w:ascii="Arial" w:eastAsia="Arial" w:hAnsi="Arial" w:cs="Arial"/>
          <w:i/>
          <w:iCs/>
          <w:sz w:val="20"/>
          <w:szCs w:val="20"/>
          <w:highlight w:val="yellow"/>
        </w:rPr>
      </w:pPr>
    </w:p>
    <w:p w:rsidR="00F16994" w:rsidRDefault="00FF77C6">
      <w:pPr>
        <w:jc w:val="both"/>
        <w:rPr>
          <w:rFonts w:ascii="Arial" w:eastAsia="Arial" w:hAnsi="Arial" w:cs="Arial"/>
          <w:sz w:val="20"/>
          <w:szCs w:val="20"/>
        </w:rPr>
      </w:pPr>
      <w:r>
        <w:rPr>
          <w:rFonts w:ascii="Arial" w:eastAsia="Arial" w:hAnsi="Arial" w:cs="Arial"/>
          <w:sz w:val="20"/>
          <w:szCs w:val="20"/>
        </w:rPr>
        <w:t xml:space="preserve">A également été partagé le bilan économique de l’année 2025 ainsi que les perspectives liées </w:t>
      </w:r>
      <w:r>
        <w:rPr>
          <w:rFonts w:ascii="Arial" w:eastAsia="Arial" w:hAnsi="Arial" w:cs="Arial"/>
          <w:sz w:val="20"/>
          <w:szCs w:val="20"/>
        </w:rPr>
        <w:t>au budget 2026.</w:t>
      </w:r>
    </w:p>
    <w:p w:rsidR="00F16994" w:rsidRDefault="00F16994">
      <w:pPr>
        <w:jc w:val="both"/>
        <w:rPr>
          <w:rFonts w:ascii="Arial" w:eastAsia="Arial" w:hAnsi="Arial" w:cs="Arial"/>
          <w:sz w:val="20"/>
          <w:szCs w:val="20"/>
        </w:rPr>
      </w:pPr>
    </w:p>
    <w:p w:rsidR="00F16994" w:rsidRDefault="00FF77C6">
      <w:pPr>
        <w:jc w:val="both"/>
        <w:rPr>
          <w:rFonts w:ascii="Arial" w:eastAsia="Arial" w:hAnsi="Arial" w:cs="Arial"/>
          <w:color w:val="222222"/>
          <w:sz w:val="20"/>
          <w:szCs w:val="20"/>
        </w:rPr>
      </w:pPr>
      <w:r>
        <w:rPr>
          <w:rFonts w:ascii="Arial" w:eastAsia="Arial" w:hAnsi="Arial" w:cs="Arial"/>
          <w:sz w:val="20"/>
          <w:szCs w:val="20"/>
        </w:rPr>
        <w:t xml:space="preserve">Notre volonté d’entreprise est de valoriser les efforts individuels et collectifs, tout en  préservant  notre </w:t>
      </w:r>
      <w:r>
        <w:rPr>
          <w:rFonts w:ascii="Arial" w:eastAsia="Arial" w:hAnsi="Arial" w:cs="Arial"/>
          <w:color w:val="222222"/>
          <w:sz w:val="20"/>
          <w:szCs w:val="20"/>
        </w:rPr>
        <w:t>compétitivité future.</w:t>
      </w:r>
    </w:p>
    <w:p w:rsidR="00F16994" w:rsidRDefault="00FF77C6">
      <w:pPr>
        <w:jc w:val="both"/>
        <w:rPr>
          <w:rFonts w:ascii="Arial" w:eastAsia="Arial" w:hAnsi="Arial" w:cs="Arial"/>
          <w:color w:val="222222"/>
          <w:sz w:val="20"/>
          <w:szCs w:val="20"/>
        </w:rPr>
      </w:pPr>
      <w:r>
        <w:rPr>
          <w:rFonts w:ascii="Arial" w:eastAsia="Arial" w:hAnsi="Arial" w:cs="Arial"/>
          <w:color w:val="222222"/>
          <w:sz w:val="20"/>
          <w:szCs w:val="20"/>
        </w:rPr>
        <w:t>Les clefs de réussite 2026 seront liées à notre capacité à nous adapter aux nouvelles demandes du marché et</w:t>
      </w:r>
      <w:r>
        <w:rPr>
          <w:rFonts w:ascii="Arial" w:eastAsia="Arial" w:hAnsi="Arial" w:cs="Arial"/>
          <w:color w:val="222222"/>
          <w:sz w:val="20"/>
          <w:szCs w:val="20"/>
        </w:rPr>
        <w:t xml:space="preserve"> à concrétiser la qualification de nouveaux produits.</w:t>
      </w:r>
    </w:p>
    <w:p w:rsidR="00F16994" w:rsidRDefault="00FF77C6">
      <w:pPr>
        <w:jc w:val="both"/>
        <w:rPr>
          <w:rFonts w:ascii="Arial" w:eastAsia="Arial" w:hAnsi="Arial" w:cs="Arial"/>
          <w:color w:val="222222"/>
          <w:sz w:val="20"/>
          <w:szCs w:val="20"/>
        </w:rPr>
      </w:pPr>
      <w:r>
        <w:rPr>
          <w:rFonts w:ascii="Arial" w:eastAsia="Arial" w:hAnsi="Arial" w:cs="Arial"/>
          <w:color w:val="222222"/>
          <w:sz w:val="20"/>
          <w:szCs w:val="20"/>
        </w:rPr>
        <w:t>Dans ce contexte, toujours plus exigeant, il est impératif de faire preuve d’une excellence opérationnelle afin de garantir le service et le niveau de qualité requis par nos clients et pour conserver un</w:t>
      </w:r>
      <w:r>
        <w:rPr>
          <w:rFonts w:ascii="Arial" w:eastAsia="Arial" w:hAnsi="Arial" w:cs="Arial"/>
          <w:color w:val="222222"/>
          <w:sz w:val="20"/>
          <w:szCs w:val="20"/>
        </w:rPr>
        <w:t xml:space="preserve"> niveau de différenciation avec nos concurrents.</w:t>
      </w:r>
    </w:p>
    <w:p w:rsidR="00F16994" w:rsidRDefault="00F16994">
      <w:pPr>
        <w:jc w:val="both"/>
        <w:rPr>
          <w:rFonts w:ascii="Arial" w:eastAsia="Arial" w:hAnsi="Arial" w:cs="Arial"/>
          <w:sz w:val="20"/>
          <w:szCs w:val="20"/>
        </w:rPr>
      </w:pPr>
    </w:p>
    <w:p w:rsidR="00F16994" w:rsidRDefault="00FF77C6">
      <w:pPr>
        <w:jc w:val="both"/>
        <w:rPr>
          <w:rFonts w:ascii="Arial" w:eastAsia="Arial" w:hAnsi="Arial" w:cs="Arial"/>
          <w:sz w:val="20"/>
          <w:szCs w:val="20"/>
        </w:rPr>
      </w:pPr>
      <w:r>
        <w:rPr>
          <w:rFonts w:ascii="Arial" w:eastAsia="Arial" w:hAnsi="Arial" w:cs="Arial"/>
          <w:sz w:val="20"/>
          <w:szCs w:val="20"/>
        </w:rPr>
        <w:t xml:space="preserve">Il a été ainsi convenu ce qui suit pour l’année 2026 : </w:t>
      </w:r>
    </w:p>
    <w:p w:rsidR="00F16994" w:rsidRDefault="00F16994">
      <w:pPr>
        <w:jc w:val="both"/>
        <w:rPr>
          <w:rFonts w:ascii="Arial" w:eastAsia="Arial" w:hAnsi="Arial" w:cs="Arial"/>
          <w:sz w:val="20"/>
          <w:szCs w:val="20"/>
        </w:rPr>
      </w:pPr>
    </w:p>
    <w:p w:rsidR="00F16994" w:rsidRDefault="00FF77C6">
      <w:pPr>
        <w:jc w:val="both"/>
        <w:rPr>
          <w:rFonts w:ascii="Arial" w:eastAsia="Arial" w:hAnsi="Arial" w:cs="Arial"/>
          <w:sz w:val="20"/>
          <w:szCs w:val="20"/>
        </w:rPr>
      </w:pPr>
      <w:r>
        <w:rPr>
          <w:rFonts w:ascii="Arial" w:eastAsia="Arial" w:hAnsi="Arial" w:cs="Arial"/>
          <w:b/>
          <w:bCs/>
          <w:smallCaps/>
          <w:sz w:val="20"/>
          <w:szCs w:val="20"/>
        </w:rPr>
        <w:t>ARTICLE 1 – CHAMP D’APPLICATION :</w:t>
      </w:r>
    </w:p>
    <w:p w:rsidR="00F16994" w:rsidRDefault="00F16994">
      <w:pPr>
        <w:jc w:val="both"/>
        <w:rPr>
          <w:rFonts w:ascii="Arial" w:eastAsia="Arial" w:hAnsi="Arial" w:cs="Arial"/>
          <w:sz w:val="20"/>
          <w:szCs w:val="20"/>
        </w:rPr>
      </w:pP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rPr>
        <w:t xml:space="preserve">Le présent accord s’applique dans les établissements de la société Aperam Alloys Rescal à l’ensemble du personnel inscrit en CDI et CDD aux effectifs de la Société. </w:t>
      </w:r>
    </w:p>
    <w:p w:rsidR="00F16994" w:rsidRDefault="00F16994">
      <w:pPr>
        <w:jc w:val="both"/>
        <w:rPr>
          <w:rFonts w:ascii="Arial" w:eastAsia="Arial" w:hAnsi="Arial" w:cs="Arial"/>
          <w:sz w:val="20"/>
          <w:szCs w:val="20"/>
        </w:rPr>
      </w:pPr>
    </w:p>
    <w:p w:rsidR="00F16994" w:rsidRDefault="00F16994">
      <w:pPr>
        <w:jc w:val="both"/>
        <w:rPr>
          <w:rFonts w:ascii="Arial" w:eastAsia="Arial" w:hAnsi="Arial" w:cs="Arial"/>
          <w:sz w:val="20"/>
          <w:szCs w:val="20"/>
        </w:rPr>
      </w:pPr>
    </w:p>
    <w:p w:rsidR="00F16994" w:rsidRDefault="00FF77C6">
      <w:pPr>
        <w:jc w:val="both"/>
        <w:rPr>
          <w:rFonts w:ascii="Arial" w:eastAsia="Arial" w:hAnsi="Arial" w:cs="Arial"/>
          <w:sz w:val="20"/>
          <w:szCs w:val="20"/>
        </w:rPr>
      </w:pPr>
      <w:r>
        <w:rPr>
          <w:rFonts w:ascii="Arial" w:eastAsia="Arial" w:hAnsi="Arial" w:cs="Arial"/>
          <w:b/>
          <w:bCs/>
          <w:smallCaps/>
          <w:sz w:val="20"/>
          <w:szCs w:val="20"/>
        </w:rPr>
        <w:t>ARTICLE 2 – DISPOSITIONS RELATIVES AUX SALAIRES EFFECTIFS :</w:t>
      </w:r>
    </w:p>
    <w:p w:rsidR="00F16994" w:rsidRDefault="00F16994">
      <w:pPr>
        <w:jc w:val="both"/>
        <w:rPr>
          <w:rFonts w:ascii="Arial" w:eastAsia="Arial" w:hAnsi="Arial" w:cs="Arial"/>
          <w:sz w:val="20"/>
          <w:szCs w:val="20"/>
        </w:rPr>
      </w:pP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rPr>
        <w:t>Une enveloppe globale a été définie et répartie entre augmentation générale et augmentation individuelle selon les modalités ci-dessous:</w:t>
      </w:r>
    </w:p>
    <w:p w:rsidR="00F16994" w:rsidRDefault="00F16994">
      <w:pPr>
        <w:pBdr>
          <w:top w:val="nil"/>
          <w:left w:val="nil"/>
          <w:bottom w:val="nil"/>
          <w:right w:val="nil"/>
          <w:between w:val="nil"/>
        </w:pBdr>
        <w:jc w:val="both"/>
        <w:rPr>
          <w:rFonts w:ascii="Arial" w:eastAsia="Arial" w:hAnsi="Arial" w:cs="Arial"/>
          <w:sz w:val="20"/>
          <w:szCs w:val="20"/>
          <w:highlight w:val="white"/>
        </w:rPr>
      </w:pP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highlight w:val="white"/>
        </w:rPr>
        <w:t xml:space="preserve">L’application des mesures prévues aux articles 2, 3 est </w:t>
      </w:r>
      <w:r>
        <w:rPr>
          <w:rFonts w:ascii="Arial" w:eastAsia="Arial" w:hAnsi="Arial" w:cs="Arial"/>
          <w:sz w:val="20"/>
          <w:szCs w:val="20"/>
        </w:rPr>
        <w:t>soumise à la conclusion d’un accord.</w:t>
      </w:r>
    </w:p>
    <w:p w:rsidR="00F16994" w:rsidRDefault="00F16994">
      <w:pPr>
        <w:pBdr>
          <w:top w:val="nil"/>
          <w:left w:val="nil"/>
          <w:bottom w:val="nil"/>
          <w:right w:val="nil"/>
          <w:between w:val="nil"/>
        </w:pBdr>
        <w:jc w:val="both"/>
        <w:rPr>
          <w:rFonts w:ascii="Arial" w:eastAsia="Arial" w:hAnsi="Arial" w:cs="Arial"/>
          <w:sz w:val="20"/>
          <w:szCs w:val="20"/>
        </w:rPr>
      </w:pPr>
    </w:p>
    <w:p w:rsidR="00F16994" w:rsidRDefault="00F16994">
      <w:pPr>
        <w:pBdr>
          <w:top w:val="nil"/>
          <w:left w:val="nil"/>
          <w:bottom w:val="nil"/>
          <w:right w:val="nil"/>
          <w:between w:val="nil"/>
        </w:pBdr>
        <w:jc w:val="both"/>
        <w:rPr>
          <w:rFonts w:ascii="Arial" w:eastAsia="Arial" w:hAnsi="Arial" w:cs="Arial"/>
          <w:sz w:val="20"/>
          <w:szCs w:val="20"/>
        </w:rPr>
      </w:pPr>
    </w:p>
    <w:p w:rsidR="00F16994" w:rsidRDefault="00F16994">
      <w:pPr>
        <w:jc w:val="both"/>
        <w:rPr>
          <w:rFonts w:ascii="Arial" w:eastAsia="Arial" w:hAnsi="Arial" w:cs="Arial"/>
          <w:sz w:val="20"/>
          <w:szCs w:val="20"/>
        </w:rPr>
      </w:pPr>
    </w:p>
    <w:p w:rsidR="00F16994" w:rsidRDefault="00FF77C6">
      <w:pPr>
        <w:jc w:val="both"/>
        <w:rPr>
          <w:rFonts w:ascii="Arial" w:eastAsia="Arial" w:hAnsi="Arial" w:cs="Arial"/>
          <w:b/>
          <w:bCs/>
          <w:smallCaps/>
          <w:sz w:val="20"/>
          <w:szCs w:val="20"/>
        </w:rPr>
      </w:pPr>
      <w:r>
        <w:rPr>
          <w:rFonts w:ascii="Arial" w:eastAsia="Arial" w:hAnsi="Arial" w:cs="Arial"/>
          <w:b/>
          <w:bCs/>
          <w:smallCaps/>
          <w:sz w:val="20"/>
          <w:szCs w:val="20"/>
        </w:rPr>
        <w:t xml:space="preserve">  </w:t>
      </w:r>
    </w:p>
    <w:p w:rsidR="00F16994" w:rsidRDefault="00F16994">
      <w:pPr>
        <w:jc w:val="both"/>
        <w:rPr>
          <w:rFonts w:ascii="Arial" w:eastAsia="Arial" w:hAnsi="Arial" w:cs="Arial"/>
          <w:b/>
          <w:bCs/>
          <w:smallCaps/>
          <w:sz w:val="20"/>
          <w:szCs w:val="20"/>
        </w:rPr>
      </w:pPr>
    </w:p>
    <w:p w:rsidR="00F16994" w:rsidRDefault="00F16994">
      <w:pPr>
        <w:jc w:val="both"/>
        <w:rPr>
          <w:rFonts w:ascii="Arial" w:eastAsia="Arial" w:hAnsi="Arial" w:cs="Arial"/>
          <w:b/>
          <w:bCs/>
          <w:smallCaps/>
          <w:sz w:val="20"/>
          <w:szCs w:val="20"/>
        </w:rPr>
      </w:pPr>
    </w:p>
    <w:p w:rsidR="00F16994" w:rsidRDefault="00FF77C6">
      <w:pPr>
        <w:jc w:val="both"/>
        <w:rPr>
          <w:rFonts w:ascii="Arial" w:eastAsia="Arial" w:hAnsi="Arial" w:cs="Arial"/>
          <w:sz w:val="20"/>
          <w:szCs w:val="20"/>
        </w:rPr>
      </w:pPr>
      <w:r>
        <w:rPr>
          <w:rFonts w:ascii="Arial" w:eastAsia="Arial" w:hAnsi="Arial" w:cs="Arial"/>
          <w:b/>
          <w:bCs/>
          <w:smallCaps/>
          <w:sz w:val="20"/>
          <w:szCs w:val="20"/>
        </w:rPr>
        <w:t>ARTICLE 2.1 – DIS</w:t>
      </w:r>
      <w:r>
        <w:rPr>
          <w:rFonts w:ascii="Arial" w:eastAsia="Arial" w:hAnsi="Arial" w:cs="Arial"/>
          <w:b/>
          <w:bCs/>
          <w:smallCaps/>
          <w:sz w:val="20"/>
          <w:szCs w:val="20"/>
        </w:rPr>
        <w:t>POSITIONS CONCERNANT LE PERSONNEL NON CADRE :</w:t>
      </w:r>
    </w:p>
    <w:p w:rsidR="00F16994" w:rsidRDefault="00F16994">
      <w:pPr>
        <w:jc w:val="both"/>
        <w:rPr>
          <w:rFonts w:ascii="Arial" w:eastAsia="Arial" w:hAnsi="Arial" w:cs="Arial"/>
          <w:sz w:val="20"/>
          <w:szCs w:val="20"/>
        </w:rPr>
      </w:pPr>
    </w:p>
    <w:p w:rsidR="00F16994" w:rsidRDefault="00FF77C6">
      <w:pPr>
        <w:ind w:left="720"/>
        <w:jc w:val="both"/>
        <w:rPr>
          <w:rFonts w:ascii="Arial" w:eastAsia="Arial" w:hAnsi="Arial" w:cs="Arial"/>
          <w:sz w:val="20"/>
          <w:szCs w:val="20"/>
        </w:rPr>
      </w:pPr>
      <w:r>
        <w:rPr>
          <w:rFonts w:ascii="Arial" w:eastAsia="Arial" w:hAnsi="Arial" w:cs="Arial"/>
          <w:b/>
          <w:bCs/>
          <w:smallCaps/>
          <w:sz w:val="20"/>
          <w:szCs w:val="20"/>
        </w:rPr>
        <w:lastRenderedPageBreak/>
        <w:t>2.1.1 AUGMENTATION GÉNÉRALE :</w:t>
      </w:r>
    </w:p>
    <w:p w:rsidR="00F16994" w:rsidRDefault="00F16994">
      <w:pPr>
        <w:jc w:val="both"/>
        <w:rPr>
          <w:rFonts w:ascii="Arial" w:eastAsia="Arial" w:hAnsi="Arial" w:cs="Arial"/>
          <w:sz w:val="20"/>
          <w:szCs w:val="20"/>
        </w:rPr>
      </w:pPr>
    </w:p>
    <w:p w:rsidR="00F16994" w:rsidRDefault="00FF77C6">
      <w:pPr>
        <w:jc w:val="both"/>
        <w:rPr>
          <w:rFonts w:ascii="Arial" w:eastAsia="Arial" w:hAnsi="Arial" w:cs="Arial"/>
          <w:sz w:val="20"/>
          <w:szCs w:val="20"/>
          <w:highlight w:val="white"/>
        </w:rPr>
      </w:pPr>
      <w:r>
        <w:rPr>
          <w:rFonts w:ascii="Arial" w:eastAsia="Arial" w:hAnsi="Arial" w:cs="Arial"/>
          <w:sz w:val="20"/>
          <w:szCs w:val="20"/>
        </w:rPr>
        <w:t xml:space="preserve">Il est prévu pour le personnel non cadre, une revalorisation des salaires individuels de base de </w:t>
      </w:r>
      <w:r>
        <w:rPr>
          <w:rFonts w:ascii="Arial" w:eastAsia="Arial" w:hAnsi="Arial" w:cs="Arial"/>
          <w:sz w:val="20"/>
          <w:szCs w:val="20"/>
          <w:highlight w:val="white"/>
        </w:rPr>
        <w:t xml:space="preserve">1.20% </w:t>
      </w:r>
      <w:r>
        <w:rPr>
          <w:rFonts w:ascii="Arial" w:eastAsia="Arial" w:hAnsi="Arial" w:cs="Arial"/>
          <w:sz w:val="20"/>
          <w:szCs w:val="20"/>
        </w:rPr>
        <w:t>avec une augmentation minimale d</w:t>
      </w:r>
      <w:r>
        <w:rPr>
          <w:rFonts w:ascii="Arial" w:eastAsia="Arial" w:hAnsi="Arial" w:cs="Arial"/>
          <w:sz w:val="20"/>
          <w:szCs w:val="20"/>
          <w:highlight w:val="white"/>
        </w:rPr>
        <w:t>e 35€ bruts.</w:t>
      </w:r>
    </w:p>
    <w:p w:rsidR="00F16994" w:rsidRDefault="00FF77C6">
      <w:pPr>
        <w:jc w:val="both"/>
        <w:rPr>
          <w:rFonts w:ascii="Arial" w:eastAsia="Arial" w:hAnsi="Arial" w:cs="Arial"/>
          <w:sz w:val="20"/>
          <w:szCs w:val="20"/>
        </w:rPr>
      </w:pPr>
      <w:r>
        <w:rPr>
          <w:rFonts w:ascii="Arial" w:eastAsia="Arial" w:hAnsi="Arial" w:cs="Arial"/>
          <w:sz w:val="20"/>
          <w:szCs w:val="20"/>
        </w:rPr>
        <w:t>Date d’application : 1er janvi</w:t>
      </w:r>
      <w:r>
        <w:rPr>
          <w:rFonts w:ascii="Arial" w:eastAsia="Arial" w:hAnsi="Arial" w:cs="Arial"/>
          <w:sz w:val="20"/>
          <w:szCs w:val="20"/>
        </w:rPr>
        <w:t>er 2026</w:t>
      </w:r>
    </w:p>
    <w:p w:rsidR="00F16994" w:rsidRDefault="00F16994">
      <w:pPr>
        <w:pBdr>
          <w:top w:val="nil"/>
          <w:left w:val="nil"/>
          <w:bottom w:val="nil"/>
          <w:right w:val="nil"/>
          <w:between w:val="nil"/>
        </w:pBdr>
        <w:jc w:val="both"/>
        <w:rPr>
          <w:rFonts w:ascii="Arial" w:eastAsia="Arial" w:hAnsi="Arial" w:cs="Arial"/>
          <w:sz w:val="20"/>
          <w:szCs w:val="20"/>
        </w:rPr>
      </w:pPr>
    </w:p>
    <w:p w:rsidR="00F16994" w:rsidRDefault="00F16994">
      <w:pPr>
        <w:jc w:val="both"/>
        <w:rPr>
          <w:rFonts w:ascii="Arial" w:eastAsia="Arial" w:hAnsi="Arial" w:cs="Arial"/>
          <w:sz w:val="20"/>
          <w:szCs w:val="20"/>
        </w:rPr>
      </w:pPr>
    </w:p>
    <w:p w:rsidR="00F16994" w:rsidRDefault="00FF77C6">
      <w:pPr>
        <w:ind w:left="720"/>
        <w:jc w:val="both"/>
        <w:rPr>
          <w:rFonts w:ascii="Arial" w:eastAsia="Arial" w:hAnsi="Arial" w:cs="Arial"/>
          <w:sz w:val="20"/>
          <w:szCs w:val="20"/>
        </w:rPr>
      </w:pPr>
      <w:r>
        <w:rPr>
          <w:rFonts w:ascii="Arial" w:eastAsia="Arial" w:hAnsi="Arial" w:cs="Arial"/>
          <w:b/>
          <w:bCs/>
          <w:smallCaps/>
          <w:sz w:val="20"/>
          <w:szCs w:val="20"/>
        </w:rPr>
        <w:t>2.1.2 AUGMENTATIONS ET PROMOTIONS INDIVIDUELLES :</w:t>
      </w:r>
    </w:p>
    <w:p w:rsidR="00F16994" w:rsidRDefault="00F16994">
      <w:pPr>
        <w:jc w:val="both"/>
        <w:rPr>
          <w:rFonts w:ascii="Arial" w:eastAsia="Arial" w:hAnsi="Arial" w:cs="Arial"/>
          <w:sz w:val="20"/>
          <w:szCs w:val="20"/>
        </w:rPr>
      </w:pP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rPr>
        <w:t>Un crédit de</w:t>
      </w:r>
      <w:r>
        <w:rPr>
          <w:rFonts w:ascii="Arial" w:eastAsia="Arial" w:hAnsi="Arial" w:cs="Arial"/>
          <w:sz w:val="20"/>
          <w:szCs w:val="20"/>
          <w:highlight w:val="white"/>
        </w:rPr>
        <w:t xml:space="preserve"> 0.4%</w:t>
      </w:r>
      <w:r>
        <w:rPr>
          <w:rFonts w:ascii="Arial" w:eastAsia="Arial" w:hAnsi="Arial" w:cs="Arial"/>
          <w:sz w:val="20"/>
          <w:szCs w:val="20"/>
        </w:rPr>
        <w:t xml:space="preserve"> est alloué pour les augmentations individuelles pour le personnel non cadre.</w:t>
      </w: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rPr>
        <w:t>Date d’application : 1er mars 2026.</w:t>
      </w: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rPr>
        <w:t>Attribution des promotions avec un crédit non plafonné (hors env</w:t>
      </w:r>
      <w:r>
        <w:rPr>
          <w:rFonts w:ascii="Arial" w:eastAsia="Arial" w:hAnsi="Arial" w:cs="Arial"/>
          <w:sz w:val="20"/>
          <w:szCs w:val="20"/>
        </w:rPr>
        <w:t>eloppe des augmentations individuelles)</w:t>
      </w:r>
    </w:p>
    <w:p w:rsidR="00F16994" w:rsidRDefault="00F16994">
      <w:pPr>
        <w:pBdr>
          <w:top w:val="nil"/>
          <w:left w:val="nil"/>
          <w:bottom w:val="nil"/>
          <w:right w:val="nil"/>
          <w:between w:val="nil"/>
        </w:pBdr>
        <w:jc w:val="both"/>
        <w:rPr>
          <w:rFonts w:ascii="Arial" w:eastAsia="Arial" w:hAnsi="Arial" w:cs="Arial"/>
          <w:sz w:val="20"/>
          <w:szCs w:val="20"/>
        </w:rPr>
      </w:pPr>
    </w:p>
    <w:p w:rsidR="00F16994" w:rsidRDefault="00FF77C6">
      <w:pPr>
        <w:ind w:left="720"/>
        <w:jc w:val="both"/>
        <w:rPr>
          <w:rFonts w:ascii="Arial" w:eastAsia="Arial" w:hAnsi="Arial" w:cs="Arial"/>
          <w:b/>
          <w:bCs/>
          <w:smallCaps/>
          <w:sz w:val="20"/>
          <w:szCs w:val="20"/>
        </w:rPr>
      </w:pPr>
      <w:r>
        <w:rPr>
          <w:rFonts w:ascii="Arial" w:eastAsia="Arial" w:hAnsi="Arial" w:cs="Arial"/>
          <w:b/>
          <w:bCs/>
          <w:smallCaps/>
          <w:sz w:val="20"/>
          <w:szCs w:val="20"/>
        </w:rPr>
        <w:t xml:space="preserve">2.1.3 PRIME RÉCURRENTE </w:t>
      </w:r>
    </w:p>
    <w:p w:rsidR="00F16994" w:rsidRDefault="00F16994">
      <w:pPr>
        <w:ind w:left="720"/>
        <w:jc w:val="both"/>
        <w:rPr>
          <w:rFonts w:ascii="Arial" w:eastAsia="Arial" w:hAnsi="Arial" w:cs="Arial"/>
          <w:b/>
          <w:bCs/>
          <w:smallCaps/>
          <w:sz w:val="20"/>
          <w:szCs w:val="20"/>
        </w:rPr>
      </w:pPr>
    </w:p>
    <w:p w:rsidR="00F16994" w:rsidRDefault="00FF77C6">
      <w:pPr>
        <w:jc w:val="both"/>
        <w:rPr>
          <w:rFonts w:ascii="Arial" w:eastAsia="Arial" w:hAnsi="Arial" w:cs="Arial"/>
          <w:sz w:val="20"/>
          <w:szCs w:val="20"/>
        </w:rPr>
      </w:pPr>
      <w:r>
        <w:rPr>
          <w:rFonts w:ascii="Arial" w:eastAsia="Arial" w:hAnsi="Arial" w:cs="Arial"/>
          <w:sz w:val="20"/>
          <w:szCs w:val="20"/>
        </w:rPr>
        <w:t>La prime de 935€ est indexée à l’augmentation générale soit +1.20% et à cela s’ajoute un versement complémentaire exceptionnel de 53.78€. Le montant total de la prime atteint 1000€ brut.</w:t>
      </w:r>
    </w:p>
    <w:p w:rsidR="00F16994" w:rsidRDefault="00FF77C6">
      <w:pPr>
        <w:jc w:val="both"/>
        <w:rPr>
          <w:rFonts w:ascii="Arial" w:eastAsia="Arial" w:hAnsi="Arial" w:cs="Arial"/>
          <w:sz w:val="20"/>
          <w:szCs w:val="20"/>
        </w:rPr>
      </w:pPr>
      <w:r>
        <w:rPr>
          <w:rFonts w:ascii="Arial" w:eastAsia="Arial" w:hAnsi="Arial" w:cs="Arial"/>
          <w:sz w:val="20"/>
          <w:szCs w:val="20"/>
        </w:rPr>
        <w:t>Cette prime est versée sur la paie du mois de juillet.</w:t>
      </w:r>
    </w:p>
    <w:p w:rsidR="00F16994" w:rsidRDefault="00F16994">
      <w:pPr>
        <w:jc w:val="both"/>
        <w:rPr>
          <w:rFonts w:ascii="Arial" w:eastAsia="Arial" w:hAnsi="Arial" w:cs="Arial"/>
          <w:sz w:val="22"/>
          <w:szCs w:val="22"/>
          <w:highlight w:val="white"/>
        </w:rPr>
      </w:pPr>
    </w:p>
    <w:p w:rsidR="00F16994" w:rsidRDefault="00F16994">
      <w:pPr>
        <w:ind w:left="1440"/>
        <w:jc w:val="both"/>
        <w:rPr>
          <w:rFonts w:ascii="Arial" w:eastAsia="Arial" w:hAnsi="Arial" w:cs="Arial"/>
          <w:sz w:val="22"/>
          <w:szCs w:val="22"/>
          <w:highlight w:val="white"/>
        </w:rPr>
      </w:pPr>
    </w:p>
    <w:p w:rsidR="00F16994" w:rsidRDefault="00FF77C6">
      <w:pPr>
        <w:jc w:val="both"/>
        <w:rPr>
          <w:rFonts w:ascii="Arial" w:eastAsia="Arial" w:hAnsi="Arial" w:cs="Arial"/>
          <w:b/>
          <w:bCs/>
          <w:smallCaps/>
          <w:color w:val="FF0000"/>
          <w:sz w:val="20"/>
          <w:szCs w:val="20"/>
        </w:rPr>
      </w:pPr>
      <w:r>
        <w:rPr>
          <w:rFonts w:ascii="Arial" w:eastAsia="Arial" w:hAnsi="Arial" w:cs="Arial"/>
          <w:b/>
          <w:bCs/>
          <w:sz w:val="20"/>
          <w:szCs w:val="20"/>
        </w:rPr>
        <w:t xml:space="preserve"> </w:t>
      </w:r>
      <w:r>
        <w:rPr>
          <w:rFonts w:ascii="Arial" w:eastAsia="Arial" w:hAnsi="Arial" w:cs="Arial"/>
          <w:b/>
          <w:bCs/>
          <w:smallCaps/>
          <w:sz w:val="20"/>
          <w:szCs w:val="20"/>
        </w:rPr>
        <w:t xml:space="preserve"> ARTICLE 2.2 - DISPOSITIONS CONCERNANT LE PERSONNEL CADRE </w:t>
      </w:r>
    </w:p>
    <w:p w:rsidR="00F16994" w:rsidRDefault="00F16994">
      <w:pPr>
        <w:jc w:val="both"/>
        <w:rPr>
          <w:rFonts w:ascii="Arial" w:eastAsia="Arial" w:hAnsi="Arial" w:cs="Arial"/>
          <w:b/>
          <w:bCs/>
          <w:smallCaps/>
          <w:color w:val="FF0000"/>
          <w:sz w:val="20"/>
          <w:szCs w:val="20"/>
        </w:rPr>
      </w:pPr>
    </w:p>
    <w:p w:rsidR="00F16994" w:rsidRDefault="00F16994">
      <w:pPr>
        <w:pBdr>
          <w:top w:val="nil"/>
          <w:left w:val="nil"/>
          <w:bottom w:val="nil"/>
          <w:right w:val="nil"/>
          <w:between w:val="nil"/>
        </w:pBdr>
        <w:ind w:left="720"/>
        <w:jc w:val="both"/>
        <w:rPr>
          <w:rFonts w:ascii="Arial" w:eastAsia="Arial" w:hAnsi="Arial" w:cs="Arial"/>
          <w:sz w:val="20"/>
          <w:szCs w:val="20"/>
        </w:rPr>
      </w:pPr>
    </w:p>
    <w:p w:rsidR="00F16994" w:rsidRDefault="00FF77C6">
      <w:pPr>
        <w:ind w:left="720"/>
        <w:jc w:val="both"/>
        <w:rPr>
          <w:rFonts w:ascii="Arial" w:eastAsia="Arial" w:hAnsi="Arial" w:cs="Arial"/>
          <w:sz w:val="20"/>
          <w:szCs w:val="20"/>
        </w:rPr>
      </w:pPr>
      <w:r>
        <w:rPr>
          <w:rFonts w:ascii="Arial" w:eastAsia="Arial" w:hAnsi="Arial" w:cs="Arial"/>
          <w:b/>
          <w:bCs/>
          <w:sz w:val="20"/>
          <w:szCs w:val="20"/>
        </w:rPr>
        <w:t xml:space="preserve">2.2.1 Augmentations individuelles </w:t>
      </w:r>
    </w:p>
    <w:p w:rsidR="00F16994" w:rsidRDefault="00F16994">
      <w:pPr>
        <w:jc w:val="both"/>
        <w:rPr>
          <w:rFonts w:ascii="Arial" w:eastAsia="Arial" w:hAnsi="Arial" w:cs="Arial"/>
          <w:sz w:val="20"/>
          <w:szCs w:val="20"/>
        </w:rPr>
      </w:pPr>
    </w:p>
    <w:p w:rsidR="00F16994" w:rsidRDefault="00FF77C6">
      <w:pPr>
        <w:jc w:val="both"/>
        <w:rPr>
          <w:rFonts w:ascii="Arial" w:eastAsia="Arial" w:hAnsi="Arial" w:cs="Arial"/>
          <w:sz w:val="20"/>
          <w:szCs w:val="20"/>
          <w:highlight w:val="white"/>
        </w:rPr>
      </w:pPr>
      <w:r>
        <w:rPr>
          <w:rFonts w:ascii="Arial" w:eastAsia="Arial" w:hAnsi="Arial" w:cs="Arial"/>
          <w:sz w:val="20"/>
          <w:szCs w:val="20"/>
          <w:highlight w:val="white"/>
        </w:rPr>
        <w:t>Un budget de 1.6% d’Augmentations Individuelles est alloué pour la population cadre.</w:t>
      </w:r>
    </w:p>
    <w:p w:rsidR="00F16994" w:rsidRDefault="00FF77C6">
      <w:pPr>
        <w:jc w:val="both"/>
        <w:rPr>
          <w:rFonts w:ascii="Arial" w:eastAsia="Arial" w:hAnsi="Arial" w:cs="Arial"/>
          <w:sz w:val="20"/>
          <w:szCs w:val="20"/>
        </w:rPr>
      </w:pPr>
      <w:r>
        <w:rPr>
          <w:rFonts w:ascii="Arial" w:eastAsia="Arial" w:hAnsi="Arial" w:cs="Arial"/>
          <w:sz w:val="20"/>
          <w:szCs w:val="20"/>
        </w:rPr>
        <w:t>Date d’application : 1er janvier 2026</w:t>
      </w:r>
    </w:p>
    <w:p w:rsidR="00F16994" w:rsidRDefault="00F16994">
      <w:pPr>
        <w:jc w:val="both"/>
        <w:rPr>
          <w:rFonts w:ascii="Arial" w:eastAsia="Arial" w:hAnsi="Arial" w:cs="Arial"/>
          <w:sz w:val="20"/>
          <w:szCs w:val="20"/>
          <w:highlight w:val="white"/>
        </w:rPr>
      </w:pPr>
    </w:p>
    <w:p w:rsidR="00F16994" w:rsidRDefault="00FF77C6">
      <w:pPr>
        <w:spacing w:line="280" w:lineRule="auto"/>
        <w:ind w:left="720"/>
        <w:jc w:val="both"/>
        <w:rPr>
          <w:rFonts w:ascii="Arial" w:eastAsia="Arial" w:hAnsi="Arial" w:cs="Arial"/>
          <w:b/>
          <w:bCs/>
          <w:sz w:val="20"/>
          <w:szCs w:val="20"/>
          <w:highlight w:val="white"/>
        </w:rPr>
      </w:pPr>
      <w:r>
        <w:rPr>
          <w:rFonts w:ascii="Arial" w:eastAsia="Arial" w:hAnsi="Arial" w:cs="Arial"/>
          <w:b/>
          <w:bCs/>
          <w:sz w:val="20"/>
          <w:szCs w:val="20"/>
          <w:highlight w:val="white"/>
        </w:rPr>
        <w:t>2.2.2 Promotions</w:t>
      </w:r>
    </w:p>
    <w:p w:rsidR="00F16994" w:rsidRDefault="00F16994">
      <w:pPr>
        <w:spacing w:line="280" w:lineRule="auto"/>
        <w:jc w:val="both"/>
        <w:rPr>
          <w:rFonts w:ascii="Arial" w:eastAsia="Arial" w:hAnsi="Arial" w:cs="Arial"/>
          <w:b/>
          <w:bCs/>
          <w:strike/>
          <w:sz w:val="20"/>
          <w:szCs w:val="20"/>
          <w:highlight w:val="white"/>
        </w:rPr>
      </w:pPr>
    </w:p>
    <w:p w:rsidR="00F16994" w:rsidRDefault="00FF77C6">
      <w:pPr>
        <w:jc w:val="both"/>
        <w:rPr>
          <w:rFonts w:ascii="Arial" w:eastAsia="Arial" w:hAnsi="Arial" w:cs="Arial"/>
          <w:sz w:val="20"/>
          <w:szCs w:val="20"/>
        </w:rPr>
      </w:pPr>
      <w:r>
        <w:rPr>
          <w:rFonts w:ascii="Arial" w:eastAsia="Arial" w:hAnsi="Arial" w:cs="Arial"/>
          <w:sz w:val="20"/>
          <w:szCs w:val="20"/>
          <w:highlight w:val="white"/>
        </w:rPr>
        <w:t>Les augmentations individuelles ainsi que les</w:t>
      </w:r>
      <w:r>
        <w:rPr>
          <w:rFonts w:ascii="Arial" w:eastAsia="Arial" w:hAnsi="Arial" w:cs="Arial"/>
          <w:sz w:val="20"/>
          <w:szCs w:val="20"/>
          <w:highlight w:val="white"/>
        </w:rPr>
        <w:t xml:space="preserve"> promotions qui accompagnent les changements de niveau Hay pour les cadres, seront réalisées en dehors de l’enveloppe déterminée dans le cadre des mesures salariales 2026. </w:t>
      </w:r>
    </w:p>
    <w:p w:rsidR="00F16994" w:rsidRDefault="00F16994">
      <w:pPr>
        <w:jc w:val="both"/>
        <w:rPr>
          <w:rFonts w:ascii="Arial" w:eastAsia="Arial" w:hAnsi="Arial" w:cs="Arial"/>
          <w:b/>
          <w:bCs/>
          <w:sz w:val="20"/>
          <w:szCs w:val="20"/>
        </w:rPr>
      </w:pPr>
    </w:p>
    <w:p w:rsidR="00F16994" w:rsidRDefault="00F16994">
      <w:pPr>
        <w:jc w:val="both"/>
        <w:rPr>
          <w:rFonts w:ascii="Arial" w:eastAsia="Arial" w:hAnsi="Arial" w:cs="Arial"/>
          <w:sz w:val="20"/>
          <w:szCs w:val="20"/>
        </w:rPr>
      </w:pPr>
    </w:p>
    <w:p w:rsidR="00F16994" w:rsidRDefault="00F16994">
      <w:pPr>
        <w:pBdr>
          <w:top w:val="nil"/>
          <w:left w:val="nil"/>
          <w:bottom w:val="nil"/>
          <w:right w:val="nil"/>
          <w:between w:val="nil"/>
        </w:pBdr>
        <w:jc w:val="both"/>
        <w:rPr>
          <w:rFonts w:ascii="Arial" w:eastAsia="Arial" w:hAnsi="Arial" w:cs="Arial"/>
          <w:sz w:val="20"/>
          <w:szCs w:val="20"/>
        </w:rPr>
      </w:pPr>
    </w:p>
    <w:p w:rsidR="00F16994" w:rsidRDefault="00FF77C6">
      <w:pPr>
        <w:spacing w:line="280" w:lineRule="auto"/>
        <w:jc w:val="both"/>
        <w:rPr>
          <w:rFonts w:ascii="Arial" w:eastAsia="Arial" w:hAnsi="Arial" w:cs="Arial"/>
          <w:b/>
          <w:bCs/>
          <w:sz w:val="20"/>
          <w:szCs w:val="20"/>
          <w:u w:val="single"/>
        </w:rPr>
      </w:pPr>
      <w:r>
        <w:rPr>
          <w:rFonts w:ascii="Arial" w:eastAsia="Arial" w:hAnsi="Arial" w:cs="Arial"/>
          <w:b/>
          <w:bCs/>
          <w:sz w:val="20"/>
          <w:szCs w:val="20"/>
        </w:rPr>
        <w:t>ARTICLE 3 : DURÉE ET ORGANISATION DU TEMPS DE TRAVAIL</w:t>
      </w:r>
      <w:r>
        <w:rPr>
          <w:rFonts w:ascii="Arial" w:eastAsia="Arial" w:hAnsi="Arial" w:cs="Arial"/>
          <w:b/>
          <w:bCs/>
          <w:sz w:val="20"/>
          <w:szCs w:val="20"/>
          <w:u w:val="single"/>
        </w:rPr>
        <w:t xml:space="preserve"> </w:t>
      </w:r>
    </w:p>
    <w:p w:rsidR="00F16994" w:rsidRDefault="00F16994">
      <w:pPr>
        <w:tabs>
          <w:tab w:val="left" w:pos="5040"/>
        </w:tabs>
        <w:jc w:val="both"/>
        <w:rPr>
          <w:rFonts w:ascii="Arial" w:eastAsia="Arial" w:hAnsi="Arial" w:cs="Arial"/>
          <w:sz w:val="20"/>
          <w:szCs w:val="20"/>
        </w:rPr>
      </w:pP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rPr>
        <w:t>L’organisation et la durée du temps de travail sont notamment régies par l’avenant à l’accord de Aperam Alloys Rescal sur le temps de travail du 31 janvier 2025.</w:t>
      </w:r>
    </w:p>
    <w:p w:rsidR="00F16994" w:rsidRDefault="00F16994">
      <w:pPr>
        <w:spacing w:line="280" w:lineRule="auto"/>
        <w:jc w:val="both"/>
        <w:rPr>
          <w:rFonts w:ascii="Arial" w:eastAsia="Arial" w:hAnsi="Arial" w:cs="Arial"/>
          <w:b/>
          <w:bCs/>
          <w:sz w:val="20"/>
          <w:szCs w:val="20"/>
        </w:rPr>
      </w:pPr>
    </w:p>
    <w:p w:rsidR="00F16994" w:rsidRDefault="00F16994">
      <w:pPr>
        <w:spacing w:line="280" w:lineRule="auto"/>
        <w:jc w:val="both"/>
        <w:rPr>
          <w:rFonts w:ascii="Arial" w:eastAsia="Arial" w:hAnsi="Arial" w:cs="Arial"/>
          <w:b/>
          <w:bCs/>
          <w:sz w:val="20"/>
          <w:szCs w:val="20"/>
        </w:rPr>
      </w:pPr>
    </w:p>
    <w:p w:rsidR="00F16994" w:rsidRDefault="00F16994">
      <w:pPr>
        <w:spacing w:line="280" w:lineRule="auto"/>
        <w:jc w:val="both"/>
        <w:rPr>
          <w:rFonts w:ascii="Arial" w:eastAsia="Arial" w:hAnsi="Arial" w:cs="Arial"/>
          <w:b/>
          <w:bCs/>
          <w:sz w:val="6"/>
          <w:szCs w:val="6"/>
        </w:rPr>
      </w:pPr>
    </w:p>
    <w:p w:rsidR="00F16994" w:rsidRDefault="00FF77C6">
      <w:pPr>
        <w:spacing w:line="280" w:lineRule="auto"/>
        <w:jc w:val="both"/>
        <w:rPr>
          <w:rFonts w:ascii="Arial" w:eastAsia="Arial" w:hAnsi="Arial" w:cs="Arial"/>
          <w:b/>
          <w:bCs/>
          <w:sz w:val="20"/>
          <w:szCs w:val="20"/>
          <w:u w:val="single"/>
        </w:rPr>
      </w:pPr>
      <w:r>
        <w:rPr>
          <w:rFonts w:ascii="Arial" w:eastAsia="Arial" w:hAnsi="Arial" w:cs="Arial"/>
          <w:b/>
          <w:bCs/>
          <w:sz w:val="20"/>
          <w:szCs w:val="20"/>
        </w:rPr>
        <w:t>ARTICLE 4 : DISPOSITIONS RELATIVES À L'INTÉRESSEMENT, LA PARTICIPATION ET L'ÉPARGNE SALARIA</w:t>
      </w:r>
      <w:r>
        <w:rPr>
          <w:rFonts w:ascii="Arial" w:eastAsia="Arial" w:hAnsi="Arial" w:cs="Arial"/>
          <w:b/>
          <w:bCs/>
          <w:sz w:val="20"/>
          <w:szCs w:val="20"/>
        </w:rPr>
        <w:t>LE</w:t>
      </w:r>
    </w:p>
    <w:p w:rsidR="00F16994" w:rsidRDefault="00F16994">
      <w:pPr>
        <w:jc w:val="both"/>
        <w:rPr>
          <w:rFonts w:ascii="Arial" w:eastAsia="Arial" w:hAnsi="Arial" w:cs="Arial"/>
          <w:strike/>
          <w:sz w:val="20"/>
          <w:szCs w:val="20"/>
        </w:rPr>
      </w:pP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rPr>
        <w:t xml:space="preserve">Les dispositions relatives à la participation et l’épargne salariale sont notamment régies par l’accord de Participation signé le 10 octobre 1992 au niveau de la Société Aperam Alloys Rescal et l’accord d’intéressement triennal du 27 février 2026 pour </w:t>
      </w:r>
      <w:r>
        <w:rPr>
          <w:rFonts w:ascii="Arial" w:eastAsia="Arial" w:hAnsi="Arial" w:cs="Arial"/>
          <w:sz w:val="20"/>
          <w:szCs w:val="20"/>
        </w:rPr>
        <w:t>les années 2026; 2027 et 2028.</w:t>
      </w:r>
    </w:p>
    <w:p w:rsidR="00F16994" w:rsidRDefault="00F16994">
      <w:pPr>
        <w:pBdr>
          <w:top w:val="nil"/>
          <w:left w:val="nil"/>
          <w:bottom w:val="nil"/>
          <w:right w:val="nil"/>
          <w:between w:val="nil"/>
        </w:pBdr>
        <w:jc w:val="both"/>
        <w:rPr>
          <w:rFonts w:ascii="Arial" w:eastAsia="Arial" w:hAnsi="Arial" w:cs="Arial"/>
          <w:sz w:val="20"/>
          <w:szCs w:val="20"/>
        </w:rPr>
      </w:pPr>
    </w:p>
    <w:p w:rsidR="00F16994" w:rsidRDefault="00F16994">
      <w:pPr>
        <w:pBdr>
          <w:top w:val="nil"/>
          <w:left w:val="nil"/>
          <w:bottom w:val="nil"/>
          <w:right w:val="nil"/>
          <w:between w:val="nil"/>
        </w:pBdr>
        <w:jc w:val="both"/>
        <w:rPr>
          <w:rFonts w:ascii="Arial" w:eastAsia="Arial" w:hAnsi="Arial" w:cs="Arial"/>
          <w:sz w:val="20"/>
          <w:szCs w:val="20"/>
        </w:rPr>
      </w:pP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rPr>
        <w:t>Par ailleurs, les parties ont convenu d’un supplément d’intéressement à hauteur de 350 euros bruts au titre de l’exercice clos au 31/12/2025 pour l’ensemble des salariés.</w:t>
      </w:r>
    </w:p>
    <w:p w:rsidR="00F16994" w:rsidRDefault="00F16994">
      <w:pPr>
        <w:pBdr>
          <w:top w:val="nil"/>
          <w:left w:val="nil"/>
          <w:bottom w:val="nil"/>
          <w:right w:val="nil"/>
          <w:between w:val="nil"/>
        </w:pBdr>
        <w:jc w:val="both"/>
        <w:rPr>
          <w:rFonts w:ascii="Arial" w:eastAsia="Arial" w:hAnsi="Arial" w:cs="Arial"/>
          <w:color w:val="FF0000"/>
          <w:sz w:val="20"/>
          <w:szCs w:val="20"/>
          <w:highlight w:val="white"/>
        </w:rPr>
      </w:pPr>
    </w:p>
    <w:p w:rsidR="00F16994" w:rsidRDefault="00FF77C6">
      <w:pPr>
        <w:pBdr>
          <w:top w:val="nil"/>
          <w:left w:val="nil"/>
          <w:bottom w:val="nil"/>
          <w:right w:val="nil"/>
          <w:between w:val="nil"/>
        </w:pBdr>
        <w:jc w:val="both"/>
        <w:rPr>
          <w:rFonts w:ascii="Arial" w:eastAsia="Arial" w:hAnsi="Arial" w:cs="Arial"/>
          <w:color w:val="FF0000"/>
          <w:sz w:val="20"/>
          <w:szCs w:val="20"/>
          <w:highlight w:val="white"/>
        </w:rPr>
      </w:pPr>
      <w:r>
        <w:rPr>
          <w:rFonts w:ascii="Arial" w:eastAsia="Arial" w:hAnsi="Arial" w:cs="Arial"/>
          <w:color w:val="FF0000"/>
          <w:sz w:val="20"/>
          <w:szCs w:val="20"/>
          <w:highlight w:val="white"/>
        </w:rPr>
        <w:tab/>
      </w:r>
      <w:r>
        <w:rPr>
          <w:rFonts w:ascii="Arial" w:eastAsia="Arial" w:hAnsi="Arial" w:cs="Arial"/>
          <w:color w:val="FF0000"/>
          <w:sz w:val="20"/>
          <w:szCs w:val="20"/>
          <w:highlight w:val="white"/>
        </w:rPr>
        <w:tab/>
      </w:r>
      <w:r>
        <w:rPr>
          <w:rFonts w:ascii="Arial" w:eastAsia="Arial" w:hAnsi="Arial" w:cs="Arial"/>
          <w:color w:val="FF0000"/>
          <w:sz w:val="20"/>
          <w:szCs w:val="20"/>
          <w:highlight w:val="white"/>
        </w:rPr>
        <w:tab/>
      </w:r>
      <w:r>
        <w:rPr>
          <w:rFonts w:ascii="Arial" w:eastAsia="Arial" w:hAnsi="Arial" w:cs="Arial"/>
          <w:color w:val="FF0000"/>
          <w:sz w:val="20"/>
          <w:szCs w:val="20"/>
          <w:highlight w:val="white"/>
        </w:rPr>
        <w:tab/>
      </w:r>
      <w:r>
        <w:rPr>
          <w:rFonts w:ascii="Arial" w:eastAsia="Arial" w:hAnsi="Arial" w:cs="Arial"/>
          <w:color w:val="FF0000"/>
          <w:sz w:val="20"/>
          <w:szCs w:val="20"/>
          <w:highlight w:val="white"/>
        </w:rPr>
        <w:tab/>
      </w:r>
      <w:r>
        <w:rPr>
          <w:rFonts w:ascii="Arial" w:eastAsia="Arial" w:hAnsi="Arial" w:cs="Arial"/>
          <w:color w:val="FF0000"/>
          <w:sz w:val="20"/>
          <w:szCs w:val="20"/>
          <w:highlight w:val="white"/>
        </w:rPr>
        <w:tab/>
      </w:r>
      <w:r>
        <w:rPr>
          <w:rFonts w:ascii="Arial" w:eastAsia="Arial" w:hAnsi="Arial" w:cs="Arial"/>
          <w:color w:val="FF0000"/>
          <w:sz w:val="20"/>
          <w:szCs w:val="20"/>
          <w:highlight w:val="white"/>
        </w:rPr>
        <w:tab/>
      </w:r>
      <w:r>
        <w:rPr>
          <w:rFonts w:ascii="Arial" w:eastAsia="Arial" w:hAnsi="Arial" w:cs="Arial"/>
          <w:color w:val="FF0000"/>
          <w:sz w:val="20"/>
          <w:szCs w:val="20"/>
          <w:highlight w:val="white"/>
        </w:rPr>
        <w:tab/>
      </w:r>
      <w:r>
        <w:rPr>
          <w:rFonts w:ascii="Arial" w:eastAsia="Arial" w:hAnsi="Arial" w:cs="Arial"/>
          <w:color w:val="FF0000"/>
          <w:sz w:val="20"/>
          <w:szCs w:val="20"/>
          <w:highlight w:val="white"/>
        </w:rPr>
        <w:tab/>
      </w:r>
      <w:r>
        <w:rPr>
          <w:rFonts w:ascii="Arial" w:eastAsia="Arial" w:hAnsi="Arial" w:cs="Arial"/>
          <w:color w:val="FF0000"/>
          <w:sz w:val="20"/>
          <w:szCs w:val="20"/>
          <w:highlight w:val="white"/>
        </w:rPr>
        <w:tab/>
      </w:r>
      <w:r>
        <w:rPr>
          <w:rFonts w:ascii="Arial" w:eastAsia="Arial" w:hAnsi="Arial" w:cs="Arial"/>
          <w:color w:val="FF0000"/>
          <w:sz w:val="20"/>
          <w:szCs w:val="20"/>
          <w:highlight w:val="white"/>
        </w:rPr>
        <w:tab/>
      </w:r>
      <w:r>
        <w:rPr>
          <w:rFonts w:ascii="Arial" w:eastAsia="Arial" w:hAnsi="Arial" w:cs="Arial"/>
          <w:color w:val="FF0000"/>
          <w:sz w:val="20"/>
          <w:szCs w:val="20"/>
          <w:highlight w:val="white"/>
        </w:rPr>
        <w:tab/>
      </w:r>
    </w:p>
    <w:p w:rsidR="00F16994" w:rsidRDefault="00F16994">
      <w:pPr>
        <w:pBdr>
          <w:top w:val="nil"/>
          <w:left w:val="nil"/>
          <w:bottom w:val="nil"/>
          <w:right w:val="nil"/>
          <w:between w:val="nil"/>
        </w:pBdr>
        <w:jc w:val="both"/>
        <w:rPr>
          <w:rFonts w:ascii="Arial" w:eastAsia="Arial" w:hAnsi="Arial" w:cs="Arial"/>
          <w:color w:val="FF0000"/>
          <w:sz w:val="20"/>
          <w:szCs w:val="20"/>
          <w:highlight w:val="white"/>
        </w:rPr>
      </w:pPr>
    </w:p>
    <w:p w:rsidR="00F16994" w:rsidRDefault="00F16994">
      <w:pPr>
        <w:pBdr>
          <w:top w:val="nil"/>
          <w:left w:val="nil"/>
          <w:bottom w:val="nil"/>
          <w:right w:val="nil"/>
          <w:between w:val="nil"/>
        </w:pBdr>
        <w:jc w:val="both"/>
        <w:rPr>
          <w:rFonts w:ascii="Arial" w:eastAsia="Arial" w:hAnsi="Arial" w:cs="Arial"/>
          <w:color w:val="FF0000"/>
          <w:sz w:val="20"/>
          <w:szCs w:val="20"/>
          <w:highlight w:val="white"/>
        </w:rPr>
      </w:pPr>
    </w:p>
    <w:p w:rsidR="00F16994" w:rsidRDefault="00F16994">
      <w:pPr>
        <w:pBdr>
          <w:top w:val="nil"/>
          <w:left w:val="nil"/>
          <w:bottom w:val="nil"/>
          <w:right w:val="nil"/>
          <w:between w:val="nil"/>
        </w:pBdr>
        <w:jc w:val="both"/>
        <w:rPr>
          <w:rFonts w:ascii="Arial" w:eastAsia="Arial" w:hAnsi="Arial" w:cs="Arial"/>
          <w:color w:val="FF0000"/>
          <w:sz w:val="20"/>
          <w:szCs w:val="20"/>
          <w:highlight w:val="white"/>
        </w:rPr>
      </w:pPr>
    </w:p>
    <w:p w:rsidR="00F16994" w:rsidRDefault="00FF77C6">
      <w:pPr>
        <w:spacing w:line="280" w:lineRule="auto"/>
        <w:jc w:val="both"/>
        <w:rPr>
          <w:rFonts w:ascii="Arial" w:eastAsia="Arial" w:hAnsi="Arial" w:cs="Arial"/>
          <w:strike/>
          <w:color w:val="FF0000"/>
          <w:sz w:val="20"/>
          <w:szCs w:val="20"/>
        </w:rPr>
      </w:pPr>
      <w:r>
        <w:rPr>
          <w:rFonts w:ascii="Arial" w:eastAsia="Arial" w:hAnsi="Arial" w:cs="Arial"/>
          <w:b/>
          <w:bCs/>
          <w:sz w:val="20"/>
          <w:szCs w:val="20"/>
        </w:rPr>
        <w:t xml:space="preserve">ARTICLE 5 : QUALITÉ DE VIE AU TRAVAIL EGALITÉ FEMMES/HOMMES, et GESTION DES EMPLOIS ET DES PARCOURS PROFESSIONNELS </w:t>
      </w:r>
    </w:p>
    <w:p w:rsidR="00F16994" w:rsidRDefault="00F16994">
      <w:pPr>
        <w:jc w:val="both"/>
        <w:rPr>
          <w:rFonts w:ascii="Arial" w:eastAsia="Arial" w:hAnsi="Arial" w:cs="Arial"/>
          <w:sz w:val="20"/>
          <w:szCs w:val="20"/>
        </w:rPr>
      </w:pPr>
    </w:p>
    <w:p w:rsidR="00F16994" w:rsidRDefault="00FF77C6">
      <w:pPr>
        <w:spacing w:line="280" w:lineRule="auto"/>
        <w:jc w:val="both"/>
        <w:rPr>
          <w:rFonts w:ascii="Arial" w:eastAsia="Arial" w:hAnsi="Arial" w:cs="Arial"/>
          <w:sz w:val="20"/>
          <w:szCs w:val="20"/>
          <w:highlight w:val="white"/>
        </w:rPr>
      </w:pPr>
      <w:r>
        <w:rPr>
          <w:rFonts w:ascii="Arial" w:eastAsia="Arial" w:hAnsi="Arial" w:cs="Arial"/>
          <w:sz w:val="20"/>
          <w:szCs w:val="20"/>
          <w:highlight w:val="white"/>
        </w:rPr>
        <w:t xml:space="preserve">Conformément aux dispositions légales, un avenant de prolongation à l’accord relatif à la Qualité de vie et </w:t>
      </w:r>
      <w:r>
        <w:rPr>
          <w:rFonts w:ascii="Arial" w:eastAsia="Arial" w:hAnsi="Arial" w:cs="Arial"/>
          <w:sz w:val="20"/>
          <w:szCs w:val="20"/>
          <w:highlight w:val="white"/>
        </w:rPr>
        <w:lastRenderedPageBreak/>
        <w:t>conditions au travail au niveau Aperam en France a été signé le 6 novembre 2025.</w:t>
      </w:r>
    </w:p>
    <w:p w:rsidR="00F16994" w:rsidRDefault="00FF77C6">
      <w:pPr>
        <w:jc w:val="both"/>
        <w:rPr>
          <w:rFonts w:ascii="Arial" w:eastAsia="Arial" w:hAnsi="Arial" w:cs="Arial"/>
          <w:sz w:val="20"/>
          <w:szCs w:val="20"/>
          <w:highlight w:val="white"/>
        </w:rPr>
      </w:pPr>
      <w:r>
        <w:rPr>
          <w:rFonts w:ascii="Arial" w:eastAsia="Arial" w:hAnsi="Arial" w:cs="Arial"/>
          <w:sz w:val="20"/>
          <w:szCs w:val="20"/>
          <w:highlight w:val="white"/>
        </w:rPr>
        <w:t>Par ailleurs, l’accord relatif à l’égalité professionnelle entre le</w:t>
      </w:r>
      <w:r>
        <w:rPr>
          <w:rFonts w:ascii="Arial" w:eastAsia="Arial" w:hAnsi="Arial" w:cs="Arial"/>
          <w:sz w:val="20"/>
          <w:szCs w:val="20"/>
          <w:highlight w:val="white"/>
        </w:rPr>
        <w:t>s femmes et les hommes au niveau Aperam en France a été signé le 15 décembre 2022. Il porte notamment sur les thèmes suivants :</w:t>
      </w:r>
    </w:p>
    <w:p w:rsidR="00F16994" w:rsidRDefault="00FF77C6">
      <w:pPr>
        <w:numPr>
          <w:ilvl w:val="0"/>
          <w:numId w:val="1"/>
        </w:numPr>
        <w:spacing w:before="120"/>
        <w:jc w:val="both"/>
        <w:rPr>
          <w:rFonts w:ascii="Arial" w:eastAsia="Arial" w:hAnsi="Arial" w:cs="Arial"/>
        </w:rPr>
      </w:pPr>
      <w:r>
        <w:rPr>
          <w:rFonts w:ascii="Arial" w:eastAsia="Arial" w:hAnsi="Arial" w:cs="Arial"/>
          <w:sz w:val="20"/>
          <w:szCs w:val="20"/>
          <w:highlight w:val="white"/>
        </w:rPr>
        <w:t xml:space="preserve">La lutte contre les stéréotypes </w:t>
      </w:r>
    </w:p>
    <w:p w:rsidR="00F16994" w:rsidRDefault="00FF77C6">
      <w:pPr>
        <w:numPr>
          <w:ilvl w:val="0"/>
          <w:numId w:val="1"/>
        </w:numPr>
        <w:jc w:val="both"/>
        <w:rPr>
          <w:rFonts w:ascii="Arial" w:eastAsia="Arial" w:hAnsi="Arial" w:cs="Arial"/>
        </w:rPr>
      </w:pPr>
      <w:r>
        <w:rPr>
          <w:rFonts w:ascii="Arial" w:eastAsia="Arial" w:hAnsi="Arial" w:cs="Arial"/>
          <w:sz w:val="20"/>
          <w:szCs w:val="20"/>
          <w:highlight w:val="white"/>
        </w:rPr>
        <w:t>L’égalité de recrutement</w:t>
      </w:r>
    </w:p>
    <w:p w:rsidR="00F16994" w:rsidRDefault="00FF77C6">
      <w:pPr>
        <w:numPr>
          <w:ilvl w:val="0"/>
          <w:numId w:val="1"/>
        </w:numPr>
        <w:jc w:val="both"/>
        <w:rPr>
          <w:rFonts w:ascii="Arial" w:eastAsia="Arial" w:hAnsi="Arial" w:cs="Arial"/>
        </w:rPr>
      </w:pPr>
      <w:r>
        <w:rPr>
          <w:rFonts w:ascii="Arial" w:eastAsia="Arial" w:hAnsi="Arial" w:cs="Arial"/>
          <w:sz w:val="20"/>
          <w:szCs w:val="20"/>
          <w:highlight w:val="white"/>
        </w:rPr>
        <w:t>L’accès à la formation</w:t>
      </w:r>
    </w:p>
    <w:p w:rsidR="00F16994" w:rsidRDefault="00FF77C6">
      <w:pPr>
        <w:numPr>
          <w:ilvl w:val="0"/>
          <w:numId w:val="1"/>
        </w:numPr>
        <w:jc w:val="both"/>
        <w:rPr>
          <w:rFonts w:ascii="Arial" w:eastAsia="Arial" w:hAnsi="Arial" w:cs="Arial"/>
        </w:rPr>
      </w:pPr>
      <w:r>
        <w:rPr>
          <w:rFonts w:ascii="Arial" w:eastAsia="Arial" w:hAnsi="Arial" w:cs="Arial"/>
          <w:sz w:val="20"/>
          <w:szCs w:val="20"/>
          <w:highlight w:val="white"/>
        </w:rPr>
        <w:t>L’égalité salariale et l’évolution professionne</w:t>
      </w:r>
      <w:r>
        <w:rPr>
          <w:rFonts w:ascii="Arial" w:eastAsia="Arial" w:hAnsi="Arial" w:cs="Arial"/>
          <w:sz w:val="20"/>
          <w:szCs w:val="20"/>
          <w:highlight w:val="white"/>
        </w:rPr>
        <w:t>lle</w:t>
      </w:r>
    </w:p>
    <w:p w:rsidR="00F16994" w:rsidRDefault="00FF77C6">
      <w:pPr>
        <w:numPr>
          <w:ilvl w:val="0"/>
          <w:numId w:val="1"/>
        </w:numPr>
        <w:jc w:val="both"/>
        <w:rPr>
          <w:rFonts w:ascii="Arial" w:eastAsia="Arial" w:hAnsi="Arial" w:cs="Arial"/>
        </w:rPr>
      </w:pPr>
      <w:r>
        <w:rPr>
          <w:rFonts w:ascii="Arial" w:eastAsia="Arial" w:hAnsi="Arial" w:cs="Arial"/>
          <w:sz w:val="20"/>
          <w:szCs w:val="20"/>
          <w:highlight w:val="white"/>
        </w:rPr>
        <w:t xml:space="preserve">L’équilibre dans l’articulation entre la vie professionnelle et les responsabilités familiales </w:t>
      </w:r>
    </w:p>
    <w:p w:rsidR="00F16994" w:rsidRDefault="00FF77C6">
      <w:pPr>
        <w:numPr>
          <w:ilvl w:val="0"/>
          <w:numId w:val="1"/>
        </w:numPr>
        <w:jc w:val="both"/>
        <w:rPr>
          <w:rFonts w:ascii="Arial" w:eastAsia="Arial" w:hAnsi="Arial" w:cs="Arial"/>
        </w:rPr>
      </w:pPr>
      <w:r>
        <w:rPr>
          <w:rFonts w:ascii="Arial" w:eastAsia="Arial" w:hAnsi="Arial" w:cs="Arial"/>
          <w:sz w:val="20"/>
          <w:szCs w:val="20"/>
          <w:highlight w:val="white"/>
        </w:rPr>
        <w:t>La promotion de l’égalité des chances</w:t>
      </w:r>
    </w:p>
    <w:p w:rsidR="00F16994" w:rsidRDefault="00FF77C6">
      <w:pPr>
        <w:numPr>
          <w:ilvl w:val="0"/>
          <w:numId w:val="1"/>
        </w:numPr>
        <w:jc w:val="both"/>
        <w:rPr>
          <w:rFonts w:ascii="Arial" w:eastAsia="Arial" w:hAnsi="Arial" w:cs="Arial"/>
        </w:rPr>
      </w:pPr>
      <w:r>
        <w:rPr>
          <w:rFonts w:ascii="Arial" w:eastAsia="Arial" w:hAnsi="Arial" w:cs="Arial"/>
          <w:sz w:val="20"/>
          <w:szCs w:val="20"/>
          <w:highlight w:val="white"/>
        </w:rPr>
        <w:t>Les situations de handicap ou de restrictions médicales</w:t>
      </w:r>
    </w:p>
    <w:p w:rsidR="00F16994" w:rsidRDefault="00F16994">
      <w:pPr>
        <w:jc w:val="both"/>
        <w:rPr>
          <w:rFonts w:ascii="Arial" w:eastAsia="Arial" w:hAnsi="Arial" w:cs="Arial"/>
          <w:sz w:val="20"/>
          <w:szCs w:val="20"/>
        </w:rPr>
      </w:pPr>
    </w:p>
    <w:p w:rsidR="00F16994" w:rsidRDefault="00FF77C6">
      <w:pPr>
        <w:jc w:val="both"/>
        <w:rPr>
          <w:rFonts w:ascii="Arial" w:eastAsia="Arial" w:hAnsi="Arial" w:cs="Arial"/>
          <w:sz w:val="20"/>
          <w:szCs w:val="20"/>
        </w:rPr>
      </w:pPr>
      <w:r>
        <w:rPr>
          <w:rFonts w:ascii="Arial" w:eastAsia="Arial" w:hAnsi="Arial" w:cs="Arial"/>
          <w:sz w:val="20"/>
          <w:szCs w:val="20"/>
        </w:rPr>
        <w:t>Lors des négociations sur l’accord relatif à l’égalité profes</w:t>
      </w:r>
      <w:r>
        <w:rPr>
          <w:rFonts w:ascii="Arial" w:eastAsia="Arial" w:hAnsi="Arial" w:cs="Arial"/>
          <w:sz w:val="20"/>
          <w:szCs w:val="20"/>
        </w:rPr>
        <w:t>sionnelle, une analyse comparée de la situation des femmes et des hommes a été faite au sein d’Aperam France associée à des objectifs de progression, des actions et des indicateurs chiffrés.</w:t>
      </w:r>
    </w:p>
    <w:p w:rsidR="00F16994" w:rsidRDefault="00F16994">
      <w:pPr>
        <w:spacing w:line="280" w:lineRule="auto"/>
        <w:jc w:val="both"/>
        <w:rPr>
          <w:rFonts w:ascii="Arial" w:eastAsia="Arial" w:hAnsi="Arial" w:cs="Arial"/>
          <w:b/>
          <w:bCs/>
          <w:sz w:val="20"/>
          <w:szCs w:val="20"/>
        </w:rPr>
      </w:pPr>
    </w:p>
    <w:p w:rsidR="00F16994" w:rsidRDefault="00FF77C6">
      <w:pPr>
        <w:spacing w:line="280" w:lineRule="auto"/>
        <w:jc w:val="both"/>
        <w:rPr>
          <w:rFonts w:ascii="Arial" w:eastAsia="Arial" w:hAnsi="Arial" w:cs="Arial"/>
          <w:b/>
          <w:bCs/>
          <w:sz w:val="20"/>
          <w:szCs w:val="20"/>
          <w:u w:val="single"/>
        </w:rPr>
      </w:pPr>
      <w:r>
        <w:rPr>
          <w:rFonts w:ascii="Arial" w:eastAsia="Arial" w:hAnsi="Arial" w:cs="Arial"/>
          <w:b/>
          <w:bCs/>
          <w:sz w:val="20"/>
          <w:szCs w:val="20"/>
        </w:rPr>
        <w:t>ARTICLE 6 : DURÉE ET CHAMP D’APPLICATION</w:t>
      </w:r>
    </w:p>
    <w:p w:rsidR="00F16994" w:rsidRDefault="00F16994">
      <w:pPr>
        <w:tabs>
          <w:tab w:val="left" w:pos="5040"/>
        </w:tabs>
        <w:jc w:val="both"/>
        <w:rPr>
          <w:rFonts w:ascii="Arial" w:eastAsia="Arial" w:hAnsi="Arial" w:cs="Arial"/>
          <w:sz w:val="20"/>
          <w:szCs w:val="20"/>
        </w:rPr>
      </w:pP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rPr>
        <w:t>Les mesures du présent accord portent sur l’année 2026, elles prennent effet à compter du 1er janvier 2026 et s’appliqueront jusqu’au 31 décembre 2026. À cette date, cet accord ne se transformera pas en accord à durée indéterminée.</w:t>
      </w:r>
    </w:p>
    <w:p w:rsidR="00F16994" w:rsidRDefault="00F16994">
      <w:pPr>
        <w:pBdr>
          <w:top w:val="nil"/>
          <w:left w:val="nil"/>
          <w:bottom w:val="nil"/>
          <w:right w:val="nil"/>
          <w:between w:val="nil"/>
        </w:pBdr>
        <w:jc w:val="both"/>
        <w:rPr>
          <w:rFonts w:ascii="Arial" w:eastAsia="Arial" w:hAnsi="Arial" w:cs="Arial"/>
          <w:sz w:val="20"/>
          <w:szCs w:val="20"/>
        </w:rPr>
      </w:pPr>
    </w:p>
    <w:p w:rsidR="00F16994" w:rsidRDefault="00FF77C6">
      <w:pPr>
        <w:spacing w:line="280" w:lineRule="auto"/>
        <w:jc w:val="both"/>
        <w:rPr>
          <w:rFonts w:ascii="Arial" w:eastAsia="Arial" w:hAnsi="Arial" w:cs="Arial"/>
          <w:b/>
          <w:bCs/>
          <w:sz w:val="20"/>
          <w:szCs w:val="20"/>
          <w:u w:val="single"/>
        </w:rPr>
      </w:pPr>
      <w:r>
        <w:rPr>
          <w:rFonts w:ascii="Arial" w:eastAsia="Arial" w:hAnsi="Arial" w:cs="Arial"/>
          <w:b/>
          <w:bCs/>
          <w:sz w:val="20"/>
          <w:szCs w:val="20"/>
        </w:rPr>
        <w:t xml:space="preserve">ARTICLE 7 : FORMALITÉS </w:t>
      </w:r>
      <w:r>
        <w:rPr>
          <w:rFonts w:ascii="Arial" w:eastAsia="Arial" w:hAnsi="Arial" w:cs="Arial"/>
          <w:b/>
          <w:bCs/>
          <w:sz w:val="20"/>
          <w:szCs w:val="20"/>
        </w:rPr>
        <w:t>DE DÉPÔT</w:t>
      </w:r>
    </w:p>
    <w:p w:rsidR="00F16994" w:rsidRDefault="00F16994">
      <w:pPr>
        <w:widowControl/>
        <w:tabs>
          <w:tab w:val="left" w:pos="5670"/>
        </w:tabs>
        <w:spacing w:line="288" w:lineRule="auto"/>
        <w:jc w:val="both"/>
        <w:rPr>
          <w:rFonts w:ascii="Arial" w:eastAsia="Arial" w:hAnsi="Arial" w:cs="Arial"/>
          <w:sz w:val="20"/>
          <w:szCs w:val="20"/>
        </w:rPr>
      </w:pP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rPr>
        <w:t>Le texte du présent accord sera notifié à chacune des organisations syndicales représentatives et sera déposé conformément aux dispositions légales.</w:t>
      </w:r>
    </w:p>
    <w:p w:rsidR="00F16994" w:rsidRDefault="00F16994">
      <w:pPr>
        <w:pBdr>
          <w:top w:val="nil"/>
          <w:left w:val="nil"/>
          <w:bottom w:val="nil"/>
          <w:right w:val="nil"/>
          <w:between w:val="nil"/>
        </w:pBdr>
        <w:jc w:val="both"/>
        <w:rPr>
          <w:rFonts w:ascii="Arial" w:eastAsia="Arial" w:hAnsi="Arial" w:cs="Arial"/>
          <w:sz w:val="20"/>
          <w:szCs w:val="20"/>
        </w:rPr>
      </w:pPr>
    </w:p>
    <w:p w:rsidR="00F16994" w:rsidRDefault="00F16994">
      <w:pPr>
        <w:pBdr>
          <w:top w:val="nil"/>
          <w:left w:val="nil"/>
          <w:bottom w:val="nil"/>
          <w:right w:val="nil"/>
          <w:between w:val="nil"/>
        </w:pBdr>
        <w:jc w:val="both"/>
        <w:rPr>
          <w:rFonts w:ascii="Arial" w:eastAsia="Arial" w:hAnsi="Arial" w:cs="Arial"/>
          <w:sz w:val="12"/>
          <w:szCs w:val="12"/>
        </w:rPr>
      </w:pPr>
    </w:p>
    <w:p w:rsidR="00F16994" w:rsidRDefault="00FF77C6">
      <w:pPr>
        <w:pBdr>
          <w:top w:val="nil"/>
          <w:left w:val="nil"/>
          <w:bottom w:val="nil"/>
          <w:right w:val="nil"/>
          <w:between w:val="nil"/>
        </w:pBdr>
        <w:jc w:val="both"/>
        <w:rPr>
          <w:rFonts w:ascii="Arial" w:eastAsia="Arial" w:hAnsi="Arial" w:cs="Arial"/>
          <w:sz w:val="20"/>
          <w:szCs w:val="20"/>
        </w:rPr>
      </w:pPr>
      <w:r>
        <w:rPr>
          <w:rFonts w:ascii="Arial" w:eastAsia="Arial" w:hAnsi="Arial" w:cs="Arial"/>
          <w:sz w:val="20"/>
          <w:szCs w:val="20"/>
        </w:rPr>
        <w:t>Fait à Epône,  le 2 mars 2026</w:t>
      </w:r>
    </w:p>
    <w:p w:rsidR="00F16994" w:rsidRDefault="00F16994">
      <w:pPr>
        <w:pBdr>
          <w:top w:val="nil"/>
          <w:left w:val="nil"/>
          <w:bottom w:val="nil"/>
          <w:right w:val="nil"/>
          <w:between w:val="nil"/>
        </w:pBdr>
        <w:jc w:val="both"/>
        <w:rPr>
          <w:rFonts w:ascii="Arial" w:eastAsia="Arial" w:hAnsi="Arial" w:cs="Arial"/>
          <w:sz w:val="20"/>
          <w:szCs w:val="20"/>
        </w:rPr>
      </w:pPr>
    </w:p>
    <w:p w:rsidR="00F16994" w:rsidRDefault="00F16994">
      <w:pPr>
        <w:pBdr>
          <w:top w:val="nil"/>
          <w:left w:val="nil"/>
          <w:bottom w:val="nil"/>
          <w:right w:val="nil"/>
          <w:between w:val="nil"/>
        </w:pBdr>
        <w:jc w:val="both"/>
        <w:rPr>
          <w:rFonts w:ascii="Arial" w:eastAsia="Arial" w:hAnsi="Arial" w:cs="Arial"/>
          <w:sz w:val="20"/>
          <w:szCs w:val="20"/>
        </w:rPr>
      </w:pPr>
    </w:p>
    <w:p w:rsidR="00F16994" w:rsidRDefault="00FF77C6">
      <w:pPr>
        <w:keepLines/>
        <w:spacing w:line="312" w:lineRule="auto"/>
        <w:jc w:val="both"/>
        <w:rPr>
          <w:rFonts w:ascii="Arial" w:eastAsia="Arial" w:hAnsi="Arial" w:cs="Arial"/>
          <w:b/>
          <w:bCs/>
          <w:sz w:val="22"/>
          <w:szCs w:val="22"/>
        </w:rPr>
      </w:pPr>
      <w:r>
        <w:rPr>
          <w:rFonts w:ascii="Arial" w:eastAsia="Arial" w:hAnsi="Arial" w:cs="Arial"/>
          <w:b/>
          <w:bCs/>
          <w:sz w:val="22"/>
          <w:szCs w:val="22"/>
        </w:rPr>
        <w:t>Pour les organisations syndicales</w:t>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t>Pour la Direction</w:t>
      </w:r>
    </w:p>
    <w:p w:rsidR="00F16994" w:rsidRDefault="00FF77C6">
      <w:pPr>
        <w:keepLines/>
        <w:spacing w:line="312" w:lineRule="auto"/>
        <w:jc w:val="both"/>
        <w:rPr>
          <w:rFonts w:ascii="Arial" w:eastAsia="Arial" w:hAnsi="Arial" w:cs="Arial"/>
          <w:b/>
          <w:bCs/>
          <w:sz w:val="22"/>
          <w:szCs w:val="22"/>
        </w:rPr>
      </w:pPr>
      <w:r>
        <w:rPr>
          <w:rFonts w:ascii="Arial" w:eastAsia="Arial" w:hAnsi="Arial" w:cs="Arial"/>
          <w:b/>
          <w:bCs/>
          <w:sz w:val="22"/>
          <w:szCs w:val="22"/>
        </w:rPr>
        <w:tab/>
      </w:r>
      <w:r>
        <w:rPr>
          <w:rFonts w:ascii="Arial" w:eastAsia="Arial" w:hAnsi="Arial" w:cs="Arial"/>
          <w:b/>
          <w:bCs/>
          <w:sz w:val="22"/>
          <w:szCs w:val="22"/>
        </w:rPr>
        <w:tab/>
      </w:r>
    </w:p>
    <w:p w:rsidR="00F16994" w:rsidRDefault="00F16994">
      <w:pPr>
        <w:keepLines/>
        <w:spacing w:line="312" w:lineRule="auto"/>
        <w:jc w:val="both"/>
        <w:rPr>
          <w:rFonts w:ascii="Arial" w:eastAsia="Arial" w:hAnsi="Arial" w:cs="Arial"/>
          <w:b/>
          <w:bCs/>
          <w:sz w:val="22"/>
          <w:szCs w:val="22"/>
        </w:rPr>
      </w:pPr>
    </w:p>
    <w:p w:rsidR="00F16994" w:rsidRDefault="00FF77C6">
      <w:pPr>
        <w:keepLines/>
        <w:spacing w:line="312" w:lineRule="auto"/>
        <w:jc w:val="both"/>
        <w:rPr>
          <w:rFonts w:ascii="Arial" w:eastAsia="Arial" w:hAnsi="Arial" w:cs="Arial"/>
          <w:b/>
          <w:bCs/>
          <w:sz w:val="22"/>
          <w:szCs w:val="22"/>
        </w:rPr>
      </w:pP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r>
        <w:rPr>
          <w:rFonts w:ascii="Arial" w:eastAsia="Arial" w:hAnsi="Arial" w:cs="Arial"/>
          <w:b/>
          <w:bCs/>
          <w:sz w:val="22"/>
          <w:szCs w:val="22"/>
        </w:rPr>
        <w:tab/>
      </w:r>
    </w:p>
    <w:p w:rsidR="00F16994" w:rsidRDefault="00FF77C6">
      <w:pPr>
        <w:keepLines/>
        <w:spacing w:line="312" w:lineRule="auto"/>
        <w:jc w:val="both"/>
        <w:rPr>
          <w:rFonts w:ascii="Arial" w:eastAsia="Arial" w:hAnsi="Arial" w:cs="Arial"/>
          <w:sz w:val="22"/>
          <w:szCs w:val="22"/>
        </w:rPr>
      </w:pPr>
      <w:r>
        <w:rPr>
          <w:rFonts w:ascii="Arial" w:eastAsia="Arial" w:hAnsi="Arial" w:cs="Arial"/>
          <w:sz w:val="22"/>
          <w:szCs w:val="22"/>
        </w:rPr>
        <w:t>Pour la CFDT,   Abdurrahman YAZLI</w:t>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Hervé. FERNANDEZ</w:t>
      </w:r>
      <w:r>
        <w:rPr>
          <w:rFonts w:ascii="Arial" w:eastAsia="Arial" w:hAnsi="Arial" w:cs="Arial"/>
          <w:sz w:val="22"/>
          <w:szCs w:val="22"/>
        </w:rPr>
        <w:tab/>
      </w:r>
    </w:p>
    <w:p w:rsidR="00F16994" w:rsidRDefault="00F16994">
      <w:pPr>
        <w:keepLines/>
        <w:spacing w:line="312" w:lineRule="auto"/>
        <w:jc w:val="both"/>
        <w:rPr>
          <w:rFonts w:ascii="Arial" w:eastAsia="Arial" w:hAnsi="Arial" w:cs="Arial"/>
          <w:sz w:val="22"/>
          <w:szCs w:val="22"/>
        </w:rPr>
      </w:pPr>
    </w:p>
    <w:p w:rsidR="00F16994" w:rsidRDefault="00F16994">
      <w:pPr>
        <w:keepLines/>
        <w:spacing w:line="312" w:lineRule="auto"/>
        <w:jc w:val="both"/>
        <w:rPr>
          <w:rFonts w:ascii="Arial" w:eastAsia="Arial" w:hAnsi="Arial" w:cs="Arial"/>
          <w:sz w:val="22"/>
          <w:szCs w:val="22"/>
        </w:rPr>
      </w:pPr>
    </w:p>
    <w:p w:rsidR="00F16994" w:rsidRDefault="00F16994">
      <w:pPr>
        <w:keepLines/>
        <w:spacing w:line="312" w:lineRule="auto"/>
        <w:jc w:val="both"/>
        <w:rPr>
          <w:rFonts w:ascii="Arial" w:eastAsia="Arial" w:hAnsi="Arial" w:cs="Arial"/>
          <w:sz w:val="22"/>
          <w:szCs w:val="22"/>
        </w:rPr>
      </w:pPr>
    </w:p>
    <w:p w:rsidR="00F16994" w:rsidRDefault="00F16994">
      <w:pPr>
        <w:keepLines/>
        <w:spacing w:line="312" w:lineRule="auto"/>
        <w:jc w:val="both"/>
        <w:rPr>
          <w:rFonts w:ascii="Arial" w:eastAsia="Arial" w:hAnsi="Arial" w:cs="Arial"/>
          <w:sz w:val="22"/>
          <w:szCs w:val="22"/>
        </w:rPr>
      </w:pPr>
    </w:p>
    <w:p w:rsidR="00F16994" w:rsidRDefault="00FF77C6">
      <w:pPr>
        <w:keepLines/>
        <w:spacing w:line="312" w:lineRule="auto"/>
        <w:jc w:val="both"/>
        <w:rPr>
          <w:rFonts w:ascii="Arial" w:eastAsia="Arial" w:hAnsi="Arial" w:cs="Arial"/>
          <w:sz w:val="20"/>
          <w:szCs w:val="20"/>
        </w:rPr>
      </w:pPr>
      <w:r>
        <w:rPr>
          <w:rFonts w:ascii="Arial" w:eastAsia="Arial" w:hAnsi="Arial" w:cs="Arial"/>
          <w:sz w:val="22"/>
          <w:szCs w:val="22"/>
        </w:rPr>
        <w:t xml:space="preserve">       </w:t>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r>
      <w:r>
        <w:rPr>
          <w:rFonts w:ascii="Arial" w:eastAsia="Arial" w:hAnsi="Arial" w:cs="Arial"/>
          <w:sz w:val="22"/>
          <w:szCs w:val="22"/>
        </w:rPr>
        <w:tab/>
        <w:t>Christiane BORRHOMEE</w:t>
      </w:r>
    </w:p>
    <w:sectPr w:rsidR="00F16994">
      <w:headerReference w:type="default" r:id="rId7"/>
      <w:footerReference w:type="default" r:id="rId8"/>
      <w:pgSz w:w="11906" w:h="16838"/>
      <w:pgMar w:top="1134" w:right="1134" w:bottom="1134" w:left="1134"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F77C6" w:rsidRDefault="00FF77C6">
      <w:r>
        <w:separator/>
      </w:r>
    </w:p>
  </w:endnote>
  <w:endnote w:type="continuationSeparator" w:id="0">
    <w:p w:rsidR="00FF77C6" w:rsidRDefault="00FF77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auto"/>
    <w:pitch w:val="default"/>
    <w:embedItalic r:id="rId1" w:fontKey="{B43BC25A-1DD2-4B42-8BD6-ABB298E97572}"/>
  </w:font>
  <w:font w:name="Calibri">
    <w:panose1 w:val="020F0502020204030204"/>
    <w:charset w:val="00"/>
    <w:family w:val="swiss"/>
    <w:pitch w:val="variable"/>
    <w:sig w:usb0="E4002EFF" w:usb1="C200247B" w:usb2="00000009" w:usb3="00000000" w:csb0="000001FF" w:csb1="00000000"/>
    <w:embedRegular r:id="rId2" w:fontKey="{26024263-3F47-4E05-8236-5C02BC376574}"/>
  </w:font>
  <w:font w:name="Cambria">
    <w:panose1 w:val="02040503050406030204"/>
    <w:charset w:val="00"/>
    <w:family w:val="roman"/>
    <w:pitch w:val="variable"/>
    <w:sig w:usb0="E00006FF" w:usb1="420024FF" w:usb2="02000000" w:usb3="00000000" w:csb0="0000019F" w:csb1="00000000"/>
    <w:embedRegular r:id="rId3" w:fontKey="{5CE9CD26-0295-4B6D-8E67-160D8DAB69A5}"/>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16994" w:rsidRDefault="00FF77C6">
    <w:pPr>
      <w:pBdr>
        <w:top w:val="nil"/>
        <w:left w:val="nil"/>
        <w:bottom w:val="nil"/>
        <w:right w:val="nil"/>
        <w:between w:val="nil"/>
      </w:pBdr>
      <w:tabs>
        <w:tab w:val="center" w:pos="4536"/>
        <w:tab w:val="right" w:pos="9072"/>
      </w:tabs>
      <w:spacing w:after="96"/>
      <w:jc w:val="right"/>
      <w:rPr>
        <w:rFonts w:ascii="Arial" w:eastAsia="Arial" w:hAnsi="Arial" w:cs="Arial"/>
        <w:color w:val="000000"/>
        <w:sz w:val="20"/>
        <w:szCs w:val="20"/>
      </w:rPr>
    </w:pPr>
    <w:r>
      <w:rPr>
        <w:rFonts w:ascii="Arial" w:eastAsia="Arial" w:hAnsi="Arial" w:cs="Arial"/>
        <w:sz w:val="20"/>
        <w:szCs w:val="20"/>
      </w:rPr>
      <w:fldChar w:fldCharType="begin"/>
    </w:r>
    <w:r>
      <w:rPr>
        <w:rFonts w:ascii="Arial" w:eastAsia="Arial" w:hAnsi="Arial" w:cs="Arial"/>
        <w:sz w:val="20"/>
        <w:szCs w:val="20"/>
      </w:rPr>
      <w:instrText>PAGE</w:instrText>
    </w:r>
    <w:r w:rsidR="00FD6073">
      <w:rPr>
        <w:rFonts w:ascii="Arial" w:eastAsia="Arial" w:hAnsi="Arial" w:cs="Arial"/>
        <w:sz w:val="20"/>
        <w:szCs w:val="20"/>
      </w:rPr>
      <w:fldChar w:fldCharType="separate"/>
    </w:r>
    <w:r w:rsidR="00430575">
      <w:rPr>
        <w:rFonts w:ascii="Arial" w:eastAsia="Arial" w:hAnsi="Arial" w:cs="Arial"/>
        <w:noProof/>
        <w:sz w:val="20"/>
        <w:szCs w:val="20"/>
      </w:rPr>
      <w:t>2</w:t>
    </w:r>
    <w:r>
      <w:rPr>
        <w:rFonts w:ascii="Arial" w:eastAsia="Arial" w:hAnsi="Arial" w:cs="Arial"/>
        <w:sz w:val="20"/>
        <w:szCs w:val="2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F77C6" w:rsidRDefault="00FF77C6">
      <w:r>
        <w:separator/>
      </w:r>
    </w:p>
  </w:footnote>
  <w:footnote w:type="continuationSeparator" w:id="0">
    <w:p w:rsidR="00FF77C6" w:rsidRDefault="00FF77C6">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16994" w:rsidRDefault="00FF77C6">
    <w:pPr>
      <w:pBdr>
        <w:top w:val="nil"/>
        <w:left w:val="nil"/>
        <w:bottom w:val="nil"/>
        <w:right w:val="nil"/>
        <w:between w:val="nil"/>
      </w:pBdr>
      <w:tabs>
        <w:tab w:val="center" w:pos="4536"/>
        <w:tab w:val="right" w:pos="9072"/>
      </w:tabs>
      <w:jc w:val="both"/>
      <w:rPr>
        <w:rFonts w:ascii="Arial" w:eastAsia="Arial" w:hAnsi="Arial" w:cs="Arial"/>
        <w:b/>
        <w:bCs/>
        <w:color w:val="FF0000"/>
        <w:sz w:val="20"/>
        <w:szCs w:val="20"/>
      </w:rPr>
    </w:pPr>
    <w:r>
      <w:rPr>
        <w:noProof/>
      </w:rPr>
      <w:drawing>
        <wp:anchor distT="0" distB="0" distL="0" distR="0" simplePos="0" relativeHeight="251658240" behindDoc="0" locked="0" layoutInCell="1" hidden="0" allowOverlap="1">
          <wp:simplePos x="0" y="0"/>
          <wp:positionH relativeFrom="column">
            <wp:posOffset>4209098</wp:posOffset>
          </wp:positionH>
          <wp:positionV relativeFrom="paragraph">
            <wp:posOffset>161925</wp:posOffset>
          </wp:positionV>
          <wp:extent cx="1963102" cy="841330"/>
          <wp:effectExtent l="0" t="0" r="0" b="0"/>
          <wp:wrapSquare wrapText="bothSides" distT="0" distB="0" distL="0" distR="0"/>
          <wp:docPr id="1" name="image1.jpg" descr="APM_Logo_5X2cm"/>
          <wp:cNvGraphicFramePr/>
          <a:graphic xmlns:a="http://schemas.openxmlformats.org/drawingml/2006/main">
            <a:graphicData uri="http://schemas.openxmlformats.org/drawingml/2006/picture">
              <pic:pic xmlns:pic="http://schemas.openxmlformats.org/drawingml/2006/picture">
                <pic:nvPicPr>
                  <pic:cNvPr id="0" name="image1.jpg" descr="APM_Logo_5X2cm"/>
                  <pic:cNvPicPr preferRelativeResize="0"/>
                </pic:nvPicPr>
                <pic:blipFill>
                  <a:blip r:embed="rId1"/>
                  <a:srcRect/>
                  <a:stretch>
                    <a:fillRect/>
                  </a:stretch>
                </pic:blipFill>
                <pic:spPr>
                  <a:xfrm>
                    <a:off x="0" y="0"/>
                    <a:ext cx="1963102" cy="841330"/>
                  </a:xfrm>
                  <a:prstGeom prst="rect">
                    <a:avLst/>
                  </a:prstGeom>
                  <a:ln/>
                </pic:spPr>
              </pic:pic>
            </a:graphicData>
          </a:graphic>
        </wp:anchor>
      </w:drawing>
    </w:r>
  </w:p>
  <w:p w:rsidR="00F16994" w:rsidRDefault="00F16994">
    <w:pPr>
      <w:pBdr>
        <w:top w:val="nil"/>
        <w:left w:val="nil"/>
        <w:bottom w:val="nil"/>
        <w:right w:val="nil"/>
        <w:between w:val="nil"/>
      </w:pBdr>
      <w:tabs>
        <w:tab w:val="center" w:pos="4536"/>
        <w:tab w:val="right" w:pos="9072"/>
      </w:tabs>
      <w:ind w:left="4920"/>
    </w:pPr>
  </w:p>
  <w:p w:rsidR="00F16994" w:rsidRDefault="00F16994">
    <w:pPr>
      <w:pBdr>
        <w:top w:val="nil"/>
        <w:left w:val="nil"/>
        <w:bottom w:val="nil"/>
        <w:right w:val="nil"/>
        <w:between w:val="nil"/>
      </w:pBdr>
      <w:tabs>
        <w:tab w:val="center" w:pos="4536"/>
        <w:tab w:val="right" w:pos="9072"/>
      </w:tabs>
      <w:ind w:left="4920"/>
    </w:pPr>
  </w:p>
  <w:p w:rsidR="00F16994" w:rsidRDefault="00F16994">
    <w:pPr>
      <w:pBdr>
        <w:top w:val="nil"/>
        <w:left w:val="nil"/>
        <w:bottom w:val="nil"/>
        <w:right w:val="nil"/>
        <w:between w:val="nil"/>
      </w:pBdr>
      <w:tabs>
        <w:tab w:val="center" w:pos="4536"/>
        <w:tab w:val="right" w:pos="9072"/>
      </w:tabs>
      <w:ind w:left="492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6D31CC5"/>
    <w:multiLevelType w:val="multilevel"/>
    <w:tmpl w:val="CB54CF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6994"/>
    <w:rsid w:val="001D7460"/>
    <w:rsid w:val="00430575"/>
    <w:rsid w:val="00743495"/>
    <w:rsid w:val="009416A0"/>
    <w:rsid w:val="00F16994"/>
    <w:rsid w:val="00FD6073"/>
    <w:rsid w:val="00FF77C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5C611B7A-3741-4836-BDDD-859EC9DCD4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fr-FR" w:eastAsia="fr-F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keepNext/>
      <w:keepLines/>
      <w:spacing w:before="480" w:after="120"/>
      <w:outlineLvl w:val="0"/>
    </w:pPr>
    <w:rPr>
      <w:b/>
      <w:bCs/>
      <w:sz w:val="48"/>
      <w:szCs w:val="48"/>
    </w:rPr>
  </w:style>
  <w:style w:type="paragraph" w:styleId="Titre2">
    <w:name w:val="heading 2"/>
    <w:basedOn w:val="Normal"/>
    <w:next w:val="Normal"/>
    <w:pPr>
      <w:keepNext/>
      <w:pBdr>
        <w:top w:val="nil"/>
        <w:left w:val="nil"/>
        <w:bottom w:val="nil"/>
        <w:right w:val="nil"/>
        <w:between w:val="nil"/>
      </w:pBdr>
      <w:jc w:val="both"/>
      <w:outlineLvl w:val="1"/>
    </w:pPr>
    <w:rPr>
      <w:rFonts w:ascii="Arial" w:eastAsia="Arial" w:hAnsi="Arial" w:cs="Arial"/>
      <w:b/>
      <w:bCs/>
      <w:color w:val="000000"/>
      <w:sz w:val="20"/>
      <w:szCs w:val="20"/>
      <w:u w:val="single"/>
    </w:rPr>
  </w:style>
  <w:style w:type="paragraph" w:styleId="Titre3">
    <w:name w:val="heading 3"/>
    <w:basedOn w:val="Normal"/>
    <w:next w:val="Normal"/>
    <w:pPr>
      <w:keepNext/>
      <w:keepLines/>
      <w:spacing w:before="280" w:after="80"/>
      <w:outlineLvl w:val="2"/>
    </w:pPr>
    <w:rPr>
      <w:b/>
      <w:bCs/>
      <w:sz w:val="28"/>
      <w:szCs w:val="28"/>
    </w:rPr>
  </w:style>
  <w:style w:type="paragraph" w:styleId="Titre4">
    <w:name w:val="heading 4"/>
    <w:basedOn w:val="Normal"/>
    <w:next w:val="Normal"/>
    <w:pPr>
      <w:keepNext/>
      <w:pBdr>
        <w:top w:val="nil"/>
        <w:left w:val="nil"/>
        <w:bottom w:val="nil"/>
        <w:right w:val="nil"/>
        <w:between w:val="nil"/>
      </w:pBdr>
      <w:jc w:val="center"/>
      <w:outlineLvl w:val="3"/>
    </w:pPr>
    <w:rPr>
      <w:rFonts w:ascii="Arial" w:eastAsia="Arial" w:hAnsi="Arial" w:cs="Arial"/>
      <w:b/>
      <w:bCs/>
      <w:color w:val="000000"/>
      <w:sz w:val="32"/>
      <w:szCs w:val="32"/>
    </w:rPr>
  </w:style>
  <w:style w:type="paragraph" w:styleId="Titre5">
    <w:name w:val="heading 5"/>
    <w:basedOn w:val="Normal"/>
    <w:next w:val="Normal"/>
    <w:pPr>
      <w:keepNext/>
      <w:pBdr>
        <w:top w:val="nil"/>
        <w:left w:val="nil"/>
        <w:bottom w:val="nil"/>
        <w:right w:val="nil"/>
        <w:between w:val="nil"/>
      </w:pBdr>
      <w:jc w:val="both"/>
      <w:outlineLvl w:val="4"/>
    </w:pPr>
    <w:rPr>
      <w:rFonts w:ascii="Arial" w:eastAsia="Arial" w:hAnsi="Arial" w:cs="Arial"/>
      <w:b/>
      <w:bCs/>
      <w:color w:val="000000"/>
    </w:rPr>
  </w:style>
  <w:style w:type="paragraph" w:styleId="Titre6">
    <w:name w:val="heading 6"/>
    <w:basedOn w:val="Normal"/>
    <w:next w:val="Normal"/>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keepNext/>
      <w:keepLines/>
      <w:spacing w:before="480" w:after="120"/>
    </w:pPr>
    <w:rPr>
      <w:b/>
      <w:bCs/>
      <w:sz w:val="72"/>
      <w:szCs w:val="72"/>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930</Words>
  <Characters>5117</Characters>
  <Application>Microsoft Office Word</Application>
  <DocSecurity>0</DocSecurity>
  <Lines>42</Lines>
  <Paragraphs>12</Paragraphs>
  <ScaleCrop>false</ScaleCrop>
  <HeadingPairs>
    <vt:vector size="2" baseType="variant">
      <vt:variant>
        <vt:lpstr>Titre</vt:lpstr>
      </vt:variant>
      <vt:variant>
        <vt:i4>1</vt:i4>
      </vt:variant>
    </vt:vector>
  </HeadingPairs>
  <TitlesOfParts>
    <vt:vector size="1" baseType="lpstr">
      <vt:lpstr/>
    </vt:vector>
  </TitlesOfParts>
  <Company>HP Inc.</Company>
  <LinksUpToDate>false</LinksUpToDate>
  <CharactersWithSpaces>6035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Christiane BORRHOMEE</dc:creator>
  <cp:lastModifiedBy>Christiane BORRHOMEE</cp:lastModifiedBy>
  <cp:revision>2</cp:revision>
  <dcterms:created xsi:type="dcterms:W3CDTF">2026-04-02T15:12:00Z</dcterms:created>
  <dcterms:modified xsi:type="dcterms:W3CDTF">2026-04-02T15:12:00Z</dcterms:modified>
</cp:coreProperties>
</file>