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07FD0" w14:textId="77777777" w:rsidR="00DF31A2" w:rsidRDefault="00DF31A2" w:rsidP="008C5537">
      <w:pPr>
        <w:pStyle w:val="Titre"/>
        <w:jc w:val="center"/>
        <w:rPr>
          <w:rFonts w:ascii="Tahoma" w:hAnsi="Tahoma" w:cs="Tahoma"/>
          <w:sz w:val="36"/>
          <w:szCs w:val="36"/>
        </w:rPr>
      </w:pPr>
      <w:bookmarkStart w:id="0" w:name="_Hlk484177382"/>
    </w:p>
    <w:p w14:paraId="2F3E7E87" w14:textId="1C56C23D" w:rsidR="008C5537" w:rsidRPr="007F5A45" w:rsidRDefault="008C5537" w:rsidP="008C5537">
      <w:pPr>
        <w:pStyle w:val="Titre"/>
        <w:jc w:val="center"/>
        <w:rPr>
          <w:rFonts w:ascii="Tahoma" w:hAnsi="Tahoma" w:cs="Tahoma"/>
          <w:sz w:val="32"/>
          <w:szCs w:val="32"/>
        </w:rPr>
      </w:pPr>
      <w:r w:rsidRPr="007F5A45">
        <w:rPr>
          <w:rFonts w:ascii="Tahoma" w:hAnsi="Tahoma" w:cs="Tahoma"/>
          <w:sz w:val="32"/>
          <w:szCs w:val="32"/>
        </w:rPr>
        <w:t xml:space="preserve">AVENANT </w:t>
      </w:r>
      <w:r w:rsidR="00716069" w:rsidRPr="007F5A45">
        <w:rPr>
          <w:rFonts w:ascii="Tahoma" w:hAnsi="Tahoma" w:cs="Tahoma"/>
          <w:sz w:val="32"/>
          <w:szCs w:val="32"/>
        </w:rPr>
        <w:t xml:space="preserve">N°2 </w:t>
      </w:r>
      <w:r w:rsidRPr="007F5A45">
        <w:rPr>
          <w:rFonts w:ascii="Tahoma" w:hAnsi="Tahoma" w:cs="Tahoma"/>
          <w:sz w:val="32"/>
          <w:szCs w:val="32"/>
        </w:rPr>
        <w:t xml:space="preserve">A L’ACCORD RELATIF </w:t>
      </w:r>
      <w:bookmarkEnd w:id="0"/>
      <w:r w:rsidRPr="007F5A45">
        <w:rPr>
          <w:rFonts w:ascii="Tahoma" w:hAnsi="Tahoma" w:cs="Tahoma"/>
          <w:sz w:val="32"/>
          <w:szCs w:val="32"/>
        </w:rPr>
        <w:t>AU TELETRAVAIL DU 10 JANVIER 2022</w:t>
      </w:r>
    </w:p>
    <w:p w14:paraId="094E940F" w14:textId="77777777" w:rsidR="008C5537" w:rsidRPr="007F5A45" w:rsidRDefault="008C5537" w:rsidP="008C5537">
      <w:pPr>
        <w:jc w:val="both"/>
        <w:rPr>
          <w:rFonts w:ascii="Tahoma" w:hAnsi="Tahoma" w:cs="Tahoma"/>
          <w:sz w:val="18"/>
          <w:szCs w:val="18"/>
        </w:rPr>
      </w:pPr>
    </w:p>
    <w:p w14:paraId="76DB23D6" w14:textId="2BD062CA" w:rsidR="008C5537" w:rsidRPr="007F5A45" w:rsidRDefault="008C5537" w:rsidP="008C5537">
      <w:pPr>
        <w:jc w:val="both"/>
        <w:rPr>
          <w:rFonts w:ascii="Tahoma" w:hAnsi="Tahoma" w:cs="Tahoma"/>
          <w:sz w:val="18"/>
          <w:szCs w:val="12"/>
        </w:rPr>
      </w:pPr>
      <w:r w:rsidRPr="007F5A45">
        <w:rPr>
          <w:rFonts w:ascii="Tahoma" w:hAnsi="Tahoma" w:cs="Tahoma"/>
          <w:sz w:val="18"/>
          <w:szCs w:val="12"/>
        </w:rPr>
        <w:t xml:space="preserve">L’entreprise </w:t>
      </w:r>
      <w:r w:rsidRPr="007F5A45">
        <w:rPr>
          <w:rFonts w:ascii="Tahoma" w:hAnsi="Tahoma" w:cs="Tahoma"/>
          <w:b/>
          <w:sz w:val="18"/>
          <w:szCs w:val="12"/>
        </w:rPr>
        <w:t xml:space="preserve">ZODIAC POOL CARE EUROPE </w:t>
      </w:r>
      <w:r w:rsidRPr="007F5A45">
        <w:rPr>
          <w:rFonts w:ascii="Tahoma" w:hAnsi="Tahoma" w:cs="Tahoma"/>
          <w:sz w:val="18"/>
          <w:szCs w:val="12"/>
        </w:rPr>
        <w:t xml:space="preserve">(dite ZPCE), Société par actions simplifiée unipersonnelle au capital de 1 267 140 euros, immatriculée au RCS de Toulouse sous le n°395 068 679, dont le siège social est situé ZA de la Balme 31450 Belberaud, représentée par Monsieur </w:t>
      </w:r>
      <w:r w:rsidR="006C26F0">
        <w:rPr>
          <w:rFonts w:ascii="Tahoma" w:hAnsi="Tahoma" w:cs="Tahoma"/>
          <w:sz w:val="18"/>
          <w:szCs w:val="12"/>
        </w:rPr>
        <w:t>XX</w:t>
      </w:r>
      <w:r w:rsidRPr="007F5A45">
        <w:rPr>
          <w:rFonts w:ascii="Tahoma" w:hAnsi="Tahoma" w:cs="Tahoma"/>
          <w:sz w:val="18"/>
          <w:szCs w:val="12"/>
        </w:rPr>
        <w:t>, en sa qualité de Directeur Général,</w:t>
      </w:r>
    </w:p>
    <w:p w14:paraId="4FFAC87F" w14:textId="77777777" w:rsidR="008C5537" w:rsidRPr="007F5A45" w:rsidRDefault="008C5537" w:rsidP="008C5537">
      <w:pPr>
        <w:jc w:val="both"/>
        <w:rPr>
          <w:rFonts w:ascii="Tahoma" w:hAnsi="Tahoma" w:cs="Tahoma"/>
          <w:iCs/>
          <w:spacing w:val="-4"/>
          <w:sz w:val="18"/>
          <w:szCs w:val="12"/>
        </w:rPr>
      </w:pPr>
      <w:r w:rsidRPr="007F5A45">
        <w:rPr>
          <w:rFonts w:ascii="Tahoma" w:hAnsi="Tahoma" w:cs="Tahoma"/>
          <w:iCs/>
          <w:spacing w:val="-4"/>
          <w:sz w:val="18"/>
          <w:szCs w:val="12"/>
        </w:rPr>
        <w:t>Ci-après désignée «la Société » ou « l’Entreprise » ou « l’employeur » ou « la Direction »,</w:t>
      </w:r>
    </w:p>
    <w:p w14:paraId="62EA7E6F" w14:textId="77777777" w:rsidR="008C5537" w:rsidRPr="007F5A45" w:rsidRDefault="008C5537" w:rsidP="008C5537">
      <w:pPr>
        <w:jc w:val="both"/>
        <w:rPr>
          <w:rFonts w:ascii="Tahoma" w:hAnsi="Tahoma" w:cs="Tahoma"/>
          <w:b/>
          <w:spacing w:val="-4"/>
          <w:sz w:val="18"/>
          <w:szCs w:val="12"/>
        </w:rPr>
      </w:pPr>
      <w:r w:rsidRPr="007F5A45">
        <w:rPr>
          <w:rFonts w:ascii="Tahoma" w:hAnsi="Tahoma" w:cs="Tahoma"/>
          <w:spacing w:val="-4"/>
          <w:sz w:val="18"/>
          <w:szCs w:val="12"/>
        </w:rPr>
        <w:tab/>
      </w:r>
      <w:r w:rsidRPr="007F5A45">
        <w:rPr>
          <w:rFonts w:ascii="Tahoma" w:hAnsi="Tahoma" w:cs="Tahoma"/>
          <w:b/>
          <w:spacing w:val="-4"/>
          <w:sz w:val="18"/>
          <w:szCs w:val="12"/>
          <w:u w:val="single"/>
        </w:rPr>
        <w:t>D’une part</w:t>
      </w:r>
    </w:p>
    <w:p w14:paraId="59016168" w14:textId="77777777" w:rsidR="008C5537" w:rsidRPr="007F5A45" w:rsidRDefault="008C5537" w:rsidP="008C5537">
      <w:pPr>
        <w:jc w:val="both"/>
        <w:rPr>
          <w:rFonts w:ascii="Tahoma" w:hAnsi="Tahoma" w:cs="Tahoma"/>
          <w:spacing w:val="-4"/>
          <w:sz w:val="18"/>
          <w:szCs w:val="12"/>
        </w:rPr>
      </w:pPr>
      <w:r w:rsidRPr="007F5A45">
        <w:rPr>
          <w:rFonts w:ascii="Tahoma" w:hAnsi="Tahoma" w:cs="Tahoma"/>
          <w:b/>
          <w:spacing w:val="-4"/>
          <w:sz w:val="18"/>
          <w:szCs w:val="12"/>
          <w:u w:val="single"/>
        </w:rPr>
        <w:t>Et :</w:t>
      </w:r>
    </w:p>
    <w:p w14:paraId="2502C101" w14:textId="3C5BA656" w:rsidR="008C5537" w:rsidRPr="007F5A45" w:rsidRDefault="008C5537" w:rsidP="008C5537">
      <w:pPr>
        <w:jc w:val="both"/>
        <w:rPr>
          <w:rFonts w:ascii="Tahoma" w:hAnsi="Tahoma" w:cs="Tahoma"/>
          <w:b/>
          <w:spacing w:val="-4"/>
          <w:sz w:val="18"/>
          <w:szCs w:val="12"/>
        </w:rPr>
      </w:pPr>
      <w:r w:rsidRPr="007F5A45">
        <w:rPr>
          <w:rFonts w:ascii="Tahoma" w:hAnsi="Tahoma" w:cs="Tahoma"/>
          <w:b/>
          <w:spacing w:val="-4"/>
          <w:sz w:val="18"/>
          <w:szCs w:val="12"/>
        </w:rPr>
        <w:t>L’Organisation Syndicale représentative suivante :</w:t>
      </w:r>
    </w:p>
    <w:p w14:paraId="75B2FE41" w14:textId="3F54A439" w:rsidR="008C5537" w:rsidRPr="007F5A45" w:rsidRDefault="008C5537" w:rsidP="008C5537">
      <w:pPr>
        <w:jc w:val="both"/>
        <w:rPr>
          <w:rFonts w:ascii="Tahoma" w:hAnsi="Tahoma" w:cs="Tahoma"/>
          <w:spacing w:val="-4"/>
          <w:sz w:val="18"/>
          <w:szCs w:val="12"/>
        </w:rPr>
      </w:pPr>
      <w:r w:rsidRPr="007F5A45">
        <w:rPr>
          <w:rFonts w:ascii="Tahoma" w:hAnsi="Tahoma" w:cs="Tahoma"/>
          <w:spacing w:val="-4"/>
          <w:sz w:val="18"/>
          <w:szCs w:val="12"/>
        </w:rPr>
        <w:t xml:space="preserve">FO, représentée par Monsieur </w:t>
      </w:r>
      <w:r w:rsidR="003063F3">
        <w:rPr>
          <w:rFonts w:ascii="Tahoma" w:hAnsi="Tahoma" w:cs="Tahoma"/>
          <w:spacing w:val="-4"/>
          <w:sz w:val="18"/>
          <w:szCs w:val="12"/>
        </w:rPr>
        <w:t>XXX</w:t>
      </w:r>
      <w:r w:rsidRPr="007F5A45">
        <w:rPr>
          <w:rFonts w:ascii="Tahoma" w:hAnsi="Tahoma" w:cs="Tahoma"/>
          <w:spacing w:val="-4"/>
          <w:sz w:val="18"/>
          <w:szCs w:val="12"/>
        </w:rPr>
        <w:t>, en sa qualité de Délégué syndical,</w:t>
      </w:r>
    </w:p>
    <w:p w14:paraId="623909EE" w14:textId="77777777" w:rsidR="008C5537" w:rsidRPr="007F5A45" w:rsidRDefault="008C5537" w:rsidP="008C5537">
      <w:pPr>
        <w:jc w:val="both"/>
        <w:rPr>
          <w:rFonts w:ascii="Tahoma" w:hAnsi="Tahoma" w:cs="Tahoma"/>
          <w:b/>
          <w:spacing w:val="-4"/>
          <w:sz w:val="18"/>
          <w:szCs w:val="12"/>
        </w:rPr>
      </w:pPr>
      <w:r w:rsidRPr="007F5A45">
        <w:rPr>
          <w:rFonts w:ascii="Tahoma" w:hAnsi="Tahoma" w:cs="Tahoma"/>
          <w:spacing w:val="-4"/>
          <w:sz w:val="18"/>
          <w:szCs w:val="12"/>
        </w:rPr>
        <w:tab/>
      </w:r>
      <w:r w:rsidRPr="007F5A45">
        <w:rPr>
          <w:rFonts w:ascii="Tahoma" w:hAnsi="Tahoma" w:cs="Tahoma"/>
          <w:b/>
          <w:spacing w:val="-4"/>
          <w:sz w:val="18"/>
          <w:szCs w:val="12"/>
          <w:u w:val="single"/>
        </w:rPr>
        <w:t>D’autre part,</w:t>
      </w:r>
    </w:p>
    <w:p w14:paraId="7F04D137" w14:textId="77777777" w:rsidR="008C5537" w:rsidRPr="007F5A45" w:rsidRDefault="008C5537" w:rsidP="008C5537">
      <w:pPr>
        <w:jc w:val="both"/>
        <w:rPr>
          <w:rFonts w:ascii="Tahoma" w:hAnsi="Tahoma" w:cs="Tahoma"/>
          <w:sz w:val="18"/>
          <w:szCs w:val="18"/>
        </w:rPr>
      </w:pPr>
    </w:p>
    <w:p w14:paraId="06C10508" w14:textId="77777777" w:rsidR="008C5537" w:rsidRPr="007F5A45" w:rsidRDefault="008C5537" w:rsidP="008C5537">
      <w:pPr>
        <w:jc w:val="both"/>
        <w:rPr>
          <w:rFonts w:ascii="Tahoma" w:hAnsi="Tahoma" w:cs="Tahoma"/>
          <w:b/>
          <w:bCs/>
          <w:sz w:val="18"/>
          <w:szCs w:val="18"/>
        </w:rPr>
      </w:pPr>
      <w:r w:rsidRPr="007F5A45">
        <w:rPr>
          <w:rFonts w:ascii="Tahoma" w:hAnsi="Tahoma" w:cs="Tahoma"/>
          <w:b/>
          <w:bCs/>
          <w:sz w:val="18"/>
          <w:szCs w:val="18"/>
        </w:rPr>
        <w:t>PRÉAMBULE</w:t>
      </w:r>
    </w:p>
    <w:p w14:paraId="353E8566" w14:textId="77777777" w:rsidR="00716069" w:rsidRPr="007F5A45" w:rsidRDefault="00716069" w:rsidP="00716069">
      <w:pPr>
        <w:jc w:val="both"/>
        <w:rPr>
          <w:rFonts w:ascii="Tahoma" w:hAnsi="Tahoma" w:cs="Tahoma"/>
          <w:sz w:val="18"/>
          <w:szCs w:val="18"/>
        </w:rPr>
      </w:pPr>
      <w:r w:rsidRPr="007F5A45">
        <w:rPr>
          <w:rFonts w:ascii="Tahoma" w:hAnsi="Tahoma" w:cs="Tahoma"/>
          <w:sz w:val="18"/>
          <w:szCs w:val="18"/>
        </w:rPr>
        <w:t>Les parties rappellent que l’accord relatif au télétravail signé le 10 janvier 2022, modifié par avenant du 29 janvier 2026, a défini les conditions et modalités de mise en œuvre du télétravail au sein de la Société.</w:t>
      </w:r>
    </w:p>
    <w:p w14:paraId="3A905B9E" w14:textId="77777777" w:rsidR="00716069" w:rsidRPr="007F5A45" w:rsidRDefault="00716069" w:rsidP="00716069">
      <w:pPr>
        <w:jc w:val="both"/>
        <w:rPr>
          <w:rFonts w:ascii="Tahoma" w:hAnsi="Tahoma" w:cs="Tahoma"/>
          <w:sz w:val="18"/>
          <w:szCs w:val="18"/>
        </w:rPr>
      </w:pPr>
      <w:r w:rsidRPr="007F5A45">
        <w:rPr>
          <w:rFonts w:ascii="Tahoma" w:hAnsi="Tahoma" w:cs="Tahoma"/>
          <w:sz w:val="18"/>
          <w:szCs w:val="18"/>
        </w:rPr>
        <w:t>Dans un contexte de baisse de la charge d’activité, les parties ont souhaité adapter temporairement l’organisation du travail afin de tenir compte de cette situation, tout en maintenant la qualité de fonctionnement des services.</w:t>
      </w:r>
    </w:p>
    <w:p w14:paraId="4F1793C4" w14:textId="77777777" w:rsidR="00716069" w:rsidRPr="007F5A45" w:rsidRDefault="00716069" w:rsidP="00716069">
      <w:pPr>
        <w:jc w:val="both"/>
        <w:rPr>
          <w:rFonts w:ascii="Tahoma" w:hAnsi="Tahoma" w:cs="Tahoma"/>
          <w:sz w:val="18"/>
          <w:szCs w:val="18"/>
        </w:rPr>
      </w:pPr>
      <w:r w:rsidRPr="007F5A45">
        <w:rPr>
          <w:rFonts w:ascii="Tahoma" w:hAnsi="Tahoma" w:cs="Tahoma"/>
          <w:sz w:val="18"/>
          <w:szCs w:val="18"/>
        </w:rPr>
        <w:t>À ce titre, il a été convenu d’augmenter le nombre de jours de télétravail hebdomadaire pour les salariés éligibles, dans le respect des contraintes opérationnelles propres à chaque poste.</w:t>
      </w:r>
    </w:p>
    <w:p w14:paraId="568C9819" w14:textId="77777777" w:rsidR="00716069" w:rsidRPr="007F5A45" w:rsidRDefault="00716069" w:rsidP="00716069">
      <w:pPr>
        <w:jc w:val="both"/>
        <w:rPr>
          <w:rFonts w:ascii="Tahoma" w:hAnsi="Tahoma" w:cs="Tahoma"/>
          <w:sz w:val="18"/>
          <w:szCs w:val="18"/>
        </w:rPr>
      </w:pPr>
      <w:r w:rsidRPr="007F5A45">
        <w:rPr>
          <w:rFonts w:ascii="Tahoma" w:hAnsi="Tahoma" w:cs="Tahoma"/>
          <w:sz w:val="18"/>
          <w:szCs w:val="18"/>
        </w:rPr>
        <w:t>Le présent avenant a ainsi pour objet de modifier l’article 6.1 de l’accord relatif au télétravail.</w:t>
      </w:r>
    </w:p>
    <w:p w14:paraId="39229C0A" w14:textId="77777777" w:rsidR="00716069" w:rsidRDefault="00716069" w:rsidP="008C5537">
      <w:pPr>
        <w:jc w:val="both"/>
        <w:rPr>
          <w:rFonts w:ascii="Tahoma" w:hAnsi="Tahoma" w:cs="Tahoma"/>
          <w:sz w:val="20"/>
          <w:szCs w:val="20"/>
        </w:rPr>
        <w:sectPr w:rsidR="00716069" w:rsidSect="008C5537">
          <w:headerReference w:type="default" r:id="rId7"/>
          <w:pgSz w:w="11906" w:h="16838"/>
          <w:pgMar w:top="993" w:right="1417" w:bottom="1417" w:left="1417" w:header="708" w:footer="708" w:gutter="0"/>
          <w:cols w:space="708"/>
          <w:docGrid w:linePitch="360"/>
        </w:sectPr>
      </w:pPr>
    </w:p>
    <w:p w14:paraId="58BF858D" w14:textId="77777777" w:rsidR="00AA0717" w:rsidRPr="006525F9" w:rsidRDefault="00AA0717" w:rsidP="008C5537">
      <w:pPr>
        <w:jc w:val="both"/>
        <w:rPr>
          <w:rFonts w:ascii="Tahoma" w:hAnsi="Tahoma" w:cs="Tahoma"/>
          <w:sz w:val="20"/>
          <w:szCs w:val="20"/>
        </w:rPr>
      </w:pPr>
    </w:p>
    <w:p w14:paraId="54310A46" w14:textId="3A75578D" w:rsidR="008C5537" w:rsidRPr="00716069" w:rsidRDefault="008C5537" w:rsidP="008C5537">
      <w:pPr>
        <w:jc w:val="both"/>
        <w:rPr>
          <w:rFonts w:ascii="Tahoma" w:hAnsi="Tahoma" w:cs="Tahoma"/>
          <w:b/>
          <w:bCs/>
          <w:sz w:val="18"/>
          <w:szCs w:val="18"/>
        </w:rPr>
      </w:pPr>
      <w:r w:rsidRPr="00716069">
        <w:rPr>
          <w:rFonts w:ascii="Tahoma" w:hAnsi="Tahoma" w:cs="Tahoma"/>
          <w:b/>
          <w:bCs/>
          <w:sz w:val="18"/>
          <w:szCs w:val="18"/>
        </w:rPr>
        <w:t xml:space="preserve">ARTICLE 1 – MODIFICATION DE L’ARTICLE </w:t>
      </w:r>
      <w:r w:rsidR="00716069" w:rsidRPr="00716069">
        <w:rPr>
          <w:rFonts w:ascii="Tahoma" w:hAnsi="Tahoma" w:cs="Tahoma"/>
          <w:b/>
          <w:bCs/>
          <w:sz w:val="18"/>
          <w:szCs w:val="18"/>
        </w:rPr>
        <w:t>6.1</w:t>
      </w:r>
      <w:r w:rsidRPr="00716069">
        <w:rPr>
          <w:rFonts w:ascii="Tahoma" w:hAnsi="Tahoma" w:cs="Tahoma"/>
          <w:b/>
          <w:bCs/>
          <w:sz w:val="18"/>
          <w:szCs w:val="18"/>
        </w:rPr>
        <w:t xml:space="preserve"> « </w:t>
      </w:r>
      <w:r w:rsidR="00716069" w:rsidRPr="00716069">
        <w:rPr>
          <w:rFonts w:ascii="Tahoma" w:hAnsi="Tahoma" w:cs="Tahoma"/>
          <w:b/>
          <w:bCs/>
          <w:sz w:val="18"/>
          <w:szCs w:val="18"/>
        </w:rPr>
        <w:t>FRÉQUENCE ET NOMBRE DE JOURS TELETRAVAILLÉS</w:t>
      </w:r>
      <w:r w:rsidRPr="00716069">
        <w:rPr>
          <w:rFonts w:ascii="Tahoma" w:hAnsi="Tahoma" w:cs="Tahoma"/>
          <w:b/>
          <w:bCs/>
          <w:sz w:val="18"/>
          <w:szCs w:val="18"/>
        </w:rPr>
        <w:t xml:space="preserve"> »</w:t>
      </w:r>
    </w:p>
    <w:p w14:paraId="7864010F" w14:textId="74B40873" w:rsidR="008C5537" w:rsidRPr="00716069" w:rsidRDefault="00716069" w:rsidP="008C5537">
      <w:pPr>
        <w:jc w:val="both"/>
        <w:rPr>
          <w:rFonts w:ascii="Tahoma" w:hAnsi="Tahoma" w:cs="Tahoma"/>
          <w:sz w:val="18"/>
          <w:szCs w:val="18"/>
        </w:rPr>
      </w:pPr>
      <w:r w:rsidRPr="00716069">
        <w:rPr>
          <w:rFonts w:ascii="Tahoma" w:hAnsi="Tahoma" w:cs="Tahoma"/>
          <w:sz w:val="18"/>
          <w:szCs w:val="18"/>
        </w:rPr>
        <w:t xml:space="preserve">Le dernier paragraphe de l’article 6.1 est remplacé comme suit </w:t>
      </w:r>
      <w:r w:rsidR="008C5537" w:rsidRPr="00716069">
        <w:rPr>
          <w:rFonts w:ascii="Tahoma" w:hAnsi="Tahoma" w:cs="Tahoma"/>
          <w:sz w:val="18"/>
          <w:szCs w:val="18"/>
        </w:rPr>
        <w:t>:</w:t>
      </w:r>
    </w:p>
    <w:p w14:paraId="16502979" w14:textId="77777777" w:rsidR="00716069" w:rsidRPr="00716069" w:rsidRDefault="00716069" w:rsidP="00716069">
      <w:pPr>
        <w:jc w:val="both"/>
        <w:rPr>
          <w:rFonts w:ascii="Tahoma" w:hAnsi="Tahoma" w:cs="Tahoma"/>
          <w:sz w:val="18"/>
          <w:szCs w:val="18"/>
        </w:rPr>
      </w:pPr>
      <w:r w:rsidRPr="00716069">
        <w:rPr>
          <w:rFonts w:ascii="Tahoma" w:hAnsi="Tahoma" w:cs="Tahoma"/>
          <w:sz w:val="18"/>
          <w:szCs w:val="18"/>
        </w:rPr>
        <w:t>Afin de garantir la cohésion des équipes tout en tenant compte de l’évolution de la charge d’activité, le télétravail peut être exercé dans les conditions suivantes :</w:t>
      </w:r>
    </w:p>
    <w:p w14:paraId="1C53BA6F" w14:textId="69940ED9" w:rsidR="00716069" w:rsidRPr="00716069" w:rsidRDefault="00716069" w:rsidP="00716069">
      <w:pPr>
        <w:numPr>
          <w:ilvl w:val="0"/>
          <w:numId w:val="3"/>
        </w:numPr>
        <w:jc w:val="both"/>
        <w:rPr>
          <w:rFonts w:ascii="Tahoma" w:hAnsi="Tahoma" w:cs="Tahoma"/>
          <w:sz w:val="18"/>
          <w:szCs w:val="18"/>
        </w:rPr>
      </w:pPr>
      <w:r w:rsidRPr="00716069">
        <w:rPr>
          <w:rFonts w:ascii="Tahoma" w:hAnsi="Tahoma" w:cs="Tahoma"/>
          <w:b/>
          <w:bCs/>
          <w:sz w:val="18"/>
          <w:szCs w:val="18"/>
        </w:rPr>
        <w:t>2 jours de télétravail par semaine</w:t>
      </w:r>
      <w:r w:rsidRPr="00716069">
        <w:rPr>
          <w:rFonts w:ascii="Tahoma" w:hAnsi="Tahoma" w:cs="Tahoma"/>
          <w:sz w:val="18"/>
          <w:szCs w:val="18"/>
        </w:rPr>
        <w:t xml:space="preserve"> pour l’ensemble des salariés </w:t>
      </w:r>
      <w:r w:rsidR="006C26F0" w:rsidRPr="00716069">
        <w:rPr>
          <w:rFonts w:ascii="Tahoma" w:hAnsi="Tahoma" w:cs="Tahoma"/>
          <w:sz w:val="18"/>
          <w:szCs w:val="18"/>
        </w:rPr>
        <w:t>éligibles ;</w:t>
      </w:r>
      <w:r w:rsidRPr="00716069">
        <w:rPr>
          <w:rFonts w:ascii="Tahoma" w:hAnsi="Tahoma" w:cs="Tahoma"/>
          <w:sz w:val="18"/>
          <w:szCs w:val="18"/>
        </w:rPr>
        <w:t xml:space="preserve"> </w:t>
      </w:r>
    </w:p>
    <w:p w14:paraId="532405FF" w14:textId="52DD1F40" w:rsidR="00716069" w:rsidRPr="00716069" w:rsidRDefault="00716069" w:rsidP="00716069">
      <w:pPr>
        <w:numPr>
          <w:ilvl w:val="0"/>
          <w:numId w:val="3"/>
        </w:numPr>
        <w:jc w:val="both"/>
        <w:rPr>
          <w:rFonts w:ascii="Tahoma" w:hAnsi="Tahoma" w:cs="Tahoma"/>
          <w:sz w:val="18"/>
          <w:szCs w:val="18"/>
        </w:rPr>
      </w:pPr>
      <w:r w:rsidRPr="00716069">
        <w:rPr>
          <w:rFonts w:ascii="Tahoma" w:hAnsi="Tahoma" w:cs="Tahoma"/>
          <w:b/>
          <w:bCs/>
          <w:sz w:val="18"/>
          <w:szCs w:val="18"/>
        </w:rPr>
        <w:t>Jusqu’à 3 jours de télétravail par semaine</w:t>
      </w:r>
      <w:r w:rsidRPr="00716069">
        <w:rPr>
          <w:rFonts w:ascii="Tahoma" w:hAnsi="Tahoma" w:cs="Tahoma"/>
          <w:sz w:val="18"/>
          <w:szCs w:val="18"/>
        </w:rPr>
        <w:t xml:space="preserve"> lorsque la nature de l’activité le permet et sous réserve de validation par le manager. </w:t>
      </w:r>
    </w:p>
    <w:p w14:paraId="2AF397C5" w14:textId="77777777" w:rsidR="00716069" w:rsidRPr="00716069" w:rsidRDefault="00716069" w:rsidP="00716069">
      <w:pPr>
        <w:jc w:val="both"/>
        <w:rPr>
          <w:rFonts w:ascii="Tahoma" w:hAnsi="Tahoma" w:cs="Tahoma"/>
          <w:sz w:val="18"/>
          <w:szCs w:val="18"/>
        </w:rPr>
      </w:pPr>
      <w:r w:rsidRPr="00716069">
        <w:rPr>
          <w:rFonts w:ascii="Tahoma" w:hAnsi="Tahoma" w:cs="Tahoma"/>
          <w:sz w:val="18"/>
          <w:szCs w:val="18"/>
        </w:rPr>
        <w:t>Le nombre de jours télétravaillés est déterminé en concertation entre le salarié et son manager, en fonction des nécessités de service et de l’organisation de l’activité.</w:t>
      </w:r>
    </w:p>
    <w:p w14:paraId="5E122C51" w14:textId="77777777" w:rsidR="00716069" w:rsidRPr="00716069" w:rsidRDefault="00716069" w:rsidP="00716069">
      <w:pPr>
        <w:jc w:val="both"/>
        <w:rPr>
          <w:rFonts w:ascii="Tahoma" w:hAnsi="Tahoma" w:cs="Tahoma"/>
          <w:sz w:val="18"/>
          <w:szCs w:val="18"/>
        </w:rPr>
      </w:pPr>
      <w:r w:rsidRPr="00716069">
        <w:rPr>
          <w:rFonts w:ascii="Tahoma" w:hAnsi="Tahoma" w:cs="Tahoma"/>
          <w:sz w:val="18"/>
          <w:szCs w:val="18"/>
        </w:rPr>
        <w:t>Il est rappelé que les jours de télétravail :</w:t>
      </w:r>
    </w:p>
    <w:p w14:paraId="7A3B11C3" w14:textId="5F5277D0" w:rsidR="00716069" w:rsidRPr="00716069" w:rsidRDefault="006C26F0" w:rsidP="00716069">
      <w:pPr>
        <w:numPr>
          <w:ilvl w:val="0"/>
          <w:numId w:val="4"/>
        </w:numPr>
        <w:jc w:val="both"/>
        <w:rPr>
          <w:rFonts w:ascii="Tahoma" w:hAnsi="Tahoma" w:cs="Tahoma"/>
          <w:sz w:val="18"/>
          <w:szCs w:val="18"/>
        </w:rPr>
      </w:pPr>
      <w:r w:rsidRPr="00716069">
        <w:rPr>
          <w:rFonts w:ascii="Tahoma" w:hAnsi="Tahoma" w:cs="Tahoma"/>
          <w:sz w:val="18"/>
          <w:szCs w:val="18"/>
        </w:rPr>
        <w:t>Ne</w:t>
      </w:r>
      <w:r w:rsidR="00716069" w:rsidRPr="00716069">
        <w:rPr>
          <w:rFonts w:ascii="Tahoma" w:hAnsi="Tahoma" w:cs="Tahoma"/>
          <w:sz w:val="18"/>
          <w:szCs w:val="18"/>
        </w:rPr>
        <w:t xml:space="preserve"> sont pas fixes par principe, </w:t>
      </w:r>
    </w:p>
    <w:p w14:paraId="47256D16" w14:textId="0A12CBD0" w:rsidR="00716069" w:rsidRPr="00716069" w:rsidRDefault="006C26F0" w:rsidP="00716069">
      <w:pPr>
        <w:numPr>
          <w:ilvl w:val="0"/>
          <w:numId w:val="4"/>
        </w:numPr>
        <w:jc w:val="both"/>
        <w:rPr>
          <w:rFonts w:ascii="Tahoma" w:hAnsi="Tahoma" w:cs="Tahoma"/>
          <w:sz w:val="18"/>
          <w:szCs w:val="18"/>
        </w:rPr>
      </w:pPr>
      <w:r w:rsidRPr="00716069">
        <w:rPr>
          <w:rFonts w:ascii="Tahoma" w:hAnsi="Tahoma" w:cs="Tahoma"/>
          <w:sz w:val="18"/>
          <w:szCs w:val="18"/>
        </w:rPr>
        <w:t>Constituent</w:t>
      </w:r>
      <w:r w:rsidR="00716069" w:rsidRPr="00716069">
        <w:rPr>
          <w:rFonts w:ascii="Tahoma" w:hAnsi="Tahoma" w:cs="Tahoma"/>
          <w:sz w:val="18"/>
          <w:szCs w:val="18"/>
        </w:rPr>
        <w:t xml:space="preserve"> un plafond et non un plancher, </w:t>
      </w:r>
    </w:p>
    <w:p w14:paraId="01D6B997" w14:textId="3931C8E5" w:rsidR="00716069" w:rsidRPr="00716069" w:rsidRDefault="006C26F0" w:rsidP="00716069">
      <w:pPr>
        <w:numPr>
          <w:ilvl w:val="0"/>
          <w:numId w:val="4"/>
        </w:numPr>
        <w:jc w:val="both"/>
        <w:rPr>
          <w:rFonts w:ascii="Tahoma" w:hAnsi="Tahoma" w:cs="Tahoma"/>
          <w:sz w:val="18"/>
          <w:szCs w:val="18"/>
        </w:rPr>
      </w:pPr>
      <w:r w:rsidRPr="00716069">
        <w:rPr>
          <w:rFonts w:ascii="Tahoma" w:hAnsi="Tahoma" w:cs="Tahoma"/>
          <w:sz w:val="18"/>
          <w:szCs w:val="18"/>
        </w:rPr>
        <w:t>Ne</w:t>
      </w:r>
      <w:r w:rsidR="00716069" w:rsidRPr="00716069">
        <w:rPr>
          <w:rFonts w:ascii="Tahoma" w:hAnsi="Tahoma" w:cs="Tahoma"/>
          <w:sz w:val="18"/>
          <w:szCs w:val="18"/>
        </w:rPr>
        <w:t xml:space="preserve"> peuvent être reportés d’une semaine à l’autre. </w:t>
      </w:r>
    </w:p>
    <w:p w14:paraId="259A8C1B" w14:textId="77777777" w:rsidR="00716069" w:rsidRPr="00716069" w:rsidRDefault="00716069" w:rsidP="00716069">
      <w:pPr>
        <w:jc w:val="both"/>
        <w:rPr>
          <w:rFonts w:ascii="Tahoma" w:hAnsi="Tahoma" w:cs="Tahoma"/>
          <w:sz w:val="18"/>
          <w:szCs w:val="18"/>
        </w:rPr>
      </w:pPr>
      <w:r w:rsidRPr="00716069">
        <w:rPr>
          <w:rFonts w:ascii="Tahoma" w:hAnsi="Tahoma" w:cs="Tahoma"/>
          <w:sz w:val="18"/>
          <w:szCs w:val="18"/>
        </w:rPr>
        <w:t>Le télétravail est décompté par journée entière ou demi-journée.</w:t>
      </w:r>
    </w:p>
    <w:p w14:paraId="2DCF3AF9" w14:textId="77777777" w:rsidR="00716069" w:rsidRPr="00716069" w:rsidRDefault="00716069" w:rsidP="00DF31A2">
      <w:pPr>
        <w:jc w:val="both"/>
        <w:rPr>
          <w:rFonts w:ascii="Tahoma" w:hAnsi="Tahoma" w:cs="Tahoma"/>
          <w:b/>
          <w:bCs/>
          <w:sz w:val="18"/>
          <w:szCs w:val="18"/>
        </w:rPr>
      </w:pPr>
    </w:p>
    <w:p w14:paraId="68322E7D" w14:textId="089DE676" w:rsidR="0089178F" w:rsidRDefault="0089178F" w:rsidP="0089178F">
      <w:pPr>
        <w:jc w:val="both"/>
        <w:rPr>
          <w:rFonts w:ascii="Tahoma" w:hAnsi="Tahoma" w:cs="Tahoma"/>
          <w:b/>
          <w:bCs/>
          <w:sz w:val="18"/>
          <w:szCs w:val="18"/>
        </w:rPr>
      </w:pPr>
      <w:r w:rsidRPr="00716069">
        <w:rPr>
          <w:rFonts w:ascii="Tahoma" w:hAnsi="Tahoma" w:cs="Tahoma"/>
          <w:b/>
          <w:bCs/>
          <w:sz w:val="18"/>
          <w:szCs w:val="18"/>
        </w:rPr>
        <w:t xml:space="preserve">ARTICLE </w:t>
      </w:r>
      <w:r>
        <w:rPr>
          <w:rFonts w:ascii="Tahoma" w:hAnsi="Tahoma" w:cs="Tahoma"/>
          <w:b/>
          <w:bCs/>
          <w:sz w:val="18"/>
          <w:szCs w:val="18"/>
        </w:rPr>
        <w:t xml:space="preserve">3 </w:t>
      </w:r>
      <w:r w:rsidRPr="00716069">
        <w:rPr>
          <w:rFonts w:ascii="Tahoma" w:hAnsi="Tahoma" w:cs="Tahoma"/>
          <w:b/>
          <w:bCs/>
          <w:sz w:val="18"/>
          <w:szCs w:val="18"/>
        </w:rPr>
        <w:t xml:space="preserve">– </w:t>
      </w:r>
      <w:r>
        <w:rPr>
          <w:rFonts w:ascii="Tahoma" w:hAnsi="Tahoma" w:cs="Tahoma"/>
          <w:b/>
          <w:bCs/>
          <w:sz w:val="18"/>
          <w:szCs w:val="18"/>
        </w:rPr>
        <w:t>MODIFICATION DE L’ARTCILE 3.2 « POSTES ELIGIBLES »</w:t>
      </w:r>
    </w:p>
    <w:p w14:paraId="0F6269EC" w14:textId="1D57C2A2" w:rsidR="0089178F" w:rsidRPr="0089178F" w:rsidRDefault="0089178F" w:rsidP="0089178F">
      <w:pPr>
        <w:jc w:val="both"/>
        <w:rPr>
          <w:rFonts w:ascii="Tahoma" w:hAnsi="Tahoma" w:cs="Tahoma"/>
          <w:sz w:val="18"/>
          <w:szCs w:val="18"/>
        </w:rPr>
      </w:pPr>
      <w:r w:rsidRPr="0089178F">
        <w:rPr>
          <w:rFonts w:ascii="Tahoma" w:hAnsi="Tahoma" w:cs="Tahoma"/>
          <w:sz w:val="18"/>
          <w:szCs w:val="18"/>
        </w:rPr>
        <w:t>Les parties à l’accord conviennent que tous les postes ne sont pas compatibles avec le télétravail régulier.</w:t>
      </w:r>
    </w:p>
    <w:p w14:paraId="08803846" w14:textId="5DEF1417" w:rsidR="0089178F" w:rsidRPr="0089178F" w:rsidRDefault="0089178F" w:rsidP="0089178F">
      <w:pPr>
        <w:jc w:val="both"/>
        <w:rPr>
          <w:rFonts w:ascii="Tahoma" w:hAnsi="Tahoma" w:cs="Tahoma"/>
          <w:sz w:val="18"/>
          <w:szCs w:val="18"/>
        </w:rPr>
      </w:pPr>
      <w:r w:rsidRPr="0089178F">
        <w:rPr>
          <w:rFonts w:ascii="Tahoma" w:hAnsi="Tahoma" w:cs="Tahoma"/>
          <w:sz w:val="18"/>
          <w:szCs w:val="18"/>
        </w:rPr>
        <w:t>L’éligibilité d’un poste sera définie par l’encadrement au regard, notamment, des critères suivants :</w:t>
      </w:r>
    </w:p>
    <w:p w14:paraId="0DDBD0A3" w14:textId="50F0D158" w:rsidR="0089178F" w:rsidRPr="0089178F" w:rsidRDefault="0089178F" w:rsidP="0089178F">
      <w:pPr>
        <w:pStyle w:val="Paragraphedeliste"/>
        <w:numPr>
          <w:ilvl w:val="0"/>
          <w:numId w:val="5"/>
        </w:numPr>
        <w:jc w:val="both"/>
        <w:rPr>
          <w:rFonts w:ascii="Tahoma" w:hAnsi="Tahoma" w:cs="Tahoma"/>
          <w:sz w:val="18"/>
          <w:szCs w:val="18"/>
        </w:rPr>
      </w:pPr>
      <w:r w:rsidRPr="0089178F">
        <w:rPr>
          <w:rFonts w:ascii="Tahoma" w:hAnsi="Tahoma" w:cs="Tahoma"/>
          <w:sz w:val="18"/>
          <w:szCs w:val="18"/>
        </w:rPr>
        <w:t>Activité du salarié pouvant être effectuée en tout ou partie à distance et ne nécessitant pas une présence physique permanente sur site ;</w:t>
      </w:r>
    </w:p>
    <w:p w14:paraId="185AE93C" w14:textId="61CF61B3" w:rsidR="0089178F" w:rsidRPr="0089178F" w:rsidRDefault="0089178F" w:rsidP="0089178F">
      <w:pPr>
        <w:pStyle w:val="Paragraphedeliste"/>
        <w:numPr>
          <w:ilvl w:val="0"/>
          <w:numId w:val="5"/>
        </w:numPr>
        <w:jc w:val="both"/>
        <w:rPr>
          <w:rFonts w:ascii="Tahoma" w:hAnsi="Tahoma" w:cs="Tahoma"/>
          <w:sz w:val="18"/>
          <w:szCs w:val="18"/>
        </w:rPr>
      </w:pPr>
      <w:r w:rsidRPr="0089178F">
        <w:rPr>
          <w:rFonts w:ascii="Tahoma" w:hAnsi="Tahoma" w:cs="Tahoma"/>
          <w:sz w:val="18"/>
          <w:szCs w:val="18"/>
        </w:rPr>
        <w:t>Activité du salarié ne nécessitant pas l’usage permanent d’équipement techniques spécifiques ;</w:t>
      </w:r>
    </w:p>
    <w:p w14:paraId="236CE5DB" w14:textId="6DE5C8BB" w:rsidR="0089178F" w:rsidRPr="0089178F" w:rsidRDefault="0089178F" w:rsidP="0089178F">
      <w:pPr>
        <w:pStyle w:val="Paragraphedeliste"/>
        <w:numPr>
          <w:ilvl w:val="0"/>
          <w:numId w:val="5"/>
        </w:numPr>
        <w:jc w:val="both"/>
        <w:rPr>
          <w:rFonts w:ascii="Tahoma" w:hAnsi="Tahoma" w:cs="Tahoma"/>
          <w:sz w:val="18"/>
          <w:szCs w:val="18"/>
        </w:rPr>
      </w:pPr>
      <w:r w:rsidRPr="0089178F">
        <w:rPr>
          <w:rFonts w:ascii="Tahoma" w:hAnsi="Tahoma" w:cs="Tahoma"/>
          <w:sz w:val="18"/>
          <w:szCs w:val="18"/>
        </w:rPr>
        <w:t>Compatibilité avec l’organisation du service et notamment en cas de demandes multiples de passage en télétravail ;</w:t>
      </w:r>
    </w:p>
    <w:p w14:paraId="34D59323" w14:textId="58988C43" w:rsidR="0089178F" w:rsidRPr="0089178F" w:rsidRDefault="0089178F" w:rsidP="0089178F">
      <w:pPr>
        <w:pStyle w:val="Paragraphedeliste"/>
        <w:numPr>
          <w:ilvl w:val="0"/>
          <w:numId w:val="5"/>
        </w:numPr>
        <w:jc w:val="both"/>
        <w:rPr>
          <w:rFonts w:ascii="Tahoma" w:hAnsi="Tahoma" w:cs="Tahoma"/>
          <w:sz w:val="18"/>
          <w:szCs w:val="18"/>
        </w:rPr>
      </w:pPr>
      <w:r w:rsidRPr="0089178F">
        <w:rPr>
          <w:rFonts w:ascii="Tahoma" w:hAnsi="Tahoma" w:cs="Tahoma"/>
          <w:sz w:val="18"/>
          <w:szCs w:val="18"/>
        </w:rPr>
        <w:t>Importance de l’activité déjà exercée par le salarié en-dehors des locaux de l’entreprise (exemple déplacements ou activité à temps partiel) ;</w:t>
      </w:r>
    </w:p>
    <w:p w14:paraId="0BB62A7C" w14:textId="762DDD87" w:rsidR="0089178F" w:rsidRDefault="0089178F" w:rsidP="0089178F">
      <w:pPr>
        <w:pStyle w:val="Paragraphedeliste"/>
        <w:numPr>
          <w:ilvl w:val="0"/>
          <w:numId w:val="5"/>
        </w:numPr>
        <w:jc w:val="both"/>
        <w:rPr>
          <w:rFonts w:ascii="Tahoma" w:hAnsi="Tahoma" w:cs="Tahoma"/>
          <w:sz w:val="18"/>
          <w:szCs w:val="18"/>
        </w:rPr>
      </w:pPr>
      <w:r w:rsidRPr="0089178F">
        <w:rPr>
          <w:rFonts w:ascii="Tahoma" w:hAnsi="Tahoma" w:cs="Tahoma"/>
          <w:sz w:val="18"/>
          <w:szCs w:val="18"/>
        </w:rPr>
        <w:t>Possibilité de manager l’activité réalisée à distance.</w:t>
      </w:r>
    </w:p>
    <w:p w14:paraId="0A32A2BC" w14:textId="15EED63F" w:rsidR="0089178F" w:rsidRPr="0089178F" w:rsidRDefault="0089178F" w:rsidP="0089178F">
      <w:pPr>
        <w:jc w:val="both"/>
        <w:rPr>
          <w:rFonts w:ascii="Tahoma" w:hAnsi="Tahoma" w:cs="Tahoma"/>
          <w:sz w:val="18"/>
          <w:szCs w:val="18"/>
        </w:rPr>
      </w:pPr>
      <w:r>
        <w:rPr>
          <w:rFonts w:ascii="Tahoma" w:hAnsi="Tahoma" w:cs="Tahoma"/>
          <w:sz w:val="18"/>
          <w:szCs w:val="18"/>
        </w:rPr>
        <w:t>Au regard de ces critères tous les postes et activités du sites de Belberaud sont considérés comme éligibles au télétravail.</w:t>
      </w:r>
    </w:p>
    <w:p w14:paraId="54D88C75" w14:textId="77777777" w:rsidR="0089178F" w:rsidRDefault="0089178F" w:rsidP="00DF31A2">
      <w:pPr>
        <w:jc w:val="both"/>
        <w:rPr>
          <w:rFonts w:ascii="Tahoma" w:hAnsi="Tahoma" w:cs="Tahoma"/>
          <w:b/>
          <w:bCs/>
          <w:sz w:val="18"/>
          <w:szCs w:val="18"/>
        </w:rPr>
      </w:pPr>
    </w:p>
    <w:p w14:paraId="46916E08" w14:textId="40D20A0E" w:rsidR="00DF31A2" w:rsidRPr="00716069" w:rsidRDefault="00DF31A2" w:rsidP="00DF31A2">
      <w:pPr>
        <w:jc w:val="both"/>
        <w:rPr>
          <w:rFonts w:ascii="Tahoma" w:hAnsi="Tahoma" w:cs="Tahoma"/>
          <w:b/>
          <w:bCs/>
          <w:sz w:val="18"/>
          <w:szCs w:val="18"/>
        </w:rPr>
      </w:pPr>
      <w:r w:rsidRPr="00716069">
        <w:rPr>
          <w:rFonts w:ascii="Tahoma" w:hAnsi="Tahoma" w:cs="Tahoma"/>
          <w:b/>
          <w:bCs/>
          <w:sz w:val="18"/>
          <w:szCs w:val="18"/>
        </w:rPr>
        <w:t xml:space="preserve">ARTICLE </w:t>
      </w:r>
      <w:r w:rsidR="00716069" w:rsidRPr="00716069">
        <w:rPr>
          <w:rFonts w:ascii="Tahoma" w:hAnsi="Tahoma" w:cs="Tahoma"/>
          <w:b/>
          <w:bCs/>
          <w:sz w:val="18"/>
          <w:szCs w:val="18"/>
        </w:rPr>
        <w:t>2</w:t>
      </w:r>
      <w:r w:rsidRPr="00716069">
        <w:rPr>
          <w:rFonts w:ascii="Tahoma" w:hAnsi="Tahoma" w:cs="Tahoma"/>
          <w:b/>
          <w:bCs/>
          <w:sz w:val="18"/>
          <w:szCs w:val="18"/>
        </w:rPr>
        <w:t xml:space="preserve"> – MAINTIEN DES AUTRES DISPOSITIONS</w:t>
      </w:r>
    </w:p>
    <w:p w14:paraId="5436F183" w14:textId="77777777" w:rsidR="00DF31A2" w:rsidRPr="00716069" w:rsidRDefault="00DF31A2" w:rsidP="00DF31A2">
      <w:pPr>
        <w:jc w:val="both"/>
        <w:rPr>
          <w:rFonts w:ascii="Tahoma" w:hAnsi="Tahoma" w:cs="Tahoma"/>
          <w:sz w:val="18"/>
          <w:szCs w:val="18"/>
        </w:rPr>
      </w:pPr>
      <w:r w:rsidRPr="00716069">
        <w:rPr>
          <w:rFonts w:ascii="Tahoma" w:hAnsi="Tahoma" w:cs="Tahoma"/>
          <w:sz w:val="18"/>
          <w:szCs w:val="18"/>
        </w:rPr>
        <w:t>Toutes les autres dispositions de l’accord relatif au télétravail du 10 janvier 2022 demeurent inchangées et continuent à produire pleinement leurs effets.</w:t>
      </w:r>
    </w:p>
    <w:p w14:paraId="2EB0AA9D" w14:textId="04A1C7E6" w:rsidR="00DF31A2" w:rsidRPr="00716069" w:rsidRDefault="00DF31A2" w:rsidP="008C5537">
      <w:pPr>
        <w:jc w:val="both"/>
        <w:rPr>
          <w:rFonts w:ascii="Tahoma" w:hAnsi="Tahoma" w:cs="Tahoma"/>
          <w:sz w:val="18"/>
          <w:szCs w:val="18"/>
        </w:rPr>
      </w:pPr>
    </w:p>
    <w:p w14:paraId="52BAB0E1" w14:textId="58D02FB1" w:rsidR="008C5537" w:rsidRPr="00716069" w:rsidRDefault="008C5537" w:rsidP="008C5537">
      <w:pPr>
        <w:jc w:val="both"/>
        <w:rPr>
          <w:rFonts w:ascii="Tahoma" w:hAnsi="Tahoma" w:cs="Tahoma"/>
          <w:b/>
          <w:bCs/>
          <w:sz w:val="18"/>
          <w:szCs w:val="18"/>
        </w:rPr>
      </w:pPr>
      <w:r w:rsidRPr="00716069">
        <w:rPr>
          <w:rFonts w:ascii="Tahoma" w:hAnsi="Tahoma" w:cs="Tahoma"/>
          <w:b/>
          <w:bCs/>
          <w:sz w:val="18"/>
          <w:szCs w:val="18"/>
        </w:rPr>
        <w:t xml:space="preserve">ARTICLE </w:t>
      </w:r>
      <w:r w:rsidR="00716069" w:rsidRPr="00716069">
        <w:rPr>
          <w:rFonts w:ascii="Tahoma" w:hAnsi="Tahoma" w:cs="Tahoma"/>
          <w:b/>
          <w:bCs/>
          <w:sz w:val="18"/>
          <w:szCs w:val="18"/>
        </w:rPr>
        <w:t>3</w:t>
      </w:r>
      <w:r w:rsidRPr="00716069">
        <w:rPr>
          <w:rFonts w:ascii="Tahoma" w:hAnsi="Tahoma" w:cs="Tahoma"/>
          <w:b/>
          <w:bCs/>
          <w:sz w:val="18"/>
          <w:szCs w:val="18"/>
        </w:rPr>
        <w:t xml:space="preserve"> – ENTRÉE EN VIGUEUR ET DURÉE</w:t>
      </w:r>
    </w:p>
    <w:p w14:paraId="5F209C1A" w14:textId="14B146DB" w:rsidR="008C5537" w:rsidRPr="00716069" w:rsidRDefault="008C5537" w:rsidP="008C5537">
      <w:pPr>
        <w:jc w:val="both"/>
        <w:rPr>
          <w:rFonts w:ascii="Tahoma" w:hAnsi="Tahoma" w:cs="Tahoma"/>
          <w:sz w:val="18"/>
          <w:szCs w:val="18"/>
        </w:rPr>
      </w:pPr>
      <w:r w:rsidRPr="00716069">
        <w:rPr>
          <w:rFonts w:ascii="Tahoma" w:hAnsi="Tahoma" w:cs="Tahoma"/>
          <w:sz w:val="18"/>
          <w:szCs w:val="18"/>
        </w:rPr>
        <w:t xml:space="preserve">Le présent avenant entrera en vigueur à </w:t>
      </w:r>
      <w:r w:rsidRPr="0089178F">
        <w:rPr>
          <w:rFonts w:ascii="Tahoma" w:hAnsi="Tahoma" w:cs="Tahoma"/>
          <w:sz w:val="18"/>
          <w:szCs w:val="18"/>
        </w:rPr>
        <w:t xml:space="preserve">compter du </w:t>
      </w:r>
      <w:r w:rsidR="0089178F" w:rsidRPr="0089178F">
        <w:rPr>
          <w:rFonts w:ascii="Tahoma" w:hAnsi="Tahoma" w:cs="Tahoma"/>
          <w:sz w:val="18"/>
          <w:szCs w:val="18"/>
        </w:rPr>
        <w:t>31</w:t>
      </w:r>
      <w:r w:rsidR="00B508CD" w:rsidRPr="0089178F">
        <w:rPr>
          <w:rFonts w:ascii="Tahoma" w:hAnsi="Tahoma" w:cs="Tahoma"/>
          <w:sz w:val="18"/>
          <w:szCs w:val="18"/>
        </w:rPr>
        <w:t>/</w:t>
      </w:r>
      <w:r w:rsidR="0089178F" w:rsidRPr="0089178F">
        <w:rPr>
          <w:rFonts w:ascii="Tahoma" w:hAnsi="Tahoma" w:cs="Tahoma"/>
          <w:sz w:val="18"/>
          <w:szCs w:val="18"/>
        </w:rPr>
        <w:t>03</w:t>
      </w:r>
      <w:r w:rsidR="00B508CD" w:rsidRPr="0089178F">
        <w:rPr>
          <w:rFonts w:ascii="Tahoma" w:hAnsi="Tahoma" w:cs="Tahoma"/>
          <w:sz w:val="18"/>
          <w:szCs w:val="18"/>
        </w:rPr>
        <w:t>/</w:t>
      </w:r>
      <w:r w:rsidR="00A9684E" w:rsidRPr="0089178F">
        <w:rPr>
          <w:rFonts w:ascii="Tahoma" w:hAnsi="Tahoma" w:cs="Tahoma"/>
          <w:sz w:val="18"/>
          <w:szCs w:val="18"/>
        </w:rPr>
        <w:t>2026</w:t>
      </w:r>
      <w:r w:rsidRPr="0089178F">
        <w:rPr>
          <w:rFonts w:ascii="Tahoma" w:hAnsi="Tahoma" w:cs="Tahoma"/>
          <w:sz w:val="18"/>
          <w:szCs w:val="18"/>
        </w:rPr>
        <w:t>.</w:t>
      </w:r>
    </w:p>
    <w:p w14:paraId="01116EA9" w14:textId="77777777" w:rsidR="008C5537" w:rsidRPr="00716069" w:rsidRDefault="008C5537" w:rsidP="008C5537">
      <w:pPr>
        <w:jc w:val="both"/>
        <w:rPr>
          <w:rFonts w:ascii="Tahoma" w:hAnsi="Tahoma" w:cs="Tahoma"/>
          <w:sz w:val="18"/>
          <w:szCs w:val="18"/>
        </w:rPr>
      </w:pPr>
      <w:r w:rsidRPr="00716069">
        <w:rPr>
          <w:rFonts w:ascii="Tahoma" w:hAnsi="Tahoma" w:cs="Tahoma"/>
          <w:sz w:val="18"/>
          <w:szCs w:val="18"/>
        </w:rPr>
        <w:t>Il est conclu pour la même durée que l’accord initial et suivra son régime de renouvellement, de révision et de dénonciation.</w:t>
      </w:r>
    </w:p>
    <w:p w14:paraId="14CEFB60" w14:textId="0326DABA" w:rsidR="008C5537" w:rsidRPr="00716069" w:rsidRDefault="008C5537" w:rsidP="008C5537">
      <w:pPr>
        <w:jc w:val="both"/>
        <w:rPr>
          <w:rFonts w:ascii="Tahoma" w:hAnsi="Tahoma" w:cs="Tahoma"/>
          <w:sz w:val="18"/>
          <w:szCs w:val="18"/>
        </w:rPr>
      </w:pPr>
    </w:p>
    <w:p w14:paraId="638E4B45" w14:textId="515D4B84" w:rsidR="008C5537" w:rsidRPr="00716069" w:rsidRDefault="008C5537" w:rsidP="008C5537">
      <w:pPr>
        <w:jc w:val="both"/>
        <w:rPr>
          <w:rFonts w:ascii="Tahoma" w:hAnsi="Tahoma" w:cs="Tahoma"/>
          <w:b/>
          <w:bCs/>
          <w:sz w:val="18"/>
          <w:szCs w:val="18"/>
        </w:rPr>
      </w:pPr>
      <w:r w:rsidRPr="00716069">
        <w:rPr>
          <w:rFonts w:ascii="Tahoma" w:hAnsi="Tahoma" w:cs="Tahoma"/>
          <w:b/>
          <w:bCs/>
          <w:sz w:val="18"/>
          <w:szCs w:val="18"/>
        </w:rPr>
        <w:lastRenderedPageBreak/>
        <w:t xml:space="preserve">ARTICLE </w:t>
      </w:r>
      <w:r w:rsidR="00716069" w:rsidRPr="00716069">
        <w:rPr>
          <w:rFonts w:ascii="Tahoma" w:hAnsi="Tahoma" w:cs="Tahoma"/>
          <w:b/>
          <w:bCs/>
          <w:sz w:val="18"/>
          <w:szCs w:val="18"/>
        </w:rPr>
        <w:t>4</w:t>
      </w:r>
      <w:r w:rsidRPr="00716069">
        <w:rPr>
          <w:rFonts w:ascii="Tahoma" w:hAnsi="Tahoma" w:cs="Tahoma"/>
          <w:b/>
          <w:bCs/>
          <w:sz w:val="18"/>
          <w:szCs w:val="18"/>
        </w:rPr>
        <w:t xml:space="preserve"> – PUBLICITÉ ET DÉPÔT</w:t>
      </w:r>
    </w:p>
    <w:p w14:paraId="64EA80A6" w14:textId="77777777" w:rsidR="008C5537" w:rsidRPr="00716069" w:rsidRDefault="008C5537" w:rsidP="008C5537">
      <w:pPr>
        <w:jc w:val="both"/>
        <w:rPr>
          <w:rFonts w:ascii="Tahoma" w:hAnsi="Tahoma" w:cs="Tahoma"/>
          <w:sz w:val="18"/>
          <w:szCs w:val="18"/>
        </w:rPr>
      </w:pPr>
      <w:r w:rsidRPr="00716069">
        <w:rPr>
          <w:rFonts w:ascii="Tahoma" w:hAnsi="Tahoma" w:cs="Tahoma"/>
          <w:sz w:val="18"/>
          <w:szCs w:val="18"/>
        </w:rPr>
        <w:t>Le présent avenant fera l’objet des mêmes mesures de publicité et de dépôt que l’accord initial, conformément aux dispositions légales et réglementaires en vigueur.</w:t>
      </w:r>
    </w:p>
    <w:p w14:paraId="04DD949A" w14:textId="77777777" w:rsidR="00716069" w:rsidRPr="00716069" w:rsidRDefault="00716069" w:rsidP="008C5537">
      <w:pPr>
        <w:jc w:val="both"/>
        <w:rPr>
          <w:rFonts w:ascii="Tahoma" w:hAnsi="Tahoma" w:cs="Tahoma"/>
          <w:sz w:val="18"/>
          <w:szCs w:val="18"/>
        </w:rPr>
      </w:pPr>
    </w:p>
    <w:p w14:paraId="73179487" w14:textId="53A02DF3" w:rsidR="008C5537" w:rsidRPr="00716069" w:rsidRDefault="008C5537" w:rsidP="008C5537">
      <w:pPr>
        <w:jc w:val="both"/>
        <w:rPr>
          <w:rFonts w:ascii="Tahoma" w:hAnsi="Tahoma" w:cs="Tahoma"/>
          <w:sz w:val="18"/>
          <w:szCs w:val="18"/>
        </w:rPr>
      </w:pPr>
      <w:r w:rsidRPr="00716069">
        <w:rPr>
          <w:rFonts w:ascii="Tahoma" w:hAnsi="Tahoma" w:cs="Tahoma"/>
          <w:b/>
          <w:bCs/>
          <w:sz w:val="18"/>
          <w:szCs w:val="18"/>
        </w:rPr>
        <w:t xml:space="preserve">Fait à Belberaud (31), le </w:t>
      </w:r>
      <w:r w:rsidR="007F5A45">
        <w:rPr>
          <w:rFonts w:ascii="Tahoma" w:hAnsi="Tahoma" w:cs="Tahoma"/>
          <w:b/>
          <w:bCs/>
          <w:sz w:val="18"/>
          <w:szCs w:val="18"/>
        </w:rPr>
        <w:t>3</w:t>
      </w:r>
      <w:r w:rsidR="00B508CD">
        <w:rPr>
          <w:rFonts w:ascii="Tahoma" w:hAnsi="Tahoma" w:cs="Tahoma"/>
          <w:b/>
          <w:bCs/>
          <w:sz w:val="18"/>
          <w:szCs w:val="18"/>
        </w:rPr>
        <w:t>1</w:t>
      </w:r>
      <w:r w:rsidR="00716069" w:rsidRPr="00716069">
        <w:rPr>
          <w:rFonts w:ascii="Tahoma" w:hAnsi="Tahoma" w:cs="Tahoma"/>
          <w:b/>
          <w:bCs/>
          <w:sz w:val="18"/>
          <w:szCs w:val="18"/>
        </w:rPr>
        <w:t xml:space="preserve"> mars</w:t>
      </w:r>
      <w:r w:rsidR="00A9684E" w:rsidRPr="00716069">
        <w:rPr>
          <w:rFonts w:ascii="Tahoma" w:hAnsi="Tahoma" w:cs="Tahoma"/>
          <w:b/>
          <w:bCs/>
          <w:sz w:val="18"/>
          <w:szCs w:val="18"/>
        </w:rPr>
        <w:t xml:space="preserve"> 2026</w:t>
      </w:r>
      <w:r w:rsidRPr="00716069">
        <w:rPr>
          <w:rFonts w:ascii="Tahoma" w:hAnsi="Tahoma" w:cs="Tahoma"/>
          <w:b/>
          <w:bCs/>
          <w:sz w:val="18"/>
          <w:szCs w:val="18"/>
        </w:rPr>
        <w:t>,</w:t>
      </w:r>
    </w:p>
    <w:p w14:paraId="728D8142" w14:textId="77777777" w:rsidR="00716069" w:rsidRPr="00716069" w:rsidRDefault="008C5537" w:rsidP="008C5537">
      <w:pPr>
        <w:jc w:val="both"/>
        <w:rPr>
          <w:rFonts w:ascii="Tahoma" w:hAnsi="Tahoma" w:cs="Tahoma"/>
          <w:sz w:val="18"/>
          <w:szCs w:val="18"/>
        </w:rPr>
      </w:pPr>
      <w:r w:rsidRPr="00716069">
        <w:rPr>
          <w:rFonts w:ascii="Tahoma" w:hAnsi="Tahoma" w:cs="Tahoma"/>
          <w:sz w:val="18"/>
          <w:szCs w:val="18"/>
        </w:rPr>
        <w:t xml:space="preserve">En </w:t>
      </w:r>
      <w:r w:rsidR="00A9684E" w:rsidRPr="00716069">
        <w:rPr>
          <w:rFonts w:ascii="Tahoma" w:hAnsi="Tahoma" w:cs="Tahoma"/>
          <w:sz w:val="18"/>
          <w:szCs w:val="18"/>
        </w:rPr>
        <w:t xml:space="preserve">3 </w:t>
      </w:r>
      <w:r w:rsidRPr="00716069">
        <w:rPr>
          <w:rFonts w:ascii="Tahoma" w:hAnsi="Tahoma" w:cs="Tahoma"/>
          <w:sz w:val="18"/>
          <w:szCs w:val="18"/>
        </w:rPr>
        <w:t>exemplaires originaux.</w:t>
      </w:r>
    </w:p>
    <w:p w14:paraId="54F80D64" w14:textId="21235CB0" w:rsidR="008C5537" w:rsidRPr="00716069" w:rsidRDefault="00716069" w:rsidP="008C5537">
      <w:pPr>
        <w:jc w:val="both"/>
        <w:rPr>
          <w:rFonts w:ascii="Tahoma" w:hAnsi="Tahoma" w:cs="Tahoma"/>
          <w:sz w:val="18"/>
          <w:szCs w:val="18"/>
        </w:rPr>
      </w:pPr>
      <w:r>
        <w:rPr>
          <w:rFonts w:ascii="Tahoma" w:hAnsi="Tahoma" w:cs="Tahoma"/>
          <w:i/>
          <w:iCs/>
          <w:sz w:val="18"/>
          <w:szCs w:val="18"/>
        </w:rPr>
        <w:t xml:space="preserve">Mr </w:t>
      </w:r>
      <w:r w:rsidR="006C26F0">
        <w:rPr>
          <w:rFonts w:ascii="Tahoma" w:hAnsi="Tahoma" w:cs="Tahoma"/>
          <w:i/>
          <w:iCs/>
          <w:sz w:val="18"/>
          <w:szCs w:val="18"/>
        </w:rPr>
        <w:t>XX</w:t>
      </w:r>
      <w:r>
        <w:rPr>
          <w:rFonts w:ascii="Tahoma" w:hAnsi="Tahoma" w:cs="Tahoma"/>
          <w:i/>
          <w:iCs/>
          <w:sz w:val="18"/>
          <w:szCs w:val="18"/>
        </w:rPr>
        <w:t xml:space="preserve"> délégué syndical FO</w:t>
      </w:r>
      <w:r>
        <w:rPr>
          <w:rFonts w:ascii="Tahoma" w:hAnsi="Tahoma" w:cs="Tahoma"/>
          <w:i/>
          <w:iCs/>
          <w:sz w:val="18"/>
          <w:szCs w:val="18"/>
        </w:rPr>
        <w:tab/>
      </w:r>
      <w:r>
        <w:rPr>
          <w:rFonts w:ascii="Tahoma" w:hAnsi="Tahoma" w:cs="Tahoma"/>
          <w:i/>
          <w:iCs/>
          <w:sz w:val="18"/>
          <w:szCs w:val="18"/>
        </w:rPr>
        <w:tab/>
      </w:r>
      <w:r>
        <w:rPr>
          <w:rFonts w:ascii="Tahoma" w:hAnsi="Tahoma" w:cs="Tahoma"/>
          <w:i/>
          <w:iCs/>
          <w:sz w:val="18"/>
          <w:szCs w:val="18"/>
        </w:rPr>
        <w:tab/>
      </w:r>
      <w:r>
        <w:rPr>
          <w:rFonts w:ascii="Tahoma" w:hAnsi="Tahoma" w:cs="Tahoma"/>
          <w:i/>
          <w:iCs/>
          <w:sz w:val="18"/>
          <w:szCs w:val="18"/>
        </w:rPr>
        <w:tab/>
        <w:t xml:space="preserve">Mr </w:t>
      </w:r>
      <w:r w:rsidR="006C26F0">
        <w:rPr>
          <w:rFonts w:ascii="Tahoma" w:hAnsi="Tahoma" w:cs="Tahoma"/>
          <w:i/>
          <w:iCs/>
          <w:sz w:val="18"/>
          <w:szCs w:val="18"/>
        </w:rPr>
        <w:t>XX</w:t>
      </w:r>
      <w:r>
        <w:rPr>
          <w:rFonts w:ascii="Tahoma" w:hAnsi="Tahoma" w:cs="Tahoma"/>
          <w:i/>
          <w:iCs/>
          <w:sz w:val="18"/>
          <w:szCs w:val="18"/>
        </w:rPr>
        <w:t xml:space="preserve"> directeur de site</w:t>
      </w:r>
    </w:p>
    <w:sectPr w:rsidR="008C5537" w:rsidRPr="00716069" w:rsidSect="00716069">
      <w:pgSz w:w="11906" w:h="16838"/>
      <w:pgMar w:top="993" w:right="1417" w:bottom="1417" w:left="1417" w:header="5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6ED333" w14:textId="77777777" w:rsidR="00A46F05" w:rsidRDefault="00A46F05" w:rsidP="008C5537">
      <w:pPr>
        <w:spacing w:after="0" w:line="240" w:lineRule="auto"/>
      </w:pPr>
      <w:r>
        <w:separator/>
      </w:r>
    </w:p>
  </w:endnote>
  <w:endnote w:type="continuationSeparator" w:id="0">
    <w:p w14:paraId="073BB418" w14:textId="77777777" w:rsidR="00A46F05" w:rsidRDefault="00A46F05" w:rsidP="008C55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D665F" w14:textId="77777777" w:rsidR="00A46F05" w:rsidRDefault="00A46F05" w:rsidP="008C5537">
      <w:pPr>
        <w:spacing w:after="0" w:line="240" w:lineRule="auto"/>
      </w:pPr>
      <w:r>
        <w:separator/>
      </w:r>
    </w:p>
  </w:footnote>
  <w:footnote w:type="continuationSeparator" w:id="0">
    <w:p w14:paraId="29E556FD" w14:textId="77777777" w:rsidR="00A46F05" w:rsidRDefault="00A46F05" w:rsidP="008C55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1552D" w14:textId="31FE0207" w:rsidR="008C5537" w:rsidRDefault="008C5537">
    <w:pPr>
      <w:pStyle w:val="En-tte"/>
    </w:pPr>
    <w:r>
      <w:rPr>
        <w:noProof/>
      </w:rPr>
      <w:drawing>
        <wp:inline distT="0" distB="0" distL="0" distR="0" wp14:anchorId="78A084F5" wp14:editId="69119948">
          <wp:extent cx="5559425" cy="738505"/>
          <wp:effectExtent l="0" t="0" r="3175" b="4445"/>
          <wp:docPr id="351412543" name="Image 351412543" descr="Une image contenant texte, Police, logo, capture d’écran&#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Image 33" descr="Une image contenant texte, Police, logo, capture d’écran&#10;&#10;Le contenu généré par l’IA peut être incorrect."/>
                  <pic:cNvPicPr>
                    <a:picLocks noChangeAspect="1"/>
                  </pic:cNvPicPr>
                </pic:nvPicPr>
                <pic:blipFill rotWithShape="1">
                  <a:blip r:embed="rId1">
                    <a:extLst>
                      <a:ext uri="{28A0092B-C50C-407E-A947-70E740481C1C}">
                        <a14:useLocalDpi xmlns:a14="http://schemas.microsoft.com/office/drawing/2010/main" val="0"/>
                      </a:ext>
                    </a:extLst>
                  </a:blip>
                  <a:srcRect t="21824"/>
                  <a:stretch/>
                </pic:blipFill>
                <pic:spPr bwMode="auto">
                  <a:xfrm>
                    <a:off x="0" y="0"/>
                    <a:ext cx="5559425" cy="738505"/>
                  </a:xfrm>
                  <a:prstGeom prst="rect">
                    <a:avLst/>
                  </a:prstGeom>
                  <a:noFill/>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rect id="_x0000_i1025" style="width:0;height:1.5pt" o:hralign="center" o:bullet="t" o:hrstd="t" o:hr="t" fillcolor="#a0a0a0" stroked="f"/>
    </w:pict>
  </w:numPicBullet>
  <w:numPicBullet w:numPicBulletId="1">
    <w:pict>
      <v:rect id="_x0000_i1026" style="width:0;height:1.5pt" o:hralign="center" o:bullet="t" o:hrstd="t" o:hr="t" fillcolor="#a0a0a0" stroked="f"/>
    </w:pict>
  </w:numPicBullet>
  <w:abstractNum w:abstractNumId="0" w15:restartNumberingAfterBreak="0">
    <w:nsid w:val="12883062"/>
    <w:multiLevelType w:val="multilevel"/>
    <w:tmpl w:val="A15CD3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6B281C"/>
    <w:multiLevelType w:val="hybridMultilevel"/>
    <w:tmpl w:val="6542F508"/>
    <w:lvl w:ilvl="0" w:tplc="013235C6">
      <w:numFmt w:val="bullet"/>
      <w:lvlText w:val="-"/>
      <w:lvlJc w:val="left"/>
      <w:pPr>
        <w:ind w:left="720" w:hanging="360"/>
      </w:pPr>
      <w:rPr>
        <w:rFonts w:ascii="Aptos" w:eastAsiaTheme="minorHAnsi" w:hAnsi="Aptos" w:cstheme="minorBidi" w:hint="default"/>
        <w:i/>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3F782F"/>
    <w:multiLevelType w:val="multilevel"/>
    <w:tmpl w:val="0100B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D46239"/>
    <w:multiLevelType w:val="multilevel"/>
    <w:tmpl w:val="D8DA9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52C7995"/>
    <w:multiLevelType w:val="hybridMultilevel"/>
    <w:tmpl w:val="21DE8392"/>
    <w:lvl w:ilvl="0" w:tplc="C2DAA284">
      <w:start w:val="3"/>
      <w:numFmt w:val="bullet"/>
      <w:lvlText w:val="-"/>
      <w:lvlJc w:val="left"/>
      <w:pPr>
        <w:ind w:left="720" w:hanging="360"/>
      </w:pPr>
      <w:rPr>
        <w:rFonts w:ascii="Tahoma" w:eastAsiaTheme="minorHAnsi" w:hAnsi="Tahoma"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42170577">
    <w:abstractNumId w:val="1"/>
  </w:num>
  <w:num w:numId="2" w16cid:durableId="1860460762">
    <w:abstractNumId w:val="3"/>
  </w:num>
  <w:num w:numId="3" w16cid:durableId="1681657213">
    <w:abstractNumId w:val="0"/>
  </w:num>
  <w:num w:numId="4" w16cid:durableId="1076632973">
    <w:abstractNumId w:val="2"/>
  </w:num>
  <w:num w:numId="5" w16cid:durableId="18506761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537"/>
    <w:rsid w:val="000A7DA0"/>
    <w:rsid w:val="00226BC6"/>
    <w:rsid w:val="002325E7"/>
    <w:rsid w:val="00287635"/>
    <w:rsid w:val="002C3B87"/>
    <w:rsid w:val="003063F3"/>
    <w:rsid w:val="003157D2"/>
    <w:rsid w:val="003164AE"/>
    <w:rsid w:val="004B4E9D"/>
    <w:rsid w:val="00561A71"/>
    <w:rsid w:val="005854D8"/>
    <w:rsid w:val="006011B5"/>
    <w:rsid w:val="0061503F"/>
    <w:rsid w:val="006525F9"/>
    <w:rsid w:val="006B539A"/>
    <w:rsid w:val="006C26F0"/>
    <w:rsid w:val="006D0DC0"/>
    <w:rsid w:val="006E486E"/>
    <w:rsid w:val="00716069"/>
    <w:rsid w:val="007750E5"/>
    <w:rsid w:val="007F5A45"/>
    <w:rsid w:val="008270BB"/>
    <w:rsid w:val="00844FDD"/>
    <w:rsid w:val="008567EA"/>
    <w:rsid w:val="00873A67"/>
    <w:rsid w:val="0089178F"/>
    <w:rsid w:val="008B4224"/>
    <w:rsid w:val="008C5537"/>
    <w:rsid w:val="00A46F05"/>
    <w:rsid w:val="00A9684E"/>
    <w:rsid w:val="00AA0717"/>
    <w:rsid w:val="00AF0575"/>
    <w:rsid w:val="00B439FA"/>
    <w:rsid w:val="00B508CD"/>
    <w:rsid w:val="00B923DB"/>
    <w:rsid w:val="00B93BB7"/>
    <w:rsid w:val="00C92377"/>
    <w:rsid w:val="00D1503E"/>
    <w:rsid w:val="00D26DE0"/>
    <w:rsid w:val="00D60A0A"/>
    <w:rsid w:val="00DF31A2"/>
    <w:rsid w:val="00E94E7C"/>
    <w:rsid w:val="00F5489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C4F3C"/>
  <w15:chartTrackingRefBased/>
  <w15:docId w15:val="{7EFAA1DE-6159-4E96-B42F-4B60316D3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fr-F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8C553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8C553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8C5537"/>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8C5537"/>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8C5537"/>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8C5537"/>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8C5537"/>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8C5537"/>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8C5537"/>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C5537"/>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8C5537"/>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8C5537"/>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8C5537"/>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8C5537"/>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8C5537"/>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8C5537"/>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8C5537"/>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8C5537"/>
    <w:rPr>
      <w:rFonts w:eastAsiaTheme="majorEastAsia" w:cstheme="majorBidi"/>
      <w:color w:val="272727" w:themeColor="text1" w:themeTint="D8"/>
    </w:rPr>
  </w:style>
  <w:style w:type="paragraph" w:styleId="Titre">
    <w:name w:val="Title"/>
    <w:basedOn w:val="Normal"/>
    <w:next w:val="Normal"/>
    <w:link w:val="TitreCar"/>
    <w:qFormat/>
    <w:rsid w:val="008C553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8C5537"/>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8C553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8C5537"/>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8C5537"/>
    <w:pPr>
      <w:spacing w:before="160"/>
      <w:jc w:val="center"/>
    </w:pPr>
    <w:rPr>
      <w:i/>
      <w:iCs/>
      <w:color w:val="404040" w:themeColor="text1" w:themeTint="BF"/>
    </w:rPr>
  </w:style>
  <w:style w:type="character" w:customStyle="1" w:styleId="CitationCar">
    <w:name w:val="Citation Car"/>
    <w:basedOn w:val="Policepardfaut"/>
    <w:link w:val="Citation"/>
    <w:uiPriority w:val="29"/>
    <w:rsid w:val="008C5537"/>
    <w:rPr>
      <w:i/>
      <w:iCs/>
      <w:color w:val="404040" w:themeColor="text1" w:themeTint="BF"/>
    </w:rPr>
  </w:style>
  <w:style w:type="paragraph" w:styleId="Paragraphedeliste">
    <w:name w:val="List Paragraph"/>
    <w:basedOn w:val="Normal"/>
    <w:uiPriority w:val="34"/>
    <w:qFormat/>
    <w:rsid w:val="008C5537"/>
    <w:pPr>
      <w:ind w:left="720"/>
      <w:contextualSpacing/>
    </w:pPr>
  </w:style>
  <w:style w:type="character" w:styleId="Accentuationintense">
    <w:name w:val="Intense Emphasis"/>
    <w:basedOn w:val="Policepardfaut"/>
    <w:uiPriority w:val="21"/>
    <w:qFormat/>
    <w:rsid w:val="008C5537"/>
    <w:rPr>
      <w:i/>
      <w:iCs/>
      <w:color w:val="0F4761" w:themeColor="accent1" w:themeShade="BF"/>
    </w:rPr>
  </w:style>
  <w:style w:type="paragraph" w:styleId="Citationintense">
    <w:name w:val="Intense Quote"/>
    <w:basedOn w:val="Normal"/>
    <w:next w:val="Normal"/>
    <w:link w:val="CitationintenseCar"/>
    <w:uiPriority w:val="30"/>
    <w:qFormat/>
    <w:rsid w:val="008C553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8C5537"/>
    <w:rPr>
      <w:i/>
      <w:iCs/>
      <w:color w:val="0F4761" w:themeColor="accent1" w:themeShade="BF"/>
    </w:rPr>
  </w:style>
  <w:style w:type="character" w:styleId="Rfrenceintense">
    <w:name w:val="Intense Reference"/>
    <w:basedOn w:val="Policepardfaut"/>
    <w:uiPriority w:val="32"/>
    <w:qFormat/>
    <w:rsid w:val="008C5537"/>
    <w:rPr>
      <w:b/>
      <w:bCs/>
      <w:smallCaps/>
      <w:color w:val="0F4761" w:themeColor="accent1" w:themeShade="BF"/>
      <w:spacing w:val="5"/>
    </w:rPr>
  </w:style>
  <w:style w:type="paragraph" w:styleId="En-tte">
    <w:name w:val="header"/>
    <w:basedOn w:val="Normal"/>
    <w:link w:val="En-tteCar"/>
    <w:uiPriority w:val="99"/>
    <w:unhideWhenUsed/>
    <w:rsid w:val="008C5537"/>
    <w:pPr>
      <w:tabs>
        <w:tab w:val="center" w:pos="4536"/>
        <w:tab w:val="right" w:pos="9072"/>
      </w:tabs>
      <w:spacing w:after="0" w:line="240" w:lineRule="auto"/>
    </w:pPr>
  </w:style>
  <w:style w:type="character" w:customStyle="1" w:styleId="En-tteCar">
    <w:name w:val="En-tête Car"/>
    <w:basedOn w:val="Policepardfaut"/>
    <w:link w:val="En-tte"/>
    <w:uiPriority w:val="99"/>
    <w:rsid w:val="008C5537"/>
  </w:style>
  <w:style w:type="paragraph" w:styleId="Pieddepage">
    <w:name w:val="footer"/>
    <w:basedOn w:val="Normal"/>
    <w:link w:val="PieddepageCar"/>
    <w:uiPriority w:val="99"/>
    <w:unhideWhenUsed/>
    <w:rsid w:val="008C55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C55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616</Words>
  <Characters>3390</Characters>
  <Application>Microsoft Office Word</Application>
  <DocSecurity>0</DocSecurity>
  <Lines>28</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Galea</dc:creator>
  <cp:keywords/>
  <dc:description/>
  <cp:lastModifiedBy>Julie Galea</cp:lastModifiedBy>
  <cp:revision>3</cp:revision>
  <dcterms:created xsi:type="dcterms:W3CDTF">2026-04-01T14:21:00Z</dcterms:created>
  <dcterms:modified xsi:type="dcterms:W3CDTF">2026-04-01T14:22:00Z</dcterms:modified>
</cp:coreProperties>
</file>