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hd w:val="clear" w:color="auto" w:fill="1F497D"/>
        <w:jc w:val="center"/>
        <w:rPr>
          <w:b/>
          <w:color w:val="FFFFFF"/>
          <w:sz w:val="32"/>
          <w:szCs w:val="32"/>
        </w:rPr>
      </w:pPr>
      <w:r>
        <w:rPr>
          <w:b/>
          <w:color w:val="FFFFFF"/>
          <w:sz w:val="32"/>
          <w:szCs w:val="32"/>
        </w:rPr>
        <w:t>PROTOCOLE D’ACCORD PORTANT SUR LA NEGOCIATION ANNUELLE OBLIGATOIRE 2026</w:t>
      </w:r>
    </w:p>
    <w:p>
      <w:pPr>
        <w:pStyle w:val="Normal"/>
        <w:spacing w:lineRule="auto" w:line="240"/>
        <w:jc w:val="both"/>
        <w:rPr>
          <w:color w:val="000000"/>
        </w:rPr>
      </w:pPr>
      <w:r>
        <w:rPr>
          <w:color w:val="000000"/>
        </w:rPr>
        <w:t>ENTRE LES SOUSSIGNES :</w:t>
      </w:r>
    </w:p>
    <w:p>
      <w:pPr>
        <w:pStyle w:val="Normal"/>
        <w:spacing w:lineRule="auto" w:line="240"/>
        <w:jc w:val="both"/>
        <w:rPr>
          <w:color w:val="000000"/>
        </w:rPr>
      </w:pPr>
      <w:r>
        <w:rPr>
          <w:color w:val="000000"/>
        </w:rPr>
        <w:t xml:space="preserve">La Société de Services </w:t>
      </w:r>
      <w:r>
        <w:rPr/>
        <w:t>Verriers susnommée</w:t>
      </w:r>
      <w:r>
        <w:rPr>
          <w:color w:val="000000"/>
        </w:rPr>
        <w:t xml:space="preserve"> SSV représentée par xx , en qualité de Directeur de</w:t>
      </w:r>
    </w:p>
    <w:p>
      <w:pPr>
        <w:pStyle w:val="Normal"/>
        <w:spacing w:lineRule="auto" w:line="240"/>
        <w:jc w:val="both"/>
        <w:rPr>
          <w:color w:val="000000"/>
        </w:rPr>
      </w:pPr>
      <w:r>
        <w:rPr>
          <w:color w:val="000000"/>
        </w:rPr>
        <w:t>site,</w:t>
      </w:r>
    </w:p>
    <w:p>
      <w:pPr>
        <w:pStyle w:val="Normal"/>
        <w:spacing w:lineRule="auto" w:line="240"/>
        <w:jc w:val="both"/>
        <w:rPr>
          <w:color w:val="000000"/>
        </w:rPr>
      </w:pPr>
      <w:r>
        <w:rPr>
          <w:color w:val="000000"/>
        </w:rPr>
        <w:t>D’UNE PART, et</w:t>
      </w:r>
    </w:p>
    <w:p>
      <w:pPr>
        <w:pStyle w:val="Normal"/>
        <w:spacing w:lineRule="auto" w:line="240"/>
        <w:jc w:val="both"/>
        <w:rPr>
          <w:color w:val="000000"/>
        </w:rPr>
      </w:pPr>
      <w:r>
        <w:rPr>
          <w:color w:val="000000"/>
        </w:rPr>
        <w:t>Les organisations syndicales représentatives au sein de l’entreprise :</w:t>
      </w:r>
    </w:p>
    <w:p>
      <w:pPr>
        <w:pStyle w:val="Normal"/>
        <w:spacing w:lineRule="auto" w:line="240"/>
        <w:jc w:val="both"/>
        <w:rPr/>
      </w:pPr>
      <w:r>
        <w:rPr>
          <w:color w:val="000000"/>
        </w:rPr>
        <w:t xml:space="preserve">La CFDT, représentée par Madame xx , </w:t>
      </w:r>
      <w:r>
        <w:rPr/>
        <w:t>Déléguée Syndicale.</w:t>
      </w:r>
    </w:p>
    <w:p>
      <w:pPr>
        <w:pStyle w:val="Normal"/>
        <w:spacing w:lineRule="auto" w:line="240"/>
        <w:jc w:val="both"/>
        <w:rPr/>
      </w:pPr>
      <w:r>
        <w:rPr/>
        <w:t>La CGT, représentée par Madame xx , Déléguée Syndicale.</w:t>
      </w:r>
    </w:p>
    <w:p>
      <w:pPr>
        <w:pStyle w:val="Normal"/>
        <w:spacing w:lineRule="auto" w:line="240"/>
        <w:jc w:val="both"/>
        <w:rPr>
          <w:color w:val="000000"/>
        </w:rPr>
      </w:pPr>
      <w:r>
        <w:rPr>
          <w:color w:val="000000"/>
        </w:rPr>
        <w:t>D’AUTRE PART</w:t>
      </w:r>
    </w:p>
    <w:p>
      <w:pPr>
        <w:pStyle w:val="Normal"/>
        <w:spacing w:lineRule="auto" w:line="240"/>
        <w:jc w:val="both"/>
        <w:rPr>
          <w:color w:val="000000"/>
        </w:rPr>
      </w:pPr>
      <w:r>
        <w:rPr>
          <w:color w:val="000000"/>
        </w:rPr>
      </w:r>
    </w:p>
    <w:p>
      <w:pPr>
        <w:pStyle w:val="Normal"/>
        <w:spacing w:lineRule="auto" w:line="240" w:before="0" w:after="0"/>
        <w:jc w:val="both"/>
        <w:rPr>
          <w:color w:val="000000"/>
        </w:rPr>
      </w:pPr>
      <w:r>
        <w:rPr>
          <w:color w:val="000000"/>
        </w:rPr>
        <w:t>En vertu de l’article L 2242-1 du code du travail, la direction a convoqué les organisations syndicales représentatives en vue de la négociation annuelle obligatoire 2026.</w:t>
      </w:r>
    </w:p>
    <w:p>
      <w:pPr>
        <w:pStyle w:val="Normal"/>
        <w:spacing w:lineRule="auto" w:line="240"/>
        <w:jc w:val="both"/>
        <w:rPr>
          <w:color w:val="000000"/>
        </w:rPr>
      </w:pPr>
      <w:r>
        <w:rPr>
          <w:color w:val="000000"/>
        </w:rPr>
        <w:t>Trois réunions se sont tenues entre la Direction et les Organisations Syndicales :</w:t>
      </w:r>
    </w:p>
    <w:p>
      <w:pPr>
        <w:pStyle w:val="Normal"/>
        <w:numPr>
          <w:ilvl w:val="0"/>
          <w:numId w:val="2"/>
        </w:numPr>
        <w:spacing w:lineRule="auto" w:line="240"/>
        <w:jc w:val="both"/>
        <w:rPr>
          <w:color w:val="000000"/>
        </w:rPr>
      </w:pPr>
      <w:r>
        <w:rPr>
          <w:color w:val="000000"/>
        </w:rPr>
        <w:t>le vendredi 20 mars 2026</w:t>
      </w:r>
    </w:p>
    <w:p>
      <w:pPr>
        <w:pStyle w:val="Normal"/>
        <w:numPr>
          <w:ilvl w:val="0"/>
          <w:numId w:val="2"/>
        </w:numPr>
        <w:spacing w:lineRule="auto" w:line="240"/>
        <w:jc w:val="both"/>
        <w:rPr>
          <w:color w:val="000000"/>
        </w:rPr>
      </w:pPr>
      <w:r>
        <w:rPr>
          <w:color w:val="000000"/>
        </w:rPr>
        <w:t>le mardi 24 mars 2026</w:t>
      </w:r>
    </w:p>
    <w:p>
      <w:pPr>
        <w:pStyle w:val="Normal"/>
        <w:numPr>
          <w:ilvl w:val="0"/>
          <w:numId w:val="2"/>
        </w:numPr>
        <w:spacing w:lineRule="auto" w:line="240"/>
        <w:jc w:val="both"/>
        <w:rPr>
          <w:color w:val="000000"/>
        </w:rPr>
      </w:pPr>
      <w:r>
        <w:rPr>
          <w:color w:val="000000"/>
        </w:rPr>
        <w:t>le mercredi 27 mars 2026</w:t>
      </w:r>
    </w:p>
    <w:p>
      <w:pPr>
        <w:pStyle w:val="Normal"/>
        <w:spacing w:lineRule="auto" w:line="240"/>
        <w:jc w:val="both"/>
        <w:rPr>
          <w:color w:val="000000"/>
        </w:rPr>
      </w:pPr>
      <w:r>
        <w:rPr>
          <w:color w:val="000000"/>
        </w:rPr>
        <w:t xml:space="preserve">Lors de la première réunion, la direction a présenté les résultats financiers de l’entreprise laissant apparaitre un EBITDA positif et un résultat net négatif. L’activité 2025 s’est vu retriés 77 millions pièces retriées en manu​el et 45 millions de pièces retriés en auto​matique. </w:t>
      </w:r>
    </w:p>
    <w:p>
      <w:pPr>
        <w:pStyle w:val="Normal"/>
        <w:spacing w:lineRule="auto" w:line="240"/>
        <w:jc w:val="both"/>
        <w:rPr>
          <w:color w:val="000000"/>
        </w:rPr>
      </w:pPr>
      <w:r>
        <w:rPr>
          <w:color w:val="000000"/>
        </w:rPr>
        <w:t xml:space="preserve">Concernant les perspectives économiques, la charge en tri manuel serait légèrement en baisse autour de 13%. En tri automatique, la baisse de charge serait plus conséquente par rapport à 2025 (-53%). </w:t>
      </w:r>
    </w:p>
    <w:p>
      <w:pPr>
        <w:pStyle w:val="Normal"/>
        <w:spacing w:lineRule="auto" w:line="240"/>
        <w:jc w:val="both"/>
        <w:rPr>
          <w:color w:val="000000"/>
        </w:rPr>
      </w:pPr>
      <w:r>
        <w:rPr>
          <w:color w:val="000000"/>
        </w:rPr>
        <w:t>Des projets d’investissement restent importants afin de maintenir et moderniser les outils industriels du site.</w:t>
      </w:r>
    </w:p>
    <w:p>
      <w:pPr>
        <w:pStyle w:val="Normal"/>
        <w:spacing w:lineRule="auto" w:line="240"/>
        <w:jc w:val="both"/>
        <w:rPr>
          <w:color w:val="000000"/>
        </w:rPr>
      </w:pPr>
      <w:r>
        <w:rPr>
          <w:color w:val="000000"/>
        </w:rPr>
        <w:t xml:space="preserve">Les données sociales ont ensuite été présentées sur la répartition des effectifs, la pyramide des âges, les types de sorties et la durée du travail. La direction a ensuite affiché un bilan des rémunérations incluant les évolutions des salaires de base soit 22,18% d’augmentation sur 5 ans pour les agents de production. </w:t>
      </w:r>
    </w:p>
    <w:p>
      <w:pPr>
        <w:pStyle w:val="Normal"/>
        <w:spacing w:lineRule="auto" w:line="240"/>
        <w:jc w:val="both"/>
        <w:rPr>
          <w:color w:val="000000"/>
        </w:rPr>
      </w:pPr>
      <w:r>
        <w:rPr>
          <w:color w:val="000000"/>
        </w:rPr>
        <w:t xml:space="preserve">Enfin, la direction a affiché le contexte économique français avec un taux d’inflation hors tabac à hauteur de 0,7%. </w:t>
      </w:r>
    </w:p>
    <w:p>
      <w:pPr>
        <w:pStyle w:val="Normal"/>
        <w:spacing w:lineRule="auto" w:line="240"/>
        <w:jc w:val="both"/>
        <w:rPr>
          <w:color w:val="000000"/>
        </w:rPr>
      </w:pPr>
      <w:r>
        <w:rPr>
          <w:color w:val="000000"/>
        </w:rPr>
        <w:t xml:space="preserve">Les réunions suivantes ont consisté à discuter des revendications de chacune des organisations syndicales. </w:t>
      </w:r>
    </w:p>
    <w:p>
      <w:pPr>
        <w:pStyle w:val="Normal"/>
        <w:spacing w:lineRule="auto" w:line="240"/>
        <w:jc w:val="both"/>
        <w:rPr>
          <w:color w:val="000000"/>
        </w:rPr>
      </w:pPr>
      <w:r>
        <w:rPr/>
      </w:r>
    </w:p>
    <w:p>
      <w:pPr>
        <w:pStyle w:val="Normal"/>
        <w:spacing w:lineRule="auto" w:line="240"/>
        <w:jc w:val="both"/>
        <w:rPr>
          <w:color w:val="000000"/>
        </w:rPr>
      </w:pPr>
      <w:r>
        <w:rPr>
          <w:color w:val="000000"/>
        </w:rPr>
        <w:t xml:space="preserve">Conformément aux dispositions de l’article L 2242-1 et suivant du code du travail, les parties signataires ont cherché par le présent accord à concilier les souhaits des salariés en matière de revenu et les objectifs et contraintes économiques que l’entreprise doit gérer. </w:t>
      </w:r>
    </w:p>
    <w:p>
      <w:pPr>
        <w:pStyle w:val="Normal"/>
        <w:spacing w:lineRule="auto" w:line="240"/>
        <w:jc w:val="both"/>
        <w:rPr>
          <w:color w:val="000000"/>
        </w:rPr>
      </w:pPr>
      <w:r>
        <w:rPr>
          <w:color w:val="000000"/>
        </w:rPr>
        <w:t xml:space="preserve">En conséquence, les parties s’accordent sur les dispositions exposées ci-après : </w:t>
      </w:r>
    </w:p>
    <w:p>
      <w:pPr>
        <w:pStyle w:val="Normal"/>
        <w:spacing w:lineRule="auto" w:line="240"/>
        <w:jc w:val="both"/>
        <w:rPr>
          <w:color w:val="000000"/>
        </w:rPr>
      </w:pPr>
      <w:r>
        <w:rPr>
          <w:color w:val="000000"/>
        </w:rPr>
      </w:r>
    </w:p>
    <w:p>
      <w:pPr>
        <w:pStyle w:val="ListParagraph"/>
        <w:tabs>
          <w:tab w:val="clear" w:pos="708"/>
          <w:tab w:val="left" w:pos="709" w:leader="none"/>
        </w:tabs>
        <w:ind w:left="0"/>
        <w:jc w:val="both"/>
        <w:rPr>
          <w:b/>
          <w:color w:val="000000"/>
          <w:u w:val="single"/>
        </w:rPr>
      </w:pPr>
      <w:r>
        <w:rPr>
          <w:b/>
          <w:color w:val="000000"/>
          <w:u w:val="single"/>
        </w:rPr>
        <w:t>FINALITE DES MESURES 2026 NEGOCIEES</w:t>
      </w:r>
    </w:p>
    <w:p>
      <w:pPr>
        <w:pStyle w:val="Normal"/>
        <w:numPr>
          <w:ilvl w:val="0"/>
          <w:numId w:val="1"/>
        </w:numPr>
        <w:spacing w:before="0" w:after="0"/>
        <w:jc w:val="both"/>
        <w:rPr>
          <w:b/>
          <w:color w:val="000000"/>
        </w:rPr>
      </w:pPr>
      <w:r>
        <w:rPr>
          <w:b/>
          <w:color w:val="000000"/>
          <w:u w:val="single"/>
        </w:rPr>
        <w:t>Augmentation générale des salaires</w:t>
      </w:r>
    </w:p>
    <w:p>
      <w:pPr>
        <w:pStyle w:val="Normal"/>
        <w:spacing w:lineRule="auto" w:line="240" w:before="0" w:after="0"/>
        <w:jc w:val="both"/>
        <w:rPr>
          <w:rFonts w:cs="Times"/>
          <w:color w:val="000000"/>
        </w:rPr>
      </w:pPr>
      <w:r>
        <w:rPr>
          <w:rFonts w:cs="Times"/>
          <w:color w:val="000000"/>
        </w:rPr>
        <w:t xml:space="preserve">Pour la population « ouvriers, employés, maitrises, techniciens » de SSV, les parties ont convenu l’application des dispositions salariales suivantes : </w:t>
      </w:r>
      <w:r>
        <w:rPr>
          <w:rFonts w:cs="Times"/>
          <w:b/>
          <w:bCs/>
          <w:color w:val="000000"/>
        </w:rPr>
        <w:t>1,1%</w:t>
      </w:r>
      <w:r>
        <w:rPr>
          <w:rFonts w:cs="Times"/>
          <w:color w:val="000000"/>
        </w:rPr>
        <w:t xml:space="preserve"> d’augmentation générale des salaires, applicable au 1</w:t>
      </w:r>
      <w:r>
        <w:rPr>
          <w:rFonts w:cs="Times"/>
          <w:color w:val="000000"/>
          <w:vertAlign w:val="superscript"/>
        </w:rPr>
        <w:t>er</w:t>
      </w:r>
      <w:r>
        <w:rPr>
          <w:rFonts w:cs="Times"/>
          <w:color w:val="000000"/>
        </w:rPr>
        <w:t xml:space="preserve"> janvier 2026.</w:t>
      </w:r>
    </w:p>
    <w:p>
      <w:pPr>
        <w:pStyle w:val="Normal"/>
        <w:spacing w:lineRule="auto" w:line="240" w:before="0" w:after="0"/>
        <w:jc w:val="both"/>
        <w:rPr>
          <w:color w:val="000000"/>
        </w:rPr>
      </w:pPr>
      <w:r>
        <w:rPr>
          <w:color w:val="000000"/>
        </w:rPr>
      </w:r>
    </w:p>
    <w:p>
      <w:pPr>
        <w:pStyle w:val="Normal"/>
        <w:numPr>
          <w:ilvl w:val="0"/>
          <w:numId w:val="1"/>
        </w:numPr>
        <w:spacing w:before="0" w:after="0"/>
        <w:jc w:val="both"/>
        <w:rPr>
          <w:b/>
          <w:color w:val="000000"/>
          <w:u w:val="single"/>
        </w:rPr>
      </w:pPr>
      <w:r>
        <w:rPr>
          <w:b/>
          <w:color w:val="000000"/>
          <w:u w:val="single"/>
        </w:rPr>
        <w:t>Prime panier jour et nuit</w:t>
      </w:r>
    </w:p>
    <w:p>
      <w:pPr>
        <w:pStyle w:val="Normal"/>
        <w:spacing w:lineRule="auto" w:line="240" w:before="0" w:after="0"/>
        <w:jc w:val="both"/>
        <w:rPr>
          <w:color w:val="000000"/>
        </w:rPr>
      </w:pPr>
      <w:r>
        <w:rPr>
          <w:color w:val="000000"/>
        </w:rPr>
        <w:t xml:space="preserve">5% d’augmentation de la prime panier jour </w:t>
      </w:r>
      <w:r>
        <w:rPr>
          <w:rFonts w:cs="Times"/>
          <w:color w:val="000000"/>
        </w:rPr>
        <w:t>applicable au 1</w:t>
      </w:r>
      <w:r>
        <w:rPr>
          <w:rFonts w:cs="Times"/>
          <w:color w:val="000000"/>
          <w:vertAlign w:val="superscript"/>
        </w:rPr>
        <w:t>er</w:t>
      </w:r>
      <w:r>
        <w:rPr>
          <w:rFonts w:cs="Times"/>
          <w:color w:val="000000"/>
        </w:rPr>
        <w:t xml:space="preserve"> janvier 2026</w:t>
      </w:r>
    </w:p>
    <w:p>
      <w:pPr>
        <w:pStyle w:val="Normal"/>
        <w:spacing w:lineRule="auto" w:line="240" w:before="0" w:after="0"/>
        <w:jc w:val="both"/>
        <w:rPr>
          <w:color w:val="000000"/>
        </w:rPr>
      </w:pPr>
      <w:r>
        <w:rPr>
          <w:color w:val="000000"/>
        </w:rPr>
        <w:t xml:space="preserve">5% d’augmentation de la prime panier nuit </w:t>
      </w:r>
      <w:r>
        <w:rPr>
          <w:rFonts w:cs="Times"/>
          <w:color w:val="000000"/>
        </w:rPr>
        <w:t>applicable au 1</w:t>
      </w:r>
      <w:r>
        <w:rPr>
          <w:rFonts w:cs="Times"/>
          <w:color w:val="000000"/>
          <w:vertAlign w:val="superscript"/>
        </w:rPr>
        <w:t>er</w:t>
      </w:r>
      <w:r>
        <w:rPr>
          <w:rFonts w:cs="Times"/>
          <w:color w:val="000000"/>
        </w:rPr>
        <w:t xml:space="preserve"> janvier 2026</w:t>
      </w:r>
    </w:p>
    <w:p>
      <w:pPr>
        <w:pStyle w:val="Normal"/>
        <w:spacing w:lineRule="auto" w:line="240" w:before="0" w:after="0"/>
        <w:jc w:val="both"/>
        <w:rPr>
          <w:color w:val="000000"/>
        </w:rPr>
      </w:pPr>
      <w:r>
        <w:rPr>
          <w:color w:val="000000"/>
        </w:rPr>
      </w:r>
    </w:p>
    <w:p>
      <w:pPr>
        <w:pStyle w:val="Normal"/>
        <w:numPr>
          <w:ilvl w:val="0"/>
          <w:numId w:val="1"/>
        </w:numPr>
        <w:spacing w:before="0" w:after="0"/>
        <w:jc w:val="both"/>
        <w:rPr>
          <w:b/>
          <w:color w:val="000000"/>
          <w:u w:val="single"/>
        </w:rPr>
      </w:pPr>
      <w:r>
        <w:rPr>
          <w:b/>
          <w:bCs/>
          <w:color w:val="000000"/>
          <w:u w:val="single"/>
        </w:rPr>
        <w:t>Versement complémentaire œuvres sociales</w:t>
      </w:r>
    </w:p>
    <w:p>
      <w:pPr>
        <w:pStyle w:val="Normal"/>
        <w:spacing w:lineRule="auto" w:line="240" w:before="0" w:after="0"/>
        <w:jc w:val="both"/>
        <w:rPr>
          <w:color w:val="000000"/>
        </w:rPr>
      </w:pPr>
      <w:r>
        <w:rPr>
          <w:color w:val="000000"/>
        </w:rPr>
        <w:t xml:space="preserve">Une augmentation à hauteur de 0,1% de la masse salariale sur la part destinée aux œuvres sociales </w:t>
      </w:r>
    </w:p>
    <w:p>
      <w:pPr>
        <w:pStyle w:val="Normal"/>
        <w:spacing w:lineRule="auto" w:line="240" w:before="0" w:after="0"/>
        <w:jc w:val="both"/>
        <w:rPr>
          <w:color w:val="000000"/>
        </w:rPr>
      </w:pPr>
      <w:r>
        <w:rPr>
          <w:color w:val="000000"/>
        </w:rPr>
      </w:r>
    </w:p>
    <w:p>
      <w:pPr>
        <w:pStyle w:val="Normal"/>
        <w:numPr>
          <w:ilvl w:val="0"/>
          <w:numId w:val="1"/>
        </w:numPr>
        <w:spacing w:before="0" w:after="0"/>
        <w:jc w:val="both"/>
        <w:rPr>
          <w:b/>
          <w:color w:val="000000"/>
          <w:u w:val="single"/>
        </w:rPr>
      </w:pPr>
      <w:r>
        <w:rPr>
          <w:b/>
          <w:color w:val="000000"/>
          <w:u w:val="single"/>
        </w:rPr>
        <w:t>Augmentation du bonus associé à la prime d’assiduité</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 xml:space="preserve">Une augmentation de 50€ sur le bonus de la prime d’assiduité.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 xml:space="preserve">Pour rappel, l’absentéisme est revu tous les 6 mois : </w:t>
      </w:r>
    </w:p>
    <w:p>
      <w:pPr>
        <w:pStyle w:val="Normal"/>
        <w:numPr>
          <w:ilvl w:val="0"/>
          <w:numId w:val="3"/>
        </w:numPr>
        <w:spacing w:lineRule="auto" w:line="240" w:before="0" w:after="0"/>
        <w:jc w:val="both"/>
        <w:rPr>
          <w:color w:val="000000"/>
        </w:rPr>
      </w:pPr>
      <w:r>
        <w:rPr>
          <w:color w:val="000000"/>
        </w:rPr>
        <w:t>Le premier versement payable au plus tard sur la paie du mois de juin, calculé sur les absences du 1</w:t>
      </w:r>
      <w:r>
        <w:rPr>
          <w:color w:val="000000"/>
          <w:vertAlign w:val="superscript"/>
        </w:rPr>
        <w:t>er</w:t>
      </w:r>
      <w:r>
        <w:rPr>
          <w:color w:val="000000"/>
        </w:rPr>
        <w:t xml:space="preserve"> novembre au 30 avril</w:t>
      </w:r>
    </w:p>
    <w:p>
      <w:pPr>
        <w:pStyle w:val="Normal"/>
        <w:numPr>
          <w:ilvl w:val="0"/>
          <w:numId w:val="3"/>
        </w:numPr>
        <w:spacing w:lineRule="auto" w:line="240" w:before="0" w:after="0"/>
        <w:jc w:val="both"/>
        <w:rPr>
          <w:color w:val="000000"/>
        </w:rPr>
      </w:pPr>
      <w:r>
        <w:rPr>
          <w:color w:val="000000"/>
        </w:rPr>
        <w:t>Un deuxième versement payable au plus tard sur la paie de novembre, calculé selon les absences du 1</w:t>
      </w:r>
      <w:r>
        <w:rPr>
          <w:color w:val="000000"/>
          <w:vertAlign w:val="superscript"/>
        </w:rPr>
        <w:t>er</w:t>
      </w:r>
      <w:r>
        <w:rPr>
          <w:color w:val="000000"/>
        </w:rPr>
        <w:t xml:space="preserve"> mai et 31 octobre.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 xml:space="preserve">Ci-dessous, le barème du montant brut de la prime semestre en fonction du nombre d’incident d’absence décrit ci dessous.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r>
    </w:p>
    <w:tbl>
      <w:tblPr>
        <w:tblW w:w="24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200"/>
        <w:gridCol w:w="1200"/>
      </w:tblGrid>
      <w:tr>
        <w:trPr>
          <w:trHeight w:val="580" w:hRule="atLeast"/>
        </w:trPr>
        <w:tc>
          <w:tcPr>
            <w:tcW w:w="1200" w:type="dxa"/>
            <w:tcBorders>
              <w:top w:val="single" w:sz="4" w:space="0" w:color="000000"/>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Nb d’incident</w:t>
            </w:r>
          </w:p>
        </w:tc>
        <w:tc>
          <w:tcPr>
            <w:tcW w:w="1200" w:type="dxa"/>
            <w:tcBorders>
              <w:top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Montant brut au semestre</w:t>
            </w:r>
          </w:p>
        </w:tc>
      </w:tr>
      <w:tr>
        <w:trPr>
          <w:trHeight w:val="290" w:hRule="atLeast"/>
        </w:trPr>
        <w:tc>
          <w:tcPr>
            <w:tcW w:w="1200" w:type="dxa"/>
            <w:tcBorders>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0</w:t>
            </w:r>
          </w:p>
        </w:tc>
        <w:tc>
          <w:tcPr>
            <w:tcW w:w="1200" w:type="dxa"/>
            <w:tcBorders>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400</w:t>
            </w:r>
          </w:p>
        </w:tc>
      </w:tr>
      <w:tr>
        <w:trPr>
          <w:trHeight w:val="290" w:hRule="atLeast"/>
        </w:trPr>
        <w:tc>
          <w:tcPr>
            <w:tcW w:w="1200" w:type="dxa"/>
            <w:tcBorders>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1</w:t>
            </w:r>
          </w:p>
        </w:tc>
        <w:tc>
          <w:tcPr>
            <w:tcW w:w="1200" w:type="dxa"/>
            <w:tcBorders>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300</w:t>
            </w:r>
          </w:p>
        </w:tc>
      </w:tr>
      <w:tr>
        <w:trPr>
          <w:trHeight w:val="290" w:hRule="atLeast"/>
        </w:trPr>
        <w:tc>
          <w:tcPr>
            <w:tcW w:w="1200" w:type="dxa"/>
            <w:tcBorders>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2</w:t>
            </w:r>
          </w:p>
        </w:tc>
        <w:tc>
          <w:tcPr>
            <w:tcW w:w="1200" w:type="dxa"/>
            <w:tcBorders>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250</w:t>
            </w:r>
          </w:p>
        </w:tc>
      </w:tr>
      <w:tr>
        <w:trPr>
          <w:trHeight w:val="290" w:hRule="atLeast"/>
        </w:trPr>
        <w:tc>
          <w:tcPr>
            <w:tcW w:w="1200" w:type="dxa"/>
            <w:tcBorders>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3</w:t>
            </w:r>
          </w:p>
        </w:tc>
        <w:tc>
          <w:tcPr>
            <w:tcW w:w="1200" w:type="dxa"/>
            <w:tcBorders>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100</w:t>
            </w:r>
          </w:p>
        </w:tc>
      </w:tr>
      <w:tr>
        <w:trPr>
          <w:trHeight w:val="290" w:hRule="atLeast"/>
        </w:trPr>
        <w:tc>
          <w:tcPr>
            <w:tcW w:w="1200" w:type="dxa"/>
            <w:tcBorders>
              <w:top w:val="single" w:sz="4" w:space="0" w:color="000000"/>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4 et +</w:t>
            </w:r>
          </w:p>
        </w:tc>
        <w:tc>
          <w:tcPr>
            <w:tcW w:w="1200" w:type="dxa"/>
            <w:tcBorders>
              <w:top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0</w:t>
            </w:r>
          </w:p>
        </w:tc>
      </w:tr>
      <w:tr>
        <w:trPr>
          <w:trHeight w:val="290" w:hRule="atLeast"/>
        </w:trPr>
        <w:tc>
          <w:tcPr>
            <w:tcW w:w="1200" w:type="dxa"/>
            <w:tcBorders>
              <w:top w:val="single" w:sz="4" w:space="0" w:color="000000"/>
              <w:left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BONUS</w:t>
            </w:r>
          </w:p>
        </w:tc>
        <w:tc>
          <w:tcPr>
            <w:tcW w:w="1200" w:type="dxa"/>
            <w:tcBorders>
              <w:top w:val="single" w:sz="4" w:space="0" w:color="000000"/>
              <w:bottom w:val="single" w:sz="4" w:space="0" w:color="000000"/>
              <w:right w:val="single" w:sz="4" w:space="0" w:color="000000"/>
            </w:tcBorders>
            <w:vAlign w:val="bottom"/>
          </w:tcPr>
          <w:p>
            <w:pPr>
              <w:pStyle w:val="Normal"/>
              <w:spacing w:lineRule="auto" w:line="240" w:before="0" w:after="0"/>
              <w:jc w:val="both"/>
              <w:rPr>
                <w:color w:val="000000"/>
              </w:rPr>
            </w:pPr>
            <w:r>
              <w:rPr>
                <w:color w:val="000000"/>
              </w:rPr>
              <w:t>300</w:t>
            </w:r>
          </w:p>
        </w:tc>
      </w:tr>
    </w:tbl>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 xml:space="preserve">Si le/ la salarié(e) dispose d’aucune absence sur l’année, un montant bonus de 300 euros brut sera versé en novembre avec le montant de la prime du second semestre. </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Si le/ la salarié(e) dispose d’une absence maximale de 3 jours sur l’année, une neutralisation de cette absence sera effectuée de telle façon qu’il ou elle percevra le montant brut annuel de 800€ au lieu de 500€ prévus dans la grille. Dans ce cas le bonus ne sera pas versé.</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t>Il n’y aura pas de revalorisation de la prime en fonction des heures supplémentaires. </w:t>
      </w:r>
    </w:p>
    <w:p>
      <w:pPr>
        <w:pStyle w:val="Normal"/>
        <w:spacing w:lineRule="auto" w:line="240" w:before="0" w:after="0"/>
        <w:jc w:val="both"/>
        <w:rPr>
          <w:color w:val="000000"/>
        </w:rPr>
      </w:pPr>
      <w:r>
        <w:rPr>
          <w:color w:val="000000"/>
        </w:rPr>
        <w:t>L’opportunité maximale de la prime annuelle est de 1 100€.</w:t>
      </w:r>
    </w:p>
    <w:p>
      <w:pPr>
        <w:pStyle w:val="Normal"/>
        <w:spacing w:lineRule="auto" w:line="240" w:before="0" w:after="0"/>
        <w:jc w:val="both"/>
        <w:rPr>
          <w:color w:val="000000"/>
        </w:rPr>
      </w:pPr>
      <w:r>
        <w:rPr>
          <w:color w:val="000000"/>
        </w:rPr>
      </w:r>
    </w:p>
    <w:p>
      <w:pPr>
        <w:pStyle w:val="Normal"/>
        <w:spacing w:lineRule="auto" w:line="240" w:before="0" w:after="0"/>
        <w:jc w:val="both"/>
        <w:rPr>
          <w:color w:val="000000"/>
        </w:rPr>
      </w:pPr>
      <w:r>
        <w:rPr>
          <w:color w:val="000000"/>
        </w:rPr>
      </w:r>
    </w:p>
    <w:p>
      <w:pPr>
        <w:pStyle w:val="Normal"/>
        <w:numPr>
          <w:ilvl w:val="0"/>
          <w:numId w:val="1"/>
        </w:numPr>
        <w:spacing w:before="0" w:after="0"/>
        <w:jc w:val="both"/>
        <w:rPr>
          <w:b/>
          <w:color w:val="000000"/>
          <w:u w:val="single"/>
        </w:rPr>
      </w:pPr>
      <w:r>
        <w:rPr>
          <w:b/>
          <w:color w:val="000000"/>
          <w:u w:val="single"/>
        </w:rPr>
        <w:t>Durée de l’accord</w:t>
      </w:r>
    </w:p>
    <w:p>
      <w:pPr>
        <w:pStyle w:val="ListParagraph"/>
        <w:spacing w:lineRule="auto" w:line="240" w:before="0" w:after="240"/>
        <w:ind w:left="0"/>
        <w:contextualSpacing/>
        <w:jc w:val="both"/>
        <w:rPr>
          <w:rFonts w:eastAsia="Times New Roman"/>
          <w:color w:val="000000"/>
          <w:lang w:eastAsia="fr-FR"/>
        </w:rPr>
      </w:pPr>
      <w:r>
        <w:rPr>
          <w:rFonts w:cs="Calibri"/>
          <w:color w:val="000000"/>
        </w:rPr>
        <w:t>Le présent accord conclu dans le cadre de la politique salariale de SSV au titre de l’année 2026 est à durée indéterminée</w:t>
      </w:r>
      <w:r>
        <w:rPr>
          <w:rFonts w:eastAsia="Times New Roman"/>
          <w:color w:val="000000"/>
          <w:lang w:eastAsia="fr-FR"/>
        </w:rPr>
        <w:t>.</w:t>
      </w:r>
    </w:p>
    <w:p>
      <w:pPr>
        <w:pStyle w:val="ListParagraph"/>
        <w:spacing w:lineRule="auto" w:line="240" w:before="0" w:after="240"/>
        <w:ind w:left="0"/>
        <w:contextualSpacing/>
        <w:jc w:val="both"/>
        <w:rPr>
          <w:rFonts w:eastAsia="Times New Roman"/>
          <w:color w:val="000000"/>
          <w:lang w:eastAsia="fr-FR"/>
        </w:rPr>
      </w:pPr>
      <w:r>
        <w:rPr>
          <w:rFonts w:eastAsia="Times New Roman"/>
          <w:color w:val="000000"/>
          <w:lang w:eastAsia="fr-FR"/>
        </w:rPr>
        <w:t xml:space="preserve">Le présent accord se substitue à l’ensemble des pratiques et usages en cours dans l’entreprise ayant le même objet que les points négociés. </w:t>
      </w:r>
    </w:p>
    <w:p>
      <w:pPr>
        <w:pStyle w:val="ListParagraph"/>
        <w:spacing w:lineRule="auto" w:line="240" w:before="0" w:after="240"/>
        <w:ind w:left="0"/>
        <w:contextualSpacing/>
        <w:jc w:val="both"/>
        <w:rPr>
          <w:rFonts w:eastAsia="Times New Roman"/>
          <w:color w:val="000000"/>
          <w:lang w:eastAsia="fr-FR"/>
        </w:rPr>
      </w:pPr>
      <w:r>
        <w:rPr>
          <w:rFonts w:eastAsia="Times New Roman"/>
          <w:color w:val="000000"/>
          <w:lang w:eastAsia="fr-FR"/>
        </w:rPr>
      </w:r>
    </w:p>
    <w:p>
      <w:pPr>
        <w:pStyle w:val="Normal"/>
        <w:numPr>
          <w:ilvl w:val="0"/>
          <w:numId w:val="1"/>
        </w:numPr>
        <w:spacing w:before="0" w:after="0"/>
        <w:jc w:val="both"/>
        <w:rPr>
          <w:b/>
          <w:color w:val="000000"/>
          <w:u w:val="single"/>
        </w:rPr>
      </w:pPr>
      <w:r>
        <w:rPr>
          <w:b/>
          <w:color w:val="000000"/>
          <w:u w:val="single"/>
        </w:rPr>
        <w:t>Formalités</w:t>
      </w:r>
    </w:p>
    <w:p>
      <w:pPr>
        <w:pStyle w:val="Normal"/>
        <w:spacing w:lineRule="auto" w:line="240" w:before="0" w:after="0"/>
        <w:jc w:val="both"/>
        <w:rPr>
          <w:rFonts w:cs="Arial"/>
          <w:b/>
          <w:color w:val="000000"/>
          <w:u w:val="single"/>
        </w:rPr>
      </w:pPr>
      <w:r>
        <w:rPr>
          <w:rFonts w:cs="Arial"/>
          <w:color w:val="000000"/>
        </w:rPr>
        <w:t xml:space="preserve">Conclu dans le cadre d’un accord global, l’exercice du droit de dénonciation ne peut être partiel. En cas d’exercice de ce droit avant le terme des dispositions prévues l’application de ces dernières seront suspendues jusqu’à leur terme. </w:t>
      </w:r>
    </w:p>
    <w:p>
      <w:pPr>
        <w:pStyle w:val="Normal"/>
        <w:spacing w:before="0" w:after="0"/>
        <w:jc w:val="both"/>
        <w:rPr>
          <w:rFonts w:cs="Arial"/>
          <w:color w:val="000000"/>
        </w:rPr>
      </w:pPr>
      <w:r>
        <w:rPr>
          <w:rFonts w:cs="Arial"/>
          <w:color w:val="000000"/>
        </w:rPr>
        <w:t>Le présent accord sera soumis aux formalités de dépôt accomplies par l’entreprise.</w:t>
      </w:r>
    </w:p>
    <w:p>
      <w:pPr>
        <w:pStyle w:val="Normal"/>
        <w:spacing w:before="0" w:after="0"/>
        <w:jc w:val="both"/>
        <w:rPr>
          <w:rFonts w:cs="Arial"/>
          <w:color w:val="000000"/>
        </w:rPr>
      </w:pPr>
      <w:r>
        <w:rPr>
          <w:rFonts w:cs="Arial"/>
          <w:color w:val="000000"/>
        </w:rPr>
      </w:r>
    </w:p>
    <w:p>
      <w:pPr>
        <w:pStyle w:val="Normal"/>
        <w:spacing w:before="0" w:after="0"/>
        <w:jc w:val="both"/>
        <w:rPr>
          <w:rFonts w:cs="Arial"/>
          <w:color w:val="000000"/>
        </w:rPr>
      </w:pPr>
      <w:r>
        <w:rPr>
          <w:rFonts w:cs="Arial"/>
          <w:color w:val="000000"/>
        </w:rPr>
      </w:r>
    </w:p>
    <w:p>
      <w:pPr>
        <w:pStyle w:val="Normal"/>
        <w:spacing w:before="0" w:after="0"/>
        <w:jc w:val="both"/>
        <w:rPr>
          <w:rFonts w:cs="Arial"/>
          <w:color w:val="000000"/>
        </w:rPr>
      </w:pPr>
      <w:r>
        <w:rPr>
          <w:rFonts w:cs="Arial"/>
          <w:color w:val="000000"/>
        </w:rPr>
      </w:r>
    </w:p>
    <w:tbl>
      <w:tblPr>
        <w:tblW w:w="9288" w:type="dxa"/>
        <w:jc w:val="left"/>
        <w:tblInd w:w="360" w:type="dxa"/>
        <w:tblLayout w:type="fixed"/>
        <w:tblCellMar>
          <w:top w:w="0" w:type="dxa"/>
          <w:left w:w="108" w:type="dxa"/>
          <w:bottom w:w="0" w:type="dxa"/>
          <w:right w:w="108" w:type="dxa"/>
        </w:tblCellMar>
        <w:tblLook w:firstRow="1" w:noVBand="0" w:lastRow="1" w:firstColumn="1" w:lastColumn="1" w:noHBand="0" w:val="01e0"/>
      </w:tblPr>
      <w:tblGrid>
        <w:gridCol w:w="3097"/>
        <w:gridCol w:w="3095"/>
        <w:gridCol w:w="3096"/>
      </w:tblGrid>
      <w:tr>
        <w:trPr/>
        <w:tc>
          <w:tcPr>
            <w:tcW w:w="3097" w:type="dxa"/>
            <w:tcBorders/>
          </w:tcPr>
          <w:p>
            <w:pPr>
              <w:pStyle w:val="Normal"/>
              <w:spacing w:lineRule="auto" w:line="240" w:before="0" w:after="0"/>
              <w:jc w:val="both"/>
              <w:rPr>
                <w:rFonts w:cs="Arial"/>
                <w:color w:val="000000"/>
              </w:rPr>
            </w:pPr>
            <w:r>
              <w:rPr>
                <w:rFonts w:cs="Arial"/>
                <w:color w:val="000000"/>
              </w:rPr>
              <w:t>Saint Rémy Boscrocourt,</w:t>
            </w:r>
          </w:p>
          <w:p>
            <w:pPr>
              <w:pStyle w:val="Normal"/>
              <w:spacing w:lineRule="auto" w:line="240" w:before="0" w:after="0"/>
              <w:jc w:val="both"/>
              <w:rPr>
                <w:rFonts w:cs="Arial"/>
                <w:color w:val="000000"/>
              </w:rPr>
            </w:pPr>
            <w:r>
              <w:rPr>
                <w:rFonts w:cs="Arial"/>
                <w:color w:val="000000"/>
              </w:rPr>
              <w:t>le 31/03/2026</w:t>
            </w:r>
          </w:p>
          <w:p>
            <w:pPr>
              <w:pStyle w:val="Normal"/>
              <w:spacing w:lineRule="auto" w:line="240" w:before="0" w:after="0"/>
              <w:jc w:val="both"/>
              <w:rPr>
                <w:rFonts w:cs="Arial"/>
                <w:color w:val="000000"/>
              </w:rPr>
            </w:pPr>
            <w:r>
              <w:rPr>
                <w:rFonts w:cs="Arial"/>
                <w:color w:val="000000"/>
              </w:rPr>
            </w:r>
          </w:p>
          <w:p>
            <w:pPr>
              <w:pStyle w:val="Normal"/>
              <w:spacing w:lineRule="auto" w:line="240" w:before="0" w:after="0"/>
              <w:jc w:val="both"/>
              <w:rPr>
                <w:rFonts w:cs="Arial"/>
                <w:color w:val="000000"/>
              </w:rPr>
            </w:pPr>
            <w:r>
              <w:rPr>
                <w:rFonts w:cs="Arial"/>
                <w:color w:val="000000"/>
              </w:rPr>
            </w:r>
          </w:p>
          <w:p>
            <w:pPr>
              <w:pStyle w:val="Normal"/>
              <w:spacing w:lineRule="auto" w:line="240" w:before="0" w:after="0"/>
              <w:jc w:val="both"/>
              <w:rPr>
                <w:rFonts w:cs="Arial"/>
                <w:color w:val="000000"/>
              </w:rPr>
            </w:pPr>
            <w:r>
              <w:rPr>
                <w:rFonts w:cs="Arial"/>
                <w:color w:val="000000"/>
              </w:rPr>
            </w:r>
          </w:p>
          <w:p>
            <w:pPr>
              <w:pStyle w:val="Normal"/>
              <w:spacing w:lineRule="auto" w:line="240" w:before="0" w:after="0"/>
              <w:jc w:val="both"/>
              <w:rPr>
                <w:rFonts w:ascii="Arial" w:hAnsi="Arial" w:cs="Arial"/>
                <w:color w:val="000000"/>
              </w:rPr>
            </w:pPr>
            <w:r>
              <w:rPr>
                <w:rFonts w:cs="Arial" w:ascii="Arial" w:hAnsi="Arial"/>
                <w:color w:val="000000"/>
              </w:rPr>
            </w:r>
          </w:p>
        </w:tc>
        <w:tc>
          <w:tcPr>
            <w:tcW w:w="3095" w:type="dxa"/>
            <w:tcBorders/>
          </w:tcPr>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color w:val="000000"/>
              </w:rPr>
            </w:r>
          </w:p>
        </w:tc>
        <w:tc>
          <w:tcPr>
            <w:tcW w:w="3096" w:type="dxa"/>
            <w:tcBorders/>
          </w:tcPr>
          <w:p>
            <w:pPr>
              <w:pStyle w:val="Normal"/>
              <w:spacing w:lineRule="auto" w:line="240" w:before="0" w:after="0"/>
              <w:jc w:val="both"/>
              <w:rPr>
                <w:rFonts w:ascii="Arial" w:hAnsi="Arial" w:cs="Arial"/>
                <w:color w:val="000000"/>
              </w:rPr>
            </w:pPr>
            <w:r>
              <w:rPr>
                <w:rFonts w:cs="Arial" w:ascii="Arial" w:hAnsi="Arial"/>
                <w:color w:val="000000"/>
              </w:rPr>
            </w:r>
          </w:p>
        </w:tc>
      </w:tr>
      <w:tr>
        <w:trPr/>
        <w:tc>
          <w:tcPr>
            <w:tcW w:w="3097" w:type="dxa"/>
            <w:tcBorders/>
          </w:tcPr>
          <w:p>
            <w:pPr>
              <w:pStyle w:val="Normal"/>
              <w:spacing w:lineRule="auto" w:line="240" w:before="0" w:after="0"/>
              <w:jc w:val="both"/>
              <w:rPr>
                <w:rFonts w:cs="Arial"/>
                <w:b/>
                <w:color w:val="000000"/>
              </w:rPr>
            </w:pPr>
            <w:r>
              <w:rPr>
                <w:rFonts w:cs="Arial"/>
                <w:b/>
                <w:color w:val="000000"/>
              </w:rPr>
              <w:t>Pour la CFDT</w:t>
            </w:r>
          </w:p>
          <w:p>
            <w:pPr>
              <w:pStyle w:val="Normal"/>
              <w:spacing w:lineRule="auto" w:line="240" w:before="0" w:after="0"/>
              <w:jc w:val="both"/>
              <w:rPr>
                <w:rFonts w:cs="Arial"/>
                <w:b/>
                <w:color w:val="000000"/>
              </w:rPr>
            </w:pPr>
            <w:r>
              <w:rPr>
                <w:rFonts w:cs="Arial"/>
                <w:b/>
                <w:color w:val="000000"/>
              </w:rPr>
              <w:t>Mme xx</w:t>
            </w:r>
          </w:p>
        </w:tc>
        <w:tc>
          <w:tcPr>
            <w:tcW w:w="3095" w:type="dxa"/>
            <w:tcBorders/>
          </w:tcPr>
          <w:p>
            <w:pPr>
              <w:pStyle w:val="Normal"/>
              <w:spacing w:lineRule="auto" w:line="240" w:before="0" w:after="0"/>
              <w:jc w:val="both"/>
              <w:rPr>
                <w:rFonts w:cs="Arial"/>
                <w:b/>
                <w:color w:val="000000"/>
              </w:rPr>
            </w:pPr>
            <w:r>
              <w:rPr>
                <w:rFonts w:cs="Arial"/>
                <w:b/>
                <w:color w:val="000000"/>
              </w:rPr>
              <w:t>Pour la CGT</w:t>
            </w:r>
          </w:p>
          <w:p>
            <w:pPr>
              <w:pStyle w:val="Normal"/>
              <w:spacing w:lineRule="auto" w:line="240" w:before="0" w:after="0"/>
              <w:jc w:val="both"/>
              <w:rPr>
                <w:rFonts w:cs="Arial"/>
                <w:b/>
                <w:color w:val="000000"/>
              </w:rPr>
            </w:pPr>
            <w:r>
              <w:rPr>
                <w:rFonts w:cs="Arial"/>
                <w:b/>
                <w:color w:val="000000"/>
              </w:rPr>
              <w:t>Mme xx</w:t>
            </w:r>
          </w:p>
        </w:tc>
        <w:tc>
          <w:tcPr>
            <w:tcW w:w="3096" w:type="dxa"/>
            <w:tcBorders/>
          </w:tcPr>
          <w:p>
            <w:pPr>
              <w:pStyle w:val="Normal"/>
              <w:spacing w:lineRule="auto" w:line="240" w:before="0" w:after="0"/>
              <w:jc w:val="both"/>
              <w:rPr>
                <w:rFonts w:cs="Arial"/>
                <w:b/>
                <w:color w:val="000000"/>
              </w:rPr>
            </w:pPr>
            <w:r>
              <w:rPr>
                <w:rFonts w:cs="Arial"/>
                <w:b/>
                <w:color w:val="000000"/>
              </w:rPr>
              <w:t>Pour SSV</w:t>
            </w:r>
          </w:p>
          <w:p>
            <w:pPr>
              <w:pStyle w:val="Normal"/>
              <w:spacing w:lineRule="auto" w:line="240" w:before="0" w:after="0"/>
              <w:jc w:val="both"/>
              <w:rPr>
                <w:rFonts w:cs="Arial"/>
                <w:b/>
                <w:color w:val="000000"/>
              </w:rPr>
            </w:pPr>
            <w:r>
              <w:rPr>
                <w:rFonts w:cs="Arial"/>
                <w:b/>
                <w:color w:val="000000"/>
              </w:rPr>
              <w:t>M. xx</w:t>
            </w:r>
          </w:p>
        </w:tc>
      </w:tr>
    </w:tbl>
    <w:p>
      <w:pPr>
        <w:pStyle w:val="Normal"/>
        <w:spacing w:before="0" w:after="200"/>
        <w:ind w:left="360"/>
        <w:jc w:val="both"/>
        <w:rPr>
          <w:color w:val="000000"/>
        </w:rPr>
      </w:pPr>
      <w:r>
        <w:rPr>
          <w:color w:val="000000"/>
        </w:rPr>
      </w:r>
    </w:p>
    <w:sectPr>
      <w:footerReference w:type="even" r:id="rId2"/>
      <w:footerReference w:type="default" r:id="rId3"/>
      <w:footerReference w:type="first" r:id="rId4"/>
      <w:type w:val="nextPage"/>
      <w:pgSz w:w="11906" w:h="16838"/>
      <w:pgMar w:left="720" w:right="720" w:gutter="0" w:header="0" w:top="720" w:footer="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ahoma">
    <w:charset w:val="01"/>
    <w:family w:val="swiss"/>
    <w:pitch w:val="default"/>
  </w:font>
  <w:font w:name="Marianne">
    <w:charset w:val="01"/>
    <w:family w:val="auto"/>
    <w:pitch w:val="default"/>
  </w:font>
  <w:font w:name="Times New Roman">
    <w:charset w:val="01"/>
    <w:family w:val="roman"/>
    <w:pitch w:val="default"/>
  </w:font>
  <w:font w:name="Arial">
    <w:charset w:val="01"/>
    <w:family w:val="swiss"/>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ind w:firstLine="4536" w:left="39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ind w:firstLine="4536" w:left="396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776" w:hanging="360"/>
      </w:pPr>
      <w:rPr>
        <w:b/>
        <w:bCs/>
      </w:rPr>
    </w:lvl>
    <w:lvl w:ilvl="1">
      <w:start w:val="1"/>
      <w:numFmt w:val="decimal"/>
      <w:lvlText w:val="%1.%2."/>
      <w:lvlJc w:val="left"/>
      <w:pPr>
        <w:tabs>
          <w:tab w:val="num" w:pos="0"/>
        </w:tabs>
        <w:ind w:left="2208" w:hanging="432"/>
      </w:pPr>
      <w:rPr/>
    </w:lvl>
    <w:lvl w:ilvl="2">
      <w:start w:val="1"/>
      <w:numFmt w:val="decimal"/>
      <w:lvlText w:val="%1.%2.%3."/>
      <w:lvlJc w:val="left"/>
      <w:pPr>
        <w:tabs>
          <w:tab w:val="num" w:pos="0"/>
        </w:tabs>
        <w:ind w:left="2640" w:hanging="504"/>
      </w:pPr>
      <w:rPr/>
    </w:lvl>
    <w:lvl w:ilvl="3">
      <w:start w:val="1"/>
      <w:numFmt w:val="decimal"/>
      <w:lvlText w:val="%1.%2.%3.%4."/>
      <w:lvlJc w:val="left"/>
      <w:pPr>
        <w:tabs>
          <w:tab w:val="num" w:pos="0"/>
        </w:tabs>
        <w:ind w:left="3144" w:hanging="648"/>
      </w:pPr>
      <w:rPr/>
    </w:lvl>
    <w:lvl w:ilvl="4">
      <w:start w:val="1"/>
      <w:numFmt w:val="decimal"/>
      <w:lvlText w:val="%1.%2.%3.%4.%5."/>
      <w:lvlJc w:val="left"/>
      <w:pPr>
        <w:tabs>
          <w:tab w:val="num" w:pos="0"/>
        </w:tabs>
        <w:ind w:left="3648" w:hanging="792"/>
      </w:pPr>
      <w:rPr/>
    </w:lvl>
    <w:lvl w:ilvl="5">
      <w:start w:val="1"/>
      <w:numFmt w:val="decimal"/>
      <w:lvlText w:val="%1.%2.%3.%4.%5.%6."/>
      <w:lvlJc w:val="left"/>
      <w:pPr>
        <w:tabs>
          <w:tab w:val="num" w:pos="0"/>
        </w:tabs>
        <w:ind w:left="4152" w:hanging="936"/>
      </w:pPr>
      <w:rPr/>
    </w:lvl>
    <w:lvl w:ilvl="6">
      <w:start w:val="1"/>
      <w:numFmt w:val="decimal"/>
      <w:lvlText w:val="%1.%2.%3.%4.%5.%6.%7."/>
      <w:lvlJc w:val="left"/>
      <w:pPr>
        <w:tabs>
          <w:tab w:val="num" w:pos="0"/>
        </w:tabs>
        <w:ind w:left="4656" w:hanging="1080"/>
      </w:pPr>
      <w:rPr/>
    </w:lvl>
    <w:lvl w:ilvl="7">
      <w:start w:val="1"/>
      <w:numFmt w:val="decimal"/>
      <w:lvlText w:val="%1.%2.%3.%4.%5.%6.%7.%8."/>
      <w:lvlJc w:val="left"/>
      <w:pPr>
        <w:tabs>
          <w:tab w:val="num" w:pos="0"/>
        </w:tabs>
        <w:ind w:left="5160" w:hanging="1224"/>
      </w:pPr>
      <w:rPr/>
    </w:lvl>
    <w:lvl w:ilvl="8">
      <w:start w:val="1"/>
      <w:numFmt w:val="decimal"/>
      <w:lvlText w:val="%1.%2.%3.%4.%5.%6.%7.%8.%9."/>
      <w:lvlJc w:val="left"/>
      <w:pPr>
        <w:tabs>
          <w:tab w:val="num" w:pos="0"/>
        </w:tabs>
        <w:ind w:left="5736" w:hanging="144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19bd"/>
    <w:pPr>
      <w:widowControl/>
      <w:bidi w:val="0"/>
      <w:spacing w:lineRule="auto" w:line="276" w:before="0" w:after="200"/>
      <w:jc w:val="left"/>
    </w:pPr>
    <w:rPr>
      <w:rFonts w:ascii="Calibri" w:hAnsi="Calibri" w:eastAsia="Calibri" w:cs="Times New Roman"/>
      <w:color w:val="auto"/>
      <w:kern w:val="0"/>
      <w:sz w:val="22"/>
      <w:szCs w:val="22"/>
      <w:lang w:eastAsia="en-US" w:val="fr-FR" w:bidi="ar-SA"/>
    </w:rPr>
  </w:style>
  <w:style w:type="character" w:styleId="DefaultParagraphFont" w:default="1">
    <w:name w:val="Default Paragraph Font"/>
    <w:uiPriority w:val="1"/>
    <w:unhideWhenUsed/>
    <w:qFormat/>
    <w:rPr/>
  </w:style>
  <w:style w:type="character" w:styleId="Hyperlink">
    <w:name w:val="Hyperlink"/>
    <w:uiPriority w:val="99"/>
    <w:semiHidden/>
    <w:unhideWhenUsed/>
    <w:rsid w:val="009e5ce4"/>
    <w:rPr>
      <w:b/>
      <w:bCs/>
      <w:strike w:val="false"/>
      <w:dstrike w:val="false"/>
      <w:color w:val="333333"/>
      <w:u w:val="none"/>
      <w:effect w:val="none"/>
    </w:rPr>
  </w:style>
  <w:style w:type="character" w:styleId="Strong">
    <w:name w:val="Strong"/>
    <w:uiPriority w:val="22"/>
    <w:qFormat/>
    <w:rsid w:val="009e5ce4"/>
    <w:rPr>
      <w:b/>
      <w:bCs/>
    </w:rPr>
  </w:style>
  <w:style w:type="character" w:styleId="En-tteCar" w:customStyle="1">
    <w:name w:val="En-tête Car"/>
    <w:uiPriority w:val="99"/>
    <w:qFormat/>
    <w:rsid w:val="00a20469"/>
    <w:rPr>
      <w:sz w:val="22"/>
      <w:szCs w:val="22"/>
      <w:lang w:eastAsia="en-US"/>
    </w:rPr>
  </w:style>
  <w:style w:type="character" w:styleId="PieddepageCar" w:customStyle="1">
    <w:name w:val="Pied de page Car"/>
    <w:uiPriority w:val="99"/>
    <w:qFormat/>
    <w:rsid w:val="00a20469"/>
    <w:rPr>
      <w:sz w:val="22"/>
      <w:szCs w:val="22"/>
      <w:lang w:eastAsia="en-US"/>
    </w:rPr>
  </w:style>
  <w:style w:type="character" w:styleId="TextedebullesCar" w:customStyle="1">
    <w:name w:val="Texte de bulles Car"/>
    <w:link w:val="BalloonText"/>
    <w:uiPriority w:val="99"/>
    <w:semiHidden/>
    <w:qFormat/>
    <w:rsid w:val="00436e3c"/>
    <w:rPr>
      <w:rFonts w:ascii="Tahoma" w:hAnsi="Tahoma" w:cs="Tahoma"/>
      <w:sz w:val="16"/>
      <w:szCs w:val="16"/>
      <w:lang w:eastAsia="en-US"/>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34"/>
    <w:qFormat/>
    <w:rsid w:val="00c82640"/>
    <w:pPr>
      <w:spacing w:before="0" w:after="200"/>
      <w:ind w:left="720"/>
      <w:contextualSpacing/>
    </w:pPr>
    <w:rPr/>
  </w:style>
  <w:style w:type="paragraph" w:styleId="NormalWeb">
    <w:name w:val="Normal (Web)"/>
    <w:basedOn w:val="Normal"/>
    <w:uiPriority w:val="99"/>
    <w:semiHidden/>
    <w:unhideWhenUsed/>
    <w:qFormat/>
    <w:rsid w:val="009e5ce4"/>
    <w:pPr>
      <w:spacing w:lineRule="auto" w:line="240" w:beforeAutospacing="1" w:afterAutospacing="1"/>
    </w:pPr>
    <w:rPr>
      <w:rFonts w:ascii="Times New Roman" w:hAnsi="Times New Roman" w:eastAsia="Times New Roman"/>
      <w:sz w:val="24"/>
      <w:szCs w:val="24"/>
      <w:lang w:eastAsia="fr-F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a20469"/>
    <w:pPr>
      <w:tabs>
        <w:tab w:val="clear" w:pos="708"/>
        <w:tab w:val="center" w:pos="4536" w:leader="none"/>
        <w:tab w:val="right" w:pos="9072" w:leader="none"/>
      </w:tabs>
    </w:pPr>
    <w:rPr/>
  </w:style>
  <w:style w:type="paragraph" w:styleId="Footer">
    <w:name w:val="footer"/>
    <w:basedOn w:val="Normal"/>
    <w:link w:val="PieddepageCar"/>
    <w:uiPriority w:val="99"/>
    <w:unhideWhenUsed/>
    <w:rsid w:val="00a20469"/>
    <w:pPr>
      <w:tabs>
        <w:tab w:val="clear" w:pos="708"/>
        <w:tab w:val="center" w:pos="4536" w:leader="none"/>
        <w:tab w:val="right" w:pos="9072" w:leader="none"/>
      </w:tabs>
    </w:pPr>
    <w:rPr/>
  </w:style>
  <w:style w:type="paragraph" w:styleId="BalloonText">
    <w:name w:val="Balloon Text"/>
    <w:basedOn w:val="Normal"/>
    <w:link w:val="TextedebullesCar"/>
    <w:uiPriority w:val="99"/>
    <w:semiHidden/>
    <w:unhideWhenUsed/>
    <w:qFormat/>
    <w:rsid w:val="00436e3c"/>
    <w:pPr>
      <w:spacing w:lineRule="auto" w:line="240" w:before="0" w:after="0"/>
    </w:pPr>
    <w:rPr>
      <w:rFonts w:ascii="Tahoma" w:hAnsi="Tahoma" w:cs="Tahoma"/>
      <w:sz w:val="16"/>
      <w:szCs w:val="16"/>
    </w:rPr>
  </w:style>
  <w:style w:type="paragraph" w:styleId="xmsonormal" w:customStyle="1">
    <w:name w:val="xmsonormal"/>
    <w:basedOn w:val="Normal"/>
    <w:qFormat/>
    <w:rsid w:val="004f6aa2"/>
    <w:pPr>
      <w:spacing w:lineRule="auto" w:line="240" w:before="0" w:after="0"/>
    </w:pPr>
    <w:rPr>
      <w:rFonts w:eastAsia="DengXian" w:cs="Calibri"/>
      <w:lang w:eastAsia="zh-CN"/>
    </w:rPr>
  </w:style>
  <w:style w:type="paragraph" w:styleId="Revision">
    <w:name w:val="Revision"/>
    <w:uiPriority w:val="99"/>
    <w:semiHidden/>
    <w:qFormat/>
    <w:rsid w:val="00f64d86"/>
    <w:pPr>
      <w:widowControl/>
      <w:bidi w:val="0"/>
      <w:spacing w:before="0" w:after="0"/>
      <w:jc w:val="left"/>
    </w:pPr>
    <w:rPr>
      <w:rFonts w:ascii="Calibri" w:hAnsi="Calibri" w:eastAsia="Calibri" w:cs="Times New Roman"/>
      <w:color w:val="auto"/>
      <w:kern w:val="0"/>
      <w:sz w:val="22"/>
      <w:szCs w:val="22"/>
      <w:lang w:eastAsia="en-US" w:val="fr-FR"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qFormat/>
    <w:tblPr>
      <w:tblCellMar>
        <w:top w:w="0" w:type="dxa"/>
        <w:left w:w="108" w:type="dxa"/>
        <w:bottom w:w="0" w:type="dxa"/>
        <w:right w:w="108" w:type="dxa"/>
      </w:tblCellMar>
    </w:tblPr>
  </w:style>
  <w:style w:type="table" w:styleId="Grilledutableau">
    <w:name w:val="Table Grid"/>
    <w:basedOn w:val="TableauNormal"/>
    <w:rsid w:val="006c53e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EA96341DC03C409EF0CB8A2DF05326" ma:contentTypeVersion="14" ma:contentTypeDescription="Crée un document." ma:contentTypeScope="" ma:versionID="1de340aa28c919ac3c3d7d0e90a924bc">
  <xsd:schema xmlns:xsd="http://www.w3.org/2001/XMLSchema" xmlns:xs="http://www.w3.org/2001/XMLSchema" xmlns:p="http://schemas.microsoft.com/office/2006/metadata/properties" xmlns:ns2="8e6e622f-289c-47e4-a56e-454039d6a76a" xmlns:ns3="918aa479-ed52-4b40-b682-43ef21f6a8d0" targetNamespace="http://schemas.microsoft.com/office/2006/metadata/properties" ma:root="true" ma:fieldsID="d19224a2f5718530c2c76a2a4bb903f5" ns2:_="" ns3:_="">
    <xsd:import namespace="8e6e622f-289c-47e4-a56e-454039d6a76a"/>
    <xsd:import namespace="918aa479-ed52-4b40-b682-43ef21f6a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e622f-289c-47e4-a56e-454039d6a7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7611681-54aa-4a03-88ef-00b55fec666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8aa479-ed52-4b40-b682-43ef21f6a8d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e622f-289c-47e4-a56e-454039d6a7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5DAAC-1687-4098-819F-E6FA2F6267D6}">
  <ds:schemaRefs>
    <ds:schemaRef ds:uri="http://schemas.openxmlformats.org/officeDocument/2006/bibliography"/>
  </ds:schemaRefs>
</ds:datastoreItem>
</file>

<file path=customXml/itemProps2.xml><?xml version="1.0" encoding="utf-8"?>
<ds:datastoreItem xmlns:ds="http://schemas.openxmlformats.org/officeDocument/2006/customXml" ds:itemID="{4534CFD2-42CA-4012-B65E-E022FD457DD7}">
  <ds:schemaRefs>
    <ds:schemaRef ds:uri="http://schemas.microsoft.com/sharepoint/v3/contenttype/forms"/>
  </ds:schemaRefs>
</ds:datastoreItem>
</file>

<file path=customXml/itemProps3.xml><?xml version="1.0" encoding="utf-8"?>
<ds:datastoreItem xmlns:ds="http://schemas.openxmlformats.org/officeDocument/2006/customXml" ds:itemID="{C1B5B816-9C37-4EFD-8094-F5C079731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e622f-289c-47e4-a56e-454039d6a76a"/>
    <ds:schemaRef ds:uri="918aa479-ed52-4b40-b682-43ef21f6a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B7BEC5-63AD-4253-BEB5-3C23F64E9914}">
  <ds:schemaRefs>
    <ds:schemaRef ds:uri="http://schemas.microsoft.com/office/2006/metadata/properties"/>
    <ds:schemaRef ds:uri="http://schemas.microsoft.com/office/infopath/2007/PartnerControls"/>
    <ds:schemaRef ds:uri="8e6e622f-289c-47e4-a56e-454039d6a76a"/>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770</Words>
  <Characters>3946</Characters>
  <CharactersWithSpaces>4706</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0x01010062EA96341DC03C409EF0CB8A2DF05326</vt:lpwstr>
  </property>
</Properties>
</file>