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left" w:pos="3933" w:leader="none"/>
        </w:tabs>
        <w:rPr>
          <w:rFonts w:ascii="Alstom" w:hAnsi="Alstom" w:eastAsia="SimSun" w:cs="FuturaA Bk BT"/>
          <w:color w:val="0000FF"/>
          <w:lang w:val="fr-FR" w:eastAsia="zh-CN"/>
        </w:rPr>
      </w:pPr>
      <w:r>
        <w:rPr>
          <w:rFonts w:eastAsia="SimSun" w:cs="FuturaA Bk BT" w:ascii="Alstom" w:hAnsi="Alstom"/>
          <w:color w:val="0000FF"/>
          <w:lang w:val="fr-FR" w:eastAsia="zh-CN"/>
        </w:rPr>
      </w:r>
    </w:p>
    <w:p>
      <w:pPr>
        <w:pStyle w:val="Normal"/>
        <w:pBdr>
          <w:top w:val="single" w:sz="6" w:space="0" w:color="000000" w:shadow="1"/>
          <w:left w:val="single" w:sz="6" w:space="0" w:color="000000" w:shadow="1"/>
          <w:bottom w:val="single" w:sz="6" w:space="0" w:color="000000" w:shadow="1"/>
          <w:right w:val="single" w:sz="6" w:space="31" w:color="000000" w:shadow="1"/>
        </w:pBdr>
        <w:ind w:end="708"/>
        <w:jc w:val="center"/>
        <w:rPr>
          <w:rFonts w:ascii="Alstom" w:hAnsi="Alstom" w:eastAsia="Calibri"/>
          <w:b/>
          <w:color w:themeColor="accent1" w:themeShade="80" w:val="244061"/>
          <w:sz w:val="40"/>
          <w:szCs w:val="28"/>
          <w:lang w:val="fr-FR"/>
        </w:rPr>
      </w:pPr>
      <w:r>
        <w:rPr>
          <w:rFonts w:eastAsia="Calibri" w:ascii="Alstom" w:hAnsi="Alstom"/>
          <w:b/>
          <w:color w:themeColor="accent1" w:themeShade="80" w:val="244061"/>
          <w:sz w:val="40"/>
          <w:szCs w:val="28"/>
          <w:lang w:val="fr-FR"/>
        </w:rPr>
        <w:t>Accord relatif à la rémunération au sein de la société ALSTOM IBRE SAS</w:t>
      </w:r>
    </w:p>
    <w:p>
      <w:pPr>
        <w:pStyle w:val="NoSpacing"/>
        <w:jc w:val="both"/>
        <w:rPr>
          <w:rFonts w:ascii="Alstom" w:hAnsi="Alstom"/>
          <w:color w:themeColor="accent1" w:themeShade="bf" w:val="365F91"/>
          <w:lang w:val="fr-FR"/>
        </w:rPr>
      </w:pPr>
      <w:r>
        <w:rPr>
          <w:rFonts w:ascii="Alstom" w:hAnsi="Alstom"/>
          <w:color w:themeColor="accent1" w:themeShade="bf" w:val="365F91"/>
          <w:lang w:val="fr-FR"/>
        </w:rPr>
      </w:r>
    </w:p>
    <w:p>
      <w:pPr>
        <w:pStyle w:val="NoSpacing"/>
        <w:jc w:val="both"/>
        <w:rPr>
          <w:rFonts w:ascii="Alstom" w:hAnsi="Alstom"/>
          <w:b/>
          <w:bCs/>
          <w:color w:themeColor="accent1" w:themeShade="80" w:val="244061"/>
          <w:lang w:val="fr-FR"/>
        </w:rPr>
      </w:pPr>
      <w:r>
        <w:rPr>
          <w:rFonts w:ascii="Alstom" w:hAnsi="Alstom"/>
          <w:b/>
          <w:bCs/>
          <w:color w:themeColor="accent1" w:themeShade="80" w:val="244061"/>
          <w:lang w:val="fr-FR"/>
        </w:rPr>
        <w:t>ENTRE :</w:t>
      </w:r>
    </w:p>
    <w:p>
      <w:pPr>
        <w:pStyle w:val="NoSpacing"/>
        <w:jc w:val="both"/>
        <w:rPr>
          <w:rFonts w:ascii="Alstom" w:hAnsi="Alstom"/>
          <w:color w:themeColor="accent1" w:themeShade="80" w:val="244061"/>
          <w:lang w:val="fr-FR"/>
        </w:rPr>
      </w:pPr>
      <w:r>
        <w:rPr>
          <w:rFonts w:ascii="Alstom" w:hAnsi="Alstom"/>
          <w:color w:themeColor="accent1" w:themeShade="80" w:val="244061"/>
          <w:lang w:val="fr-FR"/>
        </w:rPr>
      </w:r>
    </w:p>
    <w:p>
      <w:pPr>
        <w:pStyle w:val="NoSpacing"/>
        <w:jc w:val="both"/>
        <w:rPr>
          <w:rFonts w:ascii="Alstom" w:hAnsi="Alstom"/>
          <w:color w:themeColor="accent1" w:themeShade="80" w:val="244061"/>
          <w:lang w:val="fr-FR"/>
        </w:rPr>
      </w:pPr>
      <w:r>
        <w:rPr>
          <w:rFonts w:eastAsia="Alstom" w:cs="Alstom" w:ascii="Alstom" w:hAnsi="Alstom"/>
          <w:b/>
          <w:color w:val="0F4761"/>
          <w:lang w:val="fr-FR"/>
        </w:rPr>
        <w:t>Alstom IBRE SAS</w:t>
      </w:r>
      <w:r>
        <w:rPr>
          <w:rFonts w:eastAsia="Alstom" w:cs="Alstom" w:ascii="Alstom" w:hAnsi="Alstom"/>
          <w:color w:val="0F4761"/>
          <w:lang w:val="fr-FR"/>
        </w:rPr>
        <w:t>,</w:t>
      </w:r>
      <w:r>
        <w:rPr>
          <w:rFonts w:eastAsia="Alstom" w:cs="Alstom" w:ascii="Alstom" w:hAnsi="Alstom"/>
          <w:b/>
          <w:color w:val="0F4761"/>
          <w:lang w:val="fr-FR"/>
        </w:rPr>
        <w:t xml:space="preserve"> </w:t>
      </w:r>
      <w:r>
        <w:rPr>
          <w:rFonts w:eastAsia="Alstom" w:cs="Alstom" w:ascii="Alstom" w:hAnsi="Alstom"/>
          <w:color w:val="0F4761"/>
          <w:lang w:val="fr-FR"/>
        </w:rPr>
        <w:t>société par actions simplifiée,</w:t>
      </w:r>
      <w:r>
        <w:rPr>
          <w:rFonts w:eastAsia="Alstom" w:cs="Alstom" w:ascii="Alstom" w:hAnsi="Alstom"/>
          <w:b/>
          <w:color w:val="0F4761"/>
          <w:lang w:val="fr-FR"/>
        </w:rPr>
        <w:t xml:space="preserve"> </w:t>
      </w:r>
      <w:r>
        <w:rPr>
          <w:rFonts w:eastAsia="Alstom" w:cs="Alstom" w:ascii="Alstom" w:hAnsi="Alstom"/>
          <w:color w:val="0F4761"/>
          <w:lang w:val="fr-FR"/>
        </w:rPr>
        <w:t>inscrite au RCS de Sens sous le</w:t>
      </w:r>
      <w:r>
        <w:rPr>
          <w:rFonts w:eastAsia="Alstom" w:cs="Alstom" w:ascii="Alstom" w:hAnsi="Alstom"/>
          <w:b/>
          <w:color w:val="0F4761"/>
          <w:lang w:val="fr-FR"/>
        </w:rPr>
        <w:t xml:space="preserve"> </w:t>
      </w:r>
      <w:r>
        <w:rPr>
          <w:rFonts w:eastAsia="Alstom" w:cs="Alstom" w:ascii="Alstom" w:hAnsi="Alstom"/>
          <w:color w:val="0F4761"/>
          <w:lang w:val="fr-FR"/>
        </w:rPr>
        <w:t>SIREN</w:t>
      </w:r>
      <w:r>
        <w:rPr>
          <w:rFonts w:eastAsia="Alstom" w:cs="Alstom" w:ascii="Alstom" w:hAnsi="Alstom"/>
          <w:b/>
          <w:color w:val="0F4761"/>
          <w:lang w:val="fr-FR"/>
        </w:rPr>
        <w:t xml:space="preserve"> </w:t>
      </w:r>
      <w:r>
        <w:rPr>
          <w:rFonts w:eastAsia="Alstom" w:cs="Alstom" w:ascii="Alstom" w:hAnsi="Alstom"/>
          <w:color w:val="0F4761"/>
          <w:lang w:val="fr-FR"/>
        </w:rPr>
        <w:t xml:space="preserve">n° 484 980 073, dont le siège social est situé 5 rue Henri Cavallier, 89100 Saint-Denis-les-Sens, représentée par  </w:t>
      </w:r>
      <w:r>
        <w:rPr>
          <w:rFonts w:eastAsia="Alstom" w:cs="Alstom" w:ascii="Alstom" w:hAnsi="Alstom"/>
          <w:color w:val="000000"/>
          <w:lang w:val="fr-FR"/>
        </w:rPr>
        <w:t xml:space="preserve">          </w:t>
      </w:r>
      <w:r>
        <w:rPr>
          <w:rFonts w:eastAsia="Alstom" w:cs="Alstom" w:ascii="Alstom" w:hAnsi="Alstom"/>
          <w:color w:val="0F4761"/>
          <w:lang w:val="fr-FR"/>
        </w:rPr>
        <w:t xml:space="preserve">   , en sa qualité de président</w:t>
      </w:r>
    </w:p>
    <w:p>
      <w:pPr>
        <w:pStyle w:val="NoSpacing"/>
        <w:jc w:val="end"/>
        <w:rPr>
          <w:rFonts w:ascii="Alstom" w:hAnsi="Alstom"/>
          <w:color w:themeColor="accent1" w:themeShade="80" w:val="244061"/>
          <w:lang w:val="fr-FR"/>
        </w:rPr>
      </w:pPr>
      <w:r>
        <w:rPr>
          <w:rFonts w:ascii="Alstom" w:hAnsi="Alstom"/>
          <w:color w:themeColor="accent1" w:themeShade="80" w:val="244061"/>
          <w:lang w:val="fr-FR"/>
        </w:rPr>
        <w:t>D’une part,</w:t>
      </w:r>
    </w:p>
    <w:p>
      <w:pPr>
        <w:pStyle w:val="NoSpacing"/>
        <w:tabs>
          <w:tab w:val="clear" w:pos="720"/>
          <w:tab w:val="left" w:pos="2400" w:leader="none"/>
        </w:tabs>
        <w:jc w:val="both"/>
        <w:rPr>
          <w:rFonts w:ascii="Alstom" w:hAnsi="Alstom"/>
          <w:color w:themeColor="accent1" w:themeShade="80" w:val="244061"/>
          <w:lang w:val="fr-FR"/>
        </w:rPr>
      </w:pPr>
      <w:r>
        <w:rPr>
          <w:rFonts w:ascii="Alstom" w:hAnsi="Alstom"/>
          <w:color w:themeColor="accent1" w:themeShade="80" w:val="244061"/>
          <w:lang w:val="fr-FR"/>
        </w:rPr>
        <w:tab/>
      </w:r>
    </w:p>
    <w:p>
      <w:pPr>
        <w:pStyle w:val="NoSpacing"/>
        <w:jc w:val="both"/>
        <w:rPr>
          <w:rFonts w:ascii="Alstom" w:hAnsi="Alstom"/>
          <w:b/>
          <w:bCs/>
          <w:color w:themeColor="accent1" w:themeShade="80" w:val="244061"/>
          <w:lang w:val="fr-FR"/>
        </w:rPr>
      </w:pPr>
      <w:r>
        <w:rPr>
          <w:rFonts w:ascii="Alstom" w:hAnsi="Alstom"/>
          <w:b/>
          <w:bCs/>
          <w:color w:themeColor="accent1" w:themeShade="80" w:val="244061"/>
          <w:lang w:val="fr-FR"/>
        </w:rPr>
        <w:t>ET</w:t>
      </w:r>
    </w:p>
    <w:p>
      <w:pPr>
        <w:pStyle w:val="NoSpacing"/>
        <w:jc w:val="both"/>
        <w:rPr>
          <w:rFonts w:ascii="Alstom" w:hAnsi="Alstom"/>
          <w:color w:themeColor="accent1" w:themeShade="80" w:val="244061"/>
          <w:lang w:val="fr-FR"/>
        </w:rPr>
      </w:pPr>
      <w:r>
        <w:rPr>
          <w:rFonts w:ascii="Alstom" w:hAnsi="Alstom"/>
          <w:color w:themeColor="accent1" w:themeShade="80" w:val="244061"/>
          <w:lang w:val="fr-FR"/>
        </w:rPr>
      </w:r>
    </w:p>
    <w:p>
      <w:pPr>
        <w:pStyle w:val="NoSpacing"/>
        <w:jc w:val="both"/>
        <w:rPr>
          <w:rFonts w:ascii="Alstom" w:hAnsi="Alstom"/>
          <w:color w:themeColor="accent1" w:themeShade="80" w:val="244061"/>
          <w:lang w:val="fr-FR"/>
        </w:rPr>
      </w:pPr>
      <w:r>
        <w:rPr>
          <w:rFonts w:ascii="Alstom" w:hAnsi="Alstom"/>
          <w:b/>
          <w:bCs/>
          <w:color w:themeColor="accent1" w:themeShade="80" w:val="244061"/>
          <w:lang w:val="fr-FR"/>
        </w:rPr>
        <w:t>Les Organisations Syndicales Représentatives des salariés,</w:t>
      </w:r>
      <w:r>
        <w:rPr>
          <w:rFonts w:ascii="Alstom" w:hAnsi="Alstom"/>
          <w:color w:themeColor="accent1" w:themeShade="80" w:val="244061"/>
          <w:lang w:val="fr-FR"/>
        </w:rPr>
        <w:t xml:space="preserve"> prises en la personne de leur représentants dûment habilités conformément à l’article L. 2232-12 du code du travail :</w:t>
      </w:r>
    </w:p>
    <w:p>
      <w:pPr>
        <w:pStyle w:val="NoSpacing"/>
        <w:jc w:val="both"/>
        <w:rPr>
          <w:rFonts w:ascii="Alstom" w:hAnsi="Alstom"/>
          <w:color w:themeColor="accent1" w:themeShade="80" w:val="244061"/>
          <w:lang w:val="fr-FR"/>
        </w:rPr>
      </w:pPr>
      <w:r>
        <w:rPr>
          <w:rFonts w:ascii="Alstom" w:hAnsi="Alstom"/>
          <w:color w:themeColor="accent1" w:themeShade="80" w:val="244061"/>
          <w:lang w:val="fr-FR"/>
        </w:rPr>
      </w:r>
    </w:p>
    <w:p>
      <w:pPr>
        <w:pStyle w:val="Normal"/>
        <w:spacing w:before="0" w:after="176"/>
        <w:ind w:hanging="10" w:start="21"/>
        <w:rPr>
          <w:lang w:val="fr-FR"/>
        </w:rPr>
      </w:pPr>
      <w:r>
        <w:rPr>
          <w:rFonts w:eastAsia="Alstom" w:cs="Alstom" w:ascii="Alstom" w:hAnsi="Alstom"/>
          <w:color w:val="0F4761"/>
          <w:lang w:val="fr-FR"/>
        </w:rPr>
        <w:t xml:space="preserve">L’organisation syndicale </w:t>
      </w:r>
    </w:p>
    <w:p>
      <w:pPr>
        <w:pStyle w:val="Normal"/>
        <w:spacing w:before="0" w:after="176"/>
        <w:ind w:hanging="10" w:start="21"/>
        <w:rPr>
          <w:lang w:val="fr-FR"/>
        </w:rPr>
      </w:pPr>
      <w:r>
        <w:rPr>
          <w:rFonts w:eastAsia="Alstom" w:cs="Alstom" w:ascii="Alstom" w:hAnsi="Alstom"/>
          <w:color w:val="0F4761"/>
          <w:lang w:val="fr-FR"/>
        </w:rPr>
        <w:t xml:space="preserve">L’organisation syndicale </w:t>
      </w:r>
    </w:p>
    <w:p>
      <w:pPr>
        <w:pStyle w:val="NoSpacing"/>
        <w:jc w:val="end"/>
        <w:rPr>
          <w:rFonts w:ascii="Alstom" w:hAnsi="Alstom"/>
          <w:color w:themeColor="accent1" w:themeShade="80" w:val="244061"/>
          <w:lang w:val="fr-FR"/>
        </w:rPr>
      </w:pPr>
      <w:r>
        <w:rPr>
          <w:rFonts w:ascii="Alstom" w:hAnsi="Alstom"/>
          <w:color w:themeColor="accent1" w:themeShade="80" w:val="244061"/>
          <w:lang w:val="fr-FR"/>
        </w:rPr>
        <w:t>D’autre part,</w:t>
      </w:r>
    </w:p>
    <w:p>
      <w:pPr>
        <w:pStyle w:val="NoSpacing"/>
        <w:jc w:val="end"/>
        <w:rPr>
          <w:rFonts w:ascii="Alstom" w:hAnsi="Alstom"/>
          <w:color w:themeColor="accent1" w:themeShade="80" w:val="244061"/>
          <w:lang w:val="fr-FR"/>
        </w:rPr>
      </w:pPr>
      <w:r>
        <w:rPr>
          <w:rFonts w:ascii="Alstom" w:hAnsi="Alstom"/>
          <w:color w:themeColor="accent1" w:themeShade="80" w:val="244061"/>
          <w:lang w:val="fr-FR"/>
        </w:rPr>
      </w:r>
    </w:p>
    <w:p>
      <w:pPr>
        <w:pStyle w:val="NoSpacing"/>
        <w:jc w:val="both"/>
        <w:rPr>
          <w:rFonts w:ascii="Alstom" w:hAnsi="Alstom"/>
          <w:color w:themeColor="accent1" w:themeShade="80" w:val="244061"/>
          <w:lang w:val="fr-FR"/>
        </w:rPr>
      </w:pPr>
      <w:r>
        <w:rPr>
          <w:rFonts w:ascii="Alstom" w:hAnsi="Alstom"/>
          <w:color w:themeColor="accent1" w:themeShade="80" w:val="244061"/>
          <w:lang w:val="fr-FR"/>
        </w:rPr>
        <w:t>Ci-après désignés ensemble « les Parties ».</w:t>
      </w:r>
    </w:p>
    <w:p>
      <w:pPr>
        <w:pStyle w:val="NoSpacing"/>
        <w:jc w:val="center"/>
        <w:rPr>
          <w:rFonts w:ascii="Alstom" w:hAnsi="Alstom"/>
          <w:b/>
          <w:bCs/>
          <w:color w:themeColor="accent1" w:themeShade="80" w:val="244061"/>
          <w:sz w:val="24"/>
          <w:szCs w:val="24"/>
          <w:lang w:val="fr-FR"/>
        </w:rPr>
      </w:pPr>
      <w:r>
        <w:rPr>
          <w:rFonts w:ascii="Alstom" w:hAnsi="Alstom"/>
          <w:b/>
          <w:bCs/>
          <w:color w:themeColor="accent1" w:themeShade="80" w:val="244061"/>
          <w:sz w:val="24"/>
          <w:szCs w:val="24"/>
          <w:lang w:val="fr-FR"/>
        </w:rPr>
      </w:r>
    </w:p>
    <w:p>
      <w:pPr>
        <w:pStyle w:val="NoSpacing"/>
        <w:jc w:val="center"/>
        <w:rPr>
          <w:rFonts w:ascii="Alstom" w:hAnsi="Alstom"/>
          <w:b/>
          <w:bCs/>
          <w:color w:themeColor="accent1" w:themeShade="bf" w:val="365F91"/>
          <w:sz w:val="24"/>
          <w:szCs w:val="24"/>
          <w:lang w:val="fr-FR"/>
        </w:rPr>
      </w:pPr>
      <w:r>
        <w:rPr>
          <w:rFonts w:ascii="Alstom" w:hAnsi="Alstom"/>
          <w:b/>
          <w:bCs/>
          <w:color w:themeColor="accent1" w:themeShade="80" w:val="244061"/>
          <w:lang w:val="fr-FR"/>
        </w:rPr>
        <w:t>IL A ETE CONVENU ET ARRETE CE QUI SUIT :</w:t>
      </w:r>
      <w:r>
        <w:br w:type="page"/>
      </w:r>
    </w:p>
    <w:p>
      <w:pPr>
        <w:pStyle w:val="NoSpacing"/>
        <w:spacing w:before="0" w:after="0"/>
        <w:jc w:val="center"/>
        <w:rPr>
          <w:rFonts w:ascii="Alstom" w:hAnsi="Alstom"/>
          <w:b/>
          <w:bCs/>
          <w:color w:themeColor="accent1" w:themeShade="bf" w:val="365F91"/>
          <w:sz w:val="24"/>
          <w:szCs w:val="24"/>
          <w:lang w:val="fr-FR"/>
        </w:rPr>
      </w:pPr>
      <w:r>
        <w:rPr>
          <w:rFonts w:ascii="Alstom" w:hAnsi="Alstom"/>
          <w:b/>
          <w:bCs/>
          <w:color w:themeColor="accent1" w:themeShade="bf" w:val="365F91"/>
          <w:sz w:val="24"/>
          <w:szCs w:val="24"/>
          <w:lang w:val="fr-FR"/>
        </w:rPr>
        <w:t>TABLE DES MATIERES</w:t>
      </w:r>
    </w:p>
    <w:sdt>
      <w:sdtPr>
        <w:docPartObj>
          <w:docPartGallery w:val="Table of Contents"/>
          <w:docPartUnique w:val="true"/>
        </w:docPartObj>
        <w:id w:val="-109983774"/>
      </w:sdtPr>
      <w:sdtContent>
        <w:p>
          <w:pPr>
            <w:pStyle w:val="TOCHeading"/>
            <w:spacing w:lineRule="auto" w:line="240" w:before="0" w:after="0"/>
            <w:rPr>
              <w:rFonts w:ascii="Alstom" w:hAnsi="Alstom"/>
              <w:sz w:val="22"/>
              <w:szCs w:val="22"/>
            </w:rPr>
          </w:pPr>
          <w:r>
            <w:rPr>
              <w:rFonts w:ascii="Alstom" w:hAnsi="Alstom"/>
              <w:sz w:val="22"/>
              <w:szCs w:val="22"/>
            </w:rPr>
          </w:r>
          <w:bookmarkStart w:id="0" w:name="_Toc532375234"/>
          <w:bookmarkStart w:id="1" w:name="_Toc130909921"/>
          <w:bookmarkStart w:id="2" w:name="_Toc131065194"/>
          <w:bookmarkStart w:id="3" w:name="_Toc131247890"/>
          <w:bookmarkStart w:id="4" w:name="_Toc133227419"/>
          <w:bookmarkStart w:id="5" w:name="_Toc145872328"/>
          <w:bookmarkStart w:id="6" w:name="_Toc532375234"/>
          <w:bookmarkStart w:id="7" w:name="_Toc130909921"/>
          <w:bookmarkStart w:id="8" w:name="_Toc131065194"/>
          <w:bookmarkStart w:id="9" w:name="_Toc131247890"/>
          <w:bookmarkStart w:id="10" w:name="_Toc133227419"/>
          <w:bookmarkStart w:id="11" w:name="_Toc145872328"/>
        </w:p>
        <w:p>
          <w:pPr>
            <w:pStyle w:val="TOC1"/>
            <w:rPr>
              <w:rFonts w:ascii="Calibri" w:hAnsi="Calibri" w:eastAsia="ＭＳ 明朝" w:asciiTheme="minorHAnsi" w:eastAsiaTheme="minorEastAsia" w:hAnsiTheme="minorHAnsi"/>
              <w:b w:val="false"/>
              <w:color w:val="auto"/>
              <w:kern w:val="2"/>
              <w:sz w:val="24"/>
              <w:szCs w:val="24"/>
              <w:lang w:eastAsia="fr-FR"/>
              <w14:ligatures w14:val="standardContextual"/>
            </w:rPr>
          </w:pPr>
          <w:r>
            <w:fldChar w:fldCharType="begin"/>
          </w:r>
          <w:r>
            <w:rPr>
              <w:rStyle w:val="Sautdindex"/>
              <w:bCs/>
              <w:webHidden/>
            </w:rPr>
            <w:instrText xml:space="preserve"> TOC \z \o "1-3" \u \h</w:instrText>
          </w:r>
          <w:r>
            <w:rPr>
              <w:rStyle w:val="Sautdindex"/>
              <w:bCs/>
              <w:webHidden/>
            </w:rPr>
            <w:fldChar w:fldCharType="separate"/>
          </w:r>
          <w:hyperlink w:anchor="_Toc209531733">
            <w:r>
              <w:rPr>
                <w:rStyle w:val="Sautdindex"/>
                <w:bCs/>
                <w:webHidden/>
              </w:rPr>
              <w:t>PREAMBULE</w:t>
            </w:r>
            <w:r>
              <w:rPr>
                <w:webHidden/>
              </w:rPr>
              <w:fldChar w:fldCharType="begin"/>
            </w:r>
            <w:r>
              <w:rPr>
                <w:webHidden/>
              </w:rPr>
              <w:instrText xml:space="preserve">PAGEREF _Toc209531733 \h</w:instrText>
            </w:r>
            <w:r>
              <w:rPr>
                <w:webHidden/>
              </w:rPr>
              <w:fldChar w:fldCharType="separate"/>
            </w:r>
            <w:r>
              <w:rPr>
                <w:rStyle w:val="Sautdindex"/>
                <w:vanish w:val="false"/>
              </w:rPr>
              <w:tab/>
              <w:t>3</w:t>
            </w:r>
            <w:r>
              <w:rPr>
                <w:webHidden/>
              </w:rPr>
              <w:fldChar w:fldCharType="end"/>
            </w:r>
          </w:hyperlink>
        </w:p>
        <w:p>
          <w:pPr>
            <w:pStyle w:val="TOC1"/>
            <w:rPr>
              <w:rFonts w:ascii="Calibri" w:hAnsi="Calibri" w:eastAsia="ＭＳ 明朝" w:asciiTheme="minorHAnsi" w:eastAsiaTheme="minorEastAsia" w:hAnsiTheme="minorHAnsi"/>
              <w:b w:val="false"/>
              <w:color w:val="auto"/>
              <w:kern w:val="2"/>
              <w:sz w:val="24"/>
              <w:szCs w:val="24"/>
              <w:lang w:eastAsia="fr-FR"/>
              <w14:ligatures w14:val="standardContextual"/>
            </w:rPr>
          </w:pPr>
          <w:hyperlink w:anchor="_Toc209531734">
            <w:r>
              <w:rPr>
                <w:rStyle w:val="Sautdindex"/>
                <w:rFonts w:cs="Calibri" w:cstheme="minorHAnsi"/>
                <w:bCs/>
                <w:webHidden/>
              </w:rPr>
              <w:t>TITRE I – CHAMP D’APPLICATION ET OBJET</w:t>
            </w:r>
            <w:r>
              <w:rPr>
                <w:webHidden/>
              </w:rPr>
              <w:fldChar w:fldCharType="begin"/>
            </w:r>
            <w:r>
              <w:rPr>
                <w:webHidden/>
              </w:rPr>
              <w:instrText xml:space="preserve">PAGEREF _Toc209531734 \h</w:instrText>
            </w:r>
            <w:r>
              <w:rPr>
                <w:webHidden/>
              </w:rPr>
              <w:fldChar w:fldCharType="separate"/>
            </w:r>
            <w:r>
              <w:rPr>
                <w:rStyle w:val="Sautdindex"/>
                <w:vanish w:val="false"/>
              </w:rPr>
              <w:tab/>
              <w:t>4</w:t>
            </w:r>
            <w:r>
              <w:rPr>
                <w:webHidden/>
              </w:rPr>
              <w:fldChar w:fldCharType="end"/>
            </w:r>
          </w:hyperlink>
        </w:p>
        <w:p>
          <w:pPr>
            <w:pStyle w:val="TOC2"/>
            <w:rPr>
              <w:rFonts w:ascii="Calibri" w:hAnsi="Calibri" w:eastAsia="ＭＳ 明朝" w:asciiTheme="minorHAnsi" w:eastAsiaTheme="minorEastAsia" w:hAnsiTheme="minorHAnsi"/>
              <w:kern w:val="2"/>
              <w:sz w:val="24"/>
              <w:szCs w:val="24"/>
              <w:lang w:eastAsia="fr-FR"/>
              <w14:ligatures w14:val="standardContextual"/>
            </w:rPr>
          </w:pPr>
          <w:hyperlink w:anchor="_Toc209531735">
            <w:r>
              <w:rPr>
                <w:rStyle w:val="Sautdindex"/>
                <w:webHidden/>
              </w:rPr>
              <w:t>ARTICLE 1.2 – Objet et champ d’application de l’accord</w:t>
            </w:r>
            <w:r>
              <w:rPr>
                <w:webHidden/>
              </w:rPr>
              <w:fldChar w:fldCharType="begin"/>
            </w:r>
            <w:r>
              <w:rPr>
                <w:webHidden/>
              </w:rPr>
              <w:instrText xml:space="preserve">PAGEREF _Toc209531735 \h</w:instrText>
            </w:r>
            <w:r>
              <w:rPr>
                <w:webHidden/>
              </w:rPr>
              <w:fldChar w:fldCharType="separate"/>
            </w:r>
            <w:r>
              <w:rPr>
                <w:rStyle w:val="Sautdindex"/>
                <w:vanish w:val="false"/>
              </w:rPr>
              <w:tab/>
              <w:t>4</w:t>
            </w:r>
            <w:r>
              <w:rPr>
                <w:webHidden/>
              </w:rPr>
              <w:fldChar w:fldCharType="end"/>
            </w:r>
          </w:hyperlink>
        </w:p>
        <w:p>
          <w:pPr>
            <w:pStyle w:val="TOC1"/>
            <w:rPr>
              <w:rFonts w:ascii="Calibri" w:hAnsi="Calibri" w:eastAsia="ＭＳ 明朝" w:asciiTheme="minorHAnsi" w:eastAsiaTheme="minorEastAsia" w:hAnsiTheme="minorHAnsi"/>
              <w:b w:val="false"/>
              <w:color w:val="auto"/>
              <w:kern w:val="2"/>
              <w:sz w:val="24"/>
              <w:szCs w:val="24"/>
              <w:lang w:eastAsia="fr-FR"/>
              <w14:ligatures w14:val="standardContextual"/>
            </w:rPr>
          </w:pPr>
          <w:hyperlink w:anchor="_Toc209531736">
            <w:r>
              <w:rPr>
                <w:rStyle w:val="Sautdindex"/>
                <w:rFonts w:cs="Calibri" w:cstheme="minorHAnsi"/>
                <w:bCs/>
                <w:webHidden/>
              </w:rPr>
              <w:t>TITRE II – Primes diverses</w:t>
            </w:r>
            <w:r>
              <w:rPr>
                <w:webHidden/>
              </w:rPr>
              <w:fldChar w:fldCharType="begin"/>
            </w:r>
            <w:r>
              <w:rPr>
                <w:webHidden/>
              </w:rPr>
              <w:instrText xml:space="preserve">PAGEREF _Toc209531736 \h</w:instrText>
            </w:r>
            <w:r>
              <w:rPr>
                <w:webHidden/>
              </w:rPr>
              <w:fldChar w:fldCharType="separate"/>
            </w:r>
            <w:r>
              <w:rPr>
                <w:rStyle w:val="Sautdindex"/>
                <w:vanish w:val="false"/>
              </w:rPr>
              <w:tab/>
              <w:t>4</w:t>
            </w:r>
            <w:r>
              <w:rPr>
                <w:webHidden/>
              </w:rPr>
              <w:fldChar w:fldCharType="end"/>
            </w:r>
          </w:hyperlink>
        </w:p>
        <w:p>
          <w:pPr>
            <w:pStyle w:val="TOC2"/>
            <w:rPr>
              <w:rFonts w:ascii="Calibri" w:hAnsi="Calibri" w:eastAsia="ＭＳ 明朝" w:asciiTheme="minorHAnsi" w:eastAsiaTheme="minorEastAsia" w:hAnsiTheme="minorHAnsi"/>
              <w:kern w:val="2"/>
              <w:sz w:val="24"/>
              <w:szCs w:val="24"/>
              <w:lang w:eastAsia="fr-FR"/>
              <w14:ligatures w14:val="standardContextual"/>
            </w:rPr>
          </w:pPr>
          <w:hyperlink w:anchor="_Toc209531737">
            <w:r>
              <w:rPr>
                <w:rStyle w:val="Sautdindex"/>
                <w:webHidden/>
              </w:rPr>
              <w:t>ARTICLE 2.1 – Prime d’ancienneté</w:t>
            </w:r>
            <w:r>
              <w:rPr>
                <w:webHidden/>
              </w:rPr>
              <w:fldChar w:fldCharType="begin"/>
            </w:r>
            <w:r>
              <w:rPr>
                <w:webHidden/>
              </w:rPr>
              <w:instrText xml:space="preserve">PAGEREF _Toc209531737 \h</w:instrText>
            </w:r>
            <w:r>
              <w:rPr>
                <w:webHidden/>
              </w:rPr>
              <w:fldChar w:fldCharType="separate"/>
            </w:r>
            <w:r>
              <w:rPr>
                <w:rStyle w:val="Sautdindex"/>
                <w:vanish w:val="false"/>
              </w:rPr>
              <w:tab/>
              <w:t>4</w:t>
            </w:r>
            <w:r>
              <w:rPr>
                <w:webHidden/>
              </w:rPr>
              <w:fldChar w:fldCharType="end"/>
            </w:r>
          </w:hyperlink>
        </w:p>
        <w:p>
          <w:pPr>
            <w:pStyle w:val="TOC2"/>
            <w:rPr>
              <w:rFonts w:ascii="Calibri" w:hAnsi="Calibri" w:eastAsia="ＭＳ 明朝" w:asciiTheme="minorHAnsi" w:eastAsiaTheme="minorEastAsia" w:hAnsiTheme="minorHAnsi"/>
              <w:kern w:val="2"/>
              <w:sz w:val="24"/>
              <w:szCs w:val="24"/>
              <w:lang w:eastAsia="fr-FR"/>
              <w14:ligatures w14:val="standardContextual"/>
            </w:rPr>
          </w:pPr>
          <w:hyperlink w:anchor="_Toc209531740">
            <w:r>
              <w:rPr>
                <w:rStyle w:val="Sautdindex"/>
                <w:webHidden/>
              </w:rPr>
              <w:t>ARTICLE 2.2 – Prime d’habillage et de déshabillage</w:t>
            </w:r>
            <w:r>
              <w:rPr>
                <w:webHidden/>
              </w:rPr>
              <w:fldChar w:fldCharType="begin"/>
            </w:r>
            <w:r>
              <w:rPr>
                <w:webHidden/>
              </w:rPr>
              <w:instrText xml:space="preserve">PAGEREF _Toc209531740 \h</w:instrText>
            </w:r>
            <w:r>
              <w:rPr>
                <w:webHidden/>
              </w:rPr>
              <w:fldChar w:fldCharType="separate"/>
            </w:r>
            <w:r>
              <w:rPr>
                <w:rStyle w:val="Sautdindex"/>
                <w:vanish w:val="false"/>
              </w:rPr>
              <w:tab/>
              <w:t>4</w:t>
            </w:r>
            <w:r>
              <w:rPr>
                <w:webHidden/>
              </w:rPr>
              <w:fldChar w:fldCharType="end"/>
            </w:r>
          </w:hyperlink>
        </w:p>
        <w:p>
          <w:pPr>
            <w:pStyle w:val="TOC2"/>
            <w:rPr>
              <w:rFonts w:ascii="Calibri" w:hAnsi="Calibri" w:eastAsia="ＭＳ 明朝" w:asciiTheme="minorHAnsi" w:eastAsiaTheme="minorEastAsia" w:hAnsiTheme="minorHAnsi"/>
              <w:kern w:val="2"/>
              <w:sz w:val="24"/>
              <w:szCs w:val="24"/>
              <w:lang w:eastAsia="fr-FR"/>
              <w14:ligatures w14:val="standardContextual"/>
            </w:rPr>
          </w:pPr>
          <w:hyperlink w:anchor="_Toc209531741">
            <w:r>
              <w:rPr>
                <w:rStyle w:val="Sautdindex"/>
                <w:webHidden/>
              </w:rPr>
              <w:t>ARTICLE 2.3 – Prime de douche</w:t>
            </w:r>
            <w:r>
              <w:rPr>
                <w:webHidden/>
              </w:rPr>
              <w:fldChar w:fldCharType="begin"/>
            </w:r>
            <w:r>
              <w:rPr>
                <w:webHidden/>
              </w:rPr>
              <w:instrText xml:space="preserve">PAGEREF _Toc209531741 \h</w:instrText>
            </w:r>
            <w:r>
              <w:rPr>
                <w:webHidden/>
              </w:rPr>
              <w:fldChar w:fldCharType="separate"/>
            </w:r>
            <w:r>
              <w:rPr>
                <w:rStyle w:val="Sautdindex"/>
                <w:vanish w:val="false"/>
              </w:rPr>
              <w:tab/>
              <w:t>4</w:t>
            </w:r>
            <w:r>
              <w:rPr>
                <w:webHidden/>
              </w:rPr>
              <w:fldChar w:fldCharType="end"/>
            </w:r>
          </w:hyperlink>
        </w:p>
        <w:p>
          <w:pPr>
            <w:pStyle w:val="TOC2"/>
            <w:rPr>
              <w:rFonts w:ascii="Calibri" w:hAnsi="Calibri" w:eastAsia="ＭＳ 明朝" w:asciiTheme="minorHAnsi" w:eastAsiaTheme="minorEastAsia" w:hAnsiTheme="minorHAnsi"/>
              <w:kern w:val="2"/>
              <w:sz w:val="24"/>
              <w:szCs w:val="24"/>
              <w:lang w:eastAsia="fr-FR"/>
              <w14:ligatures w14:val="standardContextual"/>
            </w:rPr>
          </w:pPr>
          <w:hyperlink w:anchor="_Toc209531742">
            <w:r>
              <w:rPr>
                <w:rStyle w:val="Sautdindex"/>
                <w:webHidden/>
              </w:rPr>
              <w:t>ARTICLE 2.4 – Prime de salissure</w:t>
            </w:r>
            <w:r>
              <w:rPr>
                <w:webHidden/>
              </w:rPr>
              <w:fldChar w:fldCharType="begin"/>
            </w:r>
            <w:r>
              <w:rPr>
                <w:webHidden/>
              </w:rPr>
              <w:instrText xml:space="preserve">PAGEREF _Toc209531742 \h</w:instrText>
            </w:r>
            <w:r>
              <w:rPr>
                <w:webHidden/>
              </w:rPr>
              <w:fldChar w:fldCharType="separate"/>
            </w:r>
            <w:r>
              <w:rPr>
                <w:rStyle w:val="Sautdindex"/>
                <w:vanish w:val="false"/>
              </w:rPr>
              <w:tab/>
              <w:t>4</w:t>
            </w:r>
            <w:r>
              <w:rPr>
                <w:webHidden/>
              </w:rPr>
              <w:fldChar w:fldCharType="end"/>
            </w:r>
          </w:hyperlink>
        </w:p>
        <w:p>
          <w:pPr>
            <w:pStyle w:val="TOC2"/>
            <w:rPr>
              <w:rFonts w:ascii="Calibri" w:hAnsi="Calibri" w:eastAsia="ＭＳ 明朝" w:asciiTheme="minorHAnsi" w:eastAsiaTheme="minorEastAsia" w:hAnsiTheme="minorHAnsi"/>
              <w:kern w:val="2"/>
              <w:sz w:val="24"/>
              <w:szCs w:val="24"/>
              <w:lang w:eastAsia="fr-FR"/>
              <w14:ligatures w14:val="standardContextual"/>
            </w:rPr>
          </w:pPr>
          <w:hyperlink w:anchor="_Toc209531743">
            <w:r>
              <w:rPr>
                <w:rStyle w:val="Sautdindex"/>
                <w:webHidden/>
              </w:rPr>
              <w:t>ARTICLE 2.5 – Travail de nuit : indemnité de repas</w:t>
            </w:r>
            <w:r>
              <w:rPr>
                <w:webHidden/>
              </w:rPr>
              <w:fldChar w:fldCharType="begin"/>
            </w:r>
            <w:r>
              <w:rPr>
                <w:webHidden/>
              </w:rPr>
              <w:instrText xml:space="preserve">PAGEREF _Toc209531743 \h</w:instrText>
            </w:r>
            <w:r>
              <w:rPr>
                <w:webHidden/>
              </w:rPr>
              <w:fldChar w:fldCharType="separate"/>
            </w:r>
            <w:r>
              <w:rPr>
                <w:rStyle w:val="Sautdindex"/>
                <w:vanish w:val="false"/>
              </w:rPr>
              <w:tab/>
              <w:t>4</w:t>
            </w:r>
            <w:r>
              <w:rPr>
                <w:webHidden/>
              </w:rPr>
              <w:fldChar w:fldCharType="end"/>
            </w:r>
          </w:hyperlink>
        </w:p>
        <w:p>
          <w:pPr>
            <w:pStyle w:val="TOC2"/>
            <w:rPr>
              <w:rFonts w:ascii="Calibri" w:hAnsi="Calibri" w:eastAsia="ＭＳ 明朝" w:asciiTheme="minorHAnsi" w:eastAsiaTheme="minorEastAsia" w:hAnsiTheme="minorHAnsi"/>
              <w:kern w:val="2"/>
              <w:sz w:val="24"/>
              <w:szCs w:val="24"/>
              <w:lang w:eastAsia="fr-FR"/>
              <w14:ligatures w14:val="standardContextual"/>
            </w:rPr>
          </w:pPr>
          <w:hyperlink w:anchor="_Toc209531744">
            <w:r>
              <w:rPr>
                <w:rStyle w:val="Sautdindex"/>
                <w:webHidden/>
              </w:rPr>
              <w:t>ARTICLE 2.6 – Travail posté: indemnité de repas</w:t>
            </w:r>
            <w:r>
              <w:rPr>
                <w:webHidden/>
              </w:rPr>
              <w:fldChar w:fldCharType="begin"/>
            </w:r>
            <w:r>
              <w:rPr>
                <w:webHidden/>
              </w:rPr>
              <w:instrText xml:space="preserve">PAGEREF _Toc209531744 \h</w:instrText>
            </w:r>
            <w:r>
              <w:rPr>
                <w:webHidden/>
              </w:rPr>
              <w:fldChar w:fldCharType="separate"/>
            </w:r>
            <w:r>
              <w:rPr>
                <w:rStyle w:val="Sautdindex"/>
                <w:vanish w:val="false"/>
              </w:rPr>
              <w:tab/>
              <w:t>5</w:t>
            </w:r>
            <w:r>
              <w:rPr>
                <w:webHidden/>
              </w:rPr>
              <w:fldChar w:fldCharType="end"/>
            </w:r>
          </w:hyperlink>
        </w:p>
        <w:p>
          <w:pPr>
            <w:pStyle w:val="TOC2"/>
            <w:rPr>
              <w:rFonts w:ascii="Calibri" w:hAnsi="Calibri" w:eastAsia="ＭＳ 明朝" w:asciiTheme="minorHAnsi" w:eastAsiaTheme="minorEastAsia" w:hAnsiTheme="minorHAnsi"/>
              <w:kern w:val="2"/>
              <w:sz w:val="24"/>
              <w:szCs w:val="24"/>
              <w:lang w:eastAsia="fr-FR"/>
              <w14:ligatures w14:val="standardContextual"/>
            </w:rPr>
          </w:pPr>
          <w:hyperlink w:anchor="_Toc209531745">
            <w:r>
              <w:rPr>
                <w:rStyle w:val="Sautdindex"/>
                <w:webHidden/>
              </w:rPr>
              <w:t>ARTICLE 2.7 – Prime de team leader</w:t>
            </w:r>
            <w:r>
              <w:rPr>
                <w:webHidden/>
              </w:rPr>
              <w:fldChar w:fldCharType="begin"/>
            </w:r>
            <w:r>
              <w:rPr>
                <w:webHidden/>
              </w:rPr>
              <w:instrText xml:space="preserve">PAGEREF _Toc209531745 \h</w:instrText>
            </w:r>
            <w:r>
              <w:rPr>
                <w:webHidden/>
              </w:rPr>
              <w:fldChar w:fldCharType="separate"/>
            </w:r>
            <w:r>
              <w:rPr>
                <w:rStyle w:val="Sautdindex"/>
                <w:vanish w:val="false"/>
              </w:rPr>
              <w:tab/>
              <w:t>5</w:t>
            </w:r>
            <w:r>
              <w:rPr>
                <w:webHidden/>
              </w:rPr>
              <w:fldChar w:fldCharType="end"/>
            </w:r>
          </w:hyperlink>
        </w:p>
        <w:p>
          <w:pPr>
            <w:pStyle w:val="TOC1"/>
            <w:rPr>
              <w:rFonts w:ascii="Calibri" w:hAnsi="Calibri" w:eastAsia="ＭＳ 明朝" w:asciiTheme="minorHAnsi" w:eastAsiaTheme="minorEastAsia" w:hAnsiTheme="minorHAnsi"/>
              <w:b w:val="false"/>
              <w:color w:val="auto"/>
              <w:kern w:val="2"/>
              <w:sz w:val="24"/>
              <w:szCs w:val="24"/>
              <w:lang w:eastAsia="fr-FR"/>
              <w14:ligatures w14:val="standardContextual"/>
            </w:rPr>
          </w:pPr>
          <w:hyperlink w:anchor="_Toc209531746">
            <w:r>
              <w:rPr>
                <w:rStyle w:val="Sautdindex"/>
                <w:rFonts w:cs="Calibri" w:cstheme="minorHAnsi"/>
                <w:bCs/>
                <w:webHidden/>
              </w:rPr>
              <w:t>TITRE III. TITRE-RESTAURANT</w:t>
            </w:r>
            <w:r>
              <w:rPr>
                <w:webHidden/>
              </w:rPr>
              <w:fldChar w:fldCharType="begin"/>
            </w:r>
            <w:r>
              <w:rPr>
                <w:webHidden/>
              </w:rPr>
              <w:instrText xml:space="preserve">PAGEREF _Toc209531746 \h</w:instrText>
            </w:r>
            <w:r>
              <w:rPr>
                <w:webHidden/>
              </w:rPr>
              <w:fldChar w:fldCharType="separate"/>
            </w:r>
            <w:r>
              <w:rPr>
                <w:rStyle w:val="Sautdindex"/>
                <w:vanish w:val="false"/>
              </w:rPr>
              <w:tab/>
              <w:t>5</w:t>
            </w:r>
            <w:r>
              <w:rPr>
                <w:webHidden/>
              </w:rPr>
              <w:fldChar w:fldCharType="end"/>
            </w:r>
          </w:hyperlink>
        </w:p>
        <w:p>
          <w:pPr>
            <w:pStyle w:val="TOC1"/>
            <w:rPr>
              <w:rFonts w:ascii="Calibri" w:hAnsi="Calibri" w:eastAsia="ＭＳ 明朝" w:asciiTheme="minorHAnsi" w:eastAsiaTheme="minorEastAsia" w:hAnsiTheme="minorHAnsi"/>
              <w:b w:val="false"/>
              <w:color w:val="auto"/>
              <w:kern w:val="2"/>
              <w:sz w:val="24"/>
              <w:szCs w:val="24"/>
              <w:lang w:eastAsia="fr-FR"/>
              <w14:ligatures w14:val="standardContextual"/>
            </w:rPr>
          </w:pPr>
          <w:hyperlink w:anchor="_Toc209531748">
            <w:r>
              <w:rPr>
                <w:rStyle w:val="Sautdindex"/>
                <w:rFonts w:cs="Calibri" w:cstheme="minorHAnsi"/>
                <w:bCs/>
                <w:webHidden/>
              </w:rPr>
              <w:t>TITRE IV – GRATIFICATION DE MEDAILLES DU TRAVAIL</w:t>
            </w:r>
            <w:r>
              <w:rPr>
                <w:webHidden/>
              </w:rPr>
              <w:fldChar w:fldCharType="begin"/>
            </w:r>
            <w:r>
              <w:rPr>
                <w:webHidden/>
              </w:rPr>
              <w:instrText xml:space="preserve">PAGEREF _Toc209531748 \h</w:instrText>
            </w:r>
            <w:r>
              <w:rPr>
                <w:webHidden/>
              </w:rPr>
              <w:fldChar w:fldCharType="separate"/>
            </w:r>
            <w:r>
              <w:rPr>
                <w:rStyle w:val="Sautdindex"/>
                <w:vanish w:val="false"/>
              </w:rPr>
              <w:tab/>
              <w:t>5</w:t>
            </w:r>
            <w:r>
              <w:rPr>
                <w:webHidden/>
              </w:rPr>
              <w:fldChar w:fldCharType="end"/>
            </w:r>
          </w:hyperlink>
        </w:p>
        <w:p>
          <w:pPr>
            <w:pStyle w:val="TOC1"/>
            <w:rPr>
              <w:rFonts w:ascii="Calibri" w:hAnsi="Calibri" w:eastAsia="ＭＳ 明朝" w:asciiTheme="minorHAnsi" w:eastAsiaTheme="minorEastAsia" w:hAnsiTheme="minorHAnsi"/>
              <w:b w:val="false"/>
              <w:color w:val="auto"/>
              <w:kern w:val="2"/>
              <w:sz w:val="24"/>
              <w:szCs w:val="24"/>
              <w:lang w:eastAsia="fr-FR"/>
              <w14:ligatures w14:val="standardContextual"/>
            </w:rPr>
          </w:pPr>
          <w:hyperlink w:anchor="_Toc209531749">
            <w:r>
              <w:rPr>
                <w:rStyle w:val="Sautdindex"/>
                <w:rFonts w:cs="Calibri" w:cstheme="minorHAnsi"/>
                <w:bCs/>
                <w:webHidden/>
              </w:rPr>
              <w:t>TITRE V – DISPOSITIONS FINALES</w:t>
            </w:r>
            <w:r>
              <w:rPr>
                <w:webHidden/>
              </w:rPr>
              <w:fldChar w:fldCharType="begin"/>
            </w:r>
            <w:r>
              <w:rPr>
                <w:webHidden/>
              </w:rPr>
              <w:instrText xml:space="preserve">PAGEREF _Toc209531749 \h</w:instrText>
            </w:r>
            <w:r>
              <w:rPr>
                <w:webHidden/>
              </w:rPr>
              <w:fldChar w:fldCharType="separate"/>
            </w:r>
            <w:r>
              <w:rPr>
                <w:rStyle w:val="Sautdindex"/>
                <w:vanish w:val="false"/>
              </w:rPr>
              <w:tab/>
              <w:t>6</w:t>
            </w:r>
            <w:r>
              <w:rPr>
                <w:webHidden/>
              </w:rPr>
              <w:fldChar w:fldCharType="end"/>
            </w:r>
          </w:hyperlink>
        </w:p>
        <w:p>
          <w:pPr>
            <w:pStyle w:val="TOC2"/>
            <w:rPr>
              <w:rFonts w:ascii="Calibri" w:hAnsi="Calibri" w:eastAsia="ＭＳ 明朝" w:asciiTheme="minorHAnsi" w:eastAsiaTheme="minorEastAsia" w:hAnsiTheme="minorHAnsi"/>
              <w:kern w:val="2"/>
              <w:sz w:val="24"/>
              <w:szCs w:val="24"/>
              <w:lang w:eastAsia="fr-FR"/>
              <w14:ligatures w14:val="standardContextual"/>
            </w:rPr>
          </w:pPr>
          <w:hyperlink w:anchor="_Toc209531750">
            <w:r>
              <w:rPr>
                <w:rStyle w:val="Sautdindex"/>
                <w:webHidden/>
              </w:rPr>
              <w:t>ARTICLE 5.1 – Entrée en vigueur et durée de l’accord</w:t>
            </w:r>
            <w:r>
              <w:rPr>
                <w:webHidden/>
              </w:rPr>
              <w:fldChar w:fldCharType="begin"/>
            </w:r>
            <w:r>
              <w:rPr>
                <w:webHidden/>
              </w:rPr>
              <w:instrText xml:space="preserve">PAGEREF _Toc209531750 \h</w:instrText>
            </w:r>
            <w:r>
              <w:rPr>
                <w:webHidden/>
              </w:rPr>
              <w:fldChar w:fldCharType="separate"/>
            </w:r>
            <w:r>
              <w:rPr>
                <w:rStyle w:val="Sautdindex"/>
                <w:vanish w:val="false"/>
              </w:rPr>
              <w:tab/>
              <w:t>6</w:t>
            </w:r>
            <w:r>
              <w:rPr>
                <w:webHidden/>
              </w:rPr>
              <w:fldChar w:fldCharType="end"/>
            </w:r>
          </w:hyperlink>
        </w:p>
        <w:p>
          <w:pPr>
            <w:pStyle w:val="TOC2"/>
            <w:rPr>
              <w:rFonts w:ascii="Calibri" w:hAnsi="Calibri" w:eastAsia="ＭＳ 明朝" w:asciiTheme="minorHAnsi" w:eastAsiaTheme="minorEastAsia" w:hAnsiTheme="minorHAnsi"/>
              <w:kern w:val="2"/>
              <w:sz w:val="24"/>
              <w:szCs w:val="24"/>
              <w:lang w:eastAsia="fr-FR"/>
              <w14:ligatures w14:val="standardContextual"/>
            </w:rPr>
          </w:pPr>
          <w:hyperlink w:anchor="_Toc209531751">
            <w:r>
              <w:rPr>
                <w:rStyle w:val="Sautdindex"/>
                <w:webHidden/>
              </w:rPr>
              <w:t>ARTICLE 5.2 – Suivi de l’accord</w:t>
            </w:r>
            <w:r>
              <w:rPr>
                <w:webHidden/>
              </w:rPr>
              <w:fldChar w:fldCharType="begin"/>
            </w:r>
            <w:r>
              <w:rPr>
                <w:webHidden/>
              </w:rPr>
              <w:instrText xml:space="preserve">PAGEREF _Toc209531751 \h</w:instrText>
            </w:r>
            <w:r>
              <w:rPr>
                <w:webHidden/>
              </w:rPr>
              <w:fldChar w:fldCharType="separate"/>
            </w:r>
            <w:r>
              <w:rPr>
                <w:rStyle w:val="Sautdindex"/>
                <w:vanish w:val="false"/>
              </w:rPr>
              <w:tab/>
              <w:t>6</w:t>
            </w:r>
            <w:r>
              <w:rPr>
                <w:webHidden/>
              </w:rPr>
              <w:fldChar w:fldCharType="end"/>
            </w:r>
          </w:hyperlink>
        </w:p>
        <w:p>
          <w:pPr>
            <w:pStyle w:val="TOC2"/>
            <w:rPr>
              <w:rFonts w:ascii="Calibri" w:hAnsi="Calibri" w:eastAsia="ＭＳ 明朝" w:asciiTheme="minorHAnsi" w:eastAsiaTheme="minorEastAsia" w:hAnsiTheme="minorHAnsi"/>
              <w:kern w:val="2"/>
              <w:sz w:val="24"/>
              <w:szCs w:val="24"/>
              <w:lang w:eastAsia="fr-FR"/>
              <w14:ligatures w14:val="standardContextual"/>
            </w:rPr>
          </w:pPr>
          <w:hyperlink w:anchor="_Toc209531752">
            <w:r>
              <w:rPr>
                <w:rStyle w:val="Sautdindex"/>
                <w:webHidden/>
              </w:rPr>
              <w:t>ARTICLE 5.3 – Révision et dénonciation de l’accord</w:t>
            </w:r>
            <w:r>
              <w:rPr>
                <w:webHidden/>
              </w:rPr>
              <w:fldChar w:fldCharType="begin"/>
            </w:r>
            <w:r>
              <w:rPr>
                <w:webHidden/>
              </w:rPr>
              <w:instrText xml:space="preserve">PAGEREF _Toc209531752 \h</w:instrText>
            </w:r>
            <w:r>
              <w:rPr>
                <w:webHidden/>
              </w:rPr>
              <w:fldChar w:fldCharType="separate"/>
            </w:r>
            <w:r>
              <w:rPr>
                <w:rStyle w:val="Sautdindex"/>
                <w:vanish w:val="false"/>
              </w:rPr>
              <w:tab/>
              <w:t>6</w:t>
            </w:r>
            <w:r>
              <w:rPr>
                <w:webHidden/>
              </w:rPr>
              <w:fldChar w:fldCharType="end"/>
            </w:r>
          </w:hyperlink>
        </w:p>
        <w:p>
          <w:pPr>
            <w:pStyle w:val="TOC2"/>
            <w:rPr>
              <w:rFonts w:ascii="Calibri" w:hAnsi="Calibri" w:eastAsia="ＭＳ 明朝" w:asciiTheme="minorHAnsi" w:eastAsiaTheme="minorEastAsia" w:hAnsiTheme="minorHAnsi"/>
              <w:kern w:val="2"/>
              <w:sz w:val="24"/>
              <w:szCs w:val="24"/>
              <w:lang w:eastAsia="fr-FR"/>
              <w14:ligatures w14:val="standardContextual"/>
            </w:rPr>
          </w:pPr>
          <w:hyperlink w:anchor="_Toc209531753">
            <w:r>
              <w:rPr>
                <w:rStyle w:val="Sautdindex"/>
                <w:webHidden/>
              </w:rPr>
              <w:t>Article 5.4 – Notification, dépôt et publicité de l’accord</w:t>
            </w:r>
            <w:r>
              <w:rPr>
                <w:webHidden/>
              </w:rPr>
              <w:fldChar w:fldCharType="begin"/>
            </w:r>
            <w:r>
              <w:rPr>
                <w:webHidden/>
              </w:rPr>
              <w:instrText xml:space="preserve">PAGEREF _Toc209531753 \h</w:instrText>
            </w:r>
            <w:r>
              <w:rPr>
                <w:webHidden/>
              </w:rPr>
              <w:fldChar w:fldCharType="separate"/>
            </w:r>
            <w:r>
              <w:rPr>
                <w:rStyle w:val="Sautdindex"/>
                <w:vanish w:val="false"/>
              </w:rPr>
              <w:tab/>
              <w:t>7</w:t>
            </w:r>
            <w:r>
              <w:rPr>
                <w:webHidden/>
              </w:rPr>
              <w:fldChar w:fldCharType="end"/>
            </w:r>
          </w:hyperlink>
          <w:r>
            <w:rPr>
              <w:rStyle w:val="Sautdindex"/>
              <w:vanish w:val="false"/>
            </w:rPr>
            <w:fldChar w:fldCharType="end"/>
          </w:r>
        </w:p>
      </w:sdtContent>
    </w:sdt>
    <w:p>
      <w:pPr>
        <w:pStyle w:val="Normal"/>
        <w:rPr>
          <w:rFonts w:ascii="Alstom" w:hAnsi="Alstom"/>
          <w:b/>
          <w:bCs/>
        </w:rPr>
      </w:pPr>
      <w:r>
        <w:rPr>
          <w:rFonts w:ascii="Alstom" w:hAnsi="Alstom"/>
          <w:b/>
          <w:bCs/>
        </w:rPr>
      </w:r>
    </w:p>
    <w:p>
      <w:pPr>
        <w:pStyle w:val="CWACorpsdetexte"/>
        <w:rPr>
          <w:lang w:val="fr-FR"/>
        </w:rPr>
      </w:pPr>
      <w:r>
        <w:rPr>
          <w:lang w:val="fr-FR"/>
        </w:rPr>
      </w:r>
    </w:p>
    <w:p>
      <w:pPr>
        <w:pStyle w:val="CWACorpsdetexte"/>
        <w:rPr>
          <w:lang w:val="fr-FR"/>
        </w:rPr>
      </w:pPr>
      <w:r>
        <w:rPr>
          <w:lang w:val="fr-FR"/>
        </w:rPr>
      </w:r>
    </w:p>
    <w:p>
      <w:pPr>
        <w:pStyle w:val="CWACorpsdetexte"/>
        <w:rPr>
          <w:lang w:val="fr-FR"/>
        </w:rPr>
      </w:pPr>
      <w:r>
        <w:rPr>
          <w:lang w:val="fr-FR"/>
        </w:rPr>
      </w:r>
    </w:p>
    <w:p>
      <w:pPr>
        <w:pStyle w:val="CWACorpsdetexte"/>
        <w:rPr>
          <w:lang w:val="fr-FR"/>
        </w:rPr>
      </w:pPr>
      <w:r>
        <w:rPr>
          <w:lang w:val="fr-FR"/>
        </w:rPr>
      </w:r>
    </w:p>
    <w:p>
      <w:pPr>
        <w:pStyle w:val="CWACorpsdetexte"/>
        <w:rPr>
          <w:lang w:val="fr-FR"/>
        </w:rPr>
      </w:pPr>
      <w:r>
        <w:rPr>
          <w:lang w:val="fr-FR"/>
        </w:rPr>
      </w:r>
    </w:p>
    <w:p>
      <w:pPr>
        <w:pStyle w:val="CWACorpsdetexte"/>
        <w:rPr>
          <w:lang w:val="fr-FR"/>
        </w:rPr>
      </w:pPr>
      <w:r>
        <w:rPr>
          <w:lang w:val="fr-FR"/>
        </w:rPr>
      </w:r>
    </w:p>
    <w:p>
      <w:pPr>
        <w:pStyle w:val="CWACorpsdetexte"/>
        <w:rPr>
          <w:lang w:val="fr-FR"/>
        </w:rPr>
      </w:pPr>
      <w:r>
        <w:rPr>
          <w:lang w:val="fr-FR"/>
        </w:rPr>
      </w:r>
    </w:p>
    <w:p>
      <w:pPr>
        <w:pStyle w:val="CWACorpsdetexte"/>
        <w:rPr>
          <w:lang w:val="fr-FR"/>
        </w:rPr>
      </w:pPr>
      <w:r>
        <w:rPr>
          <w:lang w:val="fr-FR"/>
        </w:rPr>
      </w:r>
    </w:p>
    <w:p>
      <w:pPr>
        <w:pStyle w:val="CWACorpsdetexte"/>
        <w:rPr>
          <w:lang w:val="fr-FR"/>
        </w:rPr>
      </w:pPr>
      <w:r>
        <w:rPr>
          <w:lang w:val="fr-FR"/>
        </w:rPr>
      </w:r>
    </w:p>
    <w:p>
      <w:pPr>
        <w:pStyle w:val="CWACorpsdetexte"/>
        <w:rPr>
          <w:lang w:val="fr-FR"/>
        </w:rPr>
      </w:pPr>
      <w:r>
        <w:rPr>
          <w:lang w:val="fr-FR"/>
        </w:rPr>
      </w:r>
    </w:p>
    <w:p>
      <w:pPr>
        <w:pStyle w:val="CWACorpsdetexte"/>
        <w:rPr>
          <w:lang w:val="fr-FR"/>
        </w:rPr>
      </w:pPr>
      <w:r>
        <w:rPr>
          <w:lang w:val="fr-FR"/>
        </w:rPr>
      </w:r>
    </w:p>
    <w:p>
      <w:pPr>
        <w:pStyle w:val="CWACorpsdetexte"/>
        <w:rPr>
          <w:lang w:val="fr-FR"/>
        </w:rPr>
      </w:pPr>
      <w:r>
        <w:rPr>
          <w:lang w:val="fr-FR"/>
        </w:rPr>
      </w:r>
    </w:p>
    <w:p>
      <w:pPr>
        <w:pStyle w:val="CWACorpsdetexte"/>
        <w:rPr>
          <w:lang w:val="fr-FR"/>
        </w:rPr>
      </w:pPr>
      <w:r>
        <w:rPr>
          <w:lang w:val="fr-FR"/>
        </w:rPr>
      </w:r>
    </w:p>
    <w:p>
      <w:pPr>
        <w:pStyle w:val="Heading1"/>
        <w:spacing w:before="0" w:after="0"/>
        <w:ind w:start="0"/>
        <w:rPr>
          <w:rFonts w:ascii="Alstom" w:hAnsi="Alstom"/>
          <w:b/>
          <w:bCs/>
          <w:color w:themeColor="accent1" w:themeShade="80" w:val="244061"/>
          <w:lang w:val="fr-FR"/>
        </w:rPr>
      </w:pPr>
      <w:bookmarkStart w:id="12" w:name="_Toc532375234"/>
      <w:bookmarkStart w:id="13" w:name="_Toc130909921"/>
      <w:bookmarkStart w:id="14" w:name="_Toc131065194"/>
      <w:bookmarkStart w:id="15" w:name="_Toc131247890"/>
      <w:bookmarkStart w:id="16" w:name="_Toc133227419"/>
      <w:bookmarkStart w:id="17" w:name="_Toc145872328"/>
      <w:bookmarkStart w:id="18" w:name="_Toc209531733"/>
      <w:r>
        <w:rPr>
          <w:rFonts w:ascii="Alstom" w:hAnsi="Alstom"/>
          <w:b/>
          <w:bCs/>
          <w:color w:themeColor="accent1" w:themeShade="80" w:val="244061"/>
          <w:lang w:val="fr-FR"/>
        </w:rPr>
        <w:t>PREAMBULE</w:t>
      </w:r>
      <w:bookmarkEnd w:id="12"/>
      <w:bookmarkEnd w:id="13"/>
      <w:bookmarkEnd w:id="14"/>
      <w:bookmarkEnd w:id="15"/>
      <w:bookmarkEnd w:id="16"/>
      <w:bookmarkEnd w:id="17"/>
      <w:bookmarkEnd w:id="18"/>
      <w:r>
        <w:rPr>
          <w:rFonts w:ascii="Alstom" w:hAnsi="Alstom"/>
          <w:b/>
          <w:bCs/>
          <w:color w:themeColor="accent1" w:themeShade="80" w:val="244061"/>
          <w:lang w:val="fr-FR"/>
        </w:rPr>
        <w:t xml:space="preserve"> </w:t>
      </w:r>
    </w:p>
    <w:p>
      <w:pPr>
        <w:pStyle w:val="Heading1"/>
        <w:spacing w:before="0" w:after="0"/>
        <w:ind w:start="0"/>
        <w:jc w:val="both"/>
        <w:rPr>
          <w:rFonts w:ascii="Alstom" w:hAnsi="Alstom"/>
          <w:b/>
          <w:bCs/>
          <w:color w:themeColor="accent1" w:themeShade="80" w:val="244061"/>
          <w:lang w:val="fr-FR"/>
        </w:rPr>
      </w:pPr>
      <w:r>
        <w:rPr>
          <w:rFonts w:ascii="Alstom" w:hAnsi="Alstom"/>
          <w:b/>
          <w:bCs/>
          <w:color w:themeColor="accent1" w:themeShade="80" w:val="244061"/>
          <w:lang w:val="fr-FR"/>
        </w:rPr>
      </w:r>
    </w:p>
    <w:p>
      <w:pPr>
        <w:pStyle w:val="Normal"/>
        <w:jc w:val="both"/>
        <w:rPr>
          <w:rFonts w:ascii="Alstom" w:hAnsi="Alstom"/>
          <w:color w:themeColor="accent1" w:themeShade="80" w:val="244061"/>
          <w:lang w:val="fr-FR"/>
        </w:rPr>
      </w:pPr>
      <w:r>
        <w:rPr>
          <w:rFonts w:ascii="Alstom" w:hAnsi="Alstom"/>
          <w:color w:themeColor="accent1" w:themeShade="80" w:val="244061"/>
          <w:lang w:val="fr-FR"/>
        </w:rPr>
        <w:t>Le 1</w:t>
      </w:r>
      <w:r>
        <w:rPr>
          <w:rFonts w:ascii="Alstom" w:hAnsi="Alstom"/>
          <w:color w:themeColor="accent1" w:themeShade="80" w:val="244061"/>
          <w:vertAlign w:val="superscript"/>
          <w:lang w:val="fr-FR"/>
        </w:rPr>
        <w:t>er</w:t>
      </w:r>
      <w:r>
        <w:rPr>
          <w:rFonts w:ascii="Alstom" w:hAnsi="Alstom"/>
          <w:color w:themeColor="accent1" w:themeShade="80" w:val="244061"/>
          <w:lang w:val="fr-FR"/>
        </w:rPr>
        <w:t xml:space="preserve"> juillet 2020, le groupe ALSTOM a fait l’acquisition de la Société IBRE qui est devenue une filiale du groupe ALSTOM. </w:t>
      </w:r>
    </w:p>
    <w:p>
      <w:pPr>
        <w:pStyle w:val="Normal"/>
        <w:jc w:val="both"/>
        <w:rPr>
          <w:rFonts w:ascii="Alstom" w:hAnsi="Alstom"/>
          <w:color w:themeColor="accent1" w:themeShade="80" w:val="244061"/>
          <w:lang w:val="fr-FR"/>
        </w:rPr>
      </w:pPr>
      <w:r>
        <w:rPr>
          <w:rFonts w:ascii="Alstom" w:hAnsi="Alstom"/>
          <w:color w:themeColor="accent1" w:themeShade="80" w:val="244061"/>
          <w:lang w:val="fr-FR"/>
        </w:rPr>
      </w:r>
    </w:p>
    <w:p>
      <w:pPr>
        <w:pStyle w:val="Normal"/>
        <w:jc w:val="both"/>
        <w:rPr>
          <w:rFonts w:ascii="Alstom" w:hAnsi="Alstom"/>
          <w:color w:themeColor="accent1" w:themeShade="80" w:val="244061"/>
          <w:lang w:val="fr-FR"/>
        </w:rPr>
      </w:pPr>
      <w:r>
        <w:rPr>
          <w:rFonts w:ascii="Alstom" w:hAnsi="Alstom"/>
          <w:color w:themeColor="accent1" w:themeShade="80" w:val="244061"/>
          <w:lang w:val="fr-FR"/>
        </w:rPr>
        <w:t xml:space="preserve">La Société IBRE a fait l’objet d’un changement de dénomination sociale et est devenue Alstom IBRE SAS. </w:t>
      </w:r>
    </w:p>
    <w:p>
      <w:pPr>
        <w:pStyle w:val="Normal"/>
        <w:jc w:val="both"/>
        <w:rPr>
          <w:rFonts w:ascii="Alstom" w:hAnsi="Alstom"/>
          <w:color w:themeColor="accent1" w:themeShade="80" w:val="244061"/>
          <w:lang w:val="fr-FR"/>
        </w:rPr>
      </w:pPr>
      <w:r>
        <w:rPr>
          <w:rFonts w:ascii="Alstom" w:hAnsi="Alstom"/>
          <w:color w:themeColor="accent1" w:themeShade="80" w:val="244061"/>
          <w:lang w:val="fr-FR"/>
        </w:rPr>
      </w:r>
    </w:p>
    <w:p>
      <w:pPr>
        <w:pStyle w:val="Normal"/>
        <w:jc w:val="both"/>
        <w:rPr>
          <w:rFonts w:ascii="Alstom" w:hAnsi="Alstom"/>
          <w:color w:themeColor="accent1" w:themeShade="80" w:val="244061"/>
          <w:lang w:val="fr-FR"/>
        </w:rPr>
      </w:pPr>
      <w:r>
        <w:rPr>
          <w:rFonts w:ascii="Alstom" w:hAnsi="Alstom"/>
          <w:color w:themeColor="accent1" w:themeShade="80" w:val="244061"/>
          <w:lang w:val="fr-FR"/>
        </w:rPr>
        <w:t xml:space="preserve">Les contrats de travail des salariés ont été transférés automatiquement en application des dispositions de l’article L1224-1 du Code du travail. </w:t>
      </w:r>
    </w:p>
    <w:p>
      <w:pPr>
        <w:pStyle w:val="Normal"/>
        <w:jc w:val="both"/>
        <w:rPr>
          <w:rFonts w:ascii="Alstom" w:hAnsi="Alstom"/>
          <w:color w:themeColor="accent1" w:themeShade="80" w:val="244061"/>
          <w:lang w:val="fr-FR"/>
        </w:rPr>
      </w:pPr>
      <w:r>
        <w:rPr>
          <w:rFonts w:ascii="Alstom" w:hAnsi="Alstom"/>
          <w:color w:themeColor="accent1" w:themeShade="80" w:val="244061"/>
          <w:lang w:val="fr-FR"/>
        </w:rPr>
      </w:r>
    </w:p>
    <w:p>
      <w:pPr>
        <w:pStyle w:val="Normal"/>
        <w:jc w:val="both"/>
        <w:rPr>
          <w:rFonts w:ascii="Alstom" w:hAnsi="Alstom"/>
          <w:color w:themeColor="accent1" w:themeShade="80" w:val="244061"/>
          <w:lang w:val="fr-FR"/>
        </w:rPr>
      </w:pPr>
      <w:r>
        <w:rPr>
          <w:rFonts w:ascii="Alstom" w:hAnsi="Alstom"/>
          <w:color w:themeColor="accent1" w:themeShade="80" w:val="244061"/>
          <w:lang w:val="fr-FR"/>
        </w:rPr>
        <w:t xml:space="preserve">Le statut collectif a également été maintenu. Cependant, il apparaît que de nombreuses dispositions conventionnelles applicables au sein de la Société nécessitent une évolution afin d’être mises en conformité avec les dispositions légales en vigueur ainsi que les dispositions conventionnelles applicables au sein du groupe Alstom. </w:t>
      </w:r>
    </w:p>
    <w:p>
      <w:pPr>
        <w:pStyle w:val="Normal"/>
        <w:jc w:val="both"/>
        <w:rPr>
          <w:rFonts w:ascii="Alstom" w:hAnsi="Alstom"/>
          <w:color w:themeColor="accent1" w:themeShade="80" w:val="244061"/>
          <w:lang w:val="fr-FR"/>
        </w:rPr>
      </w:pPr>
      <w:r>
        <w:rPr>
          <w:rFonts w:ascii="Alstom" w:hAnsi="Alstom"/>
          <w:color w:themeColor="accent1" w:themeShade="80" w:val="244061"/>
          <w:lang w:val="fr-FR"/>
        </w:rPr>
        <w:t xml:space="preserve">C’est dans ce contexte que les partenaires sociaux se sont rencontrés afin d’ouvrir une négociation dans l’objectif de définir ensemble les éléments composant la rémunération et les avantages au sein de l’entreprise. </w:t>
      </w:r>
    </w:p>
    <w:p>
      <w:pPr>
        <w:pStyle w:val="Normal"/>
        <w:jc w:val="both"/>
        <w:rPr>
          <w:rFonts w:ascii="Alstom" w:hAnsi="Alstom"/>
          <w:color w:themeColor="accent1" w:themeShade="80" w:val="244061"/>
          <w:lang w:val="fr-FR"/>
        </w:rPr>
      </w:pPr>
      <w:r>
        <w:rPr>
          <w:rFonts w:ascii="Alstom" w:hAnsi="Alstom"/>
          <w:color w:themeColor="accent1" w:themeShade="80" w:val="244061"/>
          <w:lang w:val="fr-FR"/>
        </w:rPr>
      </w:r>
    </w:p>
    <w:p>
      <w:pPr>
        <w:pStyle w:val="Normal"/>
        <w:jc w:val="both"/>
        <w:rPr>
          <w:rFonts w:ascii="Alstom" w:hAnsi="Alstom"/>
          <w:color w:themeColor="accent1" w:themeShade="80" w:val="244061"/>
          <w:lang w:val="fr-FR"/>
        </w:rPr>
      </w:pPr>
      <w:r>
        <w:rPr>
          <w:rFonts w:ascii="Alstom" w:hAnsi="Alstom"/>
          <w:color w:themeColor="accent1" w:themeShade="80" w:val="244061"/>
          <w:lang w:val="fr-FR"/>
        </w:rPr>
        <w:t>Plusieurs réunions de négociation ont été organisées les :  1</w:t>
      </w:r>
      <w:r>
        <w:rPr>
          <w:rFonts w:ascii="Alstom" w:hAnsi="Alstom"/>
          <w:color w:themeColor="accent1" w:themeShade="80" w:val="244061"/>
          <w:vertAlign w:val="superscript"/>
          <w:lang w:val="fr-FR"/>
        </w:rPr>
        <w:t>er</w:t>
      </w:r>
      <w:r>
        <w:rPr>
          <w:rFonts w:ascii="Alstom" w:hAnsi="Alstom"/>
          <w:color w:themeColor="accent1" w:themeShade="80" w:val="244061"/>
          <w:lang w:val="fr-FR"/>
        </w:rPr>
        <w:t xml:space="preserve"> juillet 2025, 24 septembre 2025 et 16 octobre 2025, 26 novembre 2025</w:t>
      </w:r>
    </w:p>
    <w:p>
      <w:pPr>
        <w:pStyle w:val="Normal"/>
        <w:jc w:val="both"/>
        <w:rPr>
          <w:rFonts w:ascii="Alstom" w:hAnsi="Alstom"/>
          <w:color w:themeColor="accent1" w:themeShade="80" w:val="244061"/>
          <w:lang w:val="fr-FR"/>
        </w:rPr>
      </w:pPr>
      <w:r>
        <w:rPr>
          <w:rFonts w:ascii="Alstom" w:hAnsi="Alstom"/>
          <w:color w:themeColor="accent1" w:themeShade="80" w:val="244061"/>
          <w:lang w:val="fr-FR"/>
        </w:rPr>
      </w:r>
    </w:p>
    <w:p>
      <w:pPr>
        <w:pStyle w:val="Normal"/>
        <w:jc w:val="both"/>
        <w:rPr>
          <w:rFonts w:ascii="Alstom" w:hAnsi="Alstom"/>
          <w:color w:themeColor="accent1" w:themeShade="80" w:val="244061"/>
          <w:lang w:val="fr-FR"/>
        </w:rPr>
      </w:pPr>
      <w:r>
        <w:rPr>
          <w:rFonts w:ascii="Alstom" w:hAnsi="Alstom"/>
          <w:color w:themeColor="accent1" w:themeShade="80" w:val="244061"/>
          <w:lang w:val="fr-FR"/>
        </w:rPr>
        <w:t xml:space="preserve">Le présent accord se substitue à tout accord, engagement unilatéral ou usage ayant le même objet. </w:t>
      </w:r>
    </w:p>
    <w:p>
      <w:pPr>
        <w:pStyle w:val="Normal"/>
        <w:jc w:val="both"/>
        <w:rPr>
          <w:rFonts w:ascii="Alstom" w:hAnsi="Alstom"/>
          <w:color w:themeColor="accent1" w:themeShade="80" w:val="244061"/>
          <w:lang w:val="fr-FR"/>
        </w:rPr>
      </w:pPr>
      <w:r>
        <w:rPr>
          <w:rFonts w:ascii="Alstom" w:hAnsi="Alstom"/>
          <w:color w:themeColor="accent1" w:themeShade="80" w:val="244061"/>
          <w:lang w:val="fr-FR"/>
        </w:rPr>
      </w:r>
    </w:p>
    <w:p>
      <w:pPr>
        <w:pStyle w:val="Normal"/>
        <w:jc w:val="both"/>
        <w:rPr>
          <w:rFonts w:ascii="Alstom" w:hAnsi="Alstom"/>
          <w:color w:themeColor="accent1" w:themeShade="80" w:val="244061"/>
          <w:lang w:val="fr-FR"/>
        </w:rPr>
      </w:pPr>
      <w:r>
        <w:rPr>
          <w:rFonts w:ascii="Alstom" w:hAnsi="Alstom"/>
          <w:color w:themeColor="accent1" w:themeShade="80" w:val="244061"/>
          <w:lang w:val="fr-FR"/>
        </w:rPr>
      </w:r>
    </w:p>
    <w:p>
      <w:pPr>
        <w:pStyle w:val="Normal"/>
        <w:tabs>
          <w:tab w:val="clear" w:pos="720"/>
          <w:tab w:val="center" w:pos="4706" w:leader="none"/>
        </w:tabs>
        <w:jc w:val="center"/>
        <w:rPr>
          <w:rFonts w:ascii="Alstom" w:hAnsi="Alstom"/>
          <w:sz w:val="24"/>
          <w:szCs w:val="24"/>
          <w:lang w:val="fr-FR"/>
        </w:rPr>
      </w:pPr>
      <w:r>
        <w:rPr>
          <w:rFonts w:ascii="Alstom" w:hAnsi="Alstom"/>
          <w:sz w:val="24"/>
          <w:szCs w:val="24"/>
          <w:lang w:val="fr-FR"/>
        </w:rPr>
      </w:r>
    </w:p>
    <w:p>
      <w:pPr>
        <w:pStyle w:val="Normal"/>
        <w:tabs>
          <w:tab w:val="clear" w:pos="720"/>
          <w:tab w:val="center" w:pos="4706" w:leader="none"/>
        </w:tabs>
        <w:spacing w:before="240" w:after="0"/>
        <w:jc w:val="both"/>
        <w:rPr>
          <w:rFonts w:ascii="Alstom" w:hAnsi="Alstom"/>
          <w:lang w:val="fr-FR"/>
        </w:rPr>
      </w:pPr>
      <w:r>
        <w:rPr>
          <w:rFonts w:ascii="Alstom" w:hAnsi="Alstom"/>
          <w:lang w:val="fr-FR"/>
        </w:rPr>
      </w:r>
    </w:p>
    <w:p>
      <w:pPr>
        <w:pStyle w:val="Normal"/>
        <w:rPr>
          <w:rFonts w:ascii="Alstom" w:hAnsi="Alstom"/>
          <w:lang w:val="fr-FR"/>
        </w:rPr>
      </w:pPr>
      <w:r>
        <w:rPr>
          <w:rFonts w:ascii="Alstom" w:hAnsi="Alstom"/>
          <w:lang w:val="fr-FR"/>
        </w:rPr>
      </w:r>
    </w:p>
    <w:p>
      <w:pPr>
        <w:pStyle w:val="Normal"/>
        <w:rPr>
          <w:rFonts w:ascii="Alstom" w:hAnsi="Alstom"/>
          <w:color w:themeColor="accent1" w:themeShade="80" w:val="244061"/>
          <w:lang w:val="fr-FR"/>
        </w:rPr>
      </w:pPr>
      <w:r>
        <w:rPr>
          <w:rFonts w:ascii="Alstom" w:hAnsi="Alstom"/>
          <w:color w:themeColor="accent1" w:themeShade="80" w:val="244061"/>
          <w:lang w:val="fr-FR"/>
        </w:rPr>
        <w:t xml:space="preserve"> </w:t>
      </w:r>
      <w:r>
        <w:br w:type="page"/>
      </w:r>
    </w:p>
    <w:p>
      <w:pPr>
        <w:pStyle w:val="Heading1"/>
        <w:spacing w:before="0" w:after="0"/>
        <w:rPr>
          <w:rFonts w:ascii="Alstom" w:hAnsi="Alstom" w:cs="Calibri" w:cstheme="minorHAnsi"/>
          <w:color w:themeColor="accent1" w:themeShade="80" w:val="244061"/>
          <w:sz w:val="24"/>
          <w:szCs w:val="24"/>
          <w:lang w:val="fr-FR"/>
        </w:rPr>
      </w:pPr>
      <w:bookmarkStart w:id="19" w:name="_Toc209531734"/>
      <w:bookmarkStart w:id="20" w:name="_Toc198658291"/>
      <w:r>
        <w:rPr>
          <w:rFonts w:cs="Calibri" w:ascii="Alstom" w:hAnsi="Alstom" w:cstheme="minorHAnsi"/>
          <w:b/>
          <w:bCs/>
          <w:color w:themeColor="accent1" w:themeShade="80" w:val="244061"/>
          <w:sz w:val="24"/>
          <w:szCs w:val="24"/>
          <w:lang w:val="fr-FR"/>
        </w:rPr>
        <w:t>TITRE I – CHAMP D’APPLICATION ET OBJET</w:t>
      </w:r>
      <w:bookmarkEnd w:id="19"/>
      <w:bookmarkEnd w:id="20"/>
    </w:p>
    <w:p>
      <w:pPr>
        <w:pStyle w:val="Normal"/>
        <w:jc w:val="both"/>
        <w:rPr>
          <w:rFonts w:ascii="Alstom" w:hAnsi="Alstom"/>
          <w:color w:themeColor="accent1" w:themeShade="80" w:val="244061"/>
          <w:lang w:val="fr-FR"/>
        </w:rPr>
      </w:pPr>
      <w:r>
        <w:rPr>
          <w:rFonts w:ascii="Alstom" w:hAnsi="Alstom"/>
          <w:color w:themeColor="accent1" w:themeShade="80" w:val="244061"/>
          <w:lang w:val="fr-FR"/>
        </w:rPr>
      </w:r>
    </w:p>
    <w:p>
      <w:pPr>
        <w:pStyle w:val="Style11"/>
        <w:spacing w:before="0" w:after="0"/>
        <w:ind w:start="851"/>
        <w:rPr/>
      </w:pPr>
      <w:bookmarkStart w:id="21" w:name="_Toc209531735"/>
      <w:r>
        <w:rPr/>
        <w:t>ARTICLE 1.1 – Objet et champ d’application de l’accord</w:t>
      </w:r>
      <w:bookmarkEnd w:id="21"/>
    </w:p>
    <w:p>
      <w:pPr>
        <w:pStyle w:val="Style11"/>
        <w:spacing w:before="0" w:after="0"/>
        <w:outlineLvl w:val="9"/>
        <w:rPr>
          <w:sz w:val="20"/>
          <w:szCs w:val="20"/>
        </w:rPr>
      </w:pPr>
      <w:r>
        <w:rPr>
          <w:sz w:val="20"/>
          <w:szCs w:val="20"/>
        </w:rPr>
      </w:r>
    </w:p>
    <w:p>
      <w:pPr>
        <w:pStyle w:val="Normal"/>
        <w:jc w:val="both"/>
        <w:rPr>
          <w:rFonts w:ascii="Alstom" w:hAnsi="Alstom"/>
          <w:color w:themeColor="accent1" w:themeShade="80" w:val="244061"/>
          <w:lang w:val="fr-FR"/>
        </w:rPr>
      </w:pPr>
      <w:r>
        <w:rPr>
          <w:rFonts w:ascii="Alstom" w:hAnsi="Alstom"/>
          <w:color w:themeColor="accent1" w:themeShade="80" w:val="244061"/>
          <w:lang w:val="fr-FR"/>
        </w:rPr>
        <w:t xml:space="preserve">Le présent accord est applicable à l’ensemble des salariés de la société ALSTOM IBRE SAS. </w:t>
      </w:r>
    </w:p>
    <w:p>
      <w:pPr>
        <w:pStyle w:val="Normal"/>
        <w:jc w:val="both"/>
        <w:rPr>
          <w:rFonts w:ascii="Alstom" w:hAnsi="Alstom"/>
          <w:color w:themeColor="accent1" w:themeShade="80" w:val="244061"/>
          <w:lang w:val="fr-FR"/>
        </w:rPr>
      </w:pPr>
      <w:r>
        <w:rPr>
          <w:rFonts w:ascii="Alstom" w:hAnsi="Alstom"/>
          <w:color w:themeColor="accent1" w:themeShade="80" w:val="244061"/>
          <w:lang w:val="fr-FR"/>
        </w:rPr>
        <w:t>Par exception, ne sont pas concernés par les dispositions de cet accord les contrats de travails conclus avec la société ZF MASSON qui seraient encore en vigueur à la signature du présent accord.</w:t>
      </w:r>
    </w:p>
    <w:p>
      <w:pPr>
        <w:pStyle w:val="Normal"/>
        <w:jc w:val="both"/>
        <w:rPr>
          <w:rFonts w:ascii="Alstom" w:hAnsi="Alstom"/>
          <w:color w:themeColor="accent1" w:themeShade="80" w:val="244061"/>
          <w:lang w:val="fr-FR"/>
        </w:rPr>
      </w:pPr>
      <w:r>
        <w:rPr>
          <w:rFonts w:ascii="Alstom" w:hAnsi="Alstom"/>
          <w:color w:themeColor="accent1" w:themeShade="80" w:val="244061"/>
          <w:lang w:val="fr-FR"/>
        </w:rPr>
        <w:t>Il a pour objet de définir des éléments de rémunération applicables au sein de la Société.</w:t>
      </w:r>
    </w:p>
    <w:p>
      <w:pPr>
        <w:pStyle w:val="Normal"/>
        <w:jc w:val="both"/>
        <w:rPr>
          <w:rFonts w:ascii="Alstom" w:hAnsi="Alstom"/>
          <w:color w:themeColor="accent1" w:themeShade="80" w:val="244061"/>
          <w:lang w:val="fr-FR"/>
        </w:rPr>
      </w:pPr>
      <w:r>
        <w:rPr>
          <w:rFonts w:ascii="Alstom" w:hAnsi="Alstom"/>
          <w:color w:themeColor="accent1" w:themeShade="80" w:val="244061"/>
          <w:lang w:val="fr-FR"/>
        </w:rPr>
      </w:r>
    </w:p>
    <w:p>
      <w:pPr>
        <w:pStyle w:val="Heading1"/>
        <w:rPr>
          <w:rFonts w:ascii="Alstom" w:hAnsi="Alstom" w:cs="Calibri" w:cstheme="minorHAnsi"/>
          <w:color w:themeColor="accent1" w:themeShade="80" w:val="244061"/>
          <w:sz w:val="24"/>
          <w:szCs w:val="24"/>
          <w:lang w:val="fr-FR"/>
        </w:rPr>
      </w:pPr>
      <w:bookmarkStart w:id="22" w:name="_Toc209531736"/>
      <w:r>
        <w:rPr>
          <w:rFonts w:cs="Calibri" w:ascii="Alstom" w:hAnsi="Alstom" w:cstheme="minorHAnsi"/>
          <w:b/>
          <w:bCs/>
          <w:color w:themeColor="accent1" w:themeShade="80" w:val="244061"/>
          <w:sz w:val="24"/>
          <w:szCs w:val="24"/>
          <w:lang w:val="fr-FR"/>
        </w:rPr>
        <w:t>TITRE II – Primes diverses</w:t>
      </w:r>
      <w:bookmarkEnd w:id="22"/>
    </w:p>
    <w:p>
      <w:pPr>
        <w:pStyle w:val="Normal"/>
        <w:jc w:val="both"/>
        <w:rPr>
          <w:rFonts w:ascii="Alstom" w:hAnsi="Alstom"/>
          <w:b/>
          <w:bCs/>
          <w:color w:themeColor="accent1" w:themeShade="80" w:val="244061"/>
          <w:lang w:val="fr-FR"/>
        </w:rPr>
      </w:pPr>
      <w:r>
        <w:rPr>
          <w:rFonts w:ascii="Alstom" w:hAnsi="Alstom"/>
          <w:b/>
          <w:bCs/>
          <w:color w:themeColor="accent1" w:themeShade="80" w:val="244061"/>
          <w:lang w:val="fr-FR"/>
        </w:rPr>
      </w:r>
    </w:p>
    <w:p>
      <w:pPr>
        <w:pStyle w:val="Style11"/>
        <w:spacing w:before="0" w:after="0"/>
        <w:ind w:start="851"/>
        <w:rPr/>
      </w:pPr>
      <w:bookmarkStart w:id="23" w:name="_Toc209531737"/>
      <w:r>
        <w:rPr/>
        <w:t>ARTICLE 2.1 – Prime d’ancienneté</w:t>
      </w:r>
      <w:bookmarkEnd w:id="23"/>
      <w:r>
        <w:rPr/>
        <w:t xml:space="preserve"> </w:t>
      </w:r>
    </w:p>
    <w:p>
      <w:pPr>
        <w:pStyle w:val="Style11"/>
        <w:spacing w:before="0" w:after="0"/>
        <w:outlineLvl w:val="9"/>
        <w:rPr/>
      </w:pPr>
      <w:r>
        <w:rPr/>
      </w:r>
    </w:p>
    <w:p>
      <w:pPr>
        <w:pStyle w:val="Normal"/>
        <w:jc w:val="both"/>
        <w:rPr>
          <w:rFonts w:ascii="Alstom" w:hAnsi="Alstom"/>
          <w:color w:themeColor="accent1" w:themeShade="80" w:val="244061"/>
          <w:lang w:val="fr-FR"/>
        </w:rPr>
      </w:pPr>
      <w:r>
        <w:rPr>
          <w:rFonts w:ascii="Alstom" w:hAnsi="Alstom"/>
          <w:color w:themeColor="accent1" w:themeShade="80" w:val="244061"/>
          <w:lang w:val="fr-FR"/>
        </w:rPr>
        <w:t>Cette prime est calculée selon les modalités définies par l’article 142 de la Convention collective de la Métallurgie.</w:t>
      </w:r>
    </w:p>
    <w:p>
      <w:pPr>
        <w:pStyle w:val="Normal"/>
        <w:jc w:val="both"/>
        <w:rPr>
          <w:rFonts w:ascii="Alstom" w:hAnsi="Alstom"/>
          <w:color w:themeColor="accent1" w:themeShade="80" w:val="244061"/>
          <w:lang w:val="fr-FR"/>
        </w:rPr>
      </w:pPr>
      <w:r>
        <w:rPr>
          <w:rFonts w:ascii="Alstom" w:hAnsi="Alstom"/>
          <w:color w:themeColor="accent1" w:themeShade="80" w:val="244061"/>
          <w:lang w:val="fr-FR"/>
        </w:rPr>
      </w:r>
    </w:p>
    <w:p>
      <w:pPr>
        <w:pStyle w:val="Normal"/>
        <w:widowControl/>
        <w:jc w:val="both"/>
        <w:rPr>
          <w:rFonts w:ascii="Alstom" w:hAnsi="Alstom" w:cs="Calibri" w:cstheme="minorHAnsi"/>
          <w:b/>
          <w:bCs/>
          <w:color w:themeColor="accent1" w:themeShade="80" w:val="244061"/>
          <w:lang w:val="fr-FR"/>
        </w:rPr>
      </w:pPr>
      <w:r>
        <w:rPr>
          <w:rFonts w:cs="Calibri" w:cstheme="minorHAnsi" w:ascii="Alstom" w:hAnsi="Alstom"/>
          <w:b/>
          <w:bCs/>
          <w:color w:themeColor="accent1" w:themeShade="80" w:val="244061"/>
          <w:lang w:val="fr-FR"/>
        </w:rPr>
      </w:r>
    </w:p>
    <w:p>
      <w:pPr>
        <w:pStyle w:val="Style11"/>
        <w:spacing w:before="0" w:after="0"/>
        <w:ind w:start="851"/>
        <w:rPr/>
      </w:pPr>
      <w:bookmarkStart w:id="24" w:name="_Toc209531740"/>
      <w:r>
        <w:rPr/>
        <w:t>ARTICLE 2.2 – Prime d’habillage et de déshabillage</w:t>
      </w:r>
      <w:bookmarkEnd w:id="24"/>
    </w:p>
    <w:p>
      <w:pPr>
        <w:pStyle w:val="Normal"/>
        <w:widowControl/>
        <w:rPr>
          <w:rFonts w:ascii="Alstom" w:hAnsi="Alstom"/>
          <w:color w:themeColor="accent1" w:themeShade="80" w:val="244061"/>
          <w:lang w:val="fr-FR"/>
        </w:rPr>
      </w:pPr>
      <w:r>
        <w:rPr>
          <w:rFonts w:ascii="Alstom" w:hAnsi="Alstom"/>
          <w:color w:themeColor="accent1" w:themeShade="80" w:val="244061"/>
          <w:lang w:val="fr-FR"/>
        </w:rPr>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t>Une Prime d’habillage et de déshabillage de 10 minutes par jour travaillé est mise en place pour les salariés pour qui le port d’une tenue spécifique est obligatoire.</w:t>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t xml:space="preserve">Sont ainsi concernés les salariés (non-cadres) de production (usinage et fonderie), EHS/qualité, maintenance, et les caristes. </w:t>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t xml:space="preserve"> </w:t>
      </w:r>
      <w:r>
        <w:rPr>
          <w:rFonts w:ascii="Alstom" w:hAnsi="Alstom"/>
          <w:color w:themeColor="accent1" w:themeShade="80" w:val="244061"/>
          <w:lang w:val="fr-FR"/>
        </w:rPr>
        <w:t xml:space="preserve">Il est rappelé que le temps d’habillage et de déshabillage, tel que visé à l’article L. 3121-3 du code du travail, n'est pas du temps de travail effectif mais fait l'objet d’une contrepartie financière. Cette contrepartie, appelée prime d’habillage et de déshabillage, est versée à une périodicité mensuelle. Elle est égale à la moitié du taux horaire du salaire minimum hiérarchique de l’année en cours considérée applicable au salarié. </w:t>
      </w:r>
    </w:p>
    <w:p>
      <w:pPr>
        <w:pStyle w:val="Normal"/>
        <w:widowControl/>
        <w:rPr>
          <w:rFonts w:ascii="Alstom" w:hAnsi="Alstom" w:cs="Calibri" w:cstheme="minorHAnsi"/>
          <w:b/>
          <w:bCs/>
          <w:color w:themeColor="accent1" w:themeShade="80" w:val="244061"/>
          <w:lang w:val="fr-FR"/>
        </w:rPr>
      </w:pPr>
      <w:r>
        <w:rPr>
          <w:rFonts w:cs="Calibri" w:cstheme="minorHAnsi" w:ascii="Alstom" w:hAnsi="Alstom"/>
          <w:b/>
          <w:bCs/>
          <w:color w:themeColor="accent1" w:themeShade="80" w:val="244061"/>
          <w:lang w:val="fr-FR"/>
        </w:rPr>
      </w:r>
    </w:p>
    <w:p>
      <w:pPr>
        <w:pStyle w:val="Style11"/>
        <w:spacing w:before="0" w:after="0"/>
        <w:ind w:start="851"/>
        <w:rPr/>
      </w:pPr>
      <w:bookmarkStart w:id="25" w:name="_Toc209531741"/>
      <w:r>
        <w:rPr/>
        <w:t>ARTICLE 2.3 – Prime de douche</w:t>
      </w:r>
      <w:bookmarkEnd w:id="25"/>
    </w:p>
    <w:p>
      <w:pPr>
        <w:pStyle w:val="Style11"/>
        <w:spacing w:before="0" w:after="0"/>
        <w:ind w:start="851"/>
        <w:rPr/>
      </w:pPr>
      <w:r>
        <w:rPr/>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t>La prime de douche est versée aux salariés bénéficiant d’une prime d’habillage et effectuant les travaux les plus salissants. Sont ainsi concernés les salariés de production (usinage et fonderie), maintenance, EHS/qualité et les caristes. Elle est versée par jour effectivement travaillé, à raison de 4 euros bruts.</w:t>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r>
    </w:p>
    <w:p>
      <w:pPr>
        <w:pStyle w:val="Style11"/>
        <w:spacing w:before="0" w:after="0"/>
        <w:ind w:start="851"/>
        <w:rPr/>
      </w:pPr>
      <w:bookmarkStart w:id="26" w:name="_Toc209531742"/>
      <w:r>
        <w:rPr/>
        <w:t>ARTICLE 2.4 – Prime de salissure</w:t>
      </w:r>
      <w:bookmarkEnd w:id="26"/>
      <w:r>
        <w:rPr/>
        <w:t xml:space="preserve"> </w:t>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t>Les nouveaux entrants et salariés pour qui le port d’une tenue spécifique ALSTOM IBRE est obligatoire bénéficient d’une indemnité de salissure d’un montant de 8 euros pour une semaine complète travaillée jusqu’à l’attribution effective de leur tenue par l’entreprise.</w:t>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t>Le salarié ne pourra pas disposer de cette prime même dans le cas où il souhaiterait soit laver lui-même ses vêtements soit utiliser d’autres vêtements que ceux de la dotation.</w:t>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t> </w:t>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t>Les sur-vêtements (anti-chaleur) utilisés en fonderie ne sont pas traités dans ce chapitre.</w:t>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t> </w:t>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r>
    </w:p>
    <w:p>
      <w:pPr>
        <w:pStyle w:val="Style11"/>
        <w:spacing w:before="0" w:after="0"/>
        <w:ind w:start="851"/>
        <w:rPr/>
      </w:pPr>
      <w:bookmarkStart w:id="27" w:name="_Toc209531743"/>
      <w:r>
        <w:rPr/>
        <w:t>ARTICLE 2.5 – Travail de nuit : indemnité de repas</w:t>
      </w:r>
      <w:bookmarkEnd w:id="27"/>
    </w:p>
    <w:p>
      <w:pPr>
        <w:pStyle w:val="Normal"/>
        <w:widowControl/>
        <w:jc w:val="both"/>
        <w:rPr>
          <w:rFonts w:ascii="Verdana-Bold" w:hAnsi="Verdana-Bold" w:cs="Verdana-Bold"/>
          <w:b/>
          <w:bCs/>
          <w:color w:val="000000"/>
          <w:sz w:val="17"/>
          <w:szCs w:val="17"/>
          <w:lang w:val="fr-FR"/>
        </w:rPr>
      </w:pPr>
      <w:r>
        <w:rPr>
          <w:rFonts w:cs="Verdana-Bold" w:ascii="Verdana-Bold" w:hAnsi="Verdana-Bold"/>
          <w:b/>
          <w:bCs/>
          <w:color w:val="000000"/>
          <w:sz w:val="17"/>
          <w:szCs w:val="17"/>
          <w:lang w:val="fr-FR"/>
        </w:rPr>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t>Une indemnité de repas est versée aux travailleurs postés habituels de nuit lorsque le nombre d’heures de travail réellement effectuées au cours de la plage horaire comprise entre 21 heures et 6 heures est au moins égal à 6.</w:t>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t xml:space="preserve">L’indemnité de repas constitue un remboursement de frais professionnels et ne peut pas, à ce titre, être versée les jours non travaillés par le salarié, peu important que ces jours ouvrent droit ou non, par ailleurs, à une indemnisation. </w:t>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t>Le montant de l’indemnité de repas est égal au montant d’exonération établi chaque année par l’Agence</w:t>
      </w:r>
      <w:r>
        <w:rPr>
          <w:rFonts w:cs="Calibri" w:ascii="Calibri" w:hAnsi="Calibri"/>
          <w:color w:val="000000"/>
          <w:lang w:val="fr-FR"/>
        </w:rPr>
        <w:t xml:space="preserve"> </w:t>
      </w:r>
      <w:r>
        <w:rPr>
          <w:rFonts w:ascii="Alstom" w:hAnsi="Alstom"/>
          <w:color w:themeColor="accent1" w:themeShade="80" w:val="244061"/>
          <w:lang w:val="fr-FR"/>
        </w:rPr>
        <w:t>Centrale des Organismes de Sécurité Sociale (ACOSS) au titre de l’indemnité de restauration sur les lieux de travail.</w:t>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r>
    </w:p>
    <w:p>
      <w:pPr>
        <w:pStyle w:val="Style11"/>
        <w:spacing w:before="120" w:after="0"/>
        <w:ind w:start="851"/>
        <w:rPr/>
      </w:pPr>
      <w:bookmarkStart w:id="28" w:name="_Toc209531744"/>
      <w:r>
        <w:rPr/>
        <w:t>ARTICLE 2.6 – Travail posté: indemnité de repas</w:t>
      </w:r>
      <w:bookmarkEnd w:id="28"/>
    </w:p>
    <w:p>
      <w:pPr>
        <w:pStyle w:val="Normal"/>
        <w:widowControl/>
        <w:rPr>
          <w:rFonts w:ascii="Verdana-Bold" w:hAnsi="Verdana-Bold" w:cs="Verdana-Bold"/>
          <w:b/>
          <w:bCs/>
          <w:color w:val="000000"/>
          <w:sz w:val="17"/>
          <w:szCs w:val="17"/>
          <w:lang w:val="fr-FR"/>
        </w:rPr>
      </w:pPr>
      <w:r>
        <w:rPr>
          <w:rFonts w:cs="Verdana-Bold" w:ascii="Verdana-Bold" w:hAnsi="Verdana-Bold"/>
          <w:b/>
          <w:bCs/>
          <w:color w:val="000000"/>
          <w:sz w:val="17"/>
          <w:szCs w:val="17"/>
          <w:lang w:val="fr-FR"/>
        </w:rPr>
      </w:r>
    </w:p>
    <w:p>
      <w:pPr>
        <w:pStyle w:val="Normal"/>
        <w:widowControl/>
        <w:rPr>
          <w:rFonts w:ascii="Alstom" w:hAnsi="Alstom"/>
          <w:color w:themeColor="accent1" w:themeShade="80" w:val="244061"/>
          <w:lang w:val="fr-FR"/>
        </w:rPr>
      </w:pPr>
      <w:r>
        <w:rPr>
          <w:rFonts w:ascii="Alstom" w:hAnsi="Alstom"/>
          <w:color w:themeColor="accent1" w:themeShade="80" w:val="244061"/>
          <w:lang w:val="fr-FR"/>
        </w:rPr>
        <w:t>Une indemnité de repas est versée aux travailleurs postés, d’un montant de 7 euros brut par jour.</w:t>
      </w:r>
    </w:p>
    <w:p>
      <w:pPr>
        <w:pStyle w:val="Normal"/>
        <w:widowControl/>
        <w:rPr>
          <w:rFonts w:ascii="Alstom" w:hAnsi="Alstom"/>
          <w:color w:themeColor="accent1" w:themeShade="80" w:val="244061"/>
          <w:lang w:val="fr-FR"/>
        </w:rPr>
      </w:pPr>
      <w:r>
        <w:rPr>
          <w:rFonts w:ascii="Alstom" w:hAnsi="Alstom"/>
          <w:color w:themeColor="accent1" w:themeShade="80" w:val="244061"/>
          <w:lang w:val="fr-FR"/>
        </w:rPr>
      </w:r>
    </w:p>
    <w:p>
      <w:pPr>
        <w:pStyle w:val="Normal"/>
        <w:widowControl/>
        <w:rPr>
          <w:rFonts w:ascii="Alstom" w:hAnsi="Alstom"/>
          <w:color w:themeColor="accent1" w:themeShade="80" w:val="244061"/>
          <w:lang w:val="fr-FR"/>
        </w:rPr>
      </w:pPr>
      <w:r>
        <w:rPr>
          <w:rFonts w:ascii="Alstom" w:hAnsi="Alstom"/>
          <w:color w:themeColor="accent1" w:themeShade="80" w:val="244061"/>
          <w:lang w:val="fr-FR"/>
        </w:rPr>
        <w:t xml:space="preserve">L’indemnité de repas constitue un remboursement de frais professionnels et ne peut pas, à ce titre, être versée les jours non travaillés par le salarié, peu important que ces jours ouvrent droit ou non, par ailleurs, à une indemnisation. </w:t>
      </w:r>
    </w:p>
    <w:p>
      <w:pPr>
        <w:pStyle w:val="Normal"/>
        <w:widowControl/>
        <w:jc w:val="both"/>
        <w:rPr>
          <w:rFonts w:ascii="Alstom" w:hAnsi="Alstom"/>
          <w:i/>
          <w:iCs/>
          <w:color w:themeColor="accent1" w:themeShade="80" w:val="244061"/>
          <w:lang w:val="fr-FR"/>
        </w:rPr>
      </w:pPr>
      <w:r>
        <w:rPr>
          <w:rFonts w:ascii="Alstom" w:hAnsi="Alstom"/>
          <w:i/>
          <w:iCs/>
          <w:color w:themeColor="accent1" w:themeShade="80" w:val="244061"/>
          <w:lang w:val="fr-FR"/>
        </w:rPr>
      </w:r>
    </w:p>
    <w:p>
      <w:pPr>
        <w:pStyle w:val="Style11"/>
        <w:spacing w:before="120" w:after="0"/>
        <w:ind w:start="851"/>
        <w:rPr/>
      </w:pPr>
      <w:bookmarkStart w:id="29" w:name="_Toc209531745"/>
      <w:r>
        <w:rPr/>
        <w:t>. ARTICLE 2.9 – Prime de team leader</w:t>
      </w:r>
      <w:bookmarkEnd w:id="29"/>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t xml:space="preserve">Les salariés postés qui effectuent une mission de chef d’équipe, notifiée par un avenant au contrat de travail, sont éligibles, le temps de leur mission, à une prime de chef d’équipe appelée « prime de team Leader ». Cette prime d’un montant de 85 euros bruts est versée mensuellement. </w:t>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r>
    </w:p>
    <w:p>
      <w:pPr>
        <w:pStyle w:val="Heading1"/>
        <w:rPr>
          <w:rFonts w:ascii="Alstom" w:hAnsi="Alstom" w:cs="Calibri" w:cstheme="minorHAnsi"/>
          <w:b/>
          <w:bCs/>
          <w:color w:themeColor="accent1" w:themeShade="80" w:val="244061"/>
          <w:sz w:val="24"/>
          <w:szCs w:val="24"/>
          <w:lang w:val="fr-FR"/>
        </w:rPr>
      </w:pPr>
      <w:bookmarkStart w:id="30" w:name="_Toc209531746"/>
      <w:r>
        <w:rPr>
          <w:rFonts w:cs="Calibri" w:ascii="Alstom" w:hAnsi="Alstom" w:cstheme="minorHAnsi"/>
          <w:b/>
          <w:bCs/>
          <w:color w:themeColor="accent1" w:themeShade="80" w:val="244061"/>
          <w:sz w:val="24"/>
          <w:szCs w:val="24"/>
          <w:lang w:val="fr-FR"/>
        </w:rPr>
        <w:t>TITRE III. TITRE-RESTAURANT</w:t>
      </w:r>
      <w:bookmarkEnd w:id="30"/>
      <w:r>
        <w:rPr>
          <w:rFonts w:cs="Calibri" w:ascii="Alstom" w:hAnsi="Alstom" w:cstheme="minorHAnsi"/>
          <w:b/>
          <w:bCs/>
          <w:color w:themeColor="accent1" w:themeShade="80" w:val="244061"/>
          <w:sz w:val="24"/>
          <w:szCs w:val="24"/>
          <w:lang w:val="fr-FR"/>
        </w:rPr>
        <w:t xml:space="preserve"> </w:t>
      </w:r>
    </w:p>
    <w:p>
      <w:pPr>
        <w:pStyle w:val="Normal"/>
        <w:widowControl/>
        <w:rPr>
          <w:rFonts w:ascii="Alstom" w:hAnsi="Alstom" w:cs="Calibri" w:cstheme="minorHAnsi"/>
          <w:b/>
          <w:bCs/>
          <w:color w:themeColor="accent1" w:themeShade="80" w:val="244061"/>
          <w:lang w:val="fr-FR"/>
        </w:rPr>
      </w:pPr>
      <w:r>
        <w:rPr>
          <w:rFonts w:cs="Calibri" w:cstheme="minorHAnsi" w:ascii="Alstom" w:hAnsi="Alstom"/>
          <w:b/>
          <w:bCs/>
          <w:color w:themeColor="accent1" w:themeShade="80" w:val="244061"/>
          <w:lang w:val="fr-FR"/>
        </w:rPr>
      </w:r>
    </w:p>
    <w:p>
      <w:pPr>
        <w:pStyle w:val="Normal"/>
        <w:widowControl/>
        <w:rPr>
          <w:rFonts w:ascii="Alstom" w:hAnsi="Alstom" w:eastAsia="Arial"/>
          <w:b/>
          <w:bCs/>
          <w:color w:themeColor="accent1" w:themeShade="80" w:val="244061"/>
          <w:lang w:val="fr-FR"/>
        </w:rPr>
      </w:pPr>
      <w:r>
        <w:rPr>
          <w:rFonts w:eastAsia="Arial" w:ascii="Alstom" w:hAnsi="Alstom"/>
          <w:b/>
          <w:bCs/>
          <w:color w:themeColor="accent1" w:themeShade="80" w:val="244061"/>
          <w:lang w:val="fr-FR"/>
        </w:rPr>
        <w:t>Article 3.1 Titres restaurants pour les cadres et mensuels de journée (horaires variables).</w:t>
      </w:r>
    </w:p>
    <w:p>
      <w:pPr>
        <w:pStyle w:val="Normal"/>
        <w:widowControl/>
        <w:rPr>
          <w:rFonts w:ascii="Alstom" w:hAnsi="Alstom" w:eastAsia="Arial"/>
          <w:b/>
          <w:bCs/>
          <w:color w:themeColor="accent1" w:themeShade="80" w:val="244061"/>
          <w:lang w:val="fr-FR"/>
        </w:rPr>
      </w:pPr>
      <w:r>
        <w:rPr>
          <w:rFonts w:eastAsia="Arial" w:ascii="Alstom" w:hAnsi="Alstom"/>
          <w:b/>
          <w:bCs/>
          <w:color w:themeColor="accent1" w:themeShade="80" w:val="244061"/>
          <w:lang w:val="fr-FR"/>
        </w:rPr>
      </w:r>
    </w:p>
    <w:p>
      <w:pPr>
        <w:pStyle w:val="Normal"/>
        <w:widowControl/>
        <w:jc w:val="both"/>
        <w:rPr>
          <w:rFonts w:ascii="Alstom" w:hAnsi="Alstom"/>
          <w:color w:themeColor="accent1" w:themeShade="80" w:val="244061"/>
          <w:lang w:val="fr-FR"/>
        </w:rPr>
      </w:pPr>
      <w:r>
        <w:rPr>
          <w:rFonts w:ascii="Alstom" w:hAnsi="Alstom"/>
          <w:color w:themeColor="accent1" w:themeShade="80" w:val="244061"/>
          <w:lang w:val="fr-FR"/>
        </w:rPr>
        <w:t>A compter du 1</w:t>
      </w:r>
      <w:r>
        <w:rPr>
          <w:rFonts w:ascii="Alstom" w:hAnsi="Alstom"/>
          <w:color w:themeColor="accent1" w:themeShade="80" w:val="244061"/>
          <w:vertAlign w:val="superscript"/>
          <w:lang w:val="fr-FR"/>
        </w:rPr>
        <w:t>er</w:t>
      </w:r>
      <w:r>
        <w:rPr>
          <w:rFonts w:ascii="Alstom" w:hAnsi="Alstom"/>
          <w:color w:themeColor="accent1" w:themeShade="80" w:val="244061"/>
          <w:lang w:val="fr-FR"/>
        </w:rPr>
        <w:t xml:space="preserve"> janvier 2026, il sera attribué un titre-restaurant par jour travaillé aux cadres et salariés de journée en horaires variables. Le salarié ne peut recevoir qu'un titre-restaurant par jour de travail effectué. Seuls les jours de présence effective du salarié à son poste de travail ouvrent droit à l’attribution d'un nombre correspondant de titres-restaurant. </w:t>
      </w:r>
    </w:p>
    <w:p>
      <w:pPr>
        <w:pStyle w:val="NormalWeb"/>
        <w:spacing w:before="280" w:after="0"/>
        <w:contextualSpacing/>
        <w:jc w:val="both"/>
        <w:rPr>
          <w:rFonts w:ascii="Alstom" w:hAnsi="Alstom" w:eastAsia="Calibri" w:cs="Arial" w:cstheme="minorBidi" w:eastAsiaTheme="minorHAnsi"/>
          <w:color w:themeColor="accent1" w:themeShade="80" w:val="244061"/>
          <w:sz w:val="22"/>
          <w:szCs w:val="22"/>
          <w:lang w:eastAsia="en-US"/>
        </w:rPr>
      </w:pPr>
      <w:r>
        <w:rPr>
          <w:rFonts w:eastAsia="Calibri" w:cs="Arial" w:ascii="Alstom" w:hAnsi="Alstom" w:cstheme="minorBidi" w:eastAsiaTheme="minorHAnsi"/>
          <w:color w:themeColor="accent1" w:themeShade="80" w:val="244061"/>
          <w:sz w:val="22"/>
          <w:szCs w:val="22"/>
          <w:lang w:eastAsia="en-US"/>
        </w:rPr>
        <w:t>Les titres-restaurant ne seront en conséquence pas attribués les jours d'absence, quel qu’en soit le motif (arrêt maladie, congés payés, …).</w:t>
      </w:r>
    </w:p>
    <w:p>
      <w:pPr>
        <w:pStyle w:val="NormalWeb"/>
        <w:spacing w:beforeAutospacing="0" w:before="0" w:afterAutospacing="0" w:after="0"/>
        <w:contextualSpacing/>
        <w:jc w:val="both"/>
        <w:rPr>
          <w:rFonts w:ascii="Arial" w:hAnsi="Arial" w:cs="Arial"/>
          <w:bCs/>
        </w:rPr>
      </w:pPr>
      <w:r>
        <w:rPr>
          <w:rFonts w:eastAsia="Calibri" w:cs="Arial" w:ascii="Alstom" w:hAnsi="Alstom" w:cstheme="minorBidi" w:eastAsiaTheme="minorHAnsi"/>
          <w:color w:themeColor="accent1" w:themeShade="80" w:val="244061"/>
          <w:sz w:val="22"/>
          <w:szCs w:val="22"/>
          <w:lang w:eastAsia="en-US"/>
        </w:rPr>
        <w:t>La valeur faciale du titre-restaurant est fixée à 10 €. Les titres-restaurant seront financés conjointement par l'employeur et par le salarié, selon les modalités de répartition suivantes</w:t>
      </w:r>
      <w:r>
        <w:rPr>
          <w:rFonts w:cs="Arial" w:ascii="Arial" w:hAnsi="Arial"/>
          <w:bCs/>
        </w:rPr>
        <w:t> :</w:t>
      </w:r>
    </w:p>
    <w:p>
      <w:pPr>
        <w:pStyle w:val="NormalWeb"/>
        <w:spacing w:beforeAutospacing="0" w:before="0" w:afterAutospacing="0" w:after="0"/>
        <w:contextualSpacing/>
        <w:jc w:val="both"/>
        <w:rPr>
          <w:rFonts w:ascii="Alstom" w:hAnsi="Alstom" w:eastAsia="Calibri" w:cs="Arial" w:cstheme="minorBidi" w:eastAsiaTheme="minorHAnsi"/>
          <w:color w:themeColor="accent1" w:themeShade="80" w:val="244061"/>
          <w:sz w:val="22"/>
          <w:szCs w:val="22"/>
          <w:lang w:eastAsia="en-US"/>
        </w:rPr>
      </w:pPr>
      <w:r>
        <w:rPr>
          <w:rFonts w:eastAsia="Calibri" w:cs="Arial" w:cstheme="minorBidi" w:eastAsiaTheme="minorHAnsi" w:ascii="Alstom" w:hAnsi="Alstom"/>
          <w:color w:themeColor="accent1" w:themeShade="80" w:val="244061"/>
          <w:sz w:val="22"/>
          <w:szCs w:val="22"/>
          <w:lang w:eastAsia="en-US"/>
        </w:rPr>
      </w:r>
    </w:p>
    <w:p>
      <w:pPr>
        <w:pStyle w:val="NormalWeb"/>
        <w:numPr>
          <w:ilvl w:val="0"/>
          <w:numId w:val="4"/>
        </w:numPr>
        <w:spacing w:beforeAutospacing="0" w:before="0" w:afterAutospacing="0" w:after="0"/>
        <w:contextualSpacing/>
        <w:jc w:val="both"/>
        <w:rPr>
          <w:rFonts w:ascii="Alstom" w:hAnsi="Alstom" w:eastAsia="Calibri" w:cs="Arial" w:cstheme="minorBidi" w:eastAsiaTheme="minorHAnsi"/>
          <w:color w:themeColor="accent1" w:themeShade="80" w:val="244061"/>
          <w:sz w:val="22"/>
          <w:szCs w:val="22"/>
          <w:lang w:eastAsia="en-US"/>
        </w:rPr>
      </w:pPr>
      <w:r>
        <w:rPr>
          <w:rFonts w:eastAsia="Calibri" w:cs="Arial" w:ascii="Alstom" w:hAnsi="Alstom" w:cstheme="minorBidi" w:eastAsiaTheme="minorHAnsi"/>
          <w:color w:themeColor="accent1" w:themeShade="80" w:val="244061"/>
          <w:sz w:val="22"/>
          <w:szCs w:val="22"/>
          <w:lang w:eastAsia="en-US"/>
        </w:rPr>
        <w:t>Participation de l’employeur à hauteur de 70%, soit 7 € par titre-restaurant ;</w:t>
      </w:r>
    </w:p>
    <w:p>
      <w:pPr>
        <w:pStyle w:val="NormalWeb"/>
        <w:numPr>
          <w:ilvl w:val="0"/>
          <w:numId w:val="4"/>
        </w:numPr>
        <w:spacing w:beforeAutospacing="0" w:before="0" w:afterAutospacing="0" w:after="0"/>
        <w:contextualSpacing/>
        <w:jc w:val="both"/>
        <w:rPr>
          <w:rFonts w:ascii="Alstom" w:hAnsi="Alstom" w:eastAsia="Calibri" w:cs="Arial" w:cstheme="minorBidi" w:eastAsiaTheme="minorHAnsi"/>
          <w:color w:themeColor="accent1" w:themeShade="80" w:val="244061"/>
          <w:sz w:val="22"/>
          <w:szCs w:val="22"/>
          <w:lang w:eastAsia="en-US"/>
        </w:rPr>
      </w:pPr>
      <w:r>
        <w:rPr>
          <w:rFonts w:eastAsia="Calibri" w:cs="Arial" w:ascii="Alstom" w:hAnsi="Alstom" w:cstheme="minorBidi" w:eastAsiaTheme="minorHAnsi"/>
          <w:color w:themeColor="accent1" w:themeShade="80" w:val="244061"/>
          <w:sz w:val="22"/>
          <w:szCs w:val="22"/>
          <w:lang w:eastAsia="en-US"/>
        </w:rPr>
        <w:t>Participation du salarié à hauteur de 30%, soit 3€ par titre-restaurant ;</w:t>
      </w:r>
    </w:p>
    <w:p>
      <w:pPr>
        <w:pStyle w:val="NormalWeb"/>
        <w:spacing w:beforeAutospacing="0" w:before="0" w:afterAutospacing="0" w:after="0"/>
        <w:contextualSpacing/>
        <w:jc w:val="both"/>
        <w:rPr>
          <w:rFonts w:ascii="Alstom" w:hAnsi="Alstom" w:eastAsia="Calibri" w:cs="Arial" w:cstheme="minorBidi" w:eastAsiaTheme="minorHAnsi"/>
          <w:color w:themeColor="accent1" w:themeShade="80" w:val="244061"/>
          <w:sz w:val="22"/>
          <w:szCs w:val="22"/>
          <w:lang w:eastAsia="en-US"/>
        </w:rPr>
      </w:pPr>
      <w:r>
        <w:rPr>
          <w:rFonts w:eastAsia="Calibri" w:cs="Arial" w:cstheme="minorBidi" w:eastAsiaTheme="minorHAnsi" w:ascii="Alstom" w:hAnsi="Alstom"/>
          <w:color w:themeColor="accent1" w:themeShade="80" w:val="244061"/>
          <w:sz w:val="22"/>
          <w:szCs w:val="22"/>
          <w:lang w:eastAsia="en-US"/>
        </w:rPr>
      </w:r>
    </w:p>
    <w:p>
      <w:pPr>
        <w:pStyle w:val="NormalWeb"/>
        <w:spacing w:beforeAutospacing="0" w:before="0" w:afterAutospacing="0" w:after="0"/>
        <w:contextualSpacing/>
        <w:jc w:val="both"/>
        <w:rPr>
          <w:rFonts w:ascii="Alstom" w:hAnsi="Alstom" w:eastAsia="Calibri" w:cs="Arial" w:cstheme="minorBidi" w:eastAsiaTheme="minorHAnsi"/>
          <w:color w:themeColor="accent1" w:themeShade="80" w:val="244061"/>
          <w:sz w:val="22"/>
          <w:szCs w:val="22"/>
          <w:lang w:eastAsia="en-US"/>
        </w:rPr>
      </w:pPr>
      <w:r>
        <w:rPr>
          <w:rFonts w:eastAsia="Calibri" w:cs="Arial" w:ascii="Alstom" w:hAnsi="Alstom" w:cstheme="minorBidi" w:eastAsiaTheme="minorHAnsi"/>
          <w:color w:themeColor="accent1" w:themeShade="80" w:val="244061"/>
          <w:sz w:val="22"/>
          <w:szCs w:val="22"/>
          <w:lang w:eastAsia="en-US"/>
        </w:rPr>
        <w:t>Le salarié en situation de télétravail bénéficie des titres-restaurants, sous réserve d’une journée organisée en deux vacations entrecoupées d’une pause réservée à la prise d’un repas.</w:t>
      </w:r>
    </w:p>
    <w:p>
      <w:pPr>
        <w:pStyle w:val="Normal"/>
        <w:widowControl/>
        <w:jc w:val="both"/>
        <w:rPr>
          <w:rFonts w:ascii="Alstom" w:hAnsi="Alstom" w:cs="Calibri" w:cstheme="minorHAnsi"/>
          <w:b/>
          <w:bCs/>
          <w:color w:themeColor="accent1" w:themeShade="80" w:val="244061"/>
          <w:lang w:val="fr-FR"/>
        </w:rPr>
      </w:pPr>
      <w:r>
        <w:rPr>
          <w:rFonts w:cs="Calibri" w:cstheme="minorHAnsi" w:ascii="Alstom" w:hAnsi="Alstom"/>
          <w:b/>
          <w:bCs/>
          <w:color w:themeColor="accent1" w:themeShade="80" w:val="244061"/>
          <w:lang w:val="fr-FR"/>
        </w:rPr>
      </w:r>
    </w:p>
    <w:p>
      <w:pPr>
        <w:pStyle w:val="Style11"/>
        <w:spacing w:before="0" w:after="0"/>
        <w:ind w:start="0"/>
        <w:jc w:val="both"/>
        <w:rPr>
          <w:rFonts w:eastAsia="Calibri" w:eastAsiaTheme="minorHAnsi"/>
          <w:b w:val="false"/>
          <w:bCs w:val="false"/>
        </w:rPr>
      </w:pPr>
      <w:bookmarkStart w:id="31" w:name="_Toc209531747"/>
      <w:bookmarkStart w:id="32" w:name="_Toc202253414"/>
      <w:bookmarkStart w:id="33" w:name="_Toc201903593"/>
      <w:r>
        <w:rPr>
          <w:rFonts w:eastAsia="Calibri" w:eastAsiaTheme="minorHAnsi"/>
          <w:b w:val="false"/>
          <w:bCs w:val="false"/>
        </w:rPr>
        <w:t>A la signature du présent accord et jusqu’à la date d’attribution du premier titre restaurant, les salariés concernés continueront de percevoir une indemnité repas d’un montant équivalent aux primes en vigueur avant la signature du présent accord, par jour effectivement travaillé.</w:t>
      </w:r>
      <w:bookmarkEnd w:id="31"/>
      <w:bookmarkEnd w:id="32"/>
      <w:bookmarkEnd w:id="33"/>
    </w:p>
    <w:p>
      <w:pPr>
        <w:pStyle w:val="Style11"/>
        <w:spacing w:before="0" w:after="0"/>
        <w:ind w:start="0"/>
        <w:jc w:val="both"/>
        <w:rPr>
          <w:rFonts w:eastAsia="Calibri" w:eastAsiaTheme="minorHAnsi"/>
          <w:b w:val="false"/>
          <w:bCs w:val="false"/>
        </w:rPr>
      </w:pPr>
      <w:r>
        <w:rPr>
          <w:rFonts w:eastAsia="Calibri" w:eastAsiaTheme="minorHAnsi"/>
          <w:b w:val="false"/>
          <w:bCs w:val="false"/>
        </w:rPr>
      </w:r>
    </w:p>
    <w:p>
      <w:pPr>
        <w:pStyle w:val="Style11"/>
        <w:spacing w:before="0" w:after="0"/>
        <w:ind w:start="0"/>
        <w:jc w:val="both"/>
        <w:rPr>
          <w:rFonts w:eastAsia="Calibri" w:eastAsiaTheme="minorHAnsi"/>
          <w:b w:val="false"/>
          <w:bCs w:val="false"/>
        </w:rPr>
      </w:pPr>
      <w:r>
        <w:rPr>
          <w:rFonts w:eastAsia="Calibri" w:eastAsiaTheme="minorHAnsi"/>
          <w:b w:val="false"/>
          <w:bCs w:val="false"/>
        </w:rPr>
      </w:r>
    </w:p>
    <w:p>
      <w:pPr>
        <w:pStyle w:val="Style11"/>
        <w:spacing w:before="0" w:after="0"/>
        <w:ind w:start="0"/>
        <w:jc w:val="both"/>
        <w:rPr>
          <w:rFonts w:eastAsia="Calibri" w:eastAsiaTheme="minorHAnsi"/>
          <w:b w:val="false"/>
          <w:bCs w:val="false"/>
        </w:rPr>
      </w:pPr>
      <w:r>
        <w:rPr>
          <w:rFonts w:eastAsia="Calibri" w:eastAsiaTheme="minorHAnsi"/>
          <w:b w:val="false"/>
          <w:bCs w:val="false"/>
        </w:rPr>
      </w:r>
    </w:p>
    <w:p>
      <w:pPr>
        <w:pStyle w:val="Style11"/>
        <w:spacing w:before="0" w:after="0"/>
        <w:ind w:start="0"/>
        <w:rPr>
          <w:rFonts w:eastAsia="Calibri" w:eastAsiaTheme="minorHAnsi"/>
          <w:b w:val="false"/>
          <w:bCs w:val="false"/>
        </w:rPr>
      </w:pPr>
      <w:r>
        <w:rPr>
          <w:rFonts w:eastAsia="Calibri" w:eastAsiaTheme="minorHAnsi"/>
          <w:b w:val="false"/>
          <w:bCs w:val="false"/>
        </w:rPr>
      </w:r>
    </w:p>
    <w:p>
      <w:pPr>
        <w:pStyle w:val="Heading1"/>
        <w:rPr>
          <w:rFonts w:ascii="Alstom" w:hAnsi="Alstom" w:cs="Calibri" w:cstheme="minorHAnsi"/>
          <w:b/>
          <w:bCs/>
          <w:color w:themeColor="accent1" w:themeShade="80" w:val="244061"/>
          <w:sz w:val="24"/>
          <w:szCs w:val="24"/>
          <w:lang w:val="fr-FR"/>
        </w:rPr>
      </w:pPr>
      <w:bookmarkStart w:id="34" w:name="_Toc209531748"/>
      <w:r>
        <w:rPr>
          <w:rFonts w:cs="Calibri" w:ascii="Alstom" w:hAnsi="Alstom" w:cstheme="minorHAnsi"/>
          <w:b/>
          <w:bCs/>
          <w:color w:themeColor="accent1" w:themeShade="80" w:val="244061"/>
          <w:sz w:val="24"/>
          <w:szCs w:val="24"/>
          <w:lang w:val="fr-FR"/>
        </w:rPr>
        <w:t>TITRE IV – GRATIFICATION DE MEDAILLES DU TRAVAIL</w:t>
      </w:r>
      <w:bookmarkEnd w:id="34"/>
      <w:r>
        <w:rPr>
          <w:rFonts w:cs="Calibri" w:ascii="Alstom" w:hAnsi="Alstom" w:cstheme="minorHAnsi"/>
          <w:b/>
          <w:bCs/>
          <w:color w:themeColor="accent1" w:themeShade="80" w:val="244061"/>
          <w:sz w:val="24"/>
          <w:szCs w:val="24"/>
          <w:lang w:val="fr-FR"/>
        </w:rPr>
        <w:t xml:space="preserve"> </w:t>
      </w:r>
    </w:p>
    <w:p>
      <w:pPr>
        <w:pStyle w:val="Normal"/>
        <w:widowControl/>
        <w:rPr>
          <w:rFonts w:ascii="Alstom" w:hAnsi="Alstom" w:cs="Calibri" w:cstheme="minorHAnsi"/>
          <w:b/>
          <w:bCs/>
          <w:color w:themeColor="accent1" w:themeShade="80" w:val="244061"/>
          <w:lang w:val="fr-FR"/>
        </w:rPr>
      </w:pPr>
      <w:r>
        <w:rPr>
          <w:rFonts w:cs="Calibri" w:cstheme="minorHAnsi" w:ascii="Alstom" w:hAnsi="Alstom"/>
          <w:b/>
          <w:bCs/>
          <w:color w:themeColor="accent1" w:themeShade="80" w:val="244061"/>
          <w:lang w:val="fr-FR"/>
        </w:rPr>
      </w:r>
    </w:p>
    <w:p>
      <w:pPr>
        <w:pStyle w:val="Normal"/>
        <w:widowControl/>
        <w:rPr>
          <w:rFonts w:ascii="Alstom" w:hAnsi="Alstom"/>
          <w:color w:themeColor="accent1" w:themeShade="80" w:val="244061"/>
          <w:lang w:val="fr-FR"/>
        </w:rPr>
      </w:pPr>
      <w:r>
        <w:rPr>
          <w:rFonts w:cs="Calibri" w:ascii="Alstom" w:hAnsi="Alstom" w:cstheme="minorHAnsi"/>
          <w:color w:themeColor="accent1" w:themeShade="80" w:val="244061"/>
          <w:lang w:val="fr-FR"/>
        </w:rPr>
        <w:t xml:space="preserve">Afin de valoriser la carrière et les parcours professionnels des salariés de l’entreprise, une </w:t>
      </w:r>
      <w:r>
        <w:rPr>
          <w:rFonts w:ascii="Alstom" w:hAnsi="Alstom"/>
          <w:color w:themeColor="accent1" w:themeShade="80" w:val="244061"/>
          <w:lang w:val="fr-FR"/>
        </w:rPr>
        <w:t>prime de gratification de médaille du travail est versée aux salariés qui remplissent les conditions cumulatives suivantes :</w:t>
      </w:r>
    </w:p>
    <w:p>
      <w:pPr>
        <w:pStyle w:val="ListParagraph"/>
        <w:widowControl/>
        <w:numPr>
          <w:ilvl w:val="0"/>
          <w:numId w:val="3"/>
        </w:numPr>
        <w:spacing w:before="120" w:after="0"/>
        <w:rPr>
          <w:rFonts w:ascii="Alstom" w:hAnsi="Alstom"/>
          <w:color w:themeColor="accent1" w:themeShade="80" w:val="244061"/>
          <w:lang w:val="fr-FR"/>
        </w:rPr>
      </w:pPr>
      <w:r>
        <w:rPr>
          <w:rFonts w:ascii="Alstom" w:hAnsi="Alstom"/>
          <w:color w:themeColor="accent1" w:themeShade="80" w:val="244061"/>
          <w:lang w:val="fr-FR"/>
        </w:rPr>
        <w:t>avoir 20 ans, 30 ans, 35 ans ou 40 années de travail ;</w:t>
      </w:r>
    </w:p>
    <w:p>
      <w:pPr>
        <w:pStyle w:val="ListParagraph"/>
        <w:widowControl/>
        <w:numPr>
          <w:ilvl w:val="0"/>
          <w:numId w:val="3"/>
        </w:numPr>
        <w:ind w:hanging="357" w:start="714"/>
        <w:rPr>
          <w:rFonts w:ascii="Alstom" w:hAnsi="Alstom"/>
          <w:color w:themeColor="accent1" w:themeShade="80" w:val="244061"/>
          <w:lang w:val="fr-FR"/>
        </w:rPr>
      </w:pPr>
      <w:r>
        <w:rPr>
          <w:rFonts w:ascii="Alstom" w:hAnsi="Alstom"/>
          <w:color w:themeColor="accent1" w:themeShade="80" w:val="244061"/>
          <w:lang w:val="fr-FR"/>
        </w:rPr>
        <w:t>et une ancienneté minimum de 3 années au sein de la Société.</w:t>
      </w:r>
    </w:p>
    <w:p>
      <w:pPr>
        <w:pStyle w:val="Normal"/>
        <w:widowControl/>
        <w:spacing w:before="120" w:after="0"/>
        <w:rPr>
          <w:rFonts w:ascii="Alstom" w:hAnsi="Alstom"/>
          <w:color w:themeColor="accent1" w:themeShade="80" w:val="244061"/>
          <w:lang w:val="fr-FR"/>
        </w:rPr>
      </w:pPr>
      <w:r>
        <w:rPr>
          <w:rFonts w:ascii="Alstom" w:hAnsi="Alstom"/>
          <w:color w:themeColor="accent1" w:themeShade="80" w:val="244061"/>
          <w:lang w:val="fr-FR"/>
        </w:rPr>
        <w:t xml:space="preserve">La formule de calcul de la prime est la suivante (dans la limite de 1 mois de salaire de l’année N-1): </w:t>
      </w:r>
    </w:p>
    <w:p>
      <w:pPr>
        <w:pStyle w:val="Normal"/>
        <w:widowControl/>
        <w:spacing w:before="120" w:after="0"/>
        <w:rPr>
          <w:rFonts w:ascii="Alstom" w:hAnsi="Alstom"/>
          <w:color w:themeColor="accent1" w:themeShade="80" w:val="244061"/>
          <w:lang w:val="fr-FR"/>
        </w:rPr>
      </w:pPr>
      <w:r>
        <w:rPr>
          <w:rFonts w:ascii="Alstom" w:hAnsi="Alstom"/>
          <w:color w:themeColor="accent1" w:themeShade="80" w:val="244061"/>
          <w:lang w:val="fr-FR"/>
        </w:rPr>
      </w:r>
    </w:p>
    <w:p>
      <w:pPr>
        <w:pStyle w:val="Normal"/>
        <w:widowControl/>
        <w:pBdr>
          <w:top w:val="single" w:sz="4" w:space="1" w:color="000000"/>
          <w:left w:val="single" w:sz="4" w:space="0" w:color="000000"/>
          <w:bottom w:val="single" w:sz="4" w:space="1" w:color="000000"/>
          <w:right w:val="single" w:sz="4" w:space="4" w:color="000000"/>
        </w:pBdr>
        <w:jc w:val="center"/>
        <w:rPr>
          <w:rFonts w:ascii="Alstom" w:hAnsi="Alstom"/>
          <w:color w:themeColor="accent1" w:themeShade="80" w:val="244061"/>
          <w:lang w:val="fr-FR"/>
        </w:rPr>
      </w:pPr>
      <w:r>
        <w:rPr>
          <w:rFonts w:ascii="Alstom" w:hAnsi="Alstom"/>
          <w:color w:themeColor="accent1" w:themeShade="80" w:val="244061"/>
          <w:lang w:val="fr-FR"/>
        </w:rPr>
      </w:r>
    </w:p>
    <w:p>
      <w:pPr>
        <w:pStyle w:val="Normal"/>
        <w:widowControl/>
        <w:pBdr>
          <w:top w:val="single" w:sz="4" w:space="1" w:color="000000"/>
          <w:left w:val="single" w:sz="4" w:space="0" w:color="000000"/>
          <w:bottom w:val="single" w:sz="4" w:space="1" w:color="000000"/>
          <w:right w:val="single" w:sz="4" w:space="4" w:color="000000"/>
        </w:pBdr>
        <w:jc w:val="center"/>
        <w:rPr>
          <w:rFonts w:ascii="Alstom" w:hAnsi="Alstom"/>
          <w:color w:themeColor="accent1" w:themeShade="80" w:val="244061"/>
          <w:lang w:val="fr-FR"/>
        </w:rPr>
      </w:pPr>
      <w:r>
        <w:rPr>
          <w:rFonts w:ascii="Alstom" w:hAnsi="Alstom"/>
          <w:color w:themeColor="accent1" w:themeShade="80" w:val="244061"/>
          <w:lang w:val="fr-FR"/>
        </w:rPr>
        <w:t>(Salaire de décembre de l’année N 1) X (Nombre d’années d’ancienneté IBRE)</w:t>
      </w:r>
    </w:p>
    <w:p>
      <w:pPr>
        <w:pStyle w:val="Normal"/>
        <w:widowControl/>
        <w:pBdr>
          <w:top w:val="single" w:sz="4" w:space="1" w:color="000000"/>
          <w:left w:val="single" w:sz="4" w:space="0" w:color="000000"/>
          <w:bottom w:val="single" w:sz="4" w:space="1" w:color="000000"/>
          <w:right w:val="single" w:sz="4" w:space="4" w:color="000000"/>
        </w:pBdr>
        <w:jc w:val="center"/>
        <w:rPr>
          <w:rFonts w:ascii="Alstom" w:hAnsi="Alstom"/>
          <w:color w:themeColor="accent1" w:themeShade="80" w:val="244061"/>
          <w:lang w:val="fr-FR"/>
        </w:rPr>
      </w:pPr>
      <w:r>
        <w:rPr>
          <w:rFonts w:ascii="Alstom" w:hAnsi="Alstom"/>
          <w:color w:themeColor="accent1" w:themeShade="80" w:val="244061"/>
          <w:lang w:val="fr-FR"/>
        </w:rPr>
        <mc:AlternateContent>
          <mc:Choice Requires="wps">
            <w:drawing>
              <wp:anchor behindDoc="0" distT="0" distB="0" distL="0" distR="0" simplePos="0" locked="0" layoutInCell="1" allowOverlap="1" relativeHeight="9" wp14:anchorId="1FEB4205">
                <wp:simplePos x="0" y="0"/>
                <wp:positionH relativeFrom="column">
                  <wp:posOffset>721995</wp:posOffset>
                </wp:positionH>
                <wp:positionV relativeFrom="paragraph">
                  <wp:posOffset>106045</wp:posOffset>
                </wp:positionV>
                <wp:extent cx="4845050" cy="635"/>
                <wp:effectExtent l="5080" t="5080" r="5080" b="5080"/>
                <wp:wrapNone/>
                <wp:docPr id="1" name="Connecteur droit 1"/>
                <a:graphic xmlns:a="http://schemas.openxmlformats.org/drawingml/2006/main">
                  <a:graphicData uri="http://schemas.microsoft.com/office/word/2010/wordprocessingShape">
                    <wps:wsp>
                      <wps:cNvSpPr/>
                      <wps:spPr>
                        <a:xfrm>
                          <a:off x="0" y="0"/>
                          <a:ext cx="4844880" cy="720"/>
                        </a:xfrm>
                        <a:prstGeom prst="line">
                          <a:avLst/>
                        </a:prstGeom>
                        <a:ln>
                          <a:solidFill>
                            <a:srgbClr val="4a7ebb"/>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56.85pt,8.35pt" to="438.3pt,8.35pt" stroked="t" o:allowincell="f" style="position:absolute" wp14:anchorId="1FEB4205">
                <v:stroke color="#4a7ebb" weight="9360" joinstyle="round" endcap="flat"/>
                <v:fill o:detectmouseclick="t" on="false"/>
                <w10:wrap type="none"/>
              </v:line>
            </w:pict>
          </mc:Fallback>
        </mc:AlternateContent>
      </w:r>
    </w:p>
    <w:p>
      <w:pPr>
        <w:pStyle w:val="Normal"/>
        <w:widowControl/>
        <w:pBdr>
          <w:top w:val="single" w:sz="4" w:space="1" w:color="000000"/>
          <w:left w:val="single" w:sz="4" w:space="0" w:color="000000"/>
          <w:bottom w:val="single" w:sz="4" w:space="1" w:color="000000"/>
          <w:right w:val="single" w:sz="4" w:space="4" w:color="000000"/>
        </w:pBdr>
        <w:jc w:val="center"/>
        <w:rPr>
          <w:rFonts w:ascii="Alstom" w:hAnsi="Alstom"/>
          <w:color w:themeColor="accent1" w:themeShade="80" w:val="244061"/>
          <w:lang w:val="fr-FR"/>
        </w:rPr>
      </w:pPr>
      <w:r>
        <w:rPr>
          <w:rFonts w:ascii="Alstom" w:hAnsi="Alstom"/>
          <w:color w:themeColor="accent1" w:themeShade="80" w:val="244061"/>
          <w:lang w:val="fr-FR"/>
        </w:rPr>
        <w:t>Nombre total d’années travaillées (toutes entreprises confondues)</w:t>
      </w:r>
    </w:p>
    <w:p>
      <w:pPr>
        <w:pStyle w:val="Normal"/>
        <w:widowControl/>
        <w:pBdr>
          <w:top w:val="single" w:sz="4" w:space="1" w:color="000000"/>
          <w:left w:val="single" w:sz="4" w:space="0" w:color="000000"/>
          <w:bottom w:val="single" w:sz="4" w:space="1" w:color="000000"/>
          <w:right w:val="single" w:sz="4" w:space="4" w:color="000000"/>
        </w:pBdr>
        <w:jc w:val="center"/>
        <w:rPr>
          <w:rFonts w:ascii="Alstom" w:hAnsi="Alstom"/>
          <w:color w:themeColor="accent1" w:themeShade="80" w:val="244061"/>
          <w:lang w:val="fr-FR"/>
        </w:rPr>
      </w:pPr>
      <w:r>
        <w:rPr>
          <w:rFonts w:ascii="Alstom" w:hAnsi="Alstom"/>
          <w:color w:themeColor="accent1" w:themeShade="80" w:val="244061"/>
          <w:lang w:val="fr-FR"/>
        </w:rPr>
      </w:r>
    </w:p>
    <w:p>
      <w:pPr>
        <w:pStyle w:val="Normal"/>
        <w:widowControl/>
        <w:spacing w:before="120" w:after="0"/>
        <w:jc w:val="both"/>
        <w:rPr>
          <w:rFonts w:ascii="Alstom" w:hAnsi="Alstom"/>
          <w:color w:themeColor="accent1" w:themeShade="80" w:val="244061"/>
          <w:lang w:val="fr-FR"/>
        </w:rPr>
      </w:pPr>
      <w:r>
        <w:rPr>
          <w:rFonts w:ascii="Alstom" w:hAnsi="Alstom"/>
          <w:color w:themeColor="accent1" w:themeShade="80" w:val="244061"/>
          <w:lang w:val="fr-FR"/>
        </w:rPr>
        <w:t xml:space="preserve">La prime est versée au cours de l’année N+1, sur la paie du mois de juillet, sous condition de réception par l’entreprise du diplôme envoyé par la préfecture. </w:t>
      </w:r>
    </w:p>
    <w:p>
      <w:pPr>
        <w:pStyle w:val="Normal"/>
        <w:widowControl/>
        <w:spacing w:before="120" w:after="0"/>
        <w:jc w:val="both"/>
        <w:rPr>
          <w:rFonts w:ascii="Alstom" w:hAnsi="Alstom"/>
          <w:color w:themeColor="accent1" w:themeShade="80" w:val="244061"/>
          <w:lang w:val="fr-FR"/>
        </w:rPr>
      </w:pPr>
      <w:r>
        <w:rPr>
          <w:rFonts w:ascii="Alstom" w:hAnsi="Alstom"/>
          <w:color w:themeColor="accent1" w:themeShade="80" w:val="244061"/>
          <w:lang w:val="fr-FR"/>
        </w:rPr>
        <w:t>Seuls les salariés ayant déposé un dossier de médaille du travail à partir de l’année 2025 seront éligibles au versement de la prime de gratification de médaille du travail, dans les conditions prévues dans le présent accord, sans rétroactivité possible.</w:t>
      </w:r>
    </w:p>
    <w:p>
      <w:pPr>
        <w:pStyle w:val="Normal"/>
        <w:widowControl/>
        <w:spacing w:before="120" w:after="0"/>
        <w:rPr>
          <w:rFonts w:ascii="Alstom" w:hAnsi="Alstom"/>
          <w:color w:themeColor="accent1" w:themeShade="80" w:val="244061"/>
          <w:lang w:val="fr-FR"/>
        </w:rPr>
      </w:pPr>
      <w:r>
        <w:rPr>
          <w:rFonts w:ascii="Alstom" w:hAnsi="Alstom"/>
          <w:color w:themeColor="accent1" w:themeShade="80" w:val="244061"/>
          <w:lang w:val="fr-FR"/>
        </w:rPr>
      </w:r>
    </w:p>
    <w:p>
      <w:pPr>
        <w:pStyle w:val="Heading1"/>
        <w:rPr>
          <w:rFonts w:ascii="Alstom" w:hAnsi="Alstom" w:cs="Calibri" w:cstheme="minorHAnsi"/>
          <w:b/>
          <w:bCs/>
          <w:color w:themeColor="accent1" w:themeShade="80" w:val="244061"/>
          <w:sz w:val="22"/>
          <w:szCs w:val="22"/>
          <w:lang w:val="fr-FR"/>
        </w:rPr>
      </w:pPr>
      <w:bookmarkStart w:id="35" w:name="_Toc209531749"/>
      <w:bookmarkStart w:id="36" w:name="_Toc155719565"/>
      <w:r>
        <w:rPr>
          <w:rFonts w:cs="Calibri" w:ascii="Alstom" w:hAnsi="Alstom" w:cstheme="minorHAnsi"/>
          <w:b/>
          <w:bCs/>
          <w:color w:themeColor="accent1" w:themeShade="80" w:val="244061"/>
          <w:sz w:val="22"/>
          <w:szCs w:val="22"/>
          <w:lang w:val="fr-FR"/>
        </w:rPr>
        <w:t>TITRE V – DISPOSITIONS FINALES</w:t>
      </w:r>
      <w:bookmarkEnd w:id="35"/>
      <w:bookmarkEnd w:id="36"/>
    </w:p>
    <w:p>
      <w:pPr>
        <w:pStyle w:val="Normal"/>
        <w:jc w:val="both"/>
        <w:rPr>
          <w:rFonts w:ascii="Alstom" w:hAnsi="Alstom" w:cs="Calibri" w:cstheme="minorHAnsi"/>
          <w:b/>
          <w:bCs/>
          <w:color w:themeColor="accent1" w:themeShade="80" w:val="244061"/>
          <w:sz w:val="24"/>
          <w:szCs w:val="24"/>
          <w:lang w:val="fr-FR"/>
        </w:rPr>
      </w:pPr>
      <w:r>
        <w:rPr>
          <w:rFonts w:cs="Calibri" w:cstheme="minorHAnsi" w:ascii="Alstom" w:hAnsi="Alstom"/>
          <w:b/>
          <w:bCs/>
          <w:color w:themeColor="accent1" w:themeShade="80" w:val="244061"/>
          <w:sz w:val="24"/>
          <w:szCs w:val="24"/>
          <w:lang w:val="fr-FR"/>
        </w:rPr>
      </w:r>
    </w:p>
    <w:p>
      <w:pPr>
        <w:pStyle w:val="Heading2"/>
        <w:spacing w:before="0" w:after="0"/>
        <w:ind w:start="851"/>
        <w:rPr>
          <w:rFonts w:ascii="Alstom" w:hAnsi="Alstom"/>
          <w:color w:themeColor="accent1" w:themeShade="80" w:val="244061"/>
          <w:lang w:val="fr-FR"/>
        </w:rPr>
      </w:pPr>
      <w:bookmarkStart w:id="37" w:name="_Toc209531750"/>
      <w:bookmarkStart w:id="38" w:name="_Toc155719566"/>
      <w:r>
        <w:rPr>
          <w:rFonts w:ascii="Alstom" w:hAnsi="Alstom"/>
          <w:color w:themeColor="accent1" w:themeShade="80" w:val="244061"/>
          <w:sz w:val="22"/>
          <w:szCs w:val="22"/>
          <w:lang w:val="fr-FR"/>
        </w:rPr>
        <w:t>ARTICLE 5.1 – Entrée en vigueur et durée de l’accord</w:t>
      </w:r>
      <w:bookmarkEnd w:id="37"/>
      <w:bookmarkEnd w:id="38"/>
    </w:p>
    <w:p>
      <w:pPr>
        <w:pStyle w:val="Normal"/>
        <w:jc w:val="both"/>
        <w:rPr>
          <w:rFonts w:ascii="Alstom" w:hAnsi="Alstom" w:cs="Arial"/>
          <w:color w:themeColor="accent1" w:themeShade="80" w:val="244061"/>
          <w:lang w:val="fr-FR"/>
        </w:rPr>
      </w:pPr>
      <w:r>
        <w:rPr>
          <w:rFonts w:cs="Arial" w:ascii="Alstom" w:hAnsi="Alstom"/>
          <w:color w:themeColor="accent1" w:themeShade="80" w:val="244061"/>
          <w:lang w:val="fr-FR"/>
        </w:rPr>
      </w:r>
    </w:p>
    <w:p>
      <w:pPr>
        <w:pStyle w:val="Normal"/>
        <w:jc w:val="both"/>
        <w:rPr>
          <w:rFonts w:ascii="Alstom" w:hAnsi="Alstom" w:cs="Arial"/>
          <w:color w:themeColor="accent1" w:themeShade="80" w:val="244061"/>
          <w:lang w:val="fr-FR"/>
        </w:rPr>
      </w:pPr>
      <w:r>
        <w:rPr>
          <w:rFonts w:cs="Arial" w:ascii="Alstom" w:hAnsi="Alstom"/>
          <w:color w:themeColor="accent1" w:themeShade="80" w:val="244061"/>
          <w:lang w:val="fr-FR"/>
        </w:rPr>
        <w:t>Le présent accord se substitue entièrement aux dispositions des accords collectifs, usages et décisions unilatérales antérieurs portant sur le même objet, applicables au sein de la société Alstom IBRE SAS. Il entrera en vigueur le 8 décembre 2025, pour une durée indéterminée.</w:t>
      </w:r>
    </w:p>
    <w:p>
      <w:pPr>
        <w:pStyle w:val="Normal"/>
        <w:jc w:val="both"/>
        <w:rPr>
          <w:rFonts w:ascii="Alstom" w:hAnsi="Alstom" w:cs="Arial"/>
          <w:color w:themeColor="accent1" w:themeShade="80" w:val="244061"/>
          <w:lang w:val="fr-FR"/>
        </w:rPr>
      </w:pPr>
      <w:r>
        <w:rPr>
          <w:rFonts w:cs="Arial" w:ascii="Alstom" w:hAnsi="Alstom"/>
          <w:color w:themeColor="accent1" w:themeShade="80" w:val="244061"/>
          <w:lang w:val="fr-FR"/>
        </w:rPr>
      </w:r>
    </w:p>
    <w:p>
      <w:pPr>
        <w:pStyle w:val="Normal"/>
        <w:jc w:val="both"/>
        <w:rPr>
          <w:rFonts w:ascii="Alstom" w:hAnsi="Alstom" w:cs="Arial"/>
          <w:color w:themeColor="accent1" w:themeShade="80" w:val="244061"/>
          <w:lang w:val="fr-FR"/>
        </w:rPr>
      </w:pPr>
      <w:r>
        <w:rPr>
          <w:rFonts w:cs="Arial" w:ascii="Alstom" w:hAnsi="Alstom"/>
          <w:color w:themeColor="accent1" w:themeShade="80" w:val="244061"/>
          <w:lang w:val="fr-FR"/>
        </w:rPr>
        <w:t>Les montants des primes définis spécifiquement par le présent accord (panier, tickets restaurants, salissure et douche) pourront être renégociés sans que ne soient remises en cause les dispositions du présent accord.</w:t>
      </w:r>
    </w:p>
    <w:p>
      <w:pPr>
        <w:pStyle w:val="Normal"/>
        <w:jc w:val="both"/>
        <w:rPr>
          <w:rFonts w:ascii="Alstom" w:hAnsi="Alstom" w:cs="Calibri" w:cstheme="minorHAnsi"/>
          <w:b/>
          <w:bCs/>
          <w:color w:themeColor="accent1" w:themeShade="80" w:val="244061"/>
          <w:sz w:val="24"/>
          <w:szCs w:val="24"/>
          <w:lang w:val="fr-FR"/>
        </w:rPr>
      </w:pPr>
      <w:r>
        <w:rPr>
          <w:rFonts w:cs="Calibri" w:cstheme="minorHAnsi" w:ascii="Alstom" w:hAnsi="Alstom"/>
          <w:b/>
          <w:bCs/>
          <w:color w:themeColor="accent1" w:themeShade="80" w:val="244061"/>
          <w:sz w:val="24"/>
          <w:szCs w:val="24"/>
          <w:lang w:val="fr-FR"/>
        </w:rPr>
      </w:r>
    </w:p>
    <w:p>
      <w:pPr>
        <w:pStyle w:val="Heading2"/>
        <w:spacing w:before="0" w:after="0"/>
        <w:ind w:start="851"/>
        <w:rPr>
          <w:rFonts w:ascii="Alstom" w:hAnsi="Alstom"/>
          <w:color w:themeColor="accent1" w:themeShade="80" w:val="244061"/>
          <w:lang w:val="fr-FR"/>
        </w:rPr>
      </w:pPr>
      <w:bookmarkStart w:id="39" w:name="_Toc209531751"/>
      <w:bookmarkStart w:id="40" w:name="_Toc155719567"/>
      <w:r>
        <w:rPr>
          <w:rFonts w:ascii="Alstom" w:hAnsi="Alstom"/>
          <w:color w:themeColor="accent1" w:themeShade="80" w:val="244061"/>
          <w:sz w:val="22"/>
          <w:szCs w:val="22"/>
          <w:lang w:val="fr-FR"/>
        </w:rPr>
        <w:t>ARTICLE 5.2 – Suivi de l’accord</w:t>
      </w:r>
      <w:bookmarkEnd w:id="39"/>
      <w:bookmarkEnd w:id="40"/>
    </w:p>
    <w:p>
      <w:pPr>
        <w:pStyle w:val="Normal"/>
        <w:rPr>
          <w:rFonts w:ascii="Alstom" w:hAnsi="Alstom" w:eastAsia="Times New Roman" w:cs="Times New Roman"/>
          <w:lang w:val="fr-FR" w:eastAsia="fr-FR"/>
        </w:rPr>
      </w:pPr>
      <w:r>
        <w:rPr>
          <w:rFonts w:eastAsia="Times New Roman" w:cs="Times New Roman" w:ascii="Alstom" w:hAnsi="Alstom"/>
          <w:lang w:val="fr-FR" w:eastAsia="fr-FR"/>
        </w:rPr>
      </w:r>
    </w:p>
    <w:p>
      <w:pPr>
        <w:pStyle w:val="Normal"/>
        <w:jc w:val="both"/>
        <w:rPr>
          <w:rFonts w:ascii="Alstom" w:hAnsi="Alstom" w:cs="Arial"/>
          <w:color w:themeColor="accent1" w:themeShade="80" w:val="244061"/>
          <w:lang w:val="fr-FR"/>
        </w:rPr>
      </w:pPr>
      <w:r>
        <w:rPr>
          <w:rFonts w:cs="Arial" w:ascii="Alstom" w:hAnsi="Alstom"/>
          <w:color w:themeColor="accent1" w:themeShade="80" w:val="244061"/>
          <w:lang w:val="fr-FR"/>
        </w:rPr>
        <w:t xml:space="preserve">En cas de modification substantielle des textes législatifs ou réglementaires régissant les matières traitées par le présent accord, les Parties signataires s’engagent à se rencontrer dans les six mois à la demande de l’une des Parties signataire, pour statuer sur ce qu’il convient de faire. </w:t>
      </w:r>
    </w:p>
    <w:p>
      <w:pPr>
        <w:pStyle w:val="Normal"/>
        <w:jc w:val="both"/>
        <w:rPr>
          <w:rFonts w:ascii="Alstom" w:hAnsi="Alstom" w:eastAsia="Times New Roman" w:cs="Times New Roman"/>
          <w:szCs w:val="24"/>
          <w:lang w:val="fr-FR" w:eastAsia="fr-FR"/>
        </w:rPr>
      </w:pPr>
      <w:r>
        <w:rPr>
          <w:rFonts w:eastAsia="Times New Roman" w:cs="Times New Roman" w:ascii="Alstom" w:hAnsi="Alstom"/>
          <w:szCs w:val="24"/>
          <w:lang w:val="fr-FR" w:eastAsia="fr-FR"/>
        </w:rPr>
      </w:r>
    </w:p>
    <w:p>
      <w:pPr>
        <w:pStyle w:val="Normal"/>
        <w:jc w:val="both"/>
        <w:rPr>
          <w:rFonts w:ascii="Alstom" w:hAnsi="Alstom" w:eastAsia="Times New Roman" w:cs="Times New Roman"/>
          <w:szCs w:val="24"/>
          <w:lang w:val="fr-FR" w:eastAsia="fr-FR"/>
        </w:rPr>
      </w:pPr>
      <w:r>
        <w:rPr>
          <w:rFonts w:eastAsia="Times New Roman" w:cs="Times New Roman" w:ascii="Alstom" w:hAnsi="Alstom"/>
          <w:szCs w:val="24"/>
          <w:lang w:val="fr-FR" w:eastAsia="fr-FR"/>
        </w:rPr>
      </w:r>
    </w:p>
    <w:p>
      <w:pPr>
        <w:pStyle w:val="Normal"/>
        <w:jc w:val="both"/>
        <w:rPr>
          <w:rFonts w:ascii="Alstom" w:hAnsi="Alstom" w:eastAsia="Times New Roman" w:cs="Times New Roman"/>
          <w:szCs w:val="24"/>
          <w:lang w:val="fr-FR" w:eastAsia="fr-FR"/>
        </w:rPr>
      </w:pPr>
      <w:r>
        <w:rPr>
          <w:rFonts w:eastAsia="Times New Roman" w:cs="Times New Roman" w:ascii="Alstom" w:hAnsi="Alstom"/>
          <w:szCs w:val="24"/>
          <w:lang w:val="fr-FR" w:eastAsia="fr-FR"/>
        </w:rPr>
      </w:r>
    </w:p>
    <w:p>
      <w:pPr>
        <w:pStyle w:val="Style11"/>
        <w:spacing w:before="0" w:after="0"/>
        <w:ind w:start="851"/>
        <w:rPr/>
      </w:pPr>
      <w:bookmarkStart w:id="41" w:name="_Toc209531752"/>
      <w:bookmarkStart w:id="42" w:name="_Toc155719568"/>
      <w:r>
        <w:rPr/>
        <w:t>ARTICLE 5.3 – Révision et dénonciation de l’accord</w:t>
      </w:r>
      <w:bookmarkEnd w:id="41"/>
      <w:bookmarkEnd w:id="42"/>
      <w:r>
        <w:rPr/>
        <w:t xml:space="preserve"> </w:t>
      </w:r>
    </w:p>
    <w:p>
      <w:pPr>
        <w:pStyle w:val="Heading5"/>
        <w:ind w:start="0"/>
        <w:rPr>
          <w:rFonts w:ascii="Alstom" w:hAnsi="Alstom"/>
          <w:color w:themeColor="accent1" w:themeShade="80" w:val="244061"/>
          <w:lang w:val="fr-FR"/>
        </w:rPr>
      </w:pPr>
      <w:r>
        <w:rPr>
          <w:rFonts w:ascii="Alstom" w:hAnsi="Alstom"/>
          <w:color w:themeColor="accent1" w:themeShade="80" w:val="244061"/>
          <w:lang w:val="fr-FR"/>
        </w:rPr>
      </w:r>
    </w:p>
    <w:p>
      <w:pPr>
        <w:pStyle w:val="Normal"/>
        <w:jc w:val="both"/>
        <w:rPr>
          <w:rFonts w:ascii="Alstom" w:hAnsi="Alstom" w:cs="Arial"/>
          <w:color w:themeColor="accent1" w:themeShade="80" w:val="244061"/>
          <w:lang w:val="fr-FR"/>
        </w:rPr>
      </w:pPr>
      <w:r>
        <w:rPr>
          <w:rFonts w:cs="Arial" w:ascii="Alstom" w:hAnsi="Alstom"/>
          <w:color w:themeColor="accent1" w:themeShade="80" w:val="244061"/>
          <w:lang w:val="fr-FR"/>
        </w:rPr>
        <w:t>Conformément aux articles L. 2222-5, L. 2261-7-1 et 8 du code du travail, le présent accord pourra être révisé partiellement ou en totalité à la demande d’un ou plusieurs signataires. Cette demande sera réalisée par la partie demanderesse par courrier envoyé en recommandé avec accusé de réception à la direction et à chaque organisation syndicale habilitée à négocier l’avenant de révision. A la demande de révision seront jointes les modifications que son auteur souhaite apporter au présent accord.</w:t>
      </w:r>
    </w:p>
    <w:p>
      <w:pPr>
        <w:pStyle w:val="Normal"/>
        <w:jc w:val="both"/>
        <w:rPr>
          <w:rFonts w:ascii="Alstom" w:hAnsi="Alstom" w:cs="Arial"/>
          <w:color w:themeColor="accent1" w:themeShade="80" w:val="244061"/>
          <w:lang w:val="fr-FR"/>
        </w:rPr>
      </w:pPr>
      <w:r>
        <w:rPr>
          <w:rFonts w:cs="Arial" w:ascii="Alstom" w:hAnsi="Alstom"/>
          <w:color w:themeColor="accent1" w:themeShade="80" w:val="244061"/>
          <w:lang w:val="fr-FR"/>
        </w:rPr>
      </w:r>
    </w:p>
    <w:p>
      <w:pPr>
        <w:pStyle w:val="Normal"/>
        <w:jc w:val="both"/>
        <w:rPr>
          <w:rFonts w:ascii="Alstom" w:hAnsi="Alstom" w:cs="Arial"/>
          <w:color w:themeColor="accent1" w:themeShade="80" w:val="244061"/>
          <w:lang w:val="fr-FR"/>
        </w:rPr>
      </w:pPr>
      <w:r>
        <w:rPr>
          <w:rFonts w:cs="Arial" w:ascii="Alstom" w:hAnsi="Alstom"/>
          <w:color w:themeColor="accent1" w:themeShade="80" w:val="244061"/>
          <w:lang w:val="fr-FR"/>
        </w:rPr>
        <w:t xml:space="preserve">En cas de demande de révision émanant d’une partie habilitée en application de l’article L. 2261-7-1 du code du travail, les négociations commenceront dans les trois mois suivant la réception de la demande. Toute modification fera l’objet d’un avenant conformément aux dispositions légales en vigueur. </w:t>
      </w:r>
    </w:p>
    <w:p>
      <w:pPr>
        <w:pStyle w:val="Normal"/>
        <w:jc w:val="both"/>
        <w:rPr>
          <w:rFonts w:ascii="Alstom" w:hAnsi="Alstom" w:cs="Arial"/>
          <w:color w:themeColor="accent1" w:themeShade="80" w:val="244061"/>
          <w:lang w:val="fr-FR"/>
        </w:rPr>
      </w:pPr>
      <w:r>
        <w:rPr>
          <w:rFonts w:cs="Arial" w:ascii="Alstom" w:hAnsi="Alstom"/>
          <w:color w:themeColor="accent1" w:themeShade="80" w:val="244061"/>
          <w:lang w:val="fr-FR"/>
        </w:rPr>
      </w:r>
    </w:p>
    <w:p>
      <w:pPr>
        <w:pStyle w:val="Normal"/>
        <w:jc w:val="both"/>
        <w:rPr>
          <w:rFonts w:ascii="Alstom" w:hAnsi="Alstom" w:cs="Arial"/>
          <w:color w:themeColor="accent1" w:themeShade="80" w:val="244061"/>
          <w:lang w:val="fr-FR"/>
        </w:rPr>
      </w:pPr>
      <w:r>
        <w:rPr>
          <w:rFonts w:cs="Arial" w:ascii="Alstom" w:hAnsi="Alstom"/>
          <w:color w:themeColor="accent1" w:themeShade="80" w:val="244061"/>
          <w:lang w:val="fr-FR"/>
        </w:rPr>
        <w:t xml:space="preserve">Le présent accord pourra être dénoncé conformément aux dispositions des articles L. 2261-9 et suivants du code du travail. La dénonciation doit être portée à la connaissance des autres parties signataires. </w:t>
      </w:r>
    </w:p>
    <w:p>
      <w:pPr>
        <w:pStyle w:val="Normal"/>
        <w:jc w:val="both"/>
        <w:rPr>
          <w:rFonts w:ascii="Alstom" w:hAnsi="Alstom" w:eastAsia="Times New Roman" w:cs="Times New Roman"/>
          <w:szCs w:val="24"/>
          <w:lang w:val="fr-FR" w:eastAsia="fr-FR"/>
        </w:rPr>
      </w:pPr>
      <w:r>
        <w:rPr>
          <w:rFonts w:eastAsia="Times New Roman" w:cs="Times New Roman" w:ascii="Alstom" w:hAnsi="Alstom"/>
          <w:szCs w:val="24"/>
          <w:lang w:val="fr-FR" w:eastAsia="fr-FR"/>
        </w:rPr>
      </w:r>
    </w:p>
    <w:p>
      <w:pPr>
        <w:pStyle w:val="Heading2"/>
        <w:spacing w:before="0" w:after="0"/>
        <w:ind w:start="851"/>
        <w:rPr>
          <w:rFonts w:ascii="Alstom" w:hAnsi="Alstom"/>
          <w:b w:val="false"/>
          <w:bCs w:val="false"/>
          <w:color w:themeColor="accent1" w:themeShade="80" w:val="244061"/>
          <w:sz w:val="22"/>
          <w:szCs w:val="22"/>
          <w:lang w:val="fr-FR"/>
        </w:rPr>
      </w:pPr>
      <w:bookmarkStart w:id="43" w:name="_Toc209531753"/>
      <w:bookmarkStart w:id="44" w:name="_Toc155719569"/>
      <w:r>
        <w:rPr>
          <w:rFonts w:ascii="Alstom" w:hAnsi="Alstom"/>
          <w:color w:themeColor="accent1" w:themeShade="80" w:val="244061"/>
          <w:sz w:val="22"/>
          <w:szCs w:val="22"/>
          <w:lang w:val="fr-FR"/>
        </w:rPr>
        <w:t>Article 5.4 – Notification, dépôt et publicité de l’accord</w:t>
      </w:r>
      <w:bookmarkEnd w:id="43"/>
      <w:bookmarkEnd w:id="44"/>
    </w:p>
    <w:p>
      <w:pPr>
        <w:pStyle w:val="Normal"/>
        <w:jc w:val="both"/>
        <w:rPr>
          <w:rFonts w:ascii="Alstom" w:hAnsi="Alstom" w:eastAsia="Times New Roman" w:cs="Times New Roman"/>
          <w:bCs/>
          <w:sz w:val="16"/>
          <w:szCs w:val="16"/>
          <w:lang w:val="fr-FR" w:eastAsia="fr-FR"/>
        </w:rPr>
      </w:pPr>
      <w:r>
        <w:rPr>
          <w:rFonts w:eastAsia="Times New Roman" w:cs="Times New Roman" w:ascii="Alstom" w:hAnsi="Alstom"/>
          <w:bCs/>
          <w:sz w:val="16"/>
          <w:szCs w:val="16"/>
          <w:lang w:val="fr-FR" w:eastAsia="fr-FR"/>
        </w:rPr>
      </w:r>
    </w:p>
    <w:p>
      <w:pPr>
        <w:pStyle w:val="Normal"/>
        <w:jc w:val="both"/>
        <w:rPr>
          <w:rFonts w:ascii="Alstom" w:hAnsi="Alstom" w:cs="Arial"/>
          <w:color w:themeColor="accent1" w:themeShade="80" w:val="244061"/>
          <w:lang w:val="fr-FR"/>
        </w:rPr>
      </w:pPr>
      <w:r>
        <w:rPr>
          <w:rFonts w:cs="Arial" w:ascii="Alstom" w:hAnsi="Alstom"/>
          <w:color w:themeColor="accent1" w:themeShade="80" w:val="244061"/>
          <w:lang w:val="fr-FR"/>
        </w:rPr>
        <w:t xml:space="preserve">Un exemplaire signé du présent accord sera remis à chaque partie signataire, ainsi qu’au greffe du Conseil de prud'hommes de Sens </w:t>
      </w:r>
    </w:p>
    <w:p>
      <w:pPr>
        <w:pStyle w:val="Normal"/>
        <w:jc w:val="both"/>
        <w:rPr>
          <w:rFonts w:ascii="Alstom" w:hAnsi="Alstom" w:cs="Arial"/>
          <w:color w:themeColor="accent1" w:themeShade="80" w:val="244061"/>
          <w:lang w:val="fr-FR"/>
        </w:rPr>
      </w:pPr>
      <w:r>
        <w:rPr>
          <w:rFonts w:cs="Arial" w:ascii="Alstom" w:hAnsi="Alstom"/>
          <w:color w:themeColor="accent1" w:themeShade="80" w:val="244061"/>
          <w:lang w:val="fr-FR"/>
        </w:rPr>
        <w:t>Après sa notification à toutes les organisations syndicales représentatives au sein de l’établissement, le présent accord sera rendu public et déposé à l’initiative de la direction sur la plateforme Téléaccords du Ministère du Travail.</w:t>
      </w:r>
    </w:p>
    <w:p>
      <w:pPr>
        <w:pStyle w:val="Normal"/>
        <w:jc w:val="both"/>
        <w:rPr>
          <w:rFonts w:ascii="Alstom" w:hAnsi="Alstom" w:cs="Arial"/>
          <w:color w:themeColor="accent1" w:themeShade="80" w:val="244061"/>
          <w:lang w:val="fr-FR"/>
        </w:rPr>
      </w:pPr>
      <w:r>
        <w:rPr>
          <w:rFonts w:cs="Arial" w:ascii="Alstom" w:hAnsi="Alstom"/>
          <w:color w:themeColor="accent1" w:themeShade="80" w:val="244061"/>
          <w:lang w:val="fr-FR"/>
        </w:rPr>
        <w:t>En outre, un exemplaire sera déposé sur l’intranet pour les salariés.</w:t>
      </w:r>
    </w:p>
    <w:p>
      <w:pPr>
        <w:pStyle w:val="Normal"/>
        <w:rPr>
          <w:rFonts w:ascii="Alstom" w:hAnsi="Alstom" w:eastAsia="Times New Roman" w:cs="Times New Roman"/>
          <w:bCs/>
          <w:lang w:val="fr-FR" w:eastAsia="fr-FR"/>
        </w:rPr>
      </w:pPr>
      <w:r>
        <w:rPr>
          <w:rFonts w:eastAsia="Times New Roman" w:cs="Times New Roman" w:ascii="Alstom" w:hAnsi="Alstom"/>
          <w:bCs/>
          <w:lang w:val="fr-FR" w:eastAsia="fr-FR"/>
        </w:rPr>
      </w:r>
    </w:p>
    <w:p>
      <w:pPr>
        <w:pStyle w:val="Normal"/>
        <w:rPr>
          <w:rFonts w:ascii="Alstom" w:hAnsi="Alstom" w:eastAsia="Times New Roman" w:cs="Times New Roman"/>
          <w:bCs/>
          <w:color w:themeColor="accent1" w:themeShade="80" w:val="244061"/>
          <w:lang w:val="fr-FR" w:eastAsia="fr-FR"/>
        </w:rPr>
      </w:pPr>
      <w:bookmarkStart w:id="45" w:name="_Toc149834889"/>
      <w:r>
        <w:rPr>
          <w:rFonts w:eastAsia="Times New Roman" w:cs="Times New Roman" w:ascii="Alstom" w:hAnsi="Alstom"/>
          <w:bCs/>
          <w:color w:themeColor="accent1" w:themeShade="80" w:val="244061"/>
          <w:lang w:val="fr-FR" w:eastAsia="fr-FR"/>
        </w:rPr>
        <w:t xml:space="preserve">Fait à Saint Denis lès Sens, </w:t>
      </w:r>
      <w:bookmarkEnd w:id="45"/>
      <w:r>
        <w:rPr>
          <w:rFonts w:eastAsia="Times New Roman" w:cs="Times New Roman" w:ascii="Alstom" w:hAnsi="Alstom"/>
          <w:bCs/>
          <w:color w:themeColor="accent1" w:themeShade="80" w:val="244061"/>
          <w:lang w:val="fr-FR" w:eastAsia="fr-FR"/>
        </w:rPr>
        <w:t>en 2 exemplaires le 8 décembre 2025.</w:t>
      </w:r>
    </w:p>
    <w:p>
      <w:pPr>
        <w:pStyle w:val="Normal"/>
        <w:rPr>
          <w:rFonts w:ascii="Alstom" w:hAnsi="Alstom"/>
          <w:color w:themeColor="accent1" w:themeShade="80" w:val="244061"/>
          <w:lang w:val="fr-FR"/>
        </w:rPr>
      </w:pPr>
      <w:r>
        <w:rPr>
          <w:rFonts w:ascii="Alstom" w:hAnsi="Alstom"/>
          <w:color w:themeColor="accent1" w:themeShade="80" w:val="244061"/>
          <w:lang w:val="fr-FR"/>
        </w:rPr>
      </w:r>
    </w:p>
    <w:p>
      <w:pPr>
        <w:pStyle w:val="Normal"/>
        <w:rPr>
          <w:rFonts w:ascii="Alstom" w:hAnsi="Alstom"/>
          <w:color w:themeColor="accent1" w:themeShade="80" w:val="244061"/>
          <w:lang w:val="fr-FR"/>
        </w:rPr>
      </w:pPr>
      <w:r>
        <w:rPr>
          <w:rFonts w:ascii="Alstom" w:hAnsi="Alstom"/>
          <w:color w:themeColor="accent1" w:themeShade="80" w:val="244061"/>
          <w:lang w:val="fr-FR"/>
        </w:rPr>
      </w:r>
    </w:p>
    <w:p>
      <w:pPr>
        <w:pStyle w:val="Normal"/>
        <w:rPr>
          <w:rFonts w:ascii="Alstom" w:hAnsi="Alstom"/>
          <w:color w:themeColor="accent1" w:themeShade="80" w:val="244061"/>
          <w:lang w:val="fr-FR"/>
        </w:rPr>
      </w:pPr>
      <w:r>
        <w:rPr>
          <w:rFonts w:ascii="Alstom" w:hAnsi="Alstom"/>
          <w:color w:themeColor="accent1" w:themeShade="80" w:val="244061"/>
          <w:lang w:val="fr-FR"/>
        </w:rPr>
      </w:r>
    </w:p>
    <w:p>
      <w:pPr>
        <w:pStyle w:val="Normal"/>
        <w:rPr>
          <w:rFonts w:ascii="Alstom" w:hAnsi="Alstom"/>
          <w:color w:themeColor="accent1" w:themeShade="80" w:val="244061"/>
          <w:lang w:val="fr-FR"/>
        </w:rPr>
      </w:pPr>
      <w:r>
        <w:rPr>
          <w:rFonts w:ascii="Alstom" w:hAnsi="Alstom"/>
          <w:b/>
          <w:bCs/>
          <w:color w:themeColor="accent1" w:themeShade="80" w:val="244061"/>
          <w:lang w:val="fr-FR"/>
        </w:rPr>
        <w:t>Pour ALSTOM IBRE SAS</w:t>
      </w:r>
    </w:p>
    <w:p>
      <w:pPr>
        <w:pStyle w:val="Normal"/>
        <w:rPr>
          <w:rFonts w:ascii="Alstom" w:hAnsi="Alstom"/>
          <w:color w:themeColor="accent1" w:themeShade="80" w:val="244061"/>
          <w:lang w:val="fr-FR"/>
        </w:rPr>
      </w:pPr>
      <w:r>
        <w:rPr>
          <w:rFonts w:ascii="Alstom" w:hAnsi="Alstom"/>
          <w:color w:themeColor="accent1" w:themeShade="80" w:val="244061"/>
          <w:lang w:val="fr-FR"/>
        </w:rPr>
      </w:r>
    </w:p>
    <w:p>
      <w:pPr>
        <w:pStyle w:val="Normal"/>
        <w:rPr>
          <w:rFonts w:ascii="Alstom" w:hAnsi="Alstom"/>
          <w:color w:themeColor="accent1" w:themeShade="80" w:val="244061"/>
          <w:lang w:val="fr-FR"/>
        </w:rPr>
      </w:pPr>
      <w:r>
        <w:rPr>
          <w:rFonts w:ascii="Alstom" w:hAnsi="Alstom"/>
          <w:color w:themeColor="accent1" w:themeShade="80" w:val="244061"/>
          <w:lang w:val="fr-FR"/>
        </w:rPr>
      </w:r>
    </w:p>
    <w:p>
      <w:pPr>
        <w:pStyle w:val="Normal"/>
        <w:rPr>
          <w:rFonts w:ascii="Alstom" w:hAnsi="Alstom"/>
          <w:color w:themeColor="accent1" w:themeShade="80" w:val="244061"/>
          <w:lang w:val="fr-FR"/>
        </w:rPr>
      </w:pPr>
      <w:r>
        <w:rPr>
          <w:rFonts w:ascii="Alstom" w:hAnsi="Alstom"/>
          <w:color w:themeColor="accent1" w:themeShade="80" w:val="244061"/>
          <w:lang w:val="fr-FR"/>
        </w:rPr>
      </w:r>
    </w:p>
    <w:p>
      <w:pPr>
        <w:pStyle w:val="Normal"/>
        <w:rPr>
          <w:rFonts w:ascii="Alstom" w:hAnsi="Alstom"/>
          <w:color w:themeColor="accent1" w:themeShade="80" w:val="244061"/>
          <w:lang w:val="fr-FR"/>
        </w:rPr>
      </w:pPr>
      <w:r>
        <w:rPr>
          <w:rFonts w:ascii="Alstom" w:hAnsi="Alstom"/>
          <w:color w:themeColor="accent1" w:themeShade="80" w:val="244061"/>
          <w:lang w:val="fr-FR"/>
        </w:rPr>
      </w:r>
    </w:p>
    <w:p>
      <w:pPr>
        <w:pStyle w:val="Normal"/>
        <w:rPr>
          <w:rFonts w:ascii="Alstom" w:hAnsi="Alstom"/>
          <w:color w:themeColor="accent1" w:themeShade="80" w:val="244061"/>
          <w:lang w:val="fr-FR"/>
        </w:rPr>
      </w:pPr>
      <w:r>
        <w:rPr>
          <w:rFonts w:ascii="Alstom" w:hAnsi="Alstom"/>
          <w:color w:themeColor="accent1" w:themeShade="80" w:val="244061"/>
          <w:lang w:val="fr-FR"/>
        </w:rPr>
      </w:r>
    </w:p>
    <w:p>
      <w:pPr>
        <w:pStyle w:val="Normal"/>
        <w:rPr>
          <w:rFonts w:ascii="Alstom" w:hAnsi="Alstom"/>
          <w:color w:themeColor="accent1" w:themeShade="80" w:val="244061"/>
          <w:lang w:val="fr-FR"/>
        </w:rPr>
      </w:pPr>
      <w:r>
        <w:rPr>
          <w:rFonts w:ascii="Alstom" w:hAnsi="Alstom"/>
          <w:b/>
          <w:bCs/>
          <w:color w:themeColor="accent1" w:themeShade="80" w:val="244061"/>
          <w:lang w:val="fr-FR"/>
        </w:rPr>
        <w:t>Pour la CFDT</w:t>
      </w:r>
    </w:p>
    <w:p>
      <w:pPr>
        <w:pStyle w:val="Normal"/>
        <w:rPr>
          <w:rFonts w:ascii="Alstom" w:hAnsi="Alstom"/>
          <w:color w:themeColor="accent1" w:themeShade="80" w:val="244061"/>
          <w:lang w:val="fr-FR"/>
        </w:rPr>
      </w:pPr>
      <w:r>
        <w:rPr>
          <w:rFonts w:ascii="Alstom" w:hAnsi="Alstom"/>
          <w:color w:themeColor="accent1" w:themeShade="80" w:val="244061"/>
          <w:lang w:val="fr-FR"/>
        </w:rPr>
      </w:r>
    </w:p>
    <w:p>
      <w:pPr>
        <w:pStyle w:val="NoSpacing"/>
        <w:shd w:val="clear" w:color="auto" w:fill="FFFFFF" w:themeFill="background1"/>
        <w:jc w:val="both"/>
        <w:rPr>
          <w:rFonts w:ascii="Alstom" w:hAnsi="Alstom"/>
          <w:color w:themeColor="accent1" w:themeShade="80" w:val="244061"/>
          <w:lang w:val="fr-FR"/>
        </w:rPr>
      </w:pPr>
      <w:r>
        <w:rPr>
          <w:rFonts w:ascii="Alstom" w:hAnsi="Alstom"/>
          <w:color w:themeColor="accent1" w:themeShade="80" w:val="244061"/>
          <w:lang w:val="fr-FR"/>
        </w:rPr>
      </w:r>
    </w:p>
    <w:p>
      <w:pPr>
        <w:pStyle w:val="NoSpacing"/>
        <w:shd w:val="clear" w:color="auto" w:fill="FFFFFF" w:themeFill="background1"/>
        <w:jc w:val="both"/>
        <w:rPr>
          <w:rFonts w:ascii="Alstom" w:hAnsi="Alstom"/>
          <w:color w:themeColor="accent1" w:themeShade="80" w:val="244061"/>
          <w:lang w:val="fr-FR"/>
        </w:rPr>
      </w:pPr>
      <w:r>
        <w:rPr>
          <w:rFonts w:ascii="Alstom" w:hAnsi="Alstom"/>
          <w:color w:themeColor="accent1" w:themeShade="80" w:val="244061"/>
          <w:lang w:val="fr-FR"/>
        </w:rPr>
      </w:r>
    </w:p>
    <w:p>
      <w:pPr>
        <w:pStyle w:val="Normal"/>
        <w:rPr>
          <w:rFonts w:ascii="Alstom" w:hAnsi="Alstom"/>
          <w:b/>
          <w:bCs/>
          <w:color w:themeColor="accent1" w:themeShade="80" w:val="244061"/>
          <w:lang w:val="fr-FR"/>
        </w:rPr>
      </w:pPr>
      <w:r>
        <w:rPr>
          <w:rFonts w:ascii="Alstom" w:hAnsi="Alstom"/>
          <w:b/>
          <w:bCs/>
          <w:color w:themeColor="accent1" w:themeShade="80" w:val="244061"/>
          <w:lang w:val="fr-FR"/>
        </w:rPr>
        <w:t>Pour la CGT</w:t>
      </w:r>
    </w:p>
    <w:p>
      <w:pPr>
        <w:pStyle w:val="Normal"/>
        <w:rPr>
          <w:rFonts w:ascii="Alstom" w:hAnsi="Alstom"/>
          <w:b/>
          <w:bCs/>
          <w:color w:themeColor="accent1" w:themeShade="80" w:val="244061"/>
          <w:lang w:val="fr-FR"/>
        </w:rPr>
      </w:pPr>
      <w:r>
        <w:rPr>
          <w:rFonts w:ascii="Alstom" w:hAnsi="Alstom"/>
          <w:b/>
          <w:bCs/>
          <w:color w:themeColor="accent1" w:themeShade="80" w:val="244061"/>
          <w:lang w:val="fr-FR"/>
        </w:rPr>
      </w:r>
    </w:p>
    <w:p>
      <w:pPr>
        <w:pStyle w:val="Normal"/>
        <w:rPr>
          <w:rFonts w:ascii="Alstom" w:hAnsi="Alstom"/>
          <w:b/>
          <w:bCs/>
          <w:color w:themeColor="accent1" w:themeShade="80" w:val="244061"/>
          <w:lang w:val="fr-FR"/>
        </w:rPr>
      </w:pPr>
      <w:r>
        <w:rPr>
          <w:rFonts w:ascii="Alstom" w:hAnsi="Alstom"/>
          <w:b/>
          <w:bCs/>
          <w:color w:themeColor="accent1" w:themeShade="80" w:val="244061"/>
          <w:lang w:val="fr-FR"/>
        </w:rPr>
      </w:r>
    </w:p>
    <w:p>
      <w:pPr>
        <w:pStyle w:val="Normal"/>
        <w:rPr>
          <w:rFonts w:ascii="Alstom" w:hAnsi="Alstom"/>
          <w:b/>
          <w:bCs/>
          <w:color w:themeColor="accent1" w:themeShade="80" w:val="244061"/>
          <w:lang w:val="fr-FR"/>
        </w:rPr>
      </w:pPr>
      <w:r>
        <w:rPr>
          <w:rFonts w:ascii="Alstom" w:hAnsi="Alstom"/>
          <w:b/>
          <w:bCs/>
          <w:color w:themeColor="accent1" w:themeShade="80" w:val="244061"/>
          <w:lang w:val="fr-FR"/>
        </w:rPr>
      </w:r>
    </w:p>
    <w:p>
      <w:pPr>
        <w:pStyle w:val="Normal"/>
        <w:rPr>
          <w:rFonts w:ascii="Alstom" w:hAnsi="Alstom"/>
          <w:b/>
          <w:bCs/>
          <w:color w:themeColor="accent1" w:themeShade="80" w:val="244061"/>
          <w:lang w:val="fr-FR"/>
        </w:rPr>
      </w:pPr>
      <w:r>
        <w:rPr>
          <w:rFonts w:ascii="Alstom" w:hAnsi="Alstom"/>
          <w:b/>
          <w:bCs/>
          <w:color w:themeColor="accent1" w:themeShade="80" w:val="244061"/>
          <w:lang w:val="fr-FR"/>
        </w:rPr>
      </w:r>
    </w:p>
    <w:p>
      <w:pPr>
        <w:pStyle w:val="Normal"/>
        <w:rPr>
          <w:rFonts w:ascii="Alstom" w:hAnsi="Alstom"/>
          <w:b/>
          <w:bCs/>
          <w:color w:themeColor="accent1" w:themeShade="80" w:val="244061"/>
          <w:sz w:val="28"/>
          <w:szCs w:val="28"/>
          <w:lang w:val="fr-FR"/>
        </w:rPr>
      </w:pPr>
      <w:r>
        <w:rPr>
          <w:rFonts w:ascii="Alstom" w:hAnsi="Alstom"/>
          <w:b/>
          <w:bCs/>
          <w:color w:themeColor="accent1" w:themeShade="80" w:val="244061"/>
          <w:sz w:val="28"/>
          <w:szCs w:val="28"/>
          <w:lang w:val="fr-FR"/>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993" w:right="849" w:gutter="0" w:header="284" w:top="1135" w:footer="590"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1"/>
    <w:family w:val="auto"/>
    <w:pitch w:val="default"/>
  </w:font>
  <w:font w:name="Arial">
    <w:charset w:val="01"/>
    <w:family w:val="swiss"/>
    <w:pitch w:val="default"/>
  </w:font>
  <w:font w:name="Times New Roman">
    <w:charset w:val="01"/>
    <w:family w:val="roman"/>
    <w:pitch w:val="default"/>
  </w:font>
  <w:font w:name="Tahoma">
    <w:charset w:val="01"/>
    <w:family w:val="swiss"/>
    <w:pitch w:val="default"/>
  </w:font>
  <w:font w:name="Cambria">
    <w:charset w:val="01"/>
    <w:family w:val="auto"/>
    <w:pitch w:val="default"/>
  </w:font>
  <w:font w:name="ArialMT">
    <w:charset w:val="01"/>
    <w:family w:val="roman"/>
    <w:pitch w:val="default"/>
  </w:font>
  <w:font w:name="August Debouzy">
    <w:charset w:val="01"/>
    <w:family w:val="swiss"/>
    <w:pitch w:val="default"/>
  </w:font>
  <w:font w:name="Helvetica">
    <w:altName w:val="Arial"/>
    <w:charset w:val="01"/>
    <w:family w:val="swiss"/>
    <w:pitch w:val="default"/>
  </w:font>
  <w:font w:name="Alstom">
    <w:charset w:val="01"/>
    <w:family w:val="swiss"/>
    <w:pitch w:val="default"/>
  </w:font>
  <w:font w:name="Marianne">
    <w:charset w:val="01"/>
    <w:family w:val="auto"/>
    <w:pitch w:val="default"/>
  </w:font>
  <w:font w:name="Times">
    <w:altName w:val="Times New Roman"/>
    <w:charset w:val="01"/>
    <w:family w:val="roman"/>
    <w:pitch w:val="default"/>
  </w:font>
  <w:font w:name="Alstom">
    <w:charset w:val="01"/>
    <w:family w:val="auto"/>
    <w:pitch w:val="default"/>
  </w:font>
  <w:font w:name="Cambria">
    <w:charset w:val="01"/>
    <w:family w:val="swiss"/>
    <w:pitch w:val="default"/>
  </w:font>
  <w:font w:name="Century Gothic">
    <w:charset w:val="01"/>
    <w:family w:val="swiss"/>
    <w:pitch w:val="default"/>
  </w:font>
  <w:font w:name="Calibri">
    <w:charset w:val="01"/>
    <w:family w:val="swiss"/>
    <w:pitch w:val="default"/>
  </w:font>
  <w:font w:name="Univers 45 Light">
    <w:charset w:val="01"/>
    <w:family w:val="swiss"/>
    <w:pitch w:val="default"/>
  </w:font>
  <w:font w:name="Chicago">
    <w:charset w:val="01"/>
    <w:family w:val="swiss"/>
    <w:pitch w:val="default"/>
  </w:font>
  <w:font w:name="Verdana-Bold">
    <w:charset w:val="01"/>
    <w:family w:val="auto"/>
    <w:pitch w:val="default"/>
  </w:font>
  <w:font w:name="Alstom">
    <w:charset w:val="01"/>
    <w:family w:val="roman"/>
    <w:pitch w:val="default"/>
  </w:font>
  <w:font w:name="Times New Roman">
    <w:charset w:val="01"/>
    <w:family w:val="roman"/>
    <w:pitch w:val="variable"/>
  </w:font>
  <w:font w:name="Courier New">
    <w:charset w:val="01"/>
    <w:family w:val="modern"/>
    <w:pitch w:val="fixed"/>
  </w:font>
  <w:font w:name="Wingdings">
    <w:charset w:val="02"/>
    <w:family w:val="auto"/>
    <w:pitch w:val="variable"/>
  </w:font>
  <w:font w:name="Vladimir Script">
    <w:charset w:val="01"/>
    <w:family w:val="script"/>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sdtPr>
    <w:sdtContent>
      <w:p>
        <w:pPr>
          <w:pStyle w:val="Footer"/>
          <w:ind w:end="567"/>
          <w:jc w:val="end"/>
          <w:rPr>
            <w:rFonts w:ascii="Alstom" w:hAnsi="Alstom"/>
            <w:sz w:val="18"/>
          </w:rPr>
        </w:pPr>
        <w:r>
          <w:rPr>
            <w:rFonts w:ascii="Alstom" w:hAnsi="Alstom"/>
            <w:sz w:val="18"/>
          </w:rPr>
          <w:fldChar w:fldCharType="begin"/>
        </w:r>
        <w:r>
          <w:rPr>
            <w:rFonts w:ascii="Alstom" w:hAnsi="Alstom"/>
            <w:sz w:val="18"/>
          </w:rPr>
          <w:instrText xml:space="preserve"> PAGE </w:instrText>
        </w:r>
        <w:r>
          <w:rPr>
            <w:rFonts w:ascii="Alstom" w:hAnsi="Alstom"/>
            <w:sz w:val="18"/>
          </w:rPr>
          <w:fldChar w:fldCharType="separate"/>
        </w:r>
        <w:r>
          <w:rPr>
            <w:rFonts w:ascii="Alstom" w:hAnsi="Alstom"/>
            <w:sz w:val="18"/>
          </w:rPr>
          <w:t>0</w:t>
        </w:r>
        <w:r>
          <w:rPr>
            <w:rFonts w:ascii="Alstom" w:hAnsi="Alstom"/>
            <w:sz w:val="18"/>
          </w:rPr>
          <w:fldChar w:fldCharType="end"/>
        </w:r>
        <w:r>
          <w:rPr>
            <w:rFonts w:ascii="Alstom" w:hAnsi="Alstom"/>
            <w:sz w:val="18"/>
          </w:rPr>
          <w:t>/14</w:t>
        </w:r>
      </w:p>
      <w:p>
        <w:pPr>
          <w:pStyle w:val="Footer"/>
          <w:jc w:val="end"/>
          <w:rPr/>
        </w:pPr>
        <w:r>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550" w:leader="none"/>
        <w:tab w:val="left" w:pos="5818" w:leader="none"/>
      </w:tabs>
      <w:ind w:end="260"/>
      <w:jc w:val="end"/>
      <w:rPr>
        <w:color w:themeColor="text2" w:themeShade="80" w:val="0F243E"/>
        <w:sz w:val="24"/>
        <w:szCs w:val="24"/>
      </w:rPr>
    </w:pPr>
    <w:r>
      <w:rPr>
        <w:color w:themeColor="text2" w:themeShade="bf" w:val="17365D"/>
        <w:sz w:val="24"/>
        <w:szCs w:val="24"/>
      </w:rPr>
      <w:fldChar w:fldCharType="begin"/>
    </w:r>
    <w:r>
      <w:rPr>
        <w:color w:themeColor="text2" w:themeShade="bf" w:val="17365D"/>
        <w:sz w:val="24"/>
        <w:szCs w:val="24"/>
      </w:rPr>
      <w:instrText xml:space="preserve"> PAGE </w:instrText>
    </w:r>
    <w:r>
      <w:rPr>
        <w:color w:themeColor="text2" w:themeShade="bf" w:val="17365D"/>
        <w:sz w:val="24"/>
        <w:szCs w:val="24"/>
      </w:rPr>
      <w:fldChar w:fldCharType="separate"/>
    </w:r>
    <w:r>
      <w:rPr>
        <w:color w:themeColor="text2" w:themeShade="bf" w:val="17365D"/>
        <w:sz w:val="24"/>
        <w:szCs w:val="24"/>
      </w:rPr>
      <w:t>7</w:t>
    </w:r>
    <w:r>
      <w:rPr>
        <w:color w:themeColor="text2" w:themeShade="bf" w:val="17365D"/>
        <w:sz w:val="24"/>
        <w:szCs w:val="24"/>
      </w:rPr>
      <w:fldChar w:fldCharType="end"/>
    </w:r>
    <w:r>
      <w:rPr>
        <w:color w:themeColor="text2" w:themeShade="bf" w:val="17365D"/>
        <w:sz w:val="24"/>
        <w:szCs w:val="24"/>
        <w:lang w:val="fr-FR"/>
      </w:rPr>
      <w:t xml:space="preserve"> </w:t>
    </w:r>
    <w:r>
      <w:rPr>
        <w:color w:themeColor="text2" w:themeShade="bf" w:val="17365D"/>
        <w:sz w:val="24"/>
        <w:szCs w:val="24"/>
        <w:lang w:val="fr-FR"/>
      </w:rPr>
      <w:t xml:space="preserve">| </w:t>
    </w:r>
    <w:r>
      <w:rPr>
        <w:color w:themeColor="text2" w:themeShade="bf" w:val="17365D"/>
        <w:sz w:val="24"/>
        <w:szCs w:val="24"/>
      </w:rPr>
      <w:fldChar w:fldCharType="begin"/>
    </w:r>
    <w:r>
      <w:rPr>
        <w:color w:themeColor="text2" w:themeShade="bf" w:val="17365D"/>
        <w:sz w:val="24"/>
        <w:szCs w:val="24"/>
      </w:rPr>
      <w:instrText xml:space="preserve"> NUMPAGES \* ARABIC </w:instrText>
    </w:r>
    <w:r>
      <w:rPr>
        <w:color w:themeColor="text2" w:themeShade="bf" w:val="17365D"/>
        <w:sz w:val="24"/>
        <w:szCs w:val="24"/>
      </w:rPr>
      <w:fldChar w:fldCharType="separate"/>
    </w:r>
    <w:r>
      <w:rPr>
        <w:color w:themeColor="text2" w:themeShade="bf" w:val="17365D"/>
        <w:sz w:val="24"/>
        <w:szCs w:val="24"/>
      </w:rPr>
      <w:t>7</w:t>
    </w:r>
    <w:r>
      <w:rPr>
        <w:color w:themeColor="text2" w:themeShade="bf" w:val="17365D"/>
        <w:sz w:val="24"/>
        <w:szCs w:val="24"/>
      </w:rPr>
      <w:fldChar w:fldCharType="end"/>
    </w:r>
  </w:p>
  <w:p>
    <w:pPr>
      <w:pStyle w:val="Normal"/>
      <w:spacing w:lineRule="exact" w:line="200"/>
      <w:rPr>
        <w:sz w:val="20"/>
        <w:szCs w:val="20"/>
      </w:rPr>
    </w:pPr>
    <w:r>
      <w:rPr>
        <w:sz w:val="20"/>
        <w:szCs w:val="20"/>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550" w:leader="none"/>
        <w:tab w:val="left" w:pos="5818" w:leader="none"/>
      </w:tabs>
      <w:ind w:end="260"/>
      <w:jc w:val="end"/>
      <w:rPr>
        <w:color w:themeColor="text2" w:themeShade="80" w:val="0F243E"/>
        <w:sz w:val="24"/>
        <w:szCs w:val="24"/>
      </w:rPr>
    </w:pPr>
    <w:r>
      <w:rPr>
        <w:color w:themeColor="text2" w:themeShade="bf" w:val="17365D"/>
        <w:sz w:val="24"/>
        <w:szCs w:val="24"/>
      </w:rPr>
      <w:fldChar w:fldCharType="begin"/>
    </w:r>
    <w:r>
      <w:rPr>
        <w:color w:themeColor="text2" w:themeShade="bf" w:val="17365D"/>
        <w:sz w:val="24"/>
        <w:szCs w:val="24"/>
      </w:rPr>
      <w:instrText xml:space="preserve"> PAGE </w:instrText>
    </w:r>
    <w:r>
      <w:rPr>
        <w:color w:themeColor="text2" w:themeShade="bf" w:val="17365D"/>
        <w:sz w:val="24"/>
        <w:szCs w:val="24"/>
      </w:rPr>
      <w:fldChar w:fldCharType="separate"/>
    </w:r>
    <w:r>
      <w:rPr>
        <w:color w:themeColor="text2" w:themeShade="bf" w:val="17365D"/>
        <w:sz w:val="24"/>
        <w:szCs w:val="24"/>
      </w:rPr>
      <w:t>7</w:t>
    </w:r>
    <w:r>
      <w:rPr>
        <w:color w:themeColor="text2" w:themeShade="bf" w:val="17365D"/>
        <w:sz w:val="24"/>
        <w:szCs w:val="24"/>
      </w:rPr>
      <w:fldChar w:fldCharType="end"/>
    </w:r>
    <w:r>
      <w:rPr>
        <w:color w:themeColor="text2" w:themeShade="bf" w:val="17365D"/>
        <w:sz w:val="24"/>
        <w:szCs w:val="24"/>
        <w:lang w:val="fr-FR"/>
      </w:rPr>
      <w:t xml:space="preserve"> </w:t>
    </w:r>
    <w:r>
      <w:rPr>
        <w:color w:themeColor="text2" w:themeShade="bf" w:val="17365D"/>
        <w:sz w:val="24"/>
        <w:szCs w:val="24"/>
        <w:lang w:val="fr-FR"/>
      </w:rPr>
      <w:t xml:space="preserve">| </w:t>
    </w:r>
    <w:r>
      <w:rPr>
        <w:color w:themeColor="text2" w:themeShade="bf" w:val="17365D"/>
        <w:sz w:val="24"/>
        <w:szCs w:val="24"/>
      </w:rPr>
      <w:fldChar w:fldCharType="begin"/>
    </w:r>
    <w:r>
      <w:rPr>
        <w:color w:themeColor="text2" w:themeShade="bf" w:val="17365D"/>
        <w:sz w:val="24"/>
        <w:szCs w:val="24"/>
      </w:rPr>
      <w:instrText xml:space="preserve"> NUMPAGES \* ARABIC </w:instrText>
    </w:r>
    <w:r>
      <w:rPr>
        <w:color w:themeColor="text2" w:themeShade="bf" w:val="17365D"/>
        <w:sz w:val="24"/>
        <w:szCs w:val="24"/>
      </w:rPr>
      <w:fldChar w:fldCharType="separate"/>
    </w:r>
    <w:r>
      <w:rPr>
        <w:color w:themeColor="text2" w:themeShade="bf" w:val="17365D"/>
        <w:sz w:val="24"/>
        <w:szCs w:val="24"/>
      </w:rPr>
      <w:t>7</w:t>
    </w:r>
    <w:r>
      <w:rPr>
        <w:color w:themeColor="text2" w:themeShade="bf" w:val="17365D"/>
        <w:sz w:val="24"/>
        <w:szCs w:val="24"/>
      </w:rPr>
      <w:fldChar w:fldCharType="end"/>
    </w:r>
  </w:p>
  <w:p>
    <w:pPr>
      <w:pStyle w:val="Normal"/>
      <w:spacing w:lineRule="exact" w:line="200"/>
      <w:rPr>
        <w:sz w:val="20"/>
        <w:szCs w:val="20"/>
      </w:rPr>
    </w:pPr>
    <w:r>
      <w:rPr>
        <w:sz w:val="20"/>
        <w:szCs w:val="20"/>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tLeast" w:line="0"/>
      <w:ind w:start="5760"/>
      <w:rPr>
        <w:sz w:val="4"/>
        <w:szCs w:val="4"/>
      </w:rPr>
    </w:pPr>
    <w:r>
      <w:rPr>
        <w:sz w:val="4"/>
        <w:szCs w:val="4"/>
      </w:rPr>
    </w:r>
  </w:p>
  <w:p>
    <w:pPr>
      <w:pStyle w:val="Normal"/>
      <w:spacing w:lineRule="atLeast" w:line="0"/>
      <w:ind w:start="5760"/>
      <w:rPr>
        <w:sz w:val="4"/>
        <w:szCs w:val="4"/>
      </w:rPr>
    </w:pPr>
    <w:r>
      <w:rPr>
        <w:sz w:val="4"/>
        <w:szCs w:val="4"/>
      </w:rPr>
      <w:drawing>
        <wp:anchor behindDoc="1" distT="0" distB="0" distL="0" distR="0" simplePos="0" locked="0" layoutInCell="0" allowOverlap="1" relativeHeight="8">
          <wp:simplePos x="0" y="0"/>
          <wp:positionH relativeFrom="margin">
            <wp:posOffset>4719320</wp:posOffset>
          </wp:positionH>
          <wp:positionV relativeFrom="paragraph">
            <wp:posOffset>-38735</wp:posOffset>
          </wp:positionV>
          <wp:extent cx="1440180" cy="393700"/>
          <wp:effectExtent l="0" t="0" r="0" b="0"/>
          <wp:wrapNone/>
          <wp:docPr id="2" name="Image 27448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7448549"/>
                  <pic:cNvPicPr>
                    <a:picLocks noChangeAspect="1" noChangeArrowheads="1"/>
                  </pic:cNvPicPr>
                </pic:nvPicPr>
                <pic:blipFill>
                  <a:blip r:embed="rId1"/>
                  <a:stretch>
                    <a:fillRect/>
                  </a:stretch>
                </pic:blipFill>
                <pic:spPr bwMode="auto">
                  <a:xfrm>
                    <a:off x="0" y="0"/>
                    <a:ext cx="1440180" cy="393700"/>
                  </a:xfrm>
                  <a:prstGeom prst="rect">
                    <a:avLst/>
                  </a:prstGeom>
                  <a:noFill/>
                </pic:spPr>
              </pic:pic>
            </a:graphicData>
          </a:graphic>
        </wp:anchor>
      </w:drawing>
    </w:r>
  </w:p>
  <w:p>
    <w:pPr>
      <w:pStyle w:val="Normal"/>
      <w:spacing w:lineRule="atLeast" w:line="0"/>
      <w:rPr>
        <w:sz w:val="4"/>
        <w:szCs w:val="4"/>
      </w:rPr>
    </w:pPr>
    <w:r>
      <w:rPr>
        <w:sz w:val="4"/>
        <w:szCs w:val="4"/>
      </w:rPr>
    </w:r>
  </w:p>
  <w:p>
    <w:pPr>
      <w:pStyle w:val="Normal"/>
      <w:spacing w:lineRule="atLeast" w:line="0"/>
      <w:rPr>
        <w:sz w:val="4"/>
        <w:szCs w:val="4"/>
      </w:rPr>
    </w:pPr>
    <w:r>
      <w:rPr>
        <w:sz w:val="4"/>
        <w:szCs w:val="4"/>
      </w:rPr>
    </w:r>
  </w:p>
  <w:p>
    <w:pPr>
      <w:pStyle w:val="Normal"/>
      <w:spacing w:lineRule="atLeast" w:line="0"/>
      <w:rPr>
        <w:sz w:val="4"/>
        <w:szCs w:val="4"/>
      </w:rPr>
    </w:pPr>
    <w:r>
      <w:rPr>
        <w:sz w:val="4"/>
        <w:szCs w:val="4"/>
      </w:rPr>
    </w:r>
  </w:p>
  <w:p>
    <w:pPr>
      <w:pStyle w:val="Normal"/>
      <w:spacing w:lineRule="atLeast" w:line="0"/>
      <w:rPr>
        <w:sz w:val="4"/>
        <w:szCs w:val="4"/>
      </w:rPr>
    </w:pPr>
    <w:r>
      <w:rPr>
        <w:sz w:val="4"/>
        <w:szCs w:val="4"/>
      </w:rPr>
    </w:r>
  </w:p>
  <w:p>
    <w:pPr>
      <w:pStyle w:val="Normal"/>
      <w:spacing w:lineRule="atLeast" w:line="0"/>
      <w:ind w:firstLine="720" w:start="5040"/>
      <w:rPr>
        <w:sz w:val="4"/>
        <w:szCs w:val="4"/>
      </w:rPr>
    </w:pPr>
    <w:r>
      <w:rPr>
        <w:sz w:val="4"/>
        <w:szCs w:val="4"/>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tLeast" w:line="0"/>
      <w:ind w:start="5760"/>
      <w:rPr>
        <w:sz w:val="4"/>
        <w:szCs w:val="4"/>
      </w:rPr>
    </w:pPr>
    <w:r>
      <w:rPr>
        <w:sz w:val="4"/>
        <w:szCs w:val="4"/>
      </w:rPr>
    </w:r>
  </w:p>
  <w:p>
    <w:pPr>
      <w:pStyle w:val="Normal"/>
      <w:spacing w:lineRule="atLeast" w:line="0"/>
      <w:ind w:start="5760"/>
      <w:rPr>
        <w:sz w:val="4"/>
        <w:szCs w:val="4"/>
      </w:rPr>
    </w:pPr>
    <w:r>
      <w:rPr>
        <w:sz w:val="4"/>
        <w:szCs w:val="4"/>
      </w:rPr>
      <w:drawing>
        <wp:anchor behindDoc="1" distT="0" distB="0" distL="0" distR="0" simplePos="0" locked="0" layoutInCell="0" allowOverlap="1" relativeHeight="8">
          <wp:simplePos x="0" y="0"/>
          <wp:positionH relativeFrom="margin">
            <wp:posOffset>4719320</wp:posOffset>
          </wp:positionH>
          <wp:positionV relativeFrom="paragraph">
            <wp:posOffset>-38735</wp:posOffset>
          </wp:positionV>
          <wp:extent cx="1440180" cy="393700"/>
          <wp:effectExtent l="0" t="0" r="0" b="0"/>
          <wp:wrapNone/>
          <wp:docPr id="3" name="Image 27448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7448549"/>
                  <pic:cNvPicPr>
                    <a:picLocks noChangeAspect="1" noChangeArrowheads="1"/>
                  </pic:cNvPicPr>
                </pic:nvPicPr>
                <pic:blipFill>
                  <a:blip r:embed="rId1"/>
                  <a:stretch>
                    <a:fillRect/>
                  </a:stretch>
                </pic:blipFill>
                <pic:spPr bwMode="auto">
                  <a:xfrm>
                    <a:off x="0" y="0"/>
                    <a:ext cx="1440180" cy="393700"/>
                  </a:xfrm>
                  <a:prstGeom prst="rect">
                    <a:avLst/>
                  </a:prstGeom>
                  <a:noFill/>
                </pic:spPr>
              </pic:pic>
            </a:graphicData>
          </a:graphic>
        </wp:anchor>
      </w:drawing>
    </w:r>
  </w:p>
  <w:p>
    <w:pPr>
      <w:pStyle w:val="Normal"/>
      <w:spacing w:lineRule="atLeast" w:line="0"/>
      <w:rPr>
        <w:sz w:val="4"/>
        <w:szCs w:val="4"/>
      </w:rPr>
    </w:pPr>
    <w:r>
      <w:rPr>
        <w:sz w:val="4"/>
        <w:szCs w:val="4"/>
      </w:rPr>
    </w:r>
  </w:p>
  <w:p>
    <w:pPr>
      <w:pStyle w:val="Normal"/>
      <w:spacing w:lineRule="atLeast" w:line="0"/>
      <w:rPr>
        <w:sz w:val="4"/>
        <w:szCs w:val="4"/>
      </w:rPr>
    </w:pPr>
    <w:r>
      <w:rPr>
        <w:sz w:val="4"/>
        <w:szCs w:val="4"/>
      </w:rPr>
    </w:r>
  </w:p>
  <w:p>
    <w:pPr>
      <w:pStyle w:val="Normal"/>
      <w:spacing w:lineRule="atLeast" w:line="0"/>
      <w:rPr>
        <w:sz w:val="4"/>
        <w:szCs w:val="4"/>
      </w:rPr>
    </w:pPr>
    <w:r>
      <w:rPr>
        <w:sz w:val="4"/>
        <w:szCs w:val="4"/>
      </w:rPr>
    </w:r>
  </w:p>
  <w:p>
    <w:pPr>
      <w:pStyle w:val="Normal"/>
      <w:spacing w:lineRule="atLeast" w:line="0"/>
      <w:rPr>
        <w:sz w:val="4"/>
        <w:szCs w:val="4"/>
      </w:rPr>
    </w:pPr>
    <w:r>
      <w:rPr>
        <w:sz w:val="4"/>
        <w:szCs w:val="4"/>
      </w:rPr>
    </w:r>
  </w:p>
  <w:p>
    <w:pPr>
      <w:pStyle w:val="Normal"/>
      <w:spacing w:lineRule="atLeast" w:line="0"/>
      <w:ind w:firstLine="720" w:start="5040"/>
      <w:rPr>
        <w:sz w:val="4"/>
        <w:szCs w:val="4"/>
      </w:rPr>
    </w:pPr>
    <w:r>
      <w:rPr>
        <w:sz w:val="4"/>
        <w:szCs w:val="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1134"/>
        </w:tabs>
        <w:ind w:start="1417" w:hanging="283"/>
      </w:pPr>
      <w:rPr>
        <w:rFonts w:ascii="Times New Roman" w:hAnsi="Times New Roman" w:cs="Times New Roman"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
    <w:lvl w:ilvl="0">
      <w:start w:val="1"/>
      <w:numFmt w:val="bullet"/>
      <w:lvlText w:val="-"/>
      <w:lvlJc w:val="start"/>
      <w:pPr>
        <w:tabs>
          <w:tab w:val="num" w:pos="0"/>
        </w:tabs>
        <w:ind w:start="720" w:hanging="360"/>
      </w:pPr>
      <w:rPr>
        <w:rFonts w:ascii="Alstom" w:hAnsi="Alstom" w:cs="Alstom"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bullet"/>
      <w:lvlText w:val="-"/>
      <w:lvlJc w:val="start"/>
      <w:pPr>
        <w:tabs>
          <w:tab w:val="num" w:pos="0"/>
        </w:tabs>
        <w:ind w:start="1068" w:hanging="360"/>
      </w:pPr>
      <w:rPr>
        <w:rFonts w:ascii="Vladimir Script" w:hAnsi="Vladimir Script" w:cs="Vladimir Script" w:hint="default"/>
      </w:rPr>
    </w:lvl>
    <w:lvl w:ilvl="1">
      <w:start w:val="1"/>
      <w:numFmt w:val="bullet"/>
      <w:lvlText w:val="o"/>
      <w:lvlJc w:val="start"/>
      <w:pPr>
        <w:tabs>
          <w:tab w:val="num" w:pos="0"/>
        </w:tabs>
        <w:ind w:start="1788" w:hanging="360"/>
      </w:pPr>
      <w:rPr>
        <w:rFonts w:ascii="Courier New" w:hAnsi="Courier New" w:cs="Courier New" w:hint="default"/>
      </w:rPr>
    </w:lvl>
    <w:lvl w:ilvl="2">
      <w:start w:val="1"/>
      <w:numFmt w:val="bullet"/>
      <w:lvlText w:val=""/>
      <w:lvlJc w:val="start"/>
      <w:pPr>
        <w:tabs>
          <w:tab w:val="num" w:pos="0"/>
        </w:tabs>
        <w:ind w:start="2508" w:hanging="360"/>
      </w:pPr>
      <w:rPr>
        <w:rFonts w:ascii="Wingdings" w:hAnsi="Wingdings" w:cs="Wingdings" w:hint="default"/>
      </w:rPr>
    </w:lvl>
    <w:lvl w:ilvl="3">
      <w:start w:val="1"/>
      <w:numFmt w:val="bullet"/>
      <w:lvlText w:val=""/>
      <w:lvlJc w:val="start"/>
      <w:pPr>
        <w:tabs>
          <w:tab w:val="num" w:pos="0"/>
        </w:tabs>
        <w:ind w:start="3228" w:hanging="360"/>
      </w:pPr>
      <w:rPr>
        <w:rFonts w:ascii="Symbol" w:hAnsi="Symbol" w:cs="Symbol" w:hint="default"/>
      </w:rPr>
    </w:lvl>
    <w:lvl w:ilvl="4">
      <w:start w:val="1"/>
      <w:numFmt w:val="bullet"/>
      <w:lvlText w:val="o"/>
      <w:lvlJc w:val="start"/>
      <w:pPr>
        <w:tabs>
          <w:tab w:val="num" w:pos="0"/>
        </w:tabs>
        <w:ind w:start="3948" w:hanging="360"/>
      </w:pPr>
      <w:rPr>
        <w:rFonts w:ascii="Courier New" w:hAnsi="Courier New" w:cs="Courier New" w:hint="default"/>
      </w:rPr>
    </w:lvl>
    <w:lvl w:ilvl="5">
      <w:start w:val="1"/>
      <w:numFmt w:val="bullet"/>
      <w:lvlText w:val=""/>
      <w:lvlJc w:val="start"/>
      <w:pPr>
        <w:tabs>
          <w:tab w:val="num" w:pos="0"/>
        </w:tabs>
        <w:ind w:start="4668" w:hanging="360"/>
      </w:pPr>
      <w:rPr>
        <w:rFonts w:ascii="Wingdings" w:hAnsi="Wingdings" w:cs="Wingdings" w:hint="default"/>
      </w:rPr>
    </w:lvl>
    <w:lvl w:ilvl="6">
      <w:start w:val="1"/>
      <w:numFmt w:val="bullet"/>
      <w:lvlText w:val=""/>
      <w:lvlJc w:val="start"/>
      <w:pPr>
        <w:tabs>
          <w:tab w:val="num" w:pos="0"/>
        </w:tabs>
        <w:ind w:start="5388" w:hanging="360"/>
      </w:pPr>
      <w:rPr>
        <w:rFonts w:ascii="Symbol" w:hAnsi="Symbol" w:cs="Symbol" w:hint="default"/>
      </w:rPr>
    </w:lvl>
    <w:lvl w:ilvl="7">
      <w:start w:val="1"/>
      <w:numFmt w:val="bullet"/>
      <w:lvlText w:val="o"/>
      <w:lvlJc w:val="start"/>
      <w:pPr>
        <w:tabs>
          <w:tab w:val="num" w:pos="0"/>
        </w:tabs>
        <w:ind w:start="6108" w:hanging="360"/>
      </w:pPr>
      <w:rPr>
        <w:rFonts w:ascii="Courier New" w:hAnsi="Courier New" w:cs="Courier New" w:hint="default"/>
      </w:rPr>
    </w:lvl>
    <w:lvl w:ilvl="8">
      <w:start w:val="1"/>
      <w:numFmt w:val="bullet"/>
      <w:lvlText w:val=""/>
      <w:lvlJc w:val="start"/>
      <w:pPr>
        <w:tabs>
          <w:tab w:val="num" w:pos="0"/>
        </w:tabs>
        <w:ind w:start="6828" w:hanging="360"/>
      </w:pPr>
      <w:rPr>
        <w:rFonts w:ascii="Wingdings" w:hAnsi="Wingdings" w:cs="Wingdings" w:hint="default"/>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hyphenationZone w:val="0"/>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1"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1" w:semiHidden="1" w:unhideWhenUsed="1" w:qFormat="1"/>
    <w:lsdException w:name="heading 7" w:uiPriority="1" w:semiHidden="1" w:unhideWhenUsed="1" w:qFormat="1"/>
    <w:lsdException w:name="heading 8" w:uiPriority="1" w:semiHidden="1" w:unhideWhenUsed="1" w:qFormat="1"/>
    <w:lsdException w:name="heading 9" w:uiPriority="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qFormat="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uiPriority="4"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rsid w:val="00364948"/>
    <w:pPr>
      <w:widowControl w:val="false"/>
      <w:bidi w:val="0"/>
      <w:spacing w:before="0" w:after="0"/>
      <w:jc w:val="start"/>
    </w:pPr>
    <w:rPr>
      <w:rFonts w:ascii="Calibri" w:hAnsi="Calibri" w:eastAsia="Calibri" w:cs="Arial" w:asciiTheme="minorHAnsi" w:cstheme="minorBidi" w:eastAsiaTheme="minorHAnsi" w:hAnsiTheme="minorHAnsi"/>
      <w:color w:val="auto"/>
      <w:kern w:val="0"/>
      <w:sz w:val="22"/>
      <w:szCs w:val="22"/>
      <w:lang w:val="en-US" w:eastAsia="en-US" w:bidi="ar-SA"/>
    </w:rPr>
  </w:style>
  <w:style w:type="paragraph" w:styleId="Heading1">
    <w:name w:val="heading 1"/>
    <w:basedOn w:val="Normal"/>
    <w:link w:val="Titre1Car"/>
    <w:uiPriority w:val="9"/>
    <w:qFormat/>
    <w:pPr>
      <w:spacing w:before="44" w:after="0"/>
      <w:ind w:start="117"/>
      <w:outlineLvl w:val="0"/>
    </w:pPr>
    <w:rPr>
      <w:rFonts w:ascii="Arial" w:hAnsi="Arial" w:eastAsia="Arial"/>
      <w:sz w:val="40"/>
      <w:szCs w:val="40"/>
    </w:rPr>
  </w:style>
  <w:style w:type="paragraph" w:styleId="Heading2">
    <w:name w:val="heading 2"/>
    <w:basedOn w:val="Normal"/>
    <w:link w:val="Titre2Car"/>
    <w:uiPriority w:val="9"/>
    <w:qFormat/>
    <w:pPr>
      <w:spacing w:before="54" w:after="0"/>
      <w:ind w:start="1401"/>
      <w:outlineLvl w:val="1"/>
    </w:pPr>
    <w:rPr>
      <w:rFonts w:ascii="Arial" w:hAnsi="Arial" w:eastAsia="Arial"/>
      <w:b/>
      <w:bCs/>
      <w:sz w:val="32"/>
      <w:szCs w:val="32"/>
    </w:rPr>
  </w:style>
  <w:style w:type="paragraph" w:styleId="Heading3">
    <w:name w:val="heading 3"/>
    <w:basedOn w:val="Normal"/>
    <w:link w:val="Titre3Car"/>
    <w:qFormat/>
    <w:pPr>
      <w:ind w:start="110"/>
      <w:outlineLvl w:val="2"/>
    </w:pPr>
    <w:rPr>
      <w:rFonts w:ascii="Arial" w:hAnsi="Arial" w:eastAsia="Arial"/>
      <w:b/>
      <w:bCs/>
      <w:sz w:val="31"/>
      <w:szCs w:val="31"/>
    </w:rPr>
  </w:style>
  <w:style w:type="paragraph" w:styleId="Heading4">
    <w:name w:val="heading 4"/>
    <w:basedOn w:val="Normal"/>
    <w:link w:val="Titre4Car"/>
    <w:uiPriority w:val="9"/>
    <w:qFormat/>
    <w:pPr>
      <w:ind w:start="1361"/>
      <w:outlineLvl w:val="3"/>
    </w:pPr>
    <w:rPr>
      <w:rFonts w:ascii="Times New Roman" w:hAnsi="Times New Roman" w:eastAsia="Times New Roman"/>
      <w:sz w:val="23"/>
      <w:szCs w:val="23"/>
    </w:rPr>
  </w:style>
  <w:style w:type="paragraph" w:styleId="Heading5">
    <w:name w:val="heading 5"/>
    <w:basedOn w:val="Normal"/>
    <w:link w:val="Titre5Car"/>
    <w:uiPriority w:val="9"/>
    <w:qFormat/>
    <w:pPr>
      <w:ind w:start="2415"/>
      <w:outlineLvl w:val="4"/>
    </w:pPr>
    <w:rPr>
      <w:rFonts w:ascii="Arial" w:hAnsi="Arial" w:eastAsia="Arial"/>
      <w:b/>
      <w:bCs/>
    </w:rPr>
  </w:style>
  <w:style w:type="paragraph" w:styleId="Heading6">
    <w:name w:val="heading 6"/>
    <w:basedOn w:val="Normal"/>
    <w:uiPriority w:val="1"/>
    <w:qFormat/>
    <w:pPr>
      <w:ind w:start="110"/>
      <w:outlineLvl w:val="5"/>
    </w:pPr>
    <w:rPr>
      <w:rFonts w:ascii="Arial" w:hAnsi="Arial" w:eastAsia="Arial"/>
      <w:b/>
      <w:bCs/>
      <w:sz w:val="21"/>
      <w:szCs w:val="21"/>
    </w:rPr>
  </w:style>
  <w:style w:type="paragraph" w:styleId="Heading7">
    <w:name w:val="heading 7"/>
    <w:basedOn w:val="Normal"/>
    <w:uiPriority w:val="1"/>
    <w:qFormat/>
    <w:pPr>
      <w:ind w:start="66"/>
      <w:outlineLvl w:val="6"/>
    </w:pPr>
    <w:rPr>
      <w:rFonts w:ascii="Times New Roman" w:hAnsi="Times New Roman" w:eastAsia="Times New Roman"/>
      <w:sz w:val="21"/>
      <w:szCs w:val="21"/>
    </w:rPr>
  </w:style>
  <w:style w:type="paragraph" w:styleId="Heading8">
    <w:name w:val="heading 8"/>
    <w:basedOn w:val="Normal"/>
    <w:uiPriority w:val="1"/>
    <w:qFormat/>
    <w:pPr>
      <w:ind w:start="1361"/>
      <w:outlineLvl w:val="7"/>
    </w:pPr>
    <w:rPr>
      <w:rFonts w:ascii="Arial" w:hAnsi="Arial" w:eastAsia="Arial"/>
      <w:i/>
      <w:sz w:val="21"/>
      <w:szCs w:val="21"/>
    </w:rPr>
  </w:style>
  <w:style w:type="paragraph" w:styleId="Heading9">
    <w:name w:val="heading 9"/>
    <w:basedOn w:val="Normal"/>
    <w:uiPriority w:val="1"/>
    <w:qFormat/>
    <w:pPr>
      <w:ind w:start="118"/>
      <w:outlineLvl w:val="8"/>
    </w:pPr>
    <w:rPr>
      <w:rFonts w:ascii="Arial" w:hAnsi="Arial" w:eastAsia="Arial"/>
      <w:b/>
      <w:bCs/>
      <w:sz w:val="20"/>
      <w:szCs w:val="20"/>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uiPriority w:val="99"/>
    <w:qFormat/>
    <w:rsid w:val="008e3c92"/>
    <w:rPr/>
  </w:style>
  <w:style w:type="character" w:styleId="PieddepageCar" w:customStyle="1">
    <w:name w:val="Pied de page Car"/>
    <w:basedOn w:val="DefaultParagraphFont"/>
    <w:uiPriority w:val="99"/>
    <w:qFormat/>
    <w:rsid w:val="008e3c92"/>
    <w:rPr/>
  </w:style>
  <w:style w:type="character" w:styleId="TextedebullesCar" w:customStyle="1">
    <w:name w:val="Texte de bulles Car"/>
    <w:basedOn w:val="DefaultParagraphFont"/>
    <w:link w:val="BalloonText"/>
    <w:uiPriority w:val="99"/>
    <w:semiHidden/>
    <w:qFormat/>
    <w:rsid w:val="005d33ac"/>
    <w:rPr>
      <w:rFonts w:ascii="Tahoma" w:hAnsi="Tahoma" w:cs="Tahoma"/>
      <w:sz w:val="16"/>
      <w:szCs w:val="16"/>
    </w:rPr>
  </w:style>
  <w:style w:type="character" w:styleId="CommentReference">
    <w:name w:val="annotation reference"/>
    <w:basedOn w:val="DefaultParagraphFont"/>
    <w:uiPriority w:val="99"/>
    <w:unhideWhenUsed/>
    <w:qFormat/>
    <w:rsid w:val="008357be"/>
    <w:rPr>
      <w:sz w:val="16"/>
      <w:szCs w:val="16"/>
    </w:rPr>
  </w:style>
  <w:style w:type="character" w:styleId="CommentaireCar" w:customStyle="1">
    <w:name w:val="Commentaire Car"/>
    <w:basedOn w:val="DefaultParagraphFont"/>
    <w:qFormat/>
    <w:rsid w:val="008357be"/>
    <w:rPr>
      <w:sz w:val="20"/>
      <w:szCs w:val="20"/>
    </w:rPr>
  </w:style>
  <w:style w:type="character" w:styleId="ObjetducommentaireCar" w:customStyle="1">
    <w:name w:val="Objet du commentaire Car"/>
    <w:basedOn w:val="CommentaireCar"/>
    <w:link w:val="annotationsubject"/>
    <w:uiPriority w:val="99"/>
    <w:semiHidden/>
    <w:qFormat/>
    <w:rsid w:val="008357be"/>
    <w:rPr>
      <w:b/>
      <w:bCs/>
      <w:sz w:val="20"/>
      <w:szCs w:val="20"/>
    </w:rPr>
  </w:style>
  <w:style w:type="character" w:styleId="NotedefinCar" w:customStyle="1">
    <w:name w:val="Note de fin Car"/>
    <w:basedOn w:val="DefaultParagraphFont"/>
    <w:uiPriority w:val="99"/>
    <w:semiHidden/>
    <w:qFormat/>
    <w:rsid w:val="0062159e"/>
    <w:rPr>
      <w:sz w:val="20"/>
      <w:szCs w:val="20"/>
    </w:rPr>
  </w:style>
  <w:style w:type="character" w:styleId="Caractresdenotedefin">
    <w:name w:val="Caractères de note de fin"/>
    <w:basedOn w:val="DefaultParagraphFont"/>
    <w:uiPriority w:val="99"/>
    <w:semiHidden/>
    <w:unhideWhenUsed/>
    <w:qFormat/>
    <w:rsid w:val="0062159e"/>
    <w:rPr>
      <w:vertAlign w:val="superscript"/>
    </w:rPr>
  </w:style>
  <w:style w:type="character" w:styleId="EndnoteReference">
    <w:name w:val="endnote reference"/>
    <w:rPr>
      <w:vertAlign w:val="superscript"/>
    </w:rPr>
  </w:style>
  <w:style w:type="character" w:styleId="Sous-titreCar" w:customStyle="1">
    <w:name w:val="Sous-titre Car"/>
    <w:basedOn w:val="DefaultParagraphFont"/>
    <w:uiPriority w:val="11"/>
    <w:qFormat/>
    <w:rsid w:val="005100ec"/>
    <w:rPr>
      <w:rFonts w:ascii="Cambria" w:hAnsi="Cambria" w:cs="Cambria" w:asciiTheme="majorHAnsi" w:cstheme="majorHAnsi" w:hAnsiTheme="majorHAnsi"/>
      <w:b/>
      <w:color w:val="C00000"/>
      <w:lang w:val="fr-FR"/>
    </w:rPr>
  </w:style>
  <w:style w:type="character" w:styleId="Titre1Car" w:customStyle="1">
    <w:name w:val="Titre 1 Car"/>
    <w:basedOn w:val="DefaultParagraphFont"/>
    <w:uiPriority w:val="9"/>
    <w:qFormat/>
    <w:rsid w:val="005100ec"/>
    <w:rPr>
      <w:rFonts w:ascii="Arial" w:hAnsi="Arial" w:eastAsia="Arial"/>
      <w:sz w:val="40"/>
      <w:szCs w:val="40"/>
    </w:rPr>
  </w:style>
  <w:style w:type="character" w:styleId="Titre2Car" w:customStyle="1">
    <w:name w:val="Titre 2 Car"/>
    <w:basedOn w:val="DefaultParagraphFont"/>
    <w:uiPriority w:val="9"/>
    <w:qFormat/>
    <w:rsid w:val="005100ec"/>
    <w:rPr>
      <w:rFonts w:ascii="Arial" w:hAnsi="Arial" w:eastAsia="Arial"/>
      <w:b/>
      <w:bCs/>
      <w:sz w:val="32"/>
      <w:szCs w:val="32"/>
    </w:rPr>
  </w:style>
  <w:style w:type="character" w:styleId="Titre3Car" w:customStyle="1">
    <w:name w:val="Titre 3 Car"/>
    <w:basedOn w:val="DefaultParagraphFont"/>
    <w:qFormat/>
    <w:rsid w:val="005100ec"/>
    <w:rPr>
      <w:rFonts w:ascii="Arial" w:hAnsi="Arial" w:eastAsia="Arial"/>
      <w:b/>
      <w:bCs/>
      <w:sz w:val="31"/>
      <w:szCs w:val="31"/>
    </w:rPr>
  </w:style>
  <w:style w:type="character" w:styleId="Hyperlink">
    <w:name w:val="Hyperlink"/>
    <w:basedOn w:val="DefaultParagraphFont"/>
    <w:uiPriority w:val="99"/>
    <w:unhideWhenUsed/>
    <w:rsid w:val="005100ec"/>
    <w:rPr>
      <w:color w:themeColor="hyperlink" w:val="0000FF"/>
      <w:u w:val="single"/>
    </w:rPr>
  </w:style>
  <w:style w:type="character" w:styleId="TitreCar" w:customStyle="1">
    <w:name w:val="Titre Car"/>
    <w:basedOn w:val="DefaultParagraphFont"/>
    <w:uiPriority w:val="10"/>
    <w:qFormat/>
    <w:locked/>
    <w:rsid w:val="005100ec"/>
    <w:rPr>
      <w:rFonts w:ascii="Cambria" w:hAnsi="Cambria" w:eastAsia="ＭＳ ゴシック" w:cs="Times New Roman" w:asciiTheme="majorHAnsi" w:cstheme="majorBidi" w:eastAsiaTheme="majorEastAsia" w:hAnsiTheme="majorHAnsi"/>
      <w:b/>
      <w:spacing w:val="-10"/>
      <w:kern w:val="2"/>
      <w:sz w:val="56"/>
      <w:szCs w:val="56"/>
    </w:rPr>
  </w:style>
  <w:style w:type="character" w:styleId="TitreCar1" w:customStyle="1">
    <w:name w:val="Titre Car1"/>
    <w:basedOn w:val="DefaultParagraphFont"/>
    <w:uiPriority w:val="10"/>
    <w:qFormat/>
    <w:rsid w:val="005100ec"/>
    <w:rPr>
      <w:rFonts w:ascii="Cambria" w:hAnsi="Cambria" w:eastAsia="ＭＳ ゴシック" w:cs="Times New Roman" w:asciiTheme="majorHAnsi" w:cstheme="majorBidi" w:eastAsiaTheme="majorEastAsia" w:hAnsiTheme="majorHAnsi"/>
      <w:spacing w:val="-10"/>
      <w:kern w:val="2"/>
      <w:sz w:val="56"/>
      <w:szCs w:val="56"/>
    </w:rPr>
  </w:style>
  <w:style w:type="character" w:styleId="IntenseEmphasis">
    <w:name w:val="Intense Emphasis"/>
    <w:basedOn w:val="DefaultParagraphFont"/>
    <w:uiPriority w:val="21"/>
    <w:qFormat/>
    <w:rsid w:val="005100ec"/>
    <w:rPr>
      <w:rFonts w:ascii="Cambria" w:hAnsi="Cambria" w:cs="Cambria" w:asciiTheme="majorHAnsi" w:cstheme="majorHAnsi" w:hAnsiTheme="majorHAnsi"/>
      <w:i/>
      <w:iCs/>
      <w:color w:val="C00000"/>
    </w:rPr>
  </w:style>
  <w:style w:type="character" w:styleId="textegras" w:customStyle="1">
    <w:name w:val="textegras"/>
    <w:basedOn w:val="DefaultParagraphFont"/>
    <w:qFormat/>
    <w:rsid w:val="005100ec"/>
    <w:rPr/>
  </w:style>
  <w:style w:type="character" w:styleId="hl" w:customStyle="1">
    <w:name w:val="hl"/>
    <w:basedOn w:val="DefaultParagraphFont"/>
    <w:qFormat/>
    <w:rsid w:val="005100ec"/>
    <w:rPr/>
  </w:style>
  <w:style w:type="character" w:styleId="soussection" w:customStyle="1">
    <w:name w:val="soussection"/>
    <w:basedOn w:val="DefaultParagraphFont"/>
    <w:qFormat/>
    <w:rsid w:val="005100ec"/>
    <w:rPr/>
  </w:style>
  <w:style w:type="character" w:styleId="Strong">
    <w:name w:val="Strong"/>
    <w:basedOn w:val="DefaultParagraphFont"/>
    <w:uiPriority w:val="22"/>
    <w:qFormat/>
    <w:rsid w:val="004e27d4"/>
    <w:rPr>
      <w:b/>
      <w:bCs/>
    </w:rPr>
  </w:style>
  <w:style w:type="character" w:styleId="qw-refdoc" w:customStyle="1">
    <w:name w:val="qw-refdoc"/>
    <w:basedOn w:val="DefaultParagraphFont"/>
    <w:qFormat/>
    <w:rsid w:val="004e27d4"/>
    <w:rPr/>
  </w:style>
  <w:style w:type="character" w:styleId="fontstyle01" w:customStyle="1">
    <w:name w:val="fontstyle01"/>
    <w:basedOn w:val="DefaultParagraphFont"/>
    <w:qFormat/>
    <w:rsid w:val="00571465"/>
    <w:rPr>
      <w:rFonts w:ascii="ArialMT" w:hAnsi="ArialMT"/>
      <w:b w:val="false"/>
      <w:bCs w:val="false"/>
      <w:i w:val="false"/>
      <w:iCs w:val="false"/>
      <w:color w:val="5F5F5F"/>
      <w:sz w:val="38"/>
      <w:szCs w:val="38"/>
    </w:rPr>
  </w:style>
  <w:style w:type="character" w:styleId="PageNumber">
    <w:name w:val="page number"/>
    <w:basedOn w:val="DefaultParagraphFont"/>
    <w:semiHidden/>
    <w:rsid w:val="00a94344"/>
    <w:rPr/>
  </w:style>
  <w:style w:type="character" w:styleId="RetraitnormalCar" w:customStyle="1">
    <w:name w:val="Retrait normal Car"/>
    <w:basedOn w:val="DefaultParagraphFont"/>
    <w:link w:val="NormalIndent"/>
    <w:qFormat/>
    <w:rsid w:val="00a94344"/>
    <w:rPr>
      <w:rFonts w:ascii="Arial" w:hAnsi="Arial" w:eastAsia="Times New Roman" w:cs="Times New Roman"/>
      <w:sz w:val="20"/>
      <w:szCs w:val="20"/>
      <w:lang w:val="fr-FR" w:eastAsia="fr-FR"/>
    </w:rPr>
  </w:style>
  <w:style w:type="character" w:styleId="Corpsdetexte2Car" w:customStyle="1">
    <w:name w:val="Corps de texte 2 Car"/>
    <w:basedOn w:val="DefaultParagraphFont"/>
    <w:link w:val="BodyText2"/>
    <w:uiPriority w:val="99"/>
    <w:semiHidden/>
    <w:qFormat/>
    <w:rsid w:val="00c335d6"/>
    <w:rPr/>
  </w:style>
  <w:style w:type="character" w:styleId="Corpsdetexte3Car" w:customStyle="1">
    <w:name w:val="Corps de texte 3 Car"/>
    <w:basedOn w:val="DefaultParagraphFont"/>
    <w:link w:val="BodyText3"/>
    <w:uiPriority w:val="99"/>
    <w:semiHidden/>
    <w:qFormat/>
    <w:rsid w:val="00c335d6"/>
    <w:rPr>
      <w:sz w:val="16"/>
      <w:szCs w:val="16"/>
    </w:rPr>
  </w:style>
  <w:style w:type="character" w:styleId="Emphasis">
    <w:name w:val="Emphasis"/>
    <w:basedOn w:val="DefaultParagraphFont"/>
    <w:uiPriority w:val="20"/>
    <w:qFormat/>
    <w:rsid w:val="009a4dba"/>
    <w:rPr>
      <w:i/>
      <w:iCs/>
    </w:rPr>
  </w:style>
  <w:style w:type="character" w:styleId="ParagraphedelisteCar" w:customStyle="1">
    <w:name w:val="Paragraphe de liste Car"/>
    <w:link w:val="ListParagraph"/>
    <w:uiPriority w:val="34"/>
    <w:qFormat/>
    <w:rsid w:val="005f32f2"/>
    <w:rPr/>
  </w:style>
  <w:style w:type="character" w:styleId="NotedebasdepageCar" w:customStyle="1">
    <w:name w:val="Note de bas de page Car"/>
    <w:basedOn w:val="DefaultParagraphFont"/>
    <w:uiPriority w:val="99"/>
    <w:semiHidden/>
    <w:qFormat/>
    <w:rsid w:val="005f32f2"/>
    <w:rPr>
      <w:rFonts w:ascii="August Debouzy" w:hAnsi="August Debouzy"/>
      <w:sz w:val="20"/>
      <w:szCs w:val="20"/>
      <w:lang w:val="fr-FR"/>
    </w:rPr>
  </w:style>
  <w:style w:type="character" w:styleId="Caractresdenotedebasdepage">
    <w:name w:val="Caractères de note de bas de page"/>
    <w:basedOn w:val="DefaultParagraphFont"/>
    <w:uiPriority w:val="99"/>
    <w:semiHidden/>
    <w:unhideWhenUsed/>
    <w:qFormat/>
    <w:rsid w:val="005f32f2"/>
    <w:rPr>
      <w:vertAlign w:val="superscript"/>
    </w:rPr>
  </w:style>
  <w:style w:type="character" w:styleId="FootnoteReference">
    <w:name w:val="footnote reference"/>
    <w:rPr>
      <w:vertAlign w:val="superscript"/>
    </w:rPr>
  </w:style>
  <w:style w:type="character" w:styleId="TexteCar" w:customStyle="1">
    <w:name w:val="Texte Car"/>
    <w:basedOn w:val="DefaultParagraphFont"/>
    <w:link w:val="Texte"/>
    <w:qFormat/>
    <w:rsid w:val="0087755f"/>
    <w:rPr>
      <w:rFonts w:ascii="Helvetica" w:hAnsi="Helvetica" w:eastAsia="Times New Roman" w:cs="Times New Roman"/>
      <w:color w:val="000000"/>
      <w:szCs w:val="20"/>
      <w:lang w:val="fr-FR" w:eastAsia="fr-FR"/>
    </w:rPr>
  </w:style>
  <w:style w:type="character" w:styleId="underline" w:customStyle="1">
    <w:name w:val="underline"/>
    <w:basedOn w:val="DefaultParagraphFont"/>
    <w:qFormat/>
    <w:rsid w:val="00d437bf"/>
    <w:rPr/>
  </w:style>
  <w:style w:type="character" w:styleId="Titre4Car" w:customStyle="1">
    <w:name w:val="Titre 4 Car"/>
    <w:basedOn w:val="DefaultParagraphFont"/>
    <w:uiPriority w:val="9"/>
    <w:qFormat/>
    <w:rsid w:val="00e053a3"/>
    <w:rPr>
      <w:rFonts w:ascii="Times New Roman" w:hAnsi="Times New Roman" w:eastAsia="Times New Roman"/>
      <w:sz w:val="23"/>
      <w:szCs w:val="23"/>
    </w:rPr>
  </w:style>
  <w:style w:type="character" w:styleId="Titre5Car" w:customStyle="1">
    <w:name w:val="Titre 5 Car"/>
    <w:basedOn w:val="DefaultParagraphFont"/>
    <w:uiPriority w:val="9"/>
    <w:qFormat/>
    <w:rsid w:val="00e053a3"/>
    <w:rPr>
      <w:rFonts w:ascii="Arial" w:hAnsi="Arial" w:eastAsia="Arial"/>
      <w:b/>
      <w:bCs/>
    </w:rPr>
  </w:style>
  <w:style w:type="character" w:styleId="ElApptexteEL" w:customStyle="1">
    <w:name w:val="ElApp_texteEL"/>
    <w:qFormat/>
    <w:rsid w:val="00e053a3"/>
    <w:rPr>
      <w:color w:val="000000"/>
      <w:sz w:val="20"/>
      <w:szCs w:val="20"/>
    </w:rPr>
  </w:style>
  <w:style w:type="character" w:styleId="Mentionnonrsolue1" w:customStyle="1">
    <w:name w:val="Mention non résolue1"/>
    <w:basedOn w:val="DefaultParagraphFont"/>
    <w:uiPriority w:val="99"/>
    <w:semiHidden/>
    <w:unhideWhenUsed/>
    <w:qFormat/>
    <w:rsid w:val="00e053a3"/>
    <w:rPr>
      <w:color w:val="605E5C"/>
      <w:shd w:fill="E1DFDD" w:val="clear"/>
    </w:rPr>
  </w:style>
  <w:style w:type="character" w:styleId="UnresolvedMention">
    <w:name w:val="Unresolved Mention"/>
    <w:basedOn w:val="DefaultParagraphFont"/>
    <w:uiPriority w:val="99"/>
    <w:semiHidden/>
    <w:unhideWhenUsed/>
    <w:qFormat/>
    <w:rsid w:val="00e053a3"/>
    <w:rPr>
      <w:color w:val="605E5C"/>
      <w:shd w:fill="E1DFDD" w:val="clear"/>
    </w:rPr>
  </w:style>
  <w:style w:type="character" w:styleId="hgkelc" w:customStyle="1">
    <w:name w:val="hgkelc"/>
    <w:basedOn w:val="DefaultParagraphFont"/>
    <w:qFormat/>
    <w:rsid w:val="00e053a3"/>
    <w:rPr/>
  </w:style>
  <w:style w:type="character" w:styleId="FollowedHyperlink">
    <w:name w:val="FollowedHyperlink"/>
    <w:basedOn w:val="DefaultParagraphFont"/>
    <w:uiPriority w:val="99"/>
    <w:semiHidden/>
    <w:unhideWhenUsed/>
    <w:rsid w:val="00e053a3"/>
    <w:rPr>
      <w:color w:themeColor="followedHyperlink" w:val="800080"/>
      <w:u w:val="single"/>
    </w:rPr>
  </w:style>
  <w:style w:type="character" w:styleId="Style1Car" w:customStyle="1">
    <w:name w:val="Style1 Car"/>
    <w:basedOn w:val="Titre2Car"/>
    <w:link w:val="Style11"/>
    <w:uiPriority w:val="1"/>
    <w:qFormat/>
    <w:rsid w:val="00734988"/>
    <w:rPr>
      <w:rFonts w:ascii="Alstom" w:hAnsi="Alstom" w:eastAsia="Arial"/>
      <w:b/>
      <w:bCs/>
      <w:color w:themeColor="accent1" w:themeShade="80" w:val="244061"/>
      <w:sz w:val="32"/>
      <w:szCs w:val="32"/>
      <w:lang w:val="fr-FR"/>
    </w:rPr>
  </w:style>
  <w:style w:type="character" w:styleId="Sautdindex">
    <w:name w:val="Saut d'index"/>
    <w:qFormat/>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uiPriority w:val="1"/>
    <w:qFormat/>
    <w:pPr>
      <w:ind w:start="1441"/>
    </w:pPr>
    <w:rPr>
      <w:rFonts w:ascii="Arial" w:hAnsi="Arial" w:eastAsia="Arial"/>
      <w:sz w:val="19"/>
      <w:szCs w:val="19"/>
    </w:rPr>
  </w:style>
  <w:style w:type="paragraph" w:styleId="List">
    <w:name w:val="List"/>
    <w:basedOn w:val="Normal"/>
    <w:semiHidden/>
    <w:rsid w:val="009d1865"/>
    <w:pPr>
      <w:keepLines/>
      <w:widowControl/>
      <w:numPr>
        <w:ilvl w:val="0"/>
        <w:numId w:val="1"/>
      </w:numPr>
      <w:tabs>
        <w:tab w:val="clear" w:pos="720"/>
        <w:tab w:val="right" w:pos="1418" w:leader="none"/>
        <w:tab w:val="right" w:pos="8505" w:leader="none"/>
      </w:tabs>
      <w:spacing w:before="120" w:after="0"/>
      <w:jc w:val="both"/>
    </w:pPr>
    <w:rPr>
      <w:rFonts w:ascii="Times New Roman" w:hAnsi="Times New Roman" w:eastAsia="Times New Roman" w:cs="FuturaA Bk BT"/>
      <w:sz w:val="24"/>
      <w:szCs w:val="20"/>
      <w:lang w:val="fr-FR" w:eastAsia="fr-FR"/>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ListParagraph">
    <w:name w:val="List Paragraph"/>
    <w:basedOn w:val="Normal"/>
    <w:link w:val="ParagraphedelisteCar"/>
    <w:uiPriority w:val="34"/>
    <w:qFormat/>
    <w:pPr/>
    <w:rPr/>
  </w:style>
  <w:style w:type="paragraph" w:styleId="TableParagraph" w:customStyle="1">
    <w:name w:val="Table Paragraph"/>
    <w:basedOn w:val="Normal"/>
    <w:uiPriority w:val="1"/>
    <w:qFormat/>
    <w:pPr/>
    <w:rPr/>
  </w:style>
  <w:style w:type="paragraph" w:styleId="En-tteetpieddepage">
    <w:name w:val="En-tête et pied de page"/>
    <w:basedOn w:val="Normal"/>
    <w:qFormat/>
    <w:pPr/>
    <w:rPr/>
  </w:style>
  <w:style w:type="paragraph" w:styleId="Header">
    <w:name w:val="header"/>
    <w:basedOn w:val="Normal"/>
    <w:link w:val="En-tteCar"/>
    <w:uiPriority w:val="99"/>
    <w:unhideWhenUsed/>
    <w:rsid w:val="008e3c92"/>
    <w:pPr>
      <w:tabs>
        <w:tab w:val="clear" w:pos="720"/>
        <w:tab w:val="center" w:pos="4536" w:leader="none"/>
        <w:tab w:val="right" w:pos="9072" w:leader="none"/>
      </w:tabs>
    </w:pPr>
    <w:rPr/>
  </w:style>
  <w:style w:type="paragraph" w:styleId="Footer">
    <w:name w:val="footer"/>
    <w:basedOn w:val="Normal"/>
    <w:link w:val="PieddepageCar"/>
    <w:uiPriority w:val="99"/>
    <w:unhideWhenUsed/>
    <w:rsid w:val="008e3c92"/>
    <w:pPr>
      <w:tabs>
        <w:tab w:val="clear" w:pos="720"/>
        <w:tab w:val="center" w:pos="4536" w:leader="none"/>
        <w:tab w:val="right" w:pos="9072" w:leader="none"/>
      </w:tabs>
    </w:pPr>
    <w:rPr/>
  </w:style>
  <w:style w:type="paragraph" w:styleId="PMPARAGRAPHEALAMARGE" w:customStyle="1">
    <w:name w:val="PM PARAGRAPHE A LA MARGE"/>
    <w:qFormat/>
    <w:rsid w:val="00363459"/>
    <w:pPr>
      <w:keepLines/>
      <w:widowControl/>
      <w:tabs>
        <w:tab w:val="clear" w:pos="720"/>
        <w:tab w:val="left" w:pos="851" w:leader="none"/>
      </w:tabs>
      <w:bidi w:val="0"/>
      <w:spacing w:lineRule="exact" w:line="288" w:before="120" w:after="120"/>
      <w:jc w:val="both"/>
    </w:pPr>
    <w:rPr>
      <w:rFonts w:ascii="Times" w:hAnsi="Times" w:eastAsia="Times New Roman" w:cs="Times New Roman"/>
      <w:color w:val="auto"/>
      <w:kern w:val="0"/>
      <w:sz w:val="24"/>
      <w:szCs w:val="20"/>
      <w:lang w:val="fr-FR" w:eastAsia="fr-FR" w:bidi="ar-SA"/>
    </w:rPr>
  </w:style>
  <w:style w:type="paragraph" w:styleId="Revision">
    <w:name w:val="Revision"/>
    <w:uiPriority w:val="99"/>
    <w:semiHidden/>
    <w:qFormat/>
    <w:rsid w:val="005d33ac"/>
    <w:pPr>
      <w:widowControl/>
      <w:bidi w:val="0"/>
      <w:spacing w:before="0" w:after="0"/>
      <w:jc w:val="start"/>
    </w:pPr>
    <w:rPr>
      <w:rFonts w:ascii="Calibri" w:hAnsi="Calibri" w:eastAsia="Calibri" w:cs="Arial" w:asciiTheme="minorHAnsi" w:cstheme="minorBidi" w:eastAsiaTheme="minorHAnsi" w:hAnsiTheme="minorHAnsi"/>
      <w:color w:val="auto"/>
      <w:kern w:val="0"/>
      <w:sz w:val="22"/>
      <w:szCs w:val="22"/>
      <w:lang w:val="en-US" w:eastAsia="en-US" w:bidi="ar-SA"/>
    </w:rPr>
  </w:style>
  <w:style w:type="paragraph" w:styleId="BalloonText">
    <w:name w:val="Balloon Text"/>
    <w:basedOn w:val="Normal"/>
    <w:link w:val="TextedebullesCar"/>
    <w:uiPriority w:val="99"/>
    <w:semiHidden/>
    <w:unhideWhenUsed/>
    <w:qFormat/>
    <w:rsid w:val="005d33ac"/>
    <w:pPr/>
    <w:rPr>
      <w:rFonts w:ascii="Tahoma" w:hAnsi="Tahoma" w:cs="Tahoma"/>
      <w:sz w:val="16"/>
      <w:szCs w:val="16"/>
    </w:rPr>
  </w:style>
  <w:style w:type="paragraph" w:styleId="CommentText">
    <w:name w:val="annotation text"/>
    <w:basedOn w:val="Normal"/>
    <w:link w:val="CommentaireCar"/>
    <w:unhideWhenUsed/>
    <w:rsid w:val="008357be"/>
    <w:pPr/>
    <w:rPr>
      <w:sz w:val="20"/>
      <w:szCs w:val="20"/>
    </w:rPr>
  </w:style>
  <w:style w:type="paragraph" w:styleId="annotationsubject">
    <w:name w:val="annotation subject"/>
    <w:basedOn w:val="CommentText"/>
    <w:next w:val="CommentText"/>
    <w:link w:val="ObjetducommentaireCar"/>
    <w:uiPriority w:val="99"/>
    <w:semiHidden/>
    <w:unhideWhenUsed/>
    <w:qFormat/>
    <w:rsid w:val="008357be"/>
    <w:pPr/>
    <w:rPr>
      <w:b/>
      <w:bCs/>
    </w:rPr>
  </w:style>
  <w:style w:type="paragraph" w:styleId="NoSpacing">
    <w:name w:val="No Spacing"/>
    <w:uiPriority w:val="1"/>
    <w:qFormat/>
    <w:rsid w:val="00064762"/>
    <w:pPr>
      <w:widowControl w:val="false"/>
      <w:bidi w:val="0"/>
      <w:spacing w:before="0" w:after="0"/>
      <w:jc w:val="start"/>
    </w:pPr>
    <w:rPr>
      <w:rFonts w:ascii="Calibri" w:hAnsi="Calibri" w:eastAsia="Calibri" w:cs="Arial" w:asciiTheme="minorHAnsi" w:cstheme="minorBidi" w:eastAsiaTheme="minorHAnsi" w:hAnsiTheme="minorHAnsi"/>
      <w:color w:val="auto"/>
      <w:kern w:val="0"/>
      <w:sz w:val="22"/>
      <w:szCs w:val="22"/>
      <w:lang w:val="en-US" w:eastAsia="en-US" w:bidi="ar-SA"/>
    </w:rPr>
  </w:style>
  <w:style w:type="paragraph" w:styleId="EndnoteText">
    <w:name w:val="endnote text"/>
    <w:basedOn w:val="Normal"/>
    <w:link w:val="NotedefinCar"/>
    <w:uiPriority w:val="99"/>
    <w:semiHidden/>
    <w:unhideWhenUsed/>
    <w:rsid w:val="0062159e"/>
    <w:pPr/>
    <w:rPr>
      <w:sz w:val="20"/>
      <w:szCs w:val="20"/>
    </w:rPr>
  </w:style>
  <w:style w:type="paragraph" w:styleId="Subtitle">
    <w:name w:val="Subtitle"/>
    <w:basedOn w:val="NoSpacing"/>
    <w:next w:val="Normal"/>
    <w:link w:val="Sous-titreCar"/>
    <w:uiPriority w:val="11"/>
    <w:qFormat/>
    <w:rsid w:val="005100ec"/>
    <w:pPr>
      <w:widowControl/>
      <w:spacing w:before="40" w:after="0"/>
      <w:jc w:val="both"/>
    </w:pPr>
    <w:rPr>
      <w:rFonts w:ascii="Cambria" w:hAnsi="Cambria" w:cs="Cambria" w:asciiTheme="majorHAnsi" w:cstheme="majorHAnsi" w:hAnsiTheme="majorHAnsi"/>
      <w:b/>
      <w:color w:val="C00000"/>
      <w:lang w:val="fr-FR"/>
    </w:rPr>
  </w:style>
  <w:style w:type="paragraph" w:styleId="TOC1">
    <w:name w:val="toc 1"/>
    <w:basedOn w:val="Normal"/>
    <w:next w:val="Normal"/>
    <w:autoRedefine/>
    <w:uiPriority w:val="39"/>
    <w:unhideWhenUsed/>
    <w:rsid w:val="0098052a"/>
    <w:pPr>
      <w:widowControl/>
      <w:tabs>
        <w:tab w:val="clear" w:pos="720"/>
        <w:tab w:val="right" w:pos="9923" w:leader="dot"/>
      </w:tabs>
      <w:spacing w:before="120" w:after="0"/>
    </w:pPr>
    <w:rPr>
      <w:rFonts w:ascii="Alstom" w:hAnsi="Alstom"/>
      <w:b/>
      <w:color w:themeColor="text2" w:val="1F497D"/>
      <w:lang w:val="fr-FR"/>
    </w:rPr>
  </w:style>
  <w:style w:type="paragraph" w:styleId="TOC2">
    <w:name w:val="toc 2"/>
    <w:basedOn w:val="Normal"/>
    <w:next w:val="Normal"/>
    <w:autoRedefine/>
    <w:uiPriority w:val="39"/>
    <w:unhideWhenUsed/>
    <w:rsid w:val="00794bd4"/>
    <w:pPr>
      <w:widowControl/>
      <w:tabs>
        <w:tab w:val="clear" w:pos="720"/>
        <w:tab w:val="right" w:pos="9923" w:leader="dot"/>
      </w:tabs>
      <w:spacing w:before="0" w:after="120"/>
    </w:pPr>
    <w:rPr>
      <w:rFonts w:ascii="Alstom" w:hAnsi="Alstom"/>
      <w:lang w:val="fr-FR"/>
    </w:rPr>
  </w:style>
  <w:style w:type="paragraph" w:styleId="Title">
    <w:name w:val="Title"/>
    <w:basedOn w:val="Normal"/>
    <w:next w:val="Normal"/>
    <w:link w:val="TitreCar"/>
    <w:uiPriority w:val="10"/>
    <w:qFormat/>
    <w:rsid w:val="005100ec"/>
    <w:pPr>
      <w:widowControl/>
      <w:spacing w:before="0" w:after="0"/>
      <w:contextualSpacing/>
      <w:jc w:val="center"/>
    </w:pPr>
    <w:rPr>
      <w:rFonts w:ascii="Cambria" w:hAnsi="Cambria" w:eastAsia="ＭＳ ゴシック" w:cs="Times New Roman" w:asciiTheme="majorHAnsi" w:cstheme="majorBidi" w:eastAsiaTheme="majorEastAsia" w:hAnsiTheme="majorHAnsi"/>
      <w:b/>
      <w:spacing w:val="-10"/>
      <w:kern w:val="2"/>
      <w:sz w:val="56"/>
      <w:szCs w:val="56"/>
    </w:rPr>
  </w:style>
  <w:style w:type="paragraph" w:styleId="IndexHeading">
    <w:name w:val="index heading"/>
    <w:basedOn w:val="Titre"/>
    <w:pPr/>
    <w:rPr/>
  </w:style>
  <w:style w:type="paragraph" w:styleId="TOCHeading">
    <w:name w:val="TOC Heading"/>
    <w:basedOn w:val="Heading1"/>
    <w:next w:val="Normal"/>
    <w:uiPriority w:val="39"/>
    <w:unhideWhenUsed/>
    <w:qFormat/>
    <w:rsid w:val="005100ec"/>
    <w:pPr>
      <w:keepNext w:val="true"/>
      <w:keepLines/>
      <w:widowControl/>
      <w:spacing w:lineRule="auto" w:line="257" w:before="240" w:after="0"/>
      <w:ind w:start="0"/>
      <w:outlineLvl w:val="9"/>
    </w:pPr>
    <w:rPr>
      <w:rFonts w:ascii="Cambria" w:hAnsi="Cambria" w:eastAsia="ＭＳ ゴシック" w:cs="Times New Roman" w:asciiTheme="majorHAnsi" w:cstheme="majorBidi" w:eastAsiaTheme="majorEastAsia" w:hAnsiTheme="majorHAnsi"/>
      <w:color w:themeColor="accent1" w:themeShade="bf" w:val="365F91"/>
      <w:sz w:val="32"/>
      <w:szCs w:val="32"/>
      <w:lang w:val="fr-FR" w:eastAsia="fr-FR"/>
    </w:rPr>
  </w:style>
  <w:style w:type="paragraph" w:styleId="NormalWeb">
    <w:name w:val="Normal (Web)"/>
    <w:basedOn w:val="Normal"/>
    <w:uiPriority w:val="99"/>
    <w:unhideWhenUsed/>
    <w:qFormat/>
    <w:rsid w:val="004e27d4"/>
    <w:pPr>
      <w:widowControl/>
      <w:spacing w:beforeAutospacing="1" w:afterAutospacing="1"/>
    </w:pPr>
    <w:rPr>
      <w:rFonts w:ascii="Times New Roman" w:hAnsi="Times New Roman" w:eastAsia="Times New Roman" w:cs="Times New Roman"/>
      <w:sz w:val="24"/>
      <w:szCs w:val="24"/>
      <w:lang w:val="fr-FR" w:eastAsia="fr-FR"/>
    </w:rPr>
  </w:style>
  <w:style w:type="paragraph" w:styleId="Intro" w:customStyle="1">
    <w:name w:val="Intro"/>
    <w:basedOn w:val="Normal"/>
    <w:qFormat/>
    <w:rsid w:val="004f6251"/>
    <w:pPr>
      <w:widowControl/>
      <w:spacing w:lineRule="exact" w:line="300" w:before="0" w:after="1140"/>
    </w:pPr>
    <w:rPr>
      <w:color w:themeColor="text1" w:val="000000"/>
      <w:sz w:val="24"/>
      <w:szCs w:val="24"/>
      <w:lang w:val="de-DE"/>
    </w:rPr>
  </w:style>
  <w:style w:type="paragraph" w:styleId="PN" w:customStyle="1">
    <w:name w:val="PN"/>
    <w:qFormat/>
    <w:rsid w:val="004f6251"/>
    <w:pPr>
      <w:widowControl/>
      <w:bidi w:val="0"/>
      <w:spacing w:lineRule="atLeast" w:line="240" w:before="0" w:after="0"/>
      <w:ind w:hanging="590" w:start="1015"/>
      <w:jc w:val="both"/>
    </w:pPr>
    <w:rPr>
      <w:rFonts w:ascii="Times" w:hAnsi="Times" w:eastAsia="Times New Roman" w:cs="Times New Roman"/>
      <w:color w:val="auto"/>
      <w:kern w:val="0"/>
      <w:sz w:val="20"/>
      <w:szCs w:val="20"/>
      <w:lang w:val="fr-FR" w:eastAsia="fr-FR" w:bidi="ar-SA"/>
    </w:rPr>
  </w:style>
  <w:style w:type="paragraph" w:styleId="TOC3">
    <w:name w:val="toc 3"/>
    <w:basedOn w:val="Normal"/>
    <w:next w:val="Normal"/>
    <w:autoRedefine/>
    <w:uiPriority w:val="39"/>
    <w:unhideWhenUsed/>
    <w:rsid w:val="006a36c5"/>
    <w:pPr>
      <w:tabs>
        <w:tab w:val="clear" w:pos="720"/>
        <w:tab w:val="left" w:pos="1100" w:leader="none"/>
        <w:tab w:val="right" w:pos="9912" w:leader="dot"/>
      </w:tabs>
      <w:ind w:hanging="1134" w:start="1134"/>
    </w:pPr>
    <w:rPr/>
  </w:style>
  <w:style w:type="paragraph" w:styleId="DocNormal" w:customStyle="1">
    <w:name w:val="Doc Normal"/>
    <w:basedOn w:val="Normal"/>
    <w:qFormat/>
    <w:rsid w:val="00a94344"/>
    <w:pPr>
      <w:widowControl/>
    </w:pPr>
    <w:rPr>
      <w:rFonts w:ascii="Arial" w:hAnsi="Arial" w:eastAsia="Times New Roman" w:cs="Times New Roman"/>
      <w:color w:val="000080"/>
      <w:sz w:val="24"/>
      <w:szCs w:val="24"/>
      <w:lang w:val="en-GB"/>
    </w:rPr>
  </w:style>
  <w:style w:type="paragraph" w:styleId="NormalIndent">
    <w:name w:val="Normal Indent"/>
    <w:basedOn w:val="Normal"/>
    <w:link w:val="RetraitnormalCar"/>
    <w:qFormat/>
    <w:rsid w:val="00a94344"/>
    <w:pPr>
      <w:keepLines/>
      <w:widowControl/>
      <w:spacing w:before="240" w:after="0"/>
      <w:ind w:start="851"/>
      <w:jc w:val="both"/>
    </w:pPr>
    <w:rPr>
      <w:rFonts w:ascii="Arial" w:hAnsi="Arial" w:eastAsia="Times New Roman" w:cs="Times New Roman"/>
      <w:sz w:val="20"/>
      <w:szCs w:val="20"/>
      <w:lang w:val="fr-FR" w:eastAsia="fr-FR"/>
    </w:rPr>
  </w:style>
  <w:style w:type="paragraph" w:styleId="Gloss" w:customStyle="1">
    <w:name w:val="Gloss"/>
    <w:basedOn w:val="Normal"/>
    <w:qFormat/>
    <w:rsid w:val="00a94344"/>
    <w:pPr>
      <w:widowControl/>
      <w:spacing w:before="60" w:after="60"/>
      <w:jc w:val="center"/>
    </w:pPr>
    <w:rPr>
      <w:rFonts w:ascii="Arial" w:hAnsi="Arial" w:eastAsia="Times New Roman" w:cs="Arial"/>
      <w:b/>
      <w:bCs/>
      <w:lang w:val="en-GB"/>
    </w:rPr>
  </w:style>
  <w:style w:type="paragraph" w:styleId="GlossNorm" w:customStyle="1">
    <w:name w:val="GlossNorm"/>
    <w:basedOn w:val="Normal"/>
    <w:qFormat/>
    <w:rsid w:val="00a94344"/>
    <w:pPr>
      <w:widowControl/>
      <w:spacing w:before="60" w:after="60"/>
      <w:jc w:val="both"/>
    </w:pPr>
    <w:rPr>
      <w:rFonts w:ascii="Arial" w:hAnsi="Arial" w:eastAsia="Times New Roman" w:cs="Arial"/>
      <w:lang w:val="en-GB"/>
    </w:rPr>
  </w:style>
  <w:style w:type="paragraph" w:styleId="Tableauuser" w:customStyle="1">
    <w:name w:val="Tableau (user)"/>
    <w:basedOn w:val="Normal"/>
    <w:qFormat/>
    <w:rsid w:val="00a94344"/>
    <w:pPr>
      <w:keepNext w:val="true"/>
      <w:keepLines/>
      <w:widowControl/>
      <w:spacing w:before="60" w:after="60"/>
      <w:jc w:val="both"/>
    </w:pPr>
    <w:rPr>
      <w:rFonts w:ascii="Arial" w:hAnsi="Arial" w:eastAsia="Times New Roman" w:cs="Times New Roman"/>
      <w:sz w:val="18"/>
      <w:szCs w:val="20"/>
      <w:lang w:val="fr-FR" w:eastAsia="fr-FR"/>
    </w:rPr>
  </w:style>
  <w:style w:type="paragraph" w:styleId="BodyText2">
    <w:name w:val="Body Text 2"/>
    <w:basedOn w:val="Normal"/>
    <w:link w:val="Corpsdetexte2Car"/>
    <w:uiPriority w:val="99"/>
    <w:semiHidden/>
    <w:unhideWhenUsed/>
    <w:qFormat/>
    <w:rsid w:val="00c335d6"/>
    <w:pPr>
      <w:spacing w:lineRule="auto" w:line="480" w:before="0" w:after="120"/>
    </w:pPr>
    <w:rPr/>
  </w:style>
  <w:style w:type="paragraph" w:styleId="BodyText3">
    <w:name w:val="Body Text 3"/>
    <w:basedOn w:val="Normal"/>
    <w:link w:val="Corpsdetexte3Car"/>
    <w:uiPriority w:val="99"/>
    <w:semiHidden/>
    <w:unhideWhenUsed/>
    <w:qFormat/>
    <w:rsid w:val="00c335d6"/>
    <w:pPr>
      <w:spacing w:before="0" w:after="120"/>
    </w:pPr>
    <w:rPr>
      <w:sz w:val="16"/>
      <w:szCs w:val="16"/>
    </w:rPr>
  </w:style>
  <w:style w:type="paragraph" w:styleId="Texte" w:customStyle="1">
    <w:name w:val="Texte"/>
    <w:basedOn w:val="Normal"/>
    <w:qFormat/>
    <w:rsid w:val="00552e3e"/>
    <w:pPr>
      <w:widowControl/>
      <w:spacing w:lineRule="atLeast" w:line="252"/>
    </w:pPr>
    <w:rPr>
      <w:lang w:val="fr-FR"/>
    </w:rPr>
  </w:style>
  <w:style w:type="paragraph" w:styleId="Default" w:customStyle="1">
    <w:name w:val="Default"/>
    <w:qFormat/>
    <w:rsid w:val="0067712b"/>
    <w:pPr>
      <w:widowControl/>
      <w:bidi w:val="0"/>
      <w:spacing w:before="0" w:after="0"/>
      <w:jc w:val="start"/>
    </w:pPr>
    <w:rPr>
      <w:rFonts w:ascii="Century Gothic" w:hAnsi="Century Gothic" w:cs="Century Gothic" w:eastAsia="Calibri"/>
      <w:color w:val="000000"/>
      <w:kern w:val="0"/>
      <w:sz w:val="24"/>
      <w:szCs w:val="24"/>
      <w:lang w:val="fr-FR" w:eastAsia="en-US" w:bidi="ar-SA"/>
    </w:rPr>
  </w:style>
  <w:style w:type="paragraph" w:styleId="FootnoteText">
    <w:name w:val="footnote text"/>
    <w:basedOn w:val="Normal"/>
    <w:link w:val="NotedebasdepageCar"/>
    <w:uiPriority w:val="99"/>
    <w:semiHidden/>
    <w:unhideWhenUsed/>
    <w:rsid w:val="005f32f2"/>
    <w:pPr>
      <w:widowControl/>
    </w:pPr>
    <w:rPr>
      <w:rFonts w:ascii="August Debouzy" w:hAnsi="August Debouzy"/>
      <w:sz w:val="20"/>
      <w:szCs w:val="20"/>
      <w:lang w:val="fr-FR"/>
    </w:rPr>
  </w:style>
  <w:style w:type="paragraph" w:styleId="xmsonormal" w:customStyle="1">
    <w:name w:val="x_msonormal"/>
    <w:basedOn w:val="Normal"/>
    <w:qFormat/>
    <w:rsid w:val="005f32f2"/>
    <w:pPr>
      <w:widowControl/>
    </w:pPr>
    <w:rPr>
      <w:rFonts w:ascii="Calibri" w:hAnsi="Calibri" w:cs="Calibri"/>
      <w:lang w:val="fr-FR" w:eastAsia="fr-FR"/>
    </w:rPr>
  </w:style>
  <w:style w:type="paragraph" w:styleId="Lettre" w:customStyle="1">
    <w:name w:val="Lettre"/>
    <w:basedOn w:val="Normal"/>
    <w:qFormat/>
    <w:rsid w:val="00471a6a"/>
    <w:pPr>
      <w:widowControl/>
      <w:tabs>
        <w:tab w:val="clear" w:pos="720"/>
        <w:tab w:val="left" w:pos="5103" w:leader="none"/>
      </w:tabs>
      <w:spacing w:lineRule="atLeast" w:line="280" w:before="0" w:after="240"/>
      <w:jc w:val="both"/>
    </w:pPr>
    <w:rPr>
      <w:rFonts w:ascii="Univers 45 Light" w:hAnsi="Univers 45 Light" w:eastAsia="Times New Roman" w:cs="Times New Roman"/>
      <w:sz w:val="20"/>
      <w:szCs w:val="20"/>
      <w:lang w:val="fr-FR" w:eastAsia="fr-FR"/>
    </w:rPr>
  </w:style>
  <w:style w:type="paragraph" w:styleId="Standard" w:customStyle="1">
    <w:name w:val="Standard"/>
    <w:qFormat/>
    <w:rsid w:val="00bc40af"/>
    <w:pPr>
      <w:widowControl/>
      <w:bidi w:val="0"/>
      <w:spacing w:before="0" w:after="0"/>
      <w:jc w:val="start"/>
    </w:pPr>
    <w:rPr>
      <w:rFonts w:ascii="Chicago" w:hAnsi="Chicago" w:eastAsia="Times New Roman" w:cs="Times New Roman"/>
      <w:color w:val="auto"/>
      <w:kern w:val="0"/>
      <w:sz w:val="24"/>
      <w:szCs w:val="20"/>
      <w:lang w:val="fr-FR" w:eastAsia="fr-FR" w:bidi="ar-SA"/>
    </w:rPr>
  </w:style>
  <w:style w:type="paragraph" w:styleId="Texteuser" w:customStyle="1">
    <w:name w:val="Texte (user)"/>
    <w:link w:val="TexteCar"/>
    <w:qFormat/>
    <w:rsid w:val="0087755f"/>
    <w:pPr>
      <w:widowControl/>
      <w:bidi w:val="0"/>
      <w:spacing w:before="0" w:after="0"/>
      <w:ind w:start="567"/>
      <w:jc w:val="both"/>
    </w:pPr>
    <w:rPr>
      <w:rFonts w:ascii="Helvetica" w:hAnsi="Helvetica" w:eastAsia="Times New Roman" w:cs="Times New Roman"/>
      <w:color w:val="000000"/>
      <w:kern w:val="0"/>
      <w:sz w:val="22"/>
      <w:szCs w:val="20"/>
      <w:lang w:val="fr-FR" w:eastAsia="fr-FR" w:bidi="ar-SA"/>
    </w:rPr>
  </w:style>
  <w:style w:type="paragraph" w:styleId="xmsolistparagraph" w:customStyle="1">
    <w:name w:val="x_msolistparagraph"/>
    <w:basedOn w:val="Normal"/>
    <w:qFormat/>
    <w:rsid w:val="00c60472"/>
    <w:pPr>
      <w:widowControl/>
      <w:spacing w:lineRule="auto" w:line="276" w:before="0" w:after="200"/>
      <w:ind w:start="720"/>
    </w:pPr>
    <w:rPr>
      <w:rFonts w:ascii="Times New Roman" w:hAnsi="Times New Roman" w:cs="Times New Roman"/>
      <w:sz w:val="20"/>
      <w:szCs w:val="20"/>
      <w:lang w:val="fr-FR" w:eastAsia="fr-FR"/>
    </w:rPr>
  </w:style>
  <w:style w:type="paragraph" w:styleId="TOC4">
    <w:name w:val="toc 4"/>
    <w:basedOn w:val="Normal"/>
    <w:next w:val="Normal"/>
    <w:autoRedefine/>
    <w:uiPriority w:val="39"/>
    <w:unhideWhenUsed/>
    <w:rsid w:val="00592ba0"/>
    <w:pPr>
      <w:spacing w:before="0" w:after="100"/>
      <w:ind w:start="220"/>
    </w:pPr>
    <w:rPr/>
  </w:style>
  <w:style w:type="paragraph" w:styleId="TOC5">
    <w:name w:val="toc 5"/>
    <w:basedOn w:val="Normal"/>
    <w:next w:val="Normal"/>
    <w:autoRedefine/>
    <w:uiPriority w:val="39"/>
    <w:unhideWhenUsed/>
    <w:rsid w:val="00be1501"/>
    <w:pPr>
      <w:spacing w:before="0" w:after="100"/>
      <w:ind w:start="220"/>
    </w:pPr>
    <w:rPr/>
  </w:style>
  <w:style w:type="paragraph" w:styleId="ListNumber">
    <w:name w:val="List Number"/>
    <w:basedOn w:val="Normal"/>
    <w:uiPriority w:val="4"/>
    <w:unhideWhenUsed/>
    <w:qFormat/>
    <w:rsid w:val="001700ef"/>
    <w:pPr>
      <w:numPr>
        <w:ilvl w:val="0"/>
        <w:numId w:val="2"/>
      </w:numPr>
      <w:spacing w:before="0" w:after="0"/>
      <w:contextualSpacing/>
    </w:pPr>
    <w:rPr/>
  </w:style>
  <w:style w:type="paragraph" w:styleId="CWACorpsdetexte" w:customStyle="1">
    <w:name w:val="CWA Corps de texte"/>
    <w:basedOn w:val="Normal"/>
    <w:qFormat/>
    <w:locked/>
    <w:rsid w:val="001700ef"/>
    <w:pPr>
      <w:widowControl/>
      <w:tabs>
        <w:tab w:val="clear" w:pos="720"/>
        <w:tab w:val="left" w:pos="567" w:leader="none"/>
      </w:tabs>
      <w:spacing w:before="0" w:after="240"/>
      <w:jc w:val="both"/>
      <w:textAlignment w:val="baseline"/>
    </w:pPr>
    <w:rPr>
      <w:rFonts w:ascii="Calibri" w:hAnsi="Calibri" w:eastAsia="Times New Roman" w:cs="Calibri"/>
      <w:sz w:val="20"/>
      <w:szCs w:val="20"/>
      <w:lang w:eastAsia="fr-FR"/>
    </w:rPr>
  </w:style>
  <w:style w:type="paragraph" w:styleId="ElApp" w:customStyle="1">
    <w:name w:val="ElApp"/>
    <w:basedOn w:val="Normal"/>
    <w:qFormat/>
    <w:rsid w:val="00e053a3"/>
    <w:pPr>
      <w:widowControl/>
    </w:pPr>
    <w:rPr>
      <w:rFonts w:ascii="Arial" w:hAnsi="Arial" w:eastAsia="Arial" w:cs="Arial"/>
      <w:sz w:val="20"/>
      <w:szCs w:val="20"/>
      <w:lang w:val="fr-FR" w:eastAsia="fr-FR"/>
    </w:rPr>
  </w:style>
  <w:style w:type="paragraph" w:styleId="ElAppp" w:customStyle="1">
    <w:name w:val="ElApp_p"/>
    <w:basedOn w:val="Normal"/>
    <w:qFormat/>
    <w:rsid w:val="00e053a3"/>
    <w:pPr>
      <w:widowControl/>
    </w:pPr>
    <w:rPr>
      <w:rFonts w:ascii="Arial" w:hAnsi="Arial" w:eastAsia="Arial" w:cs="Arial"/>
      <w:sz w:val="20"/>
      <w:szCs w:val="20"/>
      <w:lang w:val="fr-FR" w:eastAsia="fr-FR"/>
    </w:rPr>
  </w:style>
  <w:style w:type="paragraph" w:styleId="TOC6">
    <w:name w:val="toc 6"/>
    <w:basedOn w:val="Normal"/>
    <w:next w:val="Normal"/>
    <w:autoRedefine/>
    <w:uiPriority w:val="39"/>
    <w:unhideWhenUsed/>
    <w:rsid w:val="00e053a3"/>
    <w:pPr>
      <w:widowControl/>
      <w:spacing w:lineRule="auto" w:line="259" w:before="0" w:after="100"/>
      <w:ind w:start="1100"/>
    </w:pPr>
    <w:rPr>
      <w:rFonts w:eastAsia="ＭＳ 明朝" w:eastAsiaTheme="minorEastAsia"/>
      <w:lang w:val="fr-FR" w:eastAsia="fr-FR"/>
    </w:rPr>
  </w:style>
  <w:style w:type="paragraph" w:styleId="TOC7">
    <w:name w:val="toc 7"/>
    <w:basedOn w:val="Normal"/>
    <w:next w:val="Normal"/>
    <w:autoRedefine/>
    <w:uiPriority w:val="39"/>
    <w:unhideWhenUsed/>
    <w:rsid w:val="00e053a3"/>
    <w:pPr>
      <w:widowControl/>
      <w:spacing w:lineRule="auto" w:line="259" w:before="0" w:after="100"/>
      <w:ind w:start="1320"/>
    </w:pPr>
    <w:rPr>
      <w:rFonts w:eastAsia="ＭＳ 明朝" w:eastAsiaTheme="minorEastAsia"/>
      <w:lang w:val="fr-FR" w:eastAsia="fr-FR"/>
    </w:rPr>
  </w:style>
  <w:style w:type="paragraph" w:styleId="TOC8">
    <w:name w:val="toc 8"/>
    <w:basedOn w:val="Normal"/>
    <w:next w:val="Normal"/>
    <w:autoRedefine/>
    <w:uiPriority w:val="39"/>
    <w:unhideWhenUsed/>
    <w:rsid w:val="00e053a3"/>
    <w:pPr>
      <w:widowControl/>
      <w:spacing w:lineRule="auto" w:line="259" w:before="0" w:after="100"/>
      <w:ind w:start="1540"/>
    </w:pPr>
    <w:rPr>
      <w:rFonts w:eastAsia="ＭＳ 明朝" w:eastAsiaTheme="minorEastAsia"/>
      <w:lang w:val="fr-FR" w:eastAsia="fr-FR"/>
    </w:rPr>
  </w:style>
  <w:style w:type="paragraph" w:styleId="TOC9">
    <w:name w:val="toc 9"/>
    <w:basedOn w:val="Normal"/>
    <w:next w:val="Normal"/>
    <w:autoRedefine/>
    <w:uiPriority w:val="39"/>
    <w:unhideWhenUsed/>
    <w:rsid w:val="00e053a3"/>
    <w:pPr>
      <w:widowControl/>
      <w:spacing w:lineRule="auto" w:line="259" w:before="0" w:after="100"/>
      <w:ind w:start="1760"/>
    </w:pPr>
    <w:rPr>
      <w:rFonts w:eastAsia="ＭＳ 明朝" w:eastAsiaTheme="minorEastAsia"/>
      <w:lang w:val="fr-FR" w:eastAsia="fr-FR"/>
    </w:rPr>
  </w:style>
  <w:style w:type="paragraph" w:styleId="Style11" w:customStyle="1">
    <w:name w:val="Style1"/>
    <w:basedOn w:val="Heading2"/>
    <w:link w:val="Style1Car"/>
    <w:uiPriority w:val="1"/>
    <w:qFormat/>
    <w:rsid w:val="00734988"/>
    <w:pPr/>
    <w:rPr>
      <w:rFonts w:ascii="Alstom" w:hAnsi="Alstom"/>
      <w:color w:themeColor="accent1" w:themeShade="80" w:val="244061"/>
      <w:sz w:val="22"/>
      <w:szCs w:val="22"/>
      <w:lang w:val="fr-F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NormalTable0">
    <w:name w:val="Normal Table0"/>
    <w:uiPriority w:val="2"/>
    <w:semiHidden/>
    <w:unhideWhenUsed/>
    <w:qFormat/>
    <w:rsid w:val="000449e9"/>
    <w:tblPr>
      <w:tblCellMar>
        <w:top w:w="0" w:type="dxa"/>
        <w:left w:w="0" w:type="dxa"/>
        <w:bottom w:w="0" w:type="dxa"/>
        <w:right w:w="0" w:type="dxa"/>
      </w:tblCellMar>
    </w:tblPr>
  </w:style>
  <w:style w:type="table" w:styleId="Grilledutableau">
    <w:name w:val="Table Grid"/>
    <w:basedOn w:val="TableauNormal"/>
    <w:uiPriority w:val="39"/>
    <w:rsid w:val="00874ac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auGrille6Couleur-Accentuation3">
    <w:name w:val="Grid Table 6 Colorful Accent 3"/>
    <w:basedOn w:val="TableauNormal"/>
    <w:uiPriority w:val="51"/>
    <w:rsid w:val="005100ec"/>
    <w:rPr>
      <w:color w:val="76923c" w:themeColor="accent3" w:themeShade="bf"/>
      <w:lang w:val="fr-FR"/>
    </w:rPr>
    <w:tblPr>
      <w:tblStyleRowBandSize w:val="1"/>
      <w:tblStyleColBandSize w:val="1"/>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rPr>
      <w:tblPr/>
      <w:tcPr>
        <w:tcBorders>
          <w:bottom w:val="single" w:color="C2D69B" w:themeColor="accent3" w:sz="12" w:space="0"/>
        </w:tcBorders>
      </w:tcPr>
    </w:tblStylePr>
    <w:tblStylePr w:type="lastRow">
      <w:rPr>
        <w:b/>
        <w:bCs/>
      </w:rPr>
      <w:tblPr/>
      <w:tcPr>
        <w:tcBorders>
          <w:top w:val="double" w:color="C2D69B" w:themeColor="accent3" w:sz="4" w:space="0"/>
        </w:tcBorders>
      </w:tcPr>
    </w:tblStylePr>
    <w:tblStylePr w:type="firstCol">
      <w:rPr>
        <w:b/>
        <w:bCs/>
      </w:rPr>
      <w:tblPr/>
    </w:tblStylePr>
    <w:tblStylePr w:type="lastCol">
      <w:rPr>
        <w:b/>
        <w:bCs/>
      </w:rPr>
      <w:tbl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538792B7D4E343AE2A14E6D1B17E31" ma:contentTypeVersion="16" ma:contentTypeDescription="Create a new document." ma:contentTypeScope="" ma:versionID="094f03cc231111f4627cb8e53f385581">
  <xsd:schema xmlns:xsd="http://www.w3.org/2001/XMLSchema" xmlns:xs="http://www.w3.org/2001/XMLSchema" xmlns:p="http://schemas.microsoft.com/office/2006/metadata/properties" xmlns:ns3="a1c22a82-43a3-4c8a-82f3-db4e8e7be71e" xmlns:ns4="c1a37613-b627-412b-96c4-d76d81f546ee" targetNamespace="http://schemas.microsoft.com/office/2006/metadata/properties" ma:root="true" ma:fieldsID="c8ad6d33e2392ef44b65113ceb377b59" ns3:_="" ns4:_="">
    <xsd:import namespace="a1c22a82-43a3-4c8a-82f3-db4e8e7be71e"/>
    <xsd:import namespace="c1a37613-b627-412b-96c4-d76d81f546e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c22a82-43a3-4c8a-82f3-db4e8e7be71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a37613-b627-412b-96c4-d76d81f546e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1a37613-b627-412b-96c4-d76d81f546ee" xsi:nil="true"/>
  </documentManagement>
</p:properties>
</file>

<file path=customXml/itemProps1.xml><?xml version="1.0" encoding="utf-8"?>
<ds:datastoreItem xmlns:ds="http://schemas.openxmlformats.org/officeDocument/2006/customXml" ds:itemID="{6DB6FEE0-C5A2-4EDC-BBB9-616DF9A42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c22a82-43a3-4c8a-82f3-db4e8e7be71e"/>
    <ds:schemaRef ds:uri="c1a37613-b627-412b-96c4-d76d81f546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57E16-C123-4BCA-B154-816F529EC965}">
  <ds:schemaRefs>
    <ds:schemaRef ds:uri="http://schemas.openxmlformats.org/officeDocument/2006/bibliography"/>
  </ds:schemaRefs>
</ds:datastoreItem>
</file>

<file path=customXml/itemProps3.xml><?xml version="1.0" encoding="utf-8"?>
<ds:datastoreItem xmlns:ds="http://schemas.openxmlformats.org/officeDocument/2006/customXml" ds:itemID="{E47CFE52-7916-4400-BC0B-5EC5D48AC534}">
  <ds:schemaRefs>
    <ds:schemaRef ds:uri="http://schemas.microsoft.com/sharepoint/v3/contenttype/forms"/>
  </ds:schemaRefs>
</ds:datastoreItem>
</file>

<file path=customXml/itemProps4.xml><?xml version="1.0" encoding="utf-8"?>
<ds:datastoreItem xmlns:ds="http://schemas.openxmlformats.org/officeDocument/2006/customXml" ds:itemID="{D908E6A3-4BA9-417C-B1CB-484050AF57F9}">
  <ds:schemaRefs>
    <ds:schemaRef ds:uri="http://schemas.microsoft.com/office/2006/metadata/properties"/>
    <ds:schemaRef ds:uri="http://schemas.microsoft.com/office/infopath/2007/PartnerControls"/>
    <ds:schemaRef ds:uri="c1a37613-b627-412b-96c4-d76d81f546ee"/>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7</Pages>
  <Words>1799</Words>
  <Characters>9619</Characters>
  <CharactersWithSpaces>11390</CharactersWithSpaces>
  <Paragraphs>107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(T\351l\351copie pleine page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0x0101005F538792B7D4E343AE2A14E6D1B17E31</vt:lpwstr>
  </property>
  <property fmtid="{D5CDD505-2E9C-101B-9397-08002B2CF9AE}" pid="3" name="Created">
    <vt:filetime>2016-07-11T00:00:00Z</vt:filetime>
  </property>
  <property fmtid="{D5CDD505-2E9C-101B-9397-08002B2CF9AE}" pid="4" name="LastSaved">
    <vt:filetime>2016-07-11T00:00:00Z</vt:filetime>
  </property>
  <property fmtid="{D5CDD505-2E9C-101B-9397-08002B2CF9AE}" pid="5" name="MSIP_Label_6d3c1e99-73ed-46f4-9233-3591d9cef3c2_ActionId">
    <vt:lpwstr/>
  </property>
  <property fmtid="{D5CDD505-2E9C-101B-9397-08002B2CF9AE}" pid="6" name="MSIP_Label_6d3c1e99-73ed-46f4-9233-3591d9cef3c2_ContentBits">
    <vt:lpwstr>0</vt:lpwstr>
  </property>
  <property fmtid="{D5CDD505-2E9C-101B-9397-08002B2CF9AE}" pid="7" name="MSIP_Label_6d3c1e99-73ed-46f4-9233-3591d9cef3c2_Enabled">
    <vt:lpwstr>true</vt:lpwstr>
  </property>
  <property fmtid="{D5CDD505-2E9C-101B-9397-08002B2CF9AE}" pid="8" name="MSIP_Label_6d3c1e99-73ed-46f4-9233-3591d9cef3c2_Method">
    <vt:lpwstr>Privileged</vt:lpwstr>
  </property>
  <property fmtid="{D5CDD505-2E9C-101B-9397-08002B2CF9AE}" pid="9" name="MSIP_Label_6d3c1e99-73ed-46f4-9233-3591d9cef3c2_Name">
    <vt:lpwstr>6d3c1e99-73ed-46f4-9233-3591d9cef3c2</vt:lpwstr>
  </property>
  <property fmtid="{D5CDD505-2E9C-101B-9397-08002B2CF9AE}" pid="10" name="MSIP_Label_6d3c1e99-73ed-46f4-9233-3591d9cef3c2_SetDate">
    <vt:lpwstr>2021-03-10T09:13:18Z</vt:lpwstr>
  </property>
  <property fmtid="{D5CDD505-2E9C-101B-9397-08002B2CF9AE}" pid="11" name="MSIP_Label_6d3c1e99-73ed-46f4-9233-3591d9cef3c2_SiteId">
    <vt:lpwstr>0d993ad3-fa73-421a-b129-1fe5590103f3</vt:lpwstr>
  </property>
</Properties>
</file>