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3720" w:lineRule="auto"/>
        <w:jc w:val="center"/>
        <w:rPr>
          <w:sz w:val="56"/>
          <w:szCs w:val="56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pgSz w:h="16838" w:w="11906" w:orient="portrait"/>
          <w:pgMar w:bottom="1417" w:top="1417" w:left="1417" w:right="1417" w:header="708" w:footer="708"/>
          <w:pgNumType w:start="1"/>
          <w:titlePg w:val="1"/>
        </w:sectPr>
      </w:pPr>
      <w:bookmarkStart w:colFirst="0" w:colLast="0" w:name="_heading=h.3bn8061eu8f1" w:id="0"/>
      <w:bookmarkEnd w:id="0"/>
      <w:r w:rsidDel="00000000" w:rsidR="00000000" w:rsidRPr="00000000">
        <w:rPr>
          <w:sz w:val="56"/>
          <w:szCs w:val="56"/>
          <w:rtl w:val="0"/>
        </w:rPr>
        <w:t xml:space="preserve">Accord adaptant les modalités de la négociation obligatoire relative à l’égalité professionnelle entre les femmes et les hommes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ENTRE 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La Société par actions simplifiée à associé unique EURALIS GASTRONOMIE immatriculée au RSC sous le numéro 601 650 146 dont le siège social est situé sis Boulevard de l’Europe - 64230 LESCAR représentée par __________ agissant en sa qualité de Directrice des relations humaines</w:t>
      </w:r>
    </w:p>
    <w:p w:rsidR="00000000" w:rsidDel="00000000" w:rsidP="00000000" w:rsidRDefault="00000000" w:rsidRPr="00000000" w14:paraId="00000007">
      <w:pPr>
        <w:jc w:val="right"/>
        <w:rPr/>
      </w:pPr>
      <w:r w:rsidDel="00000000" w:rsidR="00000000" w:rsidRPr="00000000">
        <w:rPr>
          <w:rtl w:val="0"/>
        </w:rPr>
        <w:t xml:space="preserve">d’une part, 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ET 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Les Organisations Syndicales Représentatives au sein de l’entreprise, à savoir :</w:t>
      </w:r>
    </w:p>
    <w:p w:rsidR="00000000" w:rsidDel="00000000" w:rsidP="00000000" w:rsidRDefault="00000000" w:rsidRPr="00000000" w14:paraId="0000000C">
      <w:pPr>
        <w:ind w:left="708" w:firstLine="0"/>
        <w:rPr/>
      </w:pPr>
      <w:r w:rsidDel="00000000" w:rsidR="00000000" w:rsidRPr="00000000">
        <w:rPr>
          <w:rtl w:val="0"/>
        </w:rPr>
        <w:t xml:space="preserve">L’Organisation Syndicale CFE-CGC, représentée par __________, en qualité de Délégué Syndical central,</w:t>
      </w:r>
    </w:p>
    <w:p w:rsidR="00000000" w:rsidDel="00000000" w:rsidP="00000000" w:rsidRDefault="00000000" w:rsidRPr="00000000" w14:paraId="0000000D">
      <w:pPr>
        <w:ind w:left="708" w:firstLine="0"/>
        <w:rPr/>
      </w:pPr>
      <w:r w:rsidDel="00000000" w:rsidR="00000000" w:rsidRPr="00000000">
        <w:rPr>
          <w:rtl w:val="0"/>
        </w:rPr>
        <w:t xml:space="preserve">L’Organisation Syndicale CFDT représentée par __________, en qualité de Déléguée Syndicale centrale,</w:t>
      </w:r>
    </w:p>
    <w:p w:rsidR="00000000" w:rsidDel="00000000" w:rsidP="00000000" w:rsidRDefault="00000000" w:rsidRPr="00000000" w14:paraId="0000000E">
      <w:pPr>
        <w:ind w:left="708" w:firstLine="0"/>
        <w:rPr/>
      </w:pPr>
      <w:r w:rsidDel="00000000" w:rsidR="00000000" w:rsidRPr="00000000">
        <w:rPr>
          <w:rtl w:val="0"/>
        </w:rPr>
        <w:t xml:space="preserve">L’Organisation Syndicale CGT représentée par __________, en qualité de Déléguée Syndicale centrale,</w:t>
      </w:r>
    </w:p>
    <w:p w:rsidR="00000000" w:rsidDel="00000000" w:rsidP="00000000" w:rsidRDefault="00000000" w:rsidRPr="00000000" w14:paraId="0000000F">
      <w:pPr>
        <w:ind w:left="708" w:firstLine="0"/>
        <w:rPr/>
      </w:pPr>
      <w:r w:rsidDel="00000000" w:rsidR="00000000" w:rsidRPr="00000000">
        <w:rPr>
          <w:rtl w:val="0"/>
        </w:rPr>
        <w:t xml:space="preserve">L’Organisation Syndicale FO représentée par __________, en qualité de Délégué Syndical central.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right"/>
        <w:rPr/>
      </w:pPr>
      <w:r w:rsidDel="00000000" w:rsidR="00000000" w:rsidRPr="00000000">
        <w:rPr>
          <w:rtl w:val="0"/>
        </w:rPr>
        <w:t xml:space="preserve">d’autre part,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Il a été convenu ce qui suit 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Sommaire</w:t>
      </w:r>
    </w:p>
    <w:sdt>
      <w:sdtPr>
        <w:id w:val="-2005983988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7">
          <w:pPr>
            <w:pStyle w:val="Heading1"/>
            <w:spacing w:after="0" w:line="240" w:lineRule="auto"/>
            <w:ind w:left="432" w:firstLine="357"/>
            <w:rPr/>
          </w:pPr>
          <w:bookmarkStart w:colFirst="0" w:colLast="0" w:name="_heading=h.1fbj637flods" w:id="1"/>
          <w:bookmarkEnd w:id="1"/>
          <w:r w:rsidDel="00000000" w:rsidR="00000000" w:rsidRPr="00000000">
            <w:fldChar w:fldCharType="begin"/>
            <w:instrText xml:space="preserve"> TOC \h \u \z \t "Heading 1,1,Heading 2,2,Heading 3,3,Heading 4,4,"</w:instrText>
            <w:fldChar w:fldCharType="separate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</w:tabs>
            <w:spacing w:after="0" w:before="0" w:line="257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fbj637flods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Sommaire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</w:tabs>
            <w:spacing w:after="0" w:before="0" w:line="257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34updsaiyrzt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Préambule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</w:tabs>
            <w:spacing w:after="0" w:before="0" w:line="257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x56jlisq62ke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Article 1. Champ d’application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</w:tabs>
            <w:spacing w:after="0" w:before="0" w:line="257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s27q8ooertb1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Article 2. Aménagement de la négociation sur l’égalité professionnelle entre les femmes et les hommes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  <w:tab w:val="left" w:leader="none" w:pos="660"/>
            </w:tabs>
            <w:spacing w:after="0" w:before="0" w:line="240" w:lineRule="auto"/>
            <w:ind w:left="221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gp1dt2mcfym3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hyperlink>
          <w:hyperlink w:anchor="_heading=h.gp1dt2mcfym3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_heading=h.gp1dt2mcfym3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Périodicité des négociations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  <w:tab w:val="left" w:leader="none" w:pos="660"/>
            </w:tabs>
            <w:spacing w:after="0" w:before="0" w:line="240" w:lineRule="auto"/>
            <w:ind w:left="221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rl5zldidu24p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hyperlink>
          <w:hyperlink w:anchor="_heading=h.rl5zldidu24p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_heading=h.rl5zldidu24p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Thème des négociations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  <w:tab w:val="left" w:leader="none" w:pos="660"/>
            </w:tabs>
            <w:spacing w:after="0" w:before="0" w:line="240" w:lineRule="auto"/>
            <w:ind w:left="221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fsysr1ctqmz9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hyperlink>
          <w:hyperlink w:anchor="_heading=h.fsysr1ctqmz9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_heading=h.fsysr1ctqmz9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Calendrier négociation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</w:tabs>
            <w:spacing w:after="0" w:before="0" w:line="257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8jlt8dwct9v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Article 3. Dispositions finales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1320"/>
              <w:tab w:val="right" w:leader="none" w:pos="9062"/>
            </w:tabs>
            <w:spacing w:after="100" w:before="0" w:line="256" w:lineRule="auto"/>
            <w:ind w:left="44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f8zb8j5dg6c9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1.1.1</w:t>
            </w:r>
          </w:hyperlink>
          <w:hyperlink w:anchor="_heading=h.f8zb8j5dg6c9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_heading=h.f8zb8j5dg6c9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Durée de l’accord et prise d’effet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1320"/>
              <w:tab w:val="right" w:leader="none" w:pos="9062"/>
            </w:tabs>
            <w:spacing w:after="100" w:before="0" w:line="256" w:lineRule="auto"/>
            <w:ind w:left="44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pz2gcmz1wffa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1.1.2</w:t>
            </w:r>
          </w:hyperlink>
          <w:hyperlink w:anchor="_heading=h.pz2gcmz1wffa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_heading=h.pz2gcmz1wffa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Révision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left" w:leader="none" w:pos="1320"/>
              <w:tab w:val="right" w:leader="none" w:pos="9062"/>
            </w:tabs>
            <w:spacing w:after="100" w:before="0" w:line="256" w:lineRule="auto"/>
            <w:ind w:left="440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6mr7ypjqhsmz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1.1.3</w:t>
            </w:r>
          </w:hyperlink>
          <w:hyperlink w:anchor="_heading=h.6mr7ypjqhsmz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_heading=h.6mr7ypjqhsmz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Clause de rendez-vous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62"/>
              <w:tab w:val="left" w:leader="none" w:pos="1540"/>
            </w:tabs>
            <w:spacing w:after="0" w:before="0" w:line="240" w:lineRule="auto"/>
            <w:ind w:left="221" w:right="0" w:firstLine="0"/>
            <w:jc w:val="both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ke6ypdghxe7"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Article 1.1</w:t>
            </w:r>
          </w:hyperlink>
          <w:hyperlink w:anchor="_heading=h.4ke6ypdghxe7"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_heading=h.4ke6ypdghxe7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Conditions de dépôt et publicité</w:t>
            <w:tab/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spacing w:after="0" w:line="240" w:lineRule="auto"/>
            <w:rPr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5">
      <w:pPr>
        <w:pStyle w:val="Heading1"/>
        <w:spacing w:after="0" w:line="240" w:lineRule="auto"/>
        <w:ind w:left="432" w:firstLine="357"/>
        <w:rPr/>
      </w:pPr>
      <w:bookmarkStart w:colFirst="0" w:colLast="0" w:name="_heading=h.34updsaiyrzt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  <w:t xml:space="preserve">Préambule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Le présent accord a pour objet de déterminer notamment la périodicité des négociations obligatoires périodiques dans l'entreprise EURALIS GASTRONOMIE, en application des articles L 2242-10 et L 2242-11 du Code du travail.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Pour tenir compte de la durée de l’accord « UNIS » conclu en parallèle portant notamment sur l’égalité professionnelle entre les hommes et les femmes, il a été fait le choix de faire correspondre la périodicité des négociations annuelles obligatoires concernant ce thème sur la durée dudit accord.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Dans ce cadre, la Direction et les organisations syndicales représentatives se sont rencontrées, les 13 et 24 novembre et les 1</w:t>
      </w:r>
      <w:r w:rsidDel="00000000" w:rsidR="00000000" w:rsidRPr="00000000">
        <w:rPr>
          <w:vertAlign w:val="superscript"/>
          <w:rtl w:val="0"/>
        </w:rPr>
        <w:t xml:space="preserve">er</w:t>
      </w:r>
      <w:r w:rsidDel="00000000" w:rsidR="00000000" w:rsidRPr="00000000">
        <w:rPr>
          <w:rtl w:val="0"/>
        </w:rPr>
        <w:t xml:space="preserve">, 11 et 15 décembre 2025.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Après discussions et échanges entre la Direction et les organisations syndicales représentatives, il a été conclu le présent accord. </w:t>
      </w:r>
    </w:p>
    <w:p w:rsidR="00000000" w:rsidDel="00000000" w:rsidP="00000000" w:rsidRDefault="00000000" w:rsidRPr="00000000" w14:paraId="0000002B">
      <w:pPr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ind w:left="720" w:firstLine="357"/>
        <w:rPr/>
      </w:pPr>
      <w:bookmarkStart w:colFirst="0" w:colLast="0" w:name="_heading=h.x56jlisq62ke" w:id="3"/>
      <w:bookmarkEnd w:id="3"/>
      <w:r w:rsidDel="00000000" w:rsidR="00000000" w:rsidRPr="00000000">
        <w:rPr>
          <w:rtl w:val="0"/>
        </w:rPr>
        <w:t xml:space="preserve">Article 1. Champ d’application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Le présent accord s’applique à l’ensemble du personnel de la Société Euralis Gastronomie.</w:t>
      </w:r>
    </w:p>
    <w:p w:rsidR="00000000" w:rsidDel="00000000" w:rsidP="00000000" w:rsidRDefault="00000000" w:rsidRPr="00000000" w14:paraId="0000002E">
      <w:pPr>
        <w:pStyle w:val="Heading1"/>
        <w:ind w:left="720" w:firstLine="357"/>
        <w:rPr/>
      </w:pPr>
      <w:bookmarkStart w:colFirst="0" w:colLast="0" w:name="_heading=h.s27q8ooertb1" w:id="4"/>
      <w:bookmarkEnd w:id="4"/>
      <w:r w:rsidDel="00000000" w:rsidR="00000000" w:rsidRPr="00000000">
        <w:rPr>
          <w:rtl w:val="0"/>
        </w:rPr>
        <w:t xml:space="preserve">Article 2. Aménagement de la négociation sur l’égalité professionnelle entre les femmes et les hommes</w:t>
      </w:r>
    </w:p>
    <w:p w:rsidR="00000000" w:rsidDel="00000000" w:rsidP="00000000" w:rsidRDefault="00000000" w:rsidRPr="00000000" w14:paraId="0000002F">
      <w:pPr>
        <w:pStyle w:val="Heading2"/>
        <w:numPr>
          <w:ilvl w:val="0"/>
          <w:numId w:val="1"/>
        </w:numPr>
        <w:ind w:left="720" w:hanging="360"/>
        <w:rPr/>
      </w:pPr>
      <w:bookmarkStart w:colFirst="0" w:colLast="0" w:name="_heading=h.gp1dt2mcfym3" w:id="5"/>
      <w:bookmarkEnd w:id="5"/>
      <w:r w:rsidDel="00000000" w:rsidR="00000000" w:rsidRPr="00000000">
        <w:rPr>
          <w:rtl w:val="0"/>
        </w:rPr>
        <w:t xml:space="preserve">Périodicité des négociations </w:t>
      </w:r>
    </w:p>
    <w:p w:rsidR="00000000" w:rsidDel="00000000" w:rsidP="00000000" w:rsidRDefault="00000000" w:rsidRPr="00000000" w14:paraId="00000030">
      <w:pPr>
        <w:rPr/>
      </w:pPr>
      <w:bookmarkStart w:colFirst="0" w:colLast="0" w:name="_heading=h.fbz6qvbxbziv" w:id="6"/>
      <w:bookmarkEnd w:id="6"/>
      <w:r w:rsidDel="00000000" w:rsidR="00000000" w:rsidRPr="00000000">
        <w:rPr>
          <w:rtl w:val="0"/>
        </w:rPr>
        <w:t xml:space="preserve">Les parties conviennent de fixer à deux (2) ans la périodicité de la négociation sur l'égalité professionnelle entre les femmes et les hommes.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En outre, il est précisé que dans l’éventualité où le score de l’index femme/homme (article L 1142-7 et suivants du code du travail), pour les années couvertes par l’accord négocié en parallèle sur l’égalité professionnelle entre les femmes et les hommes, serait inférieur à 85, les objectifs de progression définis dans ledit accord seraient maintenus pendant la durée de l’accord, sans qu’il soit nécessaire d’ouvrir une nouvelle négociation sur les objectifs de progression.</w:t>
      </w:r>
    </w:p>
    <w:p w:rsidR="00000000" w:rsidDel="00000000" w:rsidP="00000000" w:rsidRDefault="00000000" w:rsidRPr="00000000" w14:paraId="00000032">
      <w:pPr>
        <w:pStyle w:val="Heading2"/>
        <w:numPr>
          <w:ilvl w:val="0"/>
          <w:numId w:val="1"/>
        </w:numPr>
        <w:ind w:left="720" w:hanging="360"/>
        <w:rPr/>
      </w:pPr>
      <w:bookmarkStart w:colFirst="0" w:colLast="0" w:name="_heading=h.rl5zldidu24p" w:id="7"/>
      <w:bookmarkEnd w:id="7"/>
      <w:r w:rsidDel="00000000" w:rsidR="00000000" w:rsidRPr="00000000">
        <w:rPr>
          <w:rtl w:val="0"/>
        </w:rPr>
        <w:t xml:space="preserve">Thème des négociations</w:t>
      </w:r>
    </w:p>
    <w:p w:rsidR="00000000" w:rsidDel="00000000" w:rsidP="00000000" w:rsidRDefault="00000000" w:rsidRPr="00000000" w14:paraId="00000033">
      <w:pPr>
        <w:rPr/>
      </w:pPr>
      <w:bookmarkStart w:colFirst="0" w:colLast="0" w:name="_heading=h.5100xhn2so29" w:id="8"/>
      <w:bookmarkEnd w:id="8"/>
      <w:r w:rsidDel="00000000" w:rsidR="00000000" w:rsidRPr="00000000">
        <w:rPr>
          <w:rtl w:val="0"/>
        </w:rPr>
        <w:t xml:space="preserve">Les parties conviennent que concernant la négociation sur l'égalité professionnelle entre les femmes et les hommes, il est tenu compte des accords conclus sur ce thème au niveau du Groupe.</w:t>
      </w:r>
    </w:p>
    <w:p w:rsidR="00000000" w:rsidDel="00000000" w:rsidP="00000000" w:rsidRDefault="00000000" w:rsidRPr="00000000" w14:paraId="00000034">
      <w:pPr>
        <w:pStyle w:val="Heading2"/>
        <w:numPr>
          <w:ilvl w:val="0"/>
          <w:numId w:val="1"/>
        </w:numPr>
        <w:ind w:left="720" w:hanging="360"/>
        <w:rPr/>
      </w:pPr>
      <w:bookmarkStart w:colFirst="0" w:colLast="0" w:name="_heading=h.fsysr1ctqmz9" w:id="9"/>
      <w:bookmarkEnd w:id="9"/>
      <w:r w:rsidDel="00000000" w:rsidR="00000000" w:rsidRPr="00000000">
        <w:rPr>
          <w:rtl w:val="0"/>
        </w:rPr>
        <w:t xml:space="preserve">Calendrier de négociation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Au regard de la périodicité de la négociation sur l'égalité professionnelle entre les femmes et les hommes, la prochaine négociation sur ce thème s’ouvrira au cours de l’année 2028.</w:t>
      </w:r>
    </w:p>
    <w:p w:rsidR="00000000" w:rsidDel="00000000" w:rsidP="00000000" w:rsidRDefault="00000000" w:rsidRPr="00000000" w14:paraId="00000036">
      <w:pPr>
        <w:pStyle w:val="Heading1"/>
        <w:ind w:left="720" w:firstLine="357"/>
        <w:rPr/>
      </w:pPr>
      <w:bookmarkStart w:colFirst="0" w:colLast="0" w:name="_heading=h.8jlt8dwct9v" w:id="10"/>
      <w:bookmarkEnd w:id="10"/>
      <w:r w:rsidDel="00000000" w:rsidR="00000000" w:rsidRPr="00000000">
        <w:rPr>
          <w:rtl w:val="0"/>
        </w:rPr>
        <w:t xml:space="preserve">Article 3. Dispositions finales</w:t>
      </w:r>
    </w:p>
    <w:p w:rsidR="00000000" w:rsidDel="00000000" w:rsidP="00000000" w:rsidRDefault="00000000" w:rsidRPr="00000000" w14:paraId="00000037">
      <w:pPr>
        <w:pStyle w:val="Heading2"/>
        <w:numPr>
          <w:ilvl w:val="0"/>
          <w:numId w:val="2"/>
        </w:numPr>
        <w:ind w:left="720" w:hanging="360"/>
        <w:rPr/>
      </w:pPr>
      <w:bookmarkStart w:colFirst="0" w:colLast="0" w:name="_heading=h.f8zb8j5dg6c9" w:id="11"/>
      <w:bookmarkEnd w:id="11"/>
      <w:r w:rsidDel="00000000" w:rsidR="00000000" w:rsidRPr="00000000">
        <w:rPr>
          <w:rtl w:val="0"/>
        </w:rPr>
        <w:t xml:space="preserve">Durée de l’accord et prise d’effet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Le présent accord est conclu pour la durée de deux (2) ans, à compter du jour de sa signature. </w:t>
      </w:r>
    </w:p>
    <w:p w:rsidR="00000000" w:rsidDel="00000000" w:rsidP="00000000" w:rsidRDefault="00000000" w:rsidRPr="00000000" w14:paraId="00000039">
      <w:pPr>
        <w:pStyle w:val="Heading2"/>
        <w:numPr>
          <w:ilvl w:val="0"/>
          <w:numId w:val="2"/>
        </w:numPr>
        <w:ind w:left="720" w:hanging="360"/>
        <w:rPr/>
      </w:pPr>
      <w:bookmarkStart w:colFirst="0" w:colLast="0" w:name="_heading=h.pz2gcmz1wffa" w:id="12"/>
      <w:bookmarkEnd w:id="12"/>
      <w:r w:rsidDel="00000000" w:rsidR="00000000" w:rsidRPr="00000000">
        <w:rPr>
          <w:rtl w:val="0"/>
        </w:rPr>
        <w:t xml:space="preserve">Révision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Le présent accord pourra être révisé à tout moment, sous réserve des conditions de validité prévues par les dispositions légales au moment de la demande de révision.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Les négociations seront alors engagées dans les 3 mois suivant la demande de révision, notifiée par lettre recommandée avec accusé de réception.</w:t>
      </w:r>
    </w:p>
    <w:p w:rsidR="00000000" w:rsidDel="00000000" w:rsidP="00000000" w:rsidRDefault="00000000" w:rsidRPr="00000000" w14:paraId="0000003C">
      <w:pPr>
        <w:pStyle w:val="Heading2"/>
        <w:numPr>
          <w:ilvl w:val="0"/>
          <w:numId w:val="2"/>
        </w:numPr>
        <w:ind w:left="720" w:hanging="360"/>
        <w:rPr/>
      </w:pPr>
      <w:bookmarkStart w:colFirst="0" w:colLast="0" w:name="_heading=h.6mr7ypjqhsmz" w:id="13"/>
      <w:bookmarkEnd w:id="13"/>
      <w:r w:rsidDel="00000000" w:rsidR="00000000" w:rsidRPr="00000000">
        <w:rPr>
          <w:rtl w:val="0"/>
        </w:rPr>
        <w:t xml:space="preserve">Clause de rendez-vous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Par ailleurs, en cas d'évolution législative ou conventionnelle susceptible de remettre en cause tout ou partie des dispositions du présent accord, les parties signataires conviennent de se réunir à nouveau, dans un délai d’un mois après la prise d'effet de ces textes, afin d'adapter lesdites dispositions. </w:t>
      </w:r>
    </w:p>
    <w:p w:rsidR="00000000" w:rsidDel="00000000" w:rsidP="00000000" w:rsidRDefault="00000000" w:rsidRPr="00000000" w14:paraId="0000003E">
      <w:pPr>
        <w:pStyle w:val="Heading2"/>
        <w:numPr>
          <w:ilvl w:val="0"/>
          <w:numId w:val="2"/>
        </w:numPr>
        <w:ind w:left="720" w:hanging="360"/>
        <w:rPr/>
      </w:pPr>
      <w:bookmarkStart w:colFirst="0" w:colLast="0" w:name="_heading=h.4ke6ypdghxe7" w:id="14"/>
      <w:bookmarkEnd w:id="14"/>
      <w:r w:rsidDel="00000000" w:rsidR="00000000" w:rsidRPr="00000000">
        <w:rPr>
          <w:rtl w:val="0"/>
        </w:rPr>
        <w:t xml:space="preserve">Conditions de dépôt et publicité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Le présent accord sera déposé et publié conformément aux dispositions légales et réglementaires. 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Fait à LESCAR, le 08 janvier 2026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36"/>
        <w:gridCol w:w="5098"/>
        <w:tblGridChange w:id="0">
          <w:tblGrid>
            <w:gridCol w:w="4536"/>
            <w:gridCol w:w="50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Pour la société EURALIS GASTONOMIE</w:t>
            </w:r>
          </w:p>
          <w:p w:rsidR="00000000" w:rsidDel="00000000" w:rsidP="00000000" w:rsidRDefault="00000000" w:rsidRPr="00000000" w14:paraId="00000044">
            <w:pPr>
              <w:spacing w:after="160" w:line="256" w:lineRule="auto"/>
              <w:rPr/>
            </w:pPr>
            <w:r w:rsidDel="00000000" w:rsidR="00000000" w:rsidRPr="00000000">
              <w:rPr>
                <w:rtl w:val="0"/>
              </w:rPr>
              <w:t xml:space="preserve">__________</w:t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Directrice des relations humaines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Pour l’organisation syndicale représentative CGT</w:t>
            </w:r>
          </w:p>
          <w:p w:rsidR="00000000" w:rsidDel="00000000" w:rsidP="00000000" w:rsidRDefault="00000000" w:rsidRPr="00000000" w14:paraId="00000047">
            <w:pPr>
              <w:spacing w:after="160" w:line="256" w:lineRule="auto"/>
              <w:rPr/>
            </w:pPr>
            <w:r w:rsidDel="00000000" w:rsidR="00000000" w:rsidRPr="00000000">
              <w:rPr>
                <w:rtl w:val="0"/>
              </w:rPr>
              <w:t xml:space="preserve">__________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Pour l’organisation syndicale représentative CFE-CGC</w:t>
            </w:r>
          </w:p>
          <w:p w:rsidR="00000000" w:rsidDel="00000000" w:rsidP="00000000" w:rsidRDefault="00000000" w:rsidRPr="00000000" w14:paraId="0000004E">
            <w:pPr>
              <w:spacing w:after="160" w:line="256" w:lineRule="auto"/>
              <w:rPr/>
            </w:pPr>
            <w:r w:rsidDel="00000000" w:rsidR="00000000" w:rsidRPr="00000000">
              <w:rPr>
                <w:rtl w:val="0"/>
              </w:rPr>
              <w:t xml:space="preserve">__________</w:t>
            </w:r>
          </w:p>
          <w:p w:rsidR="00000000" w:rsidDel="00000000" w:rsidP="00000000" w:rsidRDefault="00000000" w:rsidRPr="00000000" w14:paraId="0000004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Pour l’organisation syndicale représentative CFDT</w:t>
            </w:r>
          </w:p>
          <w:p w:rsidR="00000000" w:rsidDel="00000000" w:rsidP="00000000" w:rsidRDefault="00000000" w:rsidRPr="00000000" w14:paraId="00000055">
            <w:pPr>
              <w:spacing w:after="160" w:line="256" w:lineRule="auto"/>
              <w:rPr/>
            </w:pPr>
            <w:r w:rsidDel="00000000" w:rsidR="00000000" w:rsidRPr="00000000">
              <w:rPr>
                <w:rtl w:val="0"/>
              </w:rPr>
              <w:t xml:space="preserve">__________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Pour l’organisation syndicale représentative FO</w:t>
            </w:r>
          </w:p>
          <w:p w:rsidR="00000000" w:rsidDel="00000000" w:rsidP="00000000" w:rsidRDefault="00000000" w:rsidRPr="00000000" w14:paraId="0000005C">
            <w:pPr>
              <w:spacing w:after="160" w:line="256" w:lineRule="auto"/>
              <w:rPr/>
            </w:pPr>
            <w:r w:rsidDel="00000000" w:rsidR="00000000" w:rsidRPr="00000000">
              <w:rPr>
                <w:rtl w:val="0"/>
              </w:rPr>
              <w:t xml:space="preserve">__________</w:t>
            </w:r>
          </w:p>
          <w:p w:rsidR="00000000" w:rsidDel="00000000" w:rsidP="00000000" w:rsidRDefault="00000000" w:rsidRPr="00000000" w14:paraId="0000005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ind w:left="708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17" w:top="1417" w:left="1417" w:right="141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sur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after="160" w:line="256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360" w:line="257" w:lineRule="auto"/>
      <w:ind w:left="714" w:hanging="357"/>
    </w:pPr>
    <w:rPr>
      <w:b w:val="1"/>
      <w:bCs w:val="1"/>
      <w:color w:val="008a99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240" w:line="257" w:lineRule="auto"/>
      <w:ind w:left="720" w:hanging="360"/>
    </w:pPr>
    <w:rPr>
      <w:b w:val="0"/>
      <w:bCs w:val="0"/>
      <w:color w:val="008a99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  <w:ind w:left="720" w:hanging="720"/>
    </w:pPr>
    <w:rPr>
      <w:rFonts w:ascii="Calibri" w:cs="Calibri" w:eastAsia="Calibri" w:hAnsi="Calibri"/>
      <w:i w:val="1"/>
      <w:iCs w:val="1"/>
      <w:color w:val="008a99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  <w:ind w:left="864" w:hanging="864"/>
    </w:pPr>
    <w:rPr>
      <w:rFonts w:ascii="Calibri" w:cs="Calibri" w:eastAsia="Calibri" w:hAnsi="Calibri"/>
      <w:i w:val="1"/>
      <w:iCs w:val="1"/>
      <w:color w:val="00677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  <w:ind w:left="1008" w:hanging="1008"/>
    </w:pPr>
    <w:rPr>
      <w:rFonts w:ascii="Calibri" w:cs="Calibri" w:eastAsia="Calibri" w:hAnsi="Calibri"/>
      <w:color w:val="00677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  <w:ind w:left="1152" w:hanging="1152"/>
    </w:pPr>
    <w:rPr>
      <w:rFonts w:ascii="Calibri" w:cs="Calibri" w:eastAsia="Calibri" w:hAnsi="Calibri"/>
      <w:color w:val="00444c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Titre7">
    <w:name w:val="heading 7"/>
    <w:basedOn w:val="Normal"/>
    <w:next w:val="Normal"/>
    <w:link w:val="Titre7Car"/>
    <w:uiPriority w:val="9"/>
    <w:semiHidden w:val="1"/>
    <w:unhideWhenUsed w:val="1"/>
    <w:qFormat w:val="1"/>
    <w:rsid w:val="00085C3D"/>
    <w:pPr>
      <w:keepNext w:val="1"/>
      <w:keepLines w:val="1"/>
      <w:numPr>
        <w:ilvl w:val="6"/>
        <w:numId w:val="1"/>
      </w:numPr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00444c" w:themeColor="accent1" w:themeShade="00007F"/>
    </w:rPr>
  </w:style>
  <w:style w:type="paragraph" w:styleId="Titre8">
    <w:name w:val="heading 8"/>
    <w:basedOn w:val="Normal"/>
    <w:next w:val="Normal"/>
    <w:link w:val="Titre8Car"/>
    <w:uiPriority w:val="9"/>
    <w:semiHidden w:val="1"/>
    <w:unhideWhenUsed w:val="1"/>
    <w:qFormat w:val="1"/>
    <w:rsid w:val="00085C3D"/>
    <w:pPr>
      <w:keepNext w:val="1"/>
      <w:keepLines w:val="1"/>
      <w:numPr>
        <w:ilvl w:val="7"/>
        <w:numId w:val="1"/>
      </w:numPr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085C3D"/>
    <w:pPr>
      <w:keepNext w:val="1"/>
      <w:keepLines w:val="1"/>
      <w:numPr>
        <w:ilvl w:val="8"/>
        <w:numId w:val="1"/>
      </w:numPr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443A56"/>
    <w:rPr>
      <w:rFonts w:ascii="Arial" w:eastAsia="Times New Roman" w:hAnsi="Arial"/>
      <w:b w:val="1"/>
      <w:color w:val="008a99" w:themeColor="accent1"/>
      <w:sz w:val="24"/>
    </w:rPr>
  </w:style>
  <w:style w:type="character" w:styleId="Titre2Car" w:customStyle="1">
    <w:name w:val="Titre 2 Car"/>
    <w:basedOn w:val="Policepardfaut"/>
    <w:link w:val="Titre2"/>
    <w:uiPriority w:val="9"/>
    <w:rsid w:val="00443A56"/>
    <w:rPr>
      <w:rFonts w:ascii="Arial" w:hAnsi="Arial" w:cstheme="majorBidi" w:eastAsiaTheme="majorEastAsia"/>
      <w:color w:val="008a99" w:themeColor="accent1"/>
      <w:sz w:val="24"/>
      <w:szCs w:val="26"/>
    </w:rPr>
  </w:style>
  <w:style w:type="character" w:styleId="Titre3Car" w:customStyle="1">
    <w:name w:val="Titre 3 Car"/>
    <w:basedOn w:val="Policepardfaut"/>
    <w:link w:val="Titre3"/>
    <w:uiPriority w:val="9"/>
    <w:rsid w:val="00D06FBD"/>
    <w:rPr>
      <w:rFonts w:asciiTheme="majorHAnsi" w:cstheme="majorBidi" w:eastAsiaTheme="majorEastAsia" w:hAnsiTheme="majorHAnsi"/>
      <w:i w:val="1"/>
      <w:color w:val="008a99" w:themeColor="accent1"/>
      <w:sz w:val="24"/>
      <w:szCs w:val="24"/>
      <w:u w:val="single"/>
    </w:rPr>
  </w:style>
  <w:style w:type="character" w:styleId="Titre4Car" w:customStyle="1">
    <w:name w:val="Titre 4 Car"/>
    <w:basedOn w:val="Policepardfaut"/>
    <w:link w:val="Titre4"/>
    <w:uiPriority w:val="9"/>
    <w:rsid w:val="00B76C19"/>
    <w:rPr>
      <w:rFonts w:asciiTheme="majorHAnsi" w:cstheme="majorBidi" w:eastAsiaTheme="majorEastAsia" w:hAnsiTheme="majorHAnsi"/>
      <w:i w:val="1"/>
      <w:iCs w:val="1"/>
      <w:color w:val="006772" w:themeColor="accent1" w:themeShade="0000BF"/>
    </w:rPr>
  </w:style>
  <w:style w:type="character" w:styleId="Titre5Car" w:customStyle="1">
    <w:name w:val="Titre 5 Car"/>
    <w:basedOn w:val="Policepardfaut"/>
    <w:link w:val="Titre5"/>
    <w:uiPriority w:val="9"/>
    <w:semiHidden w:val="1"/>
    <w:rsid w:val="00B76C19"/>
    <w:rPr>
      <w:rFonts w:asciiTheme="majorHAnsi" w:cstheme="majorBidi" w:eastAsiaTheme="majorEastAsia" w:hAnsiTheme="majorHAnsi"/>
      <w:color w:val="006772" w:themeColor="accent1" w:themeShade="0000BF"/>
    </w:rPr>
  </w:style>
  <w:style w:type="character" w:styleId="Lienhypertexte">
    <w:name w:val="Hyperlink"/>
    <w:basedOn w:val="Policepardfaut"/>
    <w:uiPriority w:val="99"/>
    <w:unhideWhenUsed w:val="1"/>
    <w:rsid w:val="00B76C19"/>
    <w:rPr>
      <w:color w:val="b1c800" w:themeColor="hyperlink"/>
      <w:u w:val="single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B76C19"/>
    <w:rPr>
      <w:color w:val="389527" w:themeColor="followedHyperlink"/>
      <w:u w:val="single"/>
    </w:rPr>
  </w:style>
  <w:style w:type="paragraph" w:styleId="msonormal0" w:customStyle="1">
    <w:name w:val="msonormal"/>
    <w:basedOn w:val="Normal"/>
    <w:rsid w:val="00B76C19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fr-FR"/>
    </w:rPr>
  </w:style>
  <w:style w:type="paragraph" w:styleId="TM1">
    <w:name w:val="toc 1"/>
    <w:basedOn w:val="Normal"/>
    <w:next w:val="Normal"/>
    <w:autoRedefine w:val="1"/>
    <w:uiPriority w:val="39"/>
    <w:unhideWhenUsed w:val="1"/>
    <w:rsid w:val="00800A98"/>
    <w:pPr>
      <w:tabs>
        <w:tab w:val="right" w:leader="dot" w:pos="9062"/>
      </w:tabs>
      <w:spacing w:after="0" w:line="257" w:lineRule="auto"/>
    </w:pPr>
  </w:style>
  <w:style w:type="paragraph" w:styleId="TM2">
    <w:name w:val="toc 2"/>
    <w:basedOn w:val="Normal"/>
    <w:next w:val="Normal"/>
    <w:autoRedefine w:val="1"/>
    <w:uiPriority w:val="39"/>
    <w:unhideWhenUsed w:val="1"/>
    <w:rsid w:val="00B76C19"/>
    <w:pPr>
      <w:tabs>
        <w:tab w:val="right" w:leader="dot" w:pos="9062"/>
      </w:tabs>
      <w:spacing w:after="0" w:line="240" w:lineRule="auto"/>
      <w:ind w:left="221"/>
    </w:pPr>
  </w:style>
  <w:style w:type="paragraph" w:styleId="TM3">
    <w:name w:val="toc 3"/>
    <w:basedOn w:val="Normal"/>
    <w:next w:val="Normal"/>
    <w:autoRedefine w:val="1"/>
    <w:uiPriority w:val="39"/>
    <w:unhideWhenUsed w:val="1"/>
    <w:rsid w:val="00B76C19"/>
    <w:pPr>
      <w:spacing w:after="100"/>
      <w:ind w:left="440"/>
    </w:pPr>
  </w:style>
  <w:style w:type="paragraph" w:styleId="TM4">
    <w:name w:val="toc 4"/>
    <w:basedOn w:val="Normal"/>
    <w:next w:val="Normal"/>
    <w:autoRedefine w:val="1"/>
    <w:uiPriority w:val="39"/>
    <w:unhideWhenUsed w:val="1"/>
    <w:rsid w:val="00B76C19"/>
    <w:pPr>
      <w:spacing w:after="100"/>
      <w:ind w:left="660"/>
    </w:pPr>
  </w:style>
  <w:style w:type="paragraph" w:styleId="Commentaire">
    <w:name w:val="annotation text"/>
    <w:basedOn w:val="Normal"/>
    <w:link w:val="CommentaireCar"/>
    <w:uiPriority w:val="99"/>
    <w:semiHidden w:val="1"/>
    <w:unhideWhenUsed w:val="1"/>
    <w:rsid w:val="00B76C19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 w:val="1"/>
    <w:rsid w:val="00B76C19"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 w:val="1"/>
    <w:rsid w:val="00B76C19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B76C19"/>
  </w:style>
  <w:style w:type="paragraph" w:styleId="Pieddepage">
    <w:name w:val="footer"/>
    <w:basedOn w:val="Normal"/>
    <w:link w:val="PieddepageCar"/>
    <w:uiPriority w:val="99"/>
    <w:unhideWhenUsed w:val="1"/>
    <w:rsid w:val="00B76C19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76C1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B76C19"/>
    <w:rPr>
      <w:b w:val="1"/>
      <w:bCs w:val="1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B76C19"/>
    <w:rPr>
      <w:b w:val="1"/>
      <w:bCs w:val="1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B76C1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B76C19"/>
    <w:rPr>
      <w:rFonts w:ascii="Segoe UI" w:cs="Segoe UI" w:hAnsi="Segoe UI"/>
      <w:sz w:val="18"/>
      <w:szCs w:val="18"/>
    </w:rPr>
  </w:style>
  <w:style w:type="paragraph" w:styleId="Rvision">
    <w:name w:val="Revision"/>
    <w:uiPriority w:val="99"/>
    <w:semiHidden w:val="1"/>
    <w:rsid w:val="00B76C19"/>
    <w:pPr>
      <w:spacing w:after="0" w:line="240" w:lineRule="auto"/>
    </w:pPr>
  </w:style>
  <w:style w:type="paragraph" w:styleId="Paragraphedeliste">
    <w:name w:val="List Paragraph"/>
    <w:aliases w:val="Bullets,tiret synthèse,Normal a.,tiret synth?se,Sémaphores Puces,Sous catégorie,PBM ART,Conclusion de partie,Body Texte,Para. de Liste,Par. de liste,lp1,Liste à puce,Paragraphe 3,Level 1 Puce,Puces,Bullet List,Liste 1,Puces Niveau 1"/>
    <w:basedOn w:val="Normal"/>
    <w:link w:val="ParagraphedelisteCar"/>
    <w:uiPriority w:val="34"/>
    <w:qFormat w:val="1"/>
    <w:rsid w:val="00B76C19"/>
    <w:pPr>
      <w:ind w:left="720"/>
      <w:contextualSpacing w:val="1"/>
    </w:pPr>
  </w:style>
  <w:style w:type="paragraph" w:styleId="En-ttedetabledesmatires">
    <w:name w:val="TOC Heading"/>
    <w:basedOn w:val="Titre1"/>
    <w:next w:val="Normal"/>
    <w:uiPriority w:val="39"/>
    <w:semiHidden w:val="1"/>
    <w:unhideWhenUsed w:val="1"/>
    <w:qFormat w:val="1"/>
    <w:rsid w:val="00B76C19"/>
    <w:pPr>
      <w:keepNext w:val="1"/>
      <w:keepLines w:val="1"/>
      <w:spacing w:after="0" w:before="240"/>
      <w:jc w:val="left"/>
      <w:outlineLvl w:val="9"/>
    </w:pPr>
    <w:rPr>
      <w:rFonts w:asciiTheme="majorHAnsi" w:cstheme="majorBidi" w:eastAsiaTheme="majorEastAsia" w:hAnsiTheme="majorHAnsi"/>
      <w:b w:val="0"/>
      <w:color w:val="006772" w:themeColor="accent1" w:themeShade="0000BF"/>
      <w:sz w:val="32"/>
      <w:szCs w:val="32"/>
      <w:lang w:eastAsia="fr-FR"/>
    </w:rPr>
  </w:style>
  <w:style w:type="character" w:styleId="Marquedecommentaire">
    <w:name w:val="annotation reference"/>
    <w:basedOn w:val="Policepardfaut"/>
    <w:uiPriority w:val="99"/>
    <w:semiHidden w:val="1"/>
    <w:unhideWhenUsed w:val="1"/>
    <w:rsid w:val="00B76C19"/>
    <w:rPr>
      <w:sz w:val="16"/>
      <w:szCs w:val="16"/>
    </w:rPr>
  </w:style>
  <w:style w:type="character" w:styleId="normaltextrun" w:customStyle="1">
    <w:name w:val="normaltextrun"/>
    <w:basedOn w:val="Policepardfaut"/>
    <w:rsid w:val="00B76C19"/>
  </w:style>
  <w:style w:type="character" w:styleId="eop" w:customStyle="1">
    <w:name w:val="eop"/>
    <w:basedOn w:val="Policepardfaut"/>
    <w:rsid w:val="00B76C19"/>
  </w:style>
  <w:style w:type="character" w:styleId="qw-form-var" w:customStyle="1">
    <w:name w:val="qw-form-var"/>
    <w:basedOn w:val="Policepardfaut"/>
    <w:rsid w:val="00B76C19"/>
  </w:style>
  <w:style w:type="table" w:styleId="Grilledutableau">
    <w:name w:val="Table Grid"/>
    <w:basedOn w:val="TableauNormal"/>
    <w:uiPriority w:val="39"/>
    <w:rsid w:val="00B76C19"/>
    <w:pPr>
      <w:spacing w:after="0" w:line="240" w:lineRule="auto"/>
    </w:p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ansinterligne">
    <w:name w:val="No Spacing"/>
    <w:uiPriority w:val="1"/>
    <w:qFormat w:val="1"/>
    <w:rsid w:val="00B76C19"/>
    <w:pPr>
      <w:spacing w:after="0" w:line="240" w:lineRule="auto"/>
      <w:jc w:val="both"/>
    </w:pPr>
    <w:rPr>
      <w:rFonts w:ascii="Arial" w:hAnsi="Arial"/>
    </w:rPr>
  </w:style>
  <w:style w:type="character" w:styleId="TitreCar" w:customStyle="1">
    <w:name w:val="Titre Car"/>
    <w:basedOn w:val="Policepardfaut"/>
    <w:link w:val="Titre"/>
    <w:uiPriority w:val="10"/>
    <w:rsid w:val="002068E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unhideWhenUsed w:val="1"/>
    <w:rsid w:val="001026BC"/>
    <w:pPr>
      <w:spacing w:after="100" w:afterAutospacing="1" w:before="100" w:beforeAutospacing="1" w:line="240" w:lineRule="auto"/>
      <w:jc w:val="left"/>
    </w:pPr>
    <w:rPr>
      <w:rFonts w:ascii="Times New Roman" w:cs="Times New Roman" w:eastAsia="Times New Roman" w:hAnsi="Times New Roman"/>
      <w:sz w:val="24"/>
      <w:szCs w:val="24"/>
      <w:lang w:eastAsia="fr-FR"/>
    </w:rPr>
  </w:style>
  <w:style w:type="character" w:styleId="ParagraphedelisteCar" w:customStyle="1">
    <w:name w:val="Paragraphe de liste Car"/>
    <w:aliases w:val="Bullets Car,tiret synthèse Car,Normal a. Car,tiret synth?se Car,Sémaphores Puces Car,Sous catégorie Car,PBM ART Car,Conclusion de partie Car,Body Texte Car,Para. de Liste Car,Par. de liste Car,lp1 Car,Liste à puce Car,Puces Car"/>
    <w:basedOn w:val="Policepardfaut"/>
    <w:link w:val="Paragraphedeliste"/>
    <w:uiPriority w:val="34"/>
    <w:qFormat w:val="1"/>
    <w:locked w:val="1"/>
    <w:rsid w:val="000C6E84"/>
    <w:rPr>
      <w:rFonts w:ascii="Arial" w:hAnsi="Arial"/>
    </w:rPr>
  </w:style>
  <w:style w:type="character" w:styleId="Titre6Car" w:customStyle="1">
    <w:name w:val="Titre 6 Car"/>
    <w:basedOn w:val="Policepardfaut"/>
    <w:link w:val="Titre6"/>
    <w:uiPriority w:val="9"/>
    <w:semiHidden w:val="1"/>
    <w:rsid w:val="00085C3D"/>
    <w:rPr>
      <w:rFonts w:asciiTheme="majorHAnsi" w:cstheme="majorBidi" w:eastAsiaTheme="majorEastAsia" w:hAnsiTheme="majorHAnsi"/>
      <w:color w:val="00444c" w:themeColor="accent1" w:themeShade="00007F"/>
    </w:rPr>
  </w:style>
  <w:style w:type="character" w:styleId="Titre7Car" w:customStyle="1">
    <w:name w:val="Titre 7 Car"/>
    <w:basedOn w:val="Policepardfaut"/>
    <w:link w:val="Titre7"/>
    <w:uiPriority w:val="9"/>
    <w:semiHidden w:val="1"/>
    <w:rsid w:val="00085C3D"/>
    <w:rPr>
      <w:rFonts w:asciiTheme="majorHAnsi" w:cstheme="majorBidi" w:eastAsiaTheme="majorEastAsia" w:hAnsiTheme="majorHAnsi"/>
      <w:i w:val="1"/>
      <w:iCs w:val="1"/>
      <w:color w:val="00444c" w:themeColor="accent1" w:themeShade="00007F"/>
    </w:rPr>
  </w:style>
  <w:style w:type="character" w:styleId="Titre8Car" w:customStyle="1">
    <w:name w:val="Titre 8 Car"/>
    <w:basedOn w:val="Policepardfaut"/>
    <w:link w:val="Titre8"/>
    <w:uiPriority w:val="9"/>
    <w:semiHidden w:val="1"/>
    <w:rsid w:val="00085C3D"/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085C3D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numbering" w:styleId="Style1" w:customStyle="1">
    <w:name w:val="Style1"/>
    <w:uiPriority w:val="99"/>
    <w:rsid w:val="00085C3D"/>
    <w:pPr>
      <w:numPr>
        <w:numId w:val="2"/>
      </w:numPr>
    </w:pPr>
  </w:style>
  <w:style w:type="character" w:styleId="Accentuation">
    <w:name w:val="Emphasis"/>
    <w:basedOn w:val="Policepardfaut"/>
    <w:uiPriority w:val="20"/>
    <w:qFormat w:val="1"/>
    <w:rsid w:val="00471246"/>
    <w:rPr>
      <w:i w:val="1"/>
      <w:iCs w:val="1"/>
    </w:rPr>
  </w:style>
  <w:style w:type="character" w:styleId="Mentionnonrsolue">
    <w:name w:val="Unresolved Mention"/>
    <w:basedOn w:val="Policepardfaut"/>
    <w:uiPriority w:val="99"/>
    <w:semiHidden w:val="1"/>
    <w:unhideWhenUsed w:val="1"/>
    <w:rsid w:val="00A70A20"/>
    <w:rPr>
      <w:color w:val="605e5c"/>
      <w:shd w:color="auto" w:fill="e1dfdd" w:val="clear"/>
    </w:rPr>
  </w:style>
  <w:style w:type="character" w:styleId="citation-27" w:customStyle="1">
    <w:name w:val="citation-27"/>
    <w:basedOn w:val="Policepardfaut"/>
    <w:rsid w:val="00800A98"/>
  </w:style>
  <w:style w:type="paragraph" w:styleId="Notedebasdepage">
    <w:name w:val="footnote text"/>
    <w:basedOn w:val="Normal"/>
    <w:link w:val="NotedebasdepageCar"/>
    <w:uiPriority w:val="99"/>
    <w:semiHidden w:val="1"/>
    <w:unhideWhenUsed w:val="1"/>
    <w:rsid w:val="005E7B81"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 w:val="1"/>
    <w:rsid w:val="005E7B81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 w:val="1"/>
    <w:unhideWhenUsed w:val="1"/>
    <w:rsid w:val="005E7B8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EURALIS GASTRONOMI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8A99"/>
      </a:accent1>
      <a:accent2>
        <a:srgbClr val="85DBD9"/>
      </a:accent2>
      <a:accent3>
        <a:srgbClr val="A5A5A5"/>
      </a:accent3>
      <a:accent4>
        <a:srgbClr val="FFC000"/>
      </a:accent4>
      <a:accent5>
        <a:srgbClr val="121037"/>
      </a:accent5>
      <a:accent6>
        <a:srgbClr val="AF003A"/>
      </a:accent6>
      <a:hlink>
        <a:srgbClr val="B1C800"/>
      </a:hlink>
      <a:folHlink>
        <a:srgbClr val="389527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6jlBB95ps/dh7fWsmR1+3BYFiQ==">CgMxLjAyDmguM2JuODA2MWV1OGYxMg5oLjFmYmo2MzdmbG9kczIOaC4zNHVwZHNhaXlyenQyDmgueDU2amxpc3E2MmtlMg5oLnMyN3E4b29lcnRiMTIOaC5ncDFkdDJtY2Z5bTMyDmguZmJ6NnF2Ynhieml2Mg5oLnJsNXpsZGlkdTI0cDIOaC41MTAweGhuMnNvMjkyDmguZnN5c3IxY3RxbXo5Mg1oLjhqbHQ4ZHdjdDl2Mg5oLmY4emI4ajVkZzZjOTIOaC5wejJnY216MXdmZmEyDmguNm1yN3lwanFoc216Mg5oLjRrZTZ5cGRnaHhlNzgAciExVVNleHBXTnRodWRkWmhyNVF0WjJYWkJ1bW42OGNVM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2026-01-09T09:12:00Z</dcterms:created>
  <dc:creator>Dorothee HAUREZ</dc:creator>
</cp:coreProperties>
</file>