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3B5" w:rsidRPr="00A713B5" w:rsidRDefault="00A713B5" w:rsidP="00A713B5">
      <w:pPr>
        <w:spacing w:after="0" w:line="276" w:lineRule="auto"/>
        <w:jc w:val="center"/>
        <w:rPr>
          <w:rFonts w:ascii="Plus Jakarta Sans" w:eastAsia="Cambria" w:hAnsi="Plus Jakarta Sans" w:cs="Times New Roman"/>
          <w:b/>
          <w:bCs/>
          <w:color w:val="002EB5"/>
          <w:kern w:val="2"/>
          <w:sz w:val="32"/>
          <w:szCs w:val="32"/>
          <w14:ligatures w14:val="standardContextual"/>
        </w:rPr>
      </w:pPr>
      <w:r w:rsidRPr="00A713B5">
        <w:rPr>
          <w:rFonts w:ascii="Plus Jakarta Sans" w:eastAsia="Cambria" w:hAnsi="Plus Jakarta Sans" w:cs="Times New Roman"/>
          <w:b/>
          <w:bCs/>
          <w:color w:val="002EB5"/>
          <w:kern w:val="2"/>
          <w:sz w:val="32"/>
          <w:szCs w:val="32"/>
          <w14:ligatures w14:val="standardContextual"/>
        </w:rPr>
        <w:t>ACCORD COLLECTIF SUR LA MISE EN OEUVRE DU VOTE ELECTRONIQUE DANS L’ENTREPRISE UDAF 67</w:t>
      </w:r>
    </w:p>
    <w:p w:rsidR="00A713B5" w:rsidRPr="00A713B5" w:rsidRDefault="00A713B5" w:rsidP="00A713B5">
      <w:pPr>
        <w:shd w:val="clear" w:color="auto" w:fill="FFFFFF"/>
        <w:spacing w:before="100" w:beforeAutospacing="1" w:after="100" w:afterAutospacing="1" w:line="240" w:lineRule="auto"/>
        <w:jc w:val="both"/>
        <w:rPr>
          <w:rFonts w:ascii="Calibri" w:eastAsia="MS Mincho" w:hAnsi="Calibri" w:cs="Times New Roman"/>
          <w:color w:val="333333"/>
          <w:sz w:val="32"/>
          <w:szCs w:val="24"/>
          <w:lang w:eastAsia="fr-FR"/>
        </w:rPr>
      </w:pPr>
    </w:p>
    <w:p w:rsidR="00A713B5" w:rsidRPr="00A713B5" w:rsidRDefault="00A713B5" w:rsidP="00A713B5">
      <w:pPr>
        <w:spacing w:after="0" w:line="276" w:lineRule="auto"/>
        <w:jc w:val="both"/>
        <w:rPr>
          <w:rFonts w:ascii="Plus Jakarta Sans" w:eastAsia="Aptos" w:hAnsi="Plus Jakarta Sans" w:cs="Times New Roman"/>
          <w:kern w:val="2"/>
          <w:sz w:val="24"/>
          <w:szCs w:val="20"/>
          <w14:ligatures w14:val="standardContextual"/>
        </w:rPr>
      </w:pPr>
      <w:r w:rsidRPr="00A713B5">
        <w:rPr>
          <w:rFonts w:ascii="Plus Jakarta Sans" w:eastAsia="Aptos" w:hAnsi="Plus Jakarta Sans" w:cs="Times New Roman"/>
          <w:b/>
          <w:bCs/>
          <w:color w:val="002EB5"/>
          <w:kern w:val="2"/>
          <w:sz w:val="24"/>
          <w:szCs w:val="20"/>
          <w14:ligatures w14:val="standardContextual"/>
        </w:rPr>
        <w:t>L’UDAF du Bas-Rhin</w:t>
      </w:r>
      <w:r w:rsidRPr="00A713B5">
        <w:rPr>
          <w:rFonts w:ascii="Plus Jakarta Sans" w:eastAsia="Aptos" w:hAnsi="Plus Jakarta Sans" w:cs="Times New Roman"/>
          <w:kern w:val="2"/>
          <w:sz w:val="24"/>
          <w:szCs w:val="20"/>
          <w14:ligatures w14:val="standardContextual"/>
        </w:rPr>
        <w:t xml:space="preserve">, Association de droit local, dont le siège social est situé 19 rue du Faubourg National 67000 Strasbourg, représentée par sa Présidente en exercice, </w:t>
      </w:r>
    </w:p>
    <w:p w:rsidR="00A713B5" w:rsidRPr="00A713B5" w:rsidRDefault="00A713B5" w:rsidP="00A713B5">
      <w:pPr>
        <w:spacing w:after="0" w:line="276" w:lineRule="auto"/>
        <w:jc w:val="right"/>
        <w:rPr>
          <w:rFonts w:ascii="Plus Jakarta Sans" w:eastAsia="Aptos" w:hAnsi="Plus Jakarta Sans" w:cs="Times New Roman"/>
          <w:b/>
          <w:bCs/>
          <w:i/>
          <w:iCs/>
          <w:kern w:val="2"/>
          <w:sz w:val="24"/>
          <w:szCs w:val="20"/>
          <w14:ligatures w14:val="standardContextual"/>
        </w:rPr>
      </w:pPr>
      <w:r w:rsidRPr="00A713B5">
        <w:rPr>
          <w:rFonts w:ascii="Plus Jakarta Sans" w:eastAsia="Aptos" w:hAnsi="Plus Jakarta Sans" w:cs="Times New Roman"/>
          <w:b/>
          <w:bCs/>
          <w:i/>
          <w:iCs/>
          <w:kern w:val="2"/>
          <w:sz w:val="24"/>
          <w:szCs w:val="20"/>
          <w14:ligatures w14:val="standardContextual"/>
        </w:rPr>
        <w:t>d’une part,</w:t>
      </w:r>
    </w:p>
    <w:p w:rsidR="00A713B5" w:rsidRPr="00A713B5" w:rsidRDefault="00A713B5" w:rsidP="00A713B5">
      <w:pPr>
        <w:spacing w:after="0" w:line="276" w:lineRule="auto"/>
        <w:jc w:val="both"/>
        <w:rPr>
          <w:rFonts w:ascii="Plus Jakarta Sans" w:eastAsia="Aptos"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Aptos" w:hAnsi="Plus Jakarta Sans" w:cs="Times New Roman"/>
          <w:b/>
          <w:bCs/>
          <w:color w:val="002EB5"/>
          <w:kern w:val="2"/>
          <w:sz w:val="24"/>
          <w:szCs w:val="20"/>
          <w14:ligatures w14:val="standardContextual"/>
        </w:rPr>
      </w:pPr>
      <w:r w:rsidRPr="00A713B5">
        <w:rPr>
          <w:rFonts w:ascii="Plus Jakarta Sans" w:eastAsia="Aptos" w:hAnsi="Plus Jakarta Sans" w:cs="Times New Roman"/>
          <w:b/>
          <w:bCs/>
          <w:color w:val="002EB5"/>
          <w:kern w:val="2"/>
          <w:sz w:val="24"/>
          <w:szCs w:val="20"/>
          <w14:ligatures w14:val="standardContextual"/>
        </w:rPr>
        <w:t>ET,</w:t>
      </w:r>
    </w:p>
    <w:p w:rsidR="00A713B5" w:rsidRPr="00A713B5" w:rsidRDefault="00A713B5" w:rsidP="00A713B5">
      <w:pPr>
        <w:spacing w:after="0" w:line="276" w:lineRule="auto"/>
        <w:jc w:val="both"/>
        <w:rPr>
          <w:rFonts w:ascii="Plus Jakarta Sans" w:eastAsia="Aptos"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Aptos" w:hAnsi="Plus Jakarta Sans" w:cs="Times New Roman"/>
          <w:kern w:val="2"/>
          <w:sz w:val="24"/>
          <w:szCs w:val="20"/>
          <w14:ligatures w14:val="standardContextual"/>
        </w:rPr>
      </w:pPr>
      <w:r w:rsidRPr="00A713B5">
        <w:rPr>
          <w:rFonts w:ascii="Plus Jakarta Sans" w:eastAsia="Aptos" w:hAnsi="Plus Jakarta Sans" w:cs="Times New Roman"/>
          <w:b/>
          <w:bCs/>
          <w:color w:val="002EB5"/>
          <w:kern w:val="2"/>
          <w:sz w:val="24"/>
          <w:szCs w:val="20"/>
          <w14:ligatures w14:val="standardContextual"/>
        </w:rPr>
        <w:t>L'Organisation syndicale F.O.</w:t>
      </w:r>
      <w:r w:rsidRPr="00A713B5">
        <w:rPr>
          <w:rFonts w:ascii="Plus Jakarta Sans" w:eastAsia="Aptos" w:hAnsi="Plus Jakarta Sans" w:cs="Times New Roman"/>
          <w:color w:val="002EB5"/>
          <w:kern w:val="2"/>
          <w:sz w:val="24"/>
          <w:szCs w:val="20"/>
          <w14:ligatures w14:val="standardContextual"/>
        </w:rPr>
        <w:t xml:space="preserve">, </w:t>
      </w:r>
      <w:r w:rsidRPr="00A713B5">
        <w:rPr>
          <w:rFonts w:ascii="Plus Jakarta Sans" w:eastAsia="Aptos" w:hAnsi="Plus Jakarta Sans" w:cs="Times New Roman"/>
          <w:kern w:val="2"/>
          <w:sz w:val="24"/>
          <w:szCs w:val="20"/>
          <w14:ligatures w14:val="standardContextual"/>
        </w:rPr>
        <w:t xml:space="preserve">représentée par </w:t>
      </w:r>
    </w:p>
    <w:p w:rsidR="00A713B5" w:rsidRPr="00A713B5" w:rsidRDefault="00A713B5" w:rsidP="00A713B5">
      <w:pPr>
        <w:spacing w:after="0" w:line="276" w:lineRule="auto"/>
        <w:jc w:val="right"/>
        <w:rPr>
          <w:rFonts w:ascii="Plus Jakarta Sans" w:eastAsia="Aptos" w:hAnsi="Plus Jakarta Sans" w:cs="Times New Roman"/>
          <w:b/>
          <w:bCs/>
          <w:i/>
          <w:iCs/>
          <w:kern w:val="2"/>
          <w:sz w:val="24"/>
          <w:szCs w:val="20"/>
          <w14:ligatures w14:val="standardContextual"/>
        </w:rPr>
      </w:pPr>
      <w:r w:rsidRPr="00A713B5">
        <w:rPr>
          <w:rFonts w:ascii="Plus Jakarta Sans" w:eastAsia="Aptos" w:hAnsi="Plus Jakarta Sans" w:cs="Times New Roman"/>
          <w:b/>
          <w:bCs/>
          <w:i/>
          <w:iCs/>
          <w:kern w:val="2"/>
          <w:sz w:val="24"/>
          <w:szCs w:val="20"/>
          <w14:ligatures w14:val="standardContextual"/>
        </w:rPr>
        <w:t>d’une part,</w:t>
      </w:r>
    </w:p>
    <w:sdt>
      <w:sdtPr>
        <w:rPr>
          <w:rFonts w:ascii="Cambria" w:eastAsia="MS Mincho" w:hAnsi="Cambria" w:cs="Times New Roman"/>
          <w:sz w:val="24"/>
          <w:szCs w:val="24"/>
          <w:lang w:eastAsia="fr-FR"/>
        </w:rPr>
        <w:id w:val="-186068777"/>
        <w:docPartObj>
          <w:docPartGallery w:val="Table of Contents"/>
          <w:docPartUnique/>
        </w:docPartObj>
      </w:sdtPr>
      <w:sdtEndPr>
        <w:rPr>
          <w:b/>
          <w:bCs/>
        </w:rPr>
      </w:sdtEndPr>
      <w:sdtContent>
        <w:p w:rsidR="00A713B5" w:rsidRPr="00A713B5" w:rsidRDefault="00A713B5" w:rsidP="00A713B5">
          <w:pPr>
            <w:keepNext/>
            <w:keepLines/>
            <w:spacing w:before="240" w:after="0"/>
            <w:rPr>
              <w:rFonts w:ascii="Calibri" w:eastAsia="MS Gothic" w:hAnsi="Calibri" w:cs="Times New Roman"/>
              <w:color w:val="365F91"/>
              <w:sz w:val="32"/>
              <w:szCs w:val="32"/>
              <w:lang w:eastAsia="fr-FR"/>
            </w:rPr>
          </w:pPr>
          <w:r w:rsidRPr="00A713B5">
            <w:rPr>
              <w:rFonts w:ascii="Calibri" w:eastAsia="MS Gothic" w:hAnsi="Calibri" w:cs="Times New Roman"/>
              <w:color w:val="365F91"/>
              <w:sz w:val="32"/>
              <w:szCs w:val="32"/>
              <w:lang w:eastAsia="fr-FR"/>
            </w:rPr>
            <w:t>Table des matières</w:t>
          </w:r>
        </w:p>
        <w:p w:rsidR="00A713B5" w:rsidRPr="00A713B5" w:rsidRDefault="00A713B5" w:rsidP="00A713B5">
          <w:pPr>
            <w:tabs>
              <w:tab w:val="right" w:leader="dot" w:pos="9056"/>
            </w:tabs>
            <w:spacing w:after="100" w:line="240" w:lineRule="auto"/>
            <w:rPr>
              <w:rFonts w:ascii="Cambria" w:eastAsia="MS Mincho" w:hAnsi="Cambria" w:cs="Times New Roman"/>
              <w:noProof/>
              <w:sz w:val="24"/>
              <w:szCs w:val="24"/>
              <w:lang w:eastAsia="fr-FR"/>
            </w:rPr>
          </w:pPr>
          <w:r w:rsidRPr="00A713B5">
            <w:rPr>
              <w:rFonts w:ascii="Cambria" w:eastAsia="MS Mincho" w:hAnsi="Cambria" w:cs="Times New Roman"/>
              <w:sz w:val="24"/>
              <w:szCs w:val="24"/>
              <w:lang w:eastAsia="fr-FR"/>
            </w:rPr>
            <w:fldChar w:fldCharType="begin"/>
          </w:r>
          <w:r w:rsidRPr="00A713B5">
            <w:rPr>
              <w:rFonts w:ascii="Cambria" w:eastAsia="MS Mincho" w:hAnsi="Cambria" w:cs="Times New Roman"/>
              <w:sz w:val="24"/>
              <w:szCs w:val="24"/>
              <w:lang w:eastAsia="fr-FR"/>
            </w:rPr>
            <w:instrText xml:space="preserve"> TOC \o "1-3" \h \z \u </w:instrText>
          </w:r>
          <w:r w:rsidRPr="00A713B5">
            <w:rPr>
              <w:rFonts w:ascii="Cambria" w:eastAsia="MS Mincho" w:hAnsi="Cambria" w:cs="Times New Roman"/>
              <w:sz w:val="24"/>
              <w:szCs w:val="24"/>
              <w:lang w:eastAsia="fr-FR"/>
            </w:rPr>
            <w:fldChar w:fldCharType="separate"/>
          </w:r>
          <w:hyperlink w:anchor="_Toc223095266" w:history="1">
            <w:r w:rsidRPr="00A713B5">
              <w:rPr>
                <w:rFonts w:ascii="Plus Jakarta Sans" w:eastAsia="Cambria" w:hAnsi="Plus Jakarta Sans" w:cs="Times New Roman"/>
                <w:b/>
                <w:bCs/>
                <w:noProof/>
                <w:color w:val="0000FF"/>
                <w:kern w:val="2"/>
                <w:sz w:val="24"/>
                <w:szCs w:val="24"/>
                <w:u w:val="single"/>
                <w14:ligatures w14:val="standardContextual"/>
              </w:rPr>
              <w:t>Préambule</w:t>
            </w:r>
            <w:r w:rsidRPr="00A713B5">
              <w:rPr>
                <w:rFonts w:ascii="Cambria" w:eastAsia="MS Mincho" w:hAnsi="Cambria" w:cs="Times New Roman"/>
                <w:noProof/>
                <w:webHidden/>
                <w:sz w:val="24"/>
                <w:szCs w:val="24"/>
                <w:lang w:eastAsia="fr-FR"/>
              </w:rPr>
              <w:tab/>
            </w:r>
            <w:r w:rsidRPr="00A713B5">
              <w:rPr>
                <w:rFonts w:ascii="Cambria" w:eastAsia="MS Mincho" w:hAnsi="Cambria" w:cs="Times New Roman"/>
                <w:noProof/>
                <w:webHidden/>
                <w:sz w:val="24"/>
                <w:szCs w:val="24"/>
                <w:lang w:eastAsia="fr-FR"/>
              </w:rPr>
              <w:fldChar w:fldCharType="begin"/>
            </w:r>
            <w:r w:rsidRPr="00A713B5">
              <w:rPr>
                <w:rFonts w:ascii="Cambria" w:eastAsia="MS Mincho" w:hAnsi="Cambria" w:cs="Times New Roman"/>
                <w:noProof/>
                <w:webHidden/>
                <w:sz w:val="24"/>
                <w:szCs w:val="24"/>
                <w:lang w:eastAsia="fr-FR"/>
              </w:rPr>
              <w:instrText xml:space="preserve"> PAGEREF _Toc223095266 \h </w:instrText>
            </w:r>
            <w:r w:rsidRPr="00A713B5">
              <w:rPr>
                <w:rFonts w:ascii="Cambria" w:eastAsia="MS Mincho" w:hAnsi="Cambria" w:cs="Times New Roman"/>
                <w:noProof/>
                <w:webHidden/>
                <w:sz w:val="24"/>
                <w:szCs w:val="24"/>
                <w:lang w:eastAsia="fr-FR"/>
              </w:rPr>
            </w:r>
            <w:r w:rsidRPr="00A713B5">
              <w:rPr>
                <w:rFonts w:ascii="Cambria" w:eastAsia="MS Mincho" w:hAnsi="Cambria" w:cs="Times New Roman"/>
                <w:noProof/>
                <w:webHidden/>
                <w:sz w:val="24"/>
                <w:szCs w:val="24"/>
                <w:lang w:eastAsia="fr-FR"/>
              </w:rPr>
              <w:fldChar w:fldCharType="separate"/>
            </w:r>
            <w:r w:rsidRPr="00A713B5">
              <w:rPr>
                <w:rFonts w:ascii="Cambria" w:eastAsia="MS Mincho" w:hAnsi="Cambria" w:cs="Times New Roman"/>
                <w:noProof/>
                <w:webHidden/>
                <w:sz w:val="24"/>
                <w:szCs w:val="24"/>
                <w:lang w:eastAsia="fr-FR"/>
              </w:rPr>
              <w:t>1</w:t>
            </w:r>
            <w:r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67"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1. Portée du présent accord</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_Toc223095267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1</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68"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2. Durée du présent accord</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_Toc223095268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1</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69"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3. Adhésion au présent accord</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_Toc223095269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0"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4. Modification éventuelle du présent accord</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_Toc223095270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1"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5. Sélection du prestataire</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_Toc223095271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2"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6. Respect du RGPD - Règlement (UE) 2016/679 du Parlement européen et du Conseil du 27 avril 2016</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_Toc223095272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3"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7. Modalités d’organisation du vote électronique</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_Toc223095273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4"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8. Cellule d’assistance technique et formation</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_Toc223095274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853A97" w:rsidP="00A713B5">
          <w:pPr>
            <w:tabs>
              <w:tab w:val="right" w:leader="dot" w:pos="9056"/>
            </w:tabs>
            <w:spacing w:after="100" w:line="240" w:lineRule="auto"/>
            <w:rPr>
              <w:rFonts w:ascii="Cambria" w:eastAsia="MS Mincho" w:hAnsi="Cambria" w:cs="Times New Roman"/>
              <w:noProof/>
              <w:sz w:val="24"/>
              <w:szCs w:val="24"/>
              <w:lang w:eastAsia="fr-FR"/>
            </w:rPr>
          </w:pPr>
          <w:hyperlink w:anchor="_Toc223095275" w:history="1">
            <w:r w:rsidR="00A713B5" w:rsidRPr="00A713B5">
              <w:rPr>
                <w:rFonts w:ascii="Plus Jakarta Sans" w:eastAsia="Cambria" w:hAnsi="Plus Jakarta Sans" w:cs="Times New Roman"/>
                <w:b/>
                <w:bCs/>
                <w:noProof/>
                <w:color w:val="0000FF"/>
                <w:kern w:val="2"/>
                <w:sz w:val="24"/>
                <w:szCs w:val="24"/>
                <w:u w:val="single"/>
                <w14:ligatures w14:val="standardContextual"/>
              </w:rPr>
              <w:t>Article 9. Dépôt et publicité</w:t>
            </w:r>
            <w:r w:rsidR="00A713B5" w:rsidRPr="00A713B5">
              <w:rPr>
                <w:rFonts w:ascii="Cambria" w:eastAsia="MS Mincho" w:hAnsi="Cambria" w:cs="Times New Roman"/>
                <w:noProof/>
                <w:webHidden/>
                <w:sz w:val="24"/>
                <w:szCs w:val="24"/>
                <w:lang w:eastAsia="fr-FR"/>
              </w:rPr>
              <w:tab/>
            </w:r>
            <w:r w:rsidR="00A713B5" w:rsidRPr="00A713B5">
              <w:rPr>
                <w:rFonts w:ascii="Cambria" w:eastAsia="MS Mincho" w:hAnsi="Cambria" w:cs="Times New Roman"/>
                <w:noProof/>
                <w:webHidden/>
                <w:sz w:val="24"/>
                <w:szCs w:val="24"/>
                <w:lang w:eastAsia="fr-FR"/>
              </w:rPr>
              <w:fldChar w:fldCharType="begin"/>
            </w:r>
            <w:r w:rsidR="00A713B5" w:rsidRPr="00A713B5">
              <w:rPr>
                <w:rFonts w:ascii="Cambria" w:eastAsia="MS Mincho" w:hAnsi="Cambria" w:cs="Times New Roman"/>
                <w:noProof/>
                <w:webHidden/>
                <w:sz w:val="24"/>
                <w:szCs w:val="24"/>
                <w:lang w:eastAsia="fr-FR"/>
              </w:rPr>
              <w:instrText xml:space="preserve"> PAGEREF _Toc223095275 \h </w:instrText>
            </w:r>
            <w:r w:rsidR="00A713B5" w:rsidRPr="00A713B5">
              <w:rPr>
                <w:rFonts w:ascii="Cambria" w:eastAsia="MS Mincho" w:hAnsi="Cambria" w:cs="Times New Roman"/>
                <w:noProof/>
                <w:webHidden/>
                <w:sz w:val="24"/>
                <w:szCs w:val="24"/>
                <w:lang w:eastAsia="fr-FR"/>
              </w:rPr>
            </w:r>
            <w:r w:rsidR="00A713B5" w:rsidRPr="00A713B5">
              <w:rPr>
                <w:rFonts w:ascii="Cambria" w:eastAsia="MS Mincho" w:hAnsi="Cambria" w:cs="Times New Roman"/>
                <w:noProof/>
                <w:webHidden/>
                <w:sz w:val="24"/>
                <w:szCs w:val="24"/>
                <w:lang w:eastAsia="fr-FR"/>
              </w:rPr>
              <w:fldChar w:fldCharType="separate"/>
            </w:r>
            <w:r w:rsidR="00A713B5" w:rsidRPr="00A713B5">
              <w:rPr>
                <w:rFonts w:ascii="Cambria" w:eastAsia="MS Mincho" w:hAnsi="Cambria" w:cs="Times New Roman"/>
                <w:noProof/>
                <w:webHidden/>
                <w:sz w:val="24"/>
                <w:szCs w:val="24"/>
                <w:lang w:eastAsia="fr-FR"/>
              </w:rPr>
              <w:t>2</w:t>
            </w:r>
            <w:r w:rsidR="00A713B5" w:rsidRPr="00A713B5">
              <w:rPr>
                <w:rFonts w:ascii="Cambria" w:eastAsia="MS Mincho" w:hAnsi="Cambria" w:cs="Times New Roman"/>
                <w:noProof/>
                <w:webHidden/>
                <w:sz w:val="24"/>
                <w:szCs w:val="24"/>
                <w:lang w:eastAsia="fr-FR"/>
              </w:rPr>
              <w:fldChar w:fldCharType="end"/>
            </w:r>
          </w:hyperlink>
        </w:p>
        <w:p w:rsidR="00A713B5" w:rsidRPr="00A713B5" w:rsidRDefault="00A713B5" w:rsidP="00A713B5">
          <w:pPr>
            <w:spacing w:after="0" w:line="240" w:lineRule="auto"/>
            <w:rPr>
              <w:rFonts w:ascii="Cambria" w:eastAsia="MS Mincho" w:hAnsi="Cambria" w:cs="Times New Roman"/>
              <w:sz w:val="24"/>
              <w:szCs w:val="24"/>
              <w:lang w:eastAsia="fr-FR"/>
            </w:rPr>
          </w:pPr>
          <w:r w:rsidRPr="00A713B5">
            <w:rPr>
              <w:rFonts w:ascii="Cambria" w:eastAsia="MS Mincho" w:hAnsi="Cambria" w:cs="Times New Roman"/>
              <w:b/>
              <w:bCs/>
              <w:sz w:val="24"/>
              <w:szCs w:val="24"/>
              <w:lang w:eastAsia="fr-FR"/>
            </w:rPr>
            <w:fldChar w:fldCharType="end"/>
          </w:r>
        </w:p>
      </w:sdtContent>
    </w:sdt>
    <w:p w:rsidR="00A713B5" w:rsidRPr="00A713B5" w:rsidRDefault="00A713B5" w:rsidP="00A713B5">
      <w:pPr>
        <w:spacing w:after="0" w:line="240" w:lineRule="auto"/>
        <w:rPr>
          <w:rFonts w:ascii="Calibri" w:eastAsia="MS Mincho" w:hAnsi="Calibri" w:cs="Times New Roman"/>
          <w:b/>
          <w:bCs/>
          <w:i/>
          <w:iCs/>
          <w:color w:val="333333"/>
          <w:sz w:val="32"/>
          <w:szCs w:val="24"/>
          <w:lang w:eastAsia="fr-FR"/>
        </w:rPr>
      </w:pPr>
      <w:r w:rsidRPr="00A713B5">
        <w:rPr>
          <w:rFonts w:ascii="Calibri" w:eastAsia="MS Mincho" w:hAnsi="Calibri" w:cs="Times New Roman"/>
          <w:b/>
          <w:bCs/>
          <w:i/>
          <w:iCs/>
          <w:color w:val="333333"/>
          <w:sz w:val="32"/>
          <w:szCs w:val="24"/>
          <w:lang w:eastAsia="fr-FR"/>
        </w:rPr>
        <w:br w:type="page"/>
      </w:r>
    </w:p>
    <w:p w:rsidR="00A713B5" w:rsidRPr="00A713B5" w:rsidRDefault="00A713B5" w:rsidP="00A713B5">
      <w:pPr>
        <w:shd w:val="clear" w:color="auto" w:fill="FFFFFF"/>
        <w:spacing w:before="100" w:beforeAutospacing="1" w:after="100" w:afterAutospacing="1" w:line="240" w:lineRule="auto"/>
        <w:jc w:val="both"/>
        <w:rPr>
          <w:rFonts w:ascii="Calibri" w:eastAsia="MS Mincho" w:hAnsi="Calibri" w:cs="Times New Roman"/>
          <w:b/>
          <w:bCs/>
          <w:i/>
          <w:iCs/>
          <w:color w:val="333333"/>
          <w:sz w:val="32"/>
          <w:szCs w:val="24"/>
          <w:lang w:eastAsia="fr-FR"/>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0" w:name="_Toc223095266"/>
      <w:r w:rsidRPr="00A713B5">
        <w:rPr>
          <w:rFonts w:ascii="Plus Jakarta Sans" w:eastAsia="Cambria" w:hAnsi="Plus Jakarta Sans" w:cs="Times New Roman"/>
          <w:b/>
          <w:bCs/>
          <w:color w:val="002EB5"/>
          <w:kern w:val="2"/>
          <w:sz w:val="24"/>
          <w:szCs w:val="20"/>
          <w14:ligatures w14:val="standardContextual"/>
        </w:rPr>
        <w:t>Préambule</w:t>
      </w:r>
      <w:bookmarkEnd w:id="0"/>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Les parties signataires du présent accord conviennent de la mise en place du procédé du vote électronique lors de l’élection des représentants du personnel de l’entreprise, afin de permettre au plus grand nombre d’électeurs de voter dans des conditions optimales de souplesse et de confort ; tout en inscrivant l’entreprise dans une démarche de développement durable.</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 système de vote électronique comportera les garanties de confidentialité et modalités techniques exigées par le Code du Travail.</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1" w:name="_Toc223095267"/>
      <w:r w:rsidRPr="00A713B5">
        <w:rPr>
          <w:rFonts w:ascii="Plus Jakarta Sans" w:eastAsia="Cambria" w:hAnsi="Plus Jakarta Sans" w:cs="Times New Roman"/>
          <w:b/>
          <w:bCs/>
          <w:color w:val="002EB5"/>
          <w:kern w:val="2"/>
          <w:sz w:val="24"/>
          <w:szCs w:val="20"/>
          <w14:ligatures w14:val="standardContextual"/>
        </w:rPr>
        <w:t>Article 1. Portée du présent accord</w:t>
      </w:r>
      <w:bookmarkEnd w:id="1"/>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 présent accord est conclu dans le cadre des dispositions des articles L2232-11 et suivants du Code du Travail.</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L’ensemble des dispositions du présent accord complète celles de la convention collective 66 consacrée aux élections des représentants du personnel.</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 périmètre du présent accord comprend l’ensemble des établissements actuels et futurs de l’entreprise.</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2" w:name="_Toc223095268"/>
      <w:r w:rsidRPr="00A713B5">
        <w:rPr>
          <w:rFonts w:ascii="Plus Jakarta Sans" w:eastAsia="Cambria" w:hAnsi="Plus Jakarta Sans" w:cs="Times New Roman"/>
          <w:b/>
          <w:bCs/>
          <w:color w:val="002EB5"/>
          <w:kern w:val="2"/>
          <w:sz w:val="24"/>
          <w:szCs w:val="20"/>
          <w14:ligatures w14:val="standardContextual"/>
        </w:rPr>
        <w:t>Article 2. Durée du présent accord</w:t>
      </w:r>
      <w:bookmarkEnd w:id="2"/>
      <w:r w:rsidRPr="00A713B5">
        <w:rPr>
          <w:rFonts w:ascii="Plus Jakarta Sans" w:eastAsia="Cambria" w:hAnsi="Plus Jakarta Sans" w:cs="Times New Roman"/>
          <w:b/>
          <w:bCs/>
          <w:color w:val="002EB5"/>
          <w:kern w:val="2"/>
          <w:sz w:val="24"/>
          <w:szCs w:val="20"/>
          <w14:ligatures w14:val="standardContextual"/>
        </w:rPr>
        <w:t xml:space="preserve"> </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Les parties conviennent que le présent accord est établi pour une durée indéterminée.</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Il pourra être dénoncé par l’une ou plusieurs des parties signataires dans le respect des dispositions prévues par le Code du Travail au moment de ladite dénonciation.</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3" w:name="_Toc223095269"/>
      <w:r w:rsidRPr="00A713B5">
        <w:rPr>
          <w:rFonts w:ascii="Plus Jakarta Sans" w:eastAsia="Cambria" w:hAnsi="Plus Jakarta Sans" w:cs="Times New Roman"/>
          <w:b/>
          <w:bCs/>
          <w:color w:val="002EB5"/>
          <w:kern w:val="2"/>
          <w:sz w:val="24"/>
          <w:szCs w:val="20"/>
          <w14:ligatures w14:val="standardContextual"/>
        </w:rPr>
        <w:t>Article 3. Adhésion au présent accord</w:t>
      </w:r>
      <w:bookmarkEnd w:id="3"/>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Conformément à l’article L2261-3 du Code du Travail, toute organisation syndicale représentative dans l’entreprise et non-signataire du présent accord pourra y adhérer ultérieurement.</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4" w:name="_Toc223095270"/>
      <w:r w:rsidRPr="00A713B5">
        <w:rPr>
          <w:rFonts w:ascii="Plus Jakarta Sans" w:eastAsia="Cambria" w:hAnsi="Plus Jakarta Sans" w:cs="Times New Roman"/>
          <w:b/>
          <w:bCs/>
          <w:color w:val="002EB5"/>
          <w:kern w:val="2"/>
          <w:sz w:val="24"/>
          <w:szCs w:val="20"/>
          <w14:ligatures w14:val="standardContextual"/>
        </w:rPr>
        <w:t>Article 4. Modification éventuelle du présent accord</w:t>
      </w:r>
      <w:bookmarkEnd w:id="4"/>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 présent accord peut être modifié à l’initiative des parties signataires à l’issue d’une négociation sollicitée par l’une ou l’autre des parties.</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lastRenderedPageBreak/>
        <w:t>Toute modification fera l’objet d’un avenant :</w:t>
      </w:r>
    </w:p>
    <w:p w:rsidR="00A713B5" w:rsidRPr="00A713B5" w:rsidRDefault="00A713B5" w:rsidP="00A713B5">
      <w:pPr>
        <w:numPr>
          <w:ilvl w:val="0"/>
          <w:numId w:val="1"/>
        </w:num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signé par les parties signataires </w:t>
      </w:r>
    </w:p>
    <w:p w:rsidR="00A713B5" w:rsidRPr="00A713B5" w:rsidRDefault="00A713B5" w:rsidP="00A713B5">
      <w:pPr>
        <w:numPr>
          <w:ilvl w:val="0"/>
          <w:numId w:val="1"/>
        </w:num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soumis aux mêmes formalités de publicité que l’accord initial</w:t>
      </w:r>
    </w:p>
    <w:p w:rsidR="00A713B5" w:rsidRPr="00A713B5" w:rsidRDefault="00A713B5" w:rsidP="00A713B5">
      <w:pPr>
        <w:spacing w:after="0" w:line="276" w:lineRule="auto"/>
        <w:ind w:left="720"/>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5" w:name="_Toc223095271"/>
      <w:r w:rsidRPr="00A713B5">
        <w:rPr>
          <w:rFonts w:ascii="Plus Jakarta Sans" w:eastAsia="Cambria" w:hAnsi="Plus Jakarta Sans" w:cs="Times New Roman"/>
          <w:b/>
          <w:bCs/>
          <w:color w:val="002EB5"/>
          <w:kern w:val="2"/>
          <w:sz w:val="24"/>
          <w:szCs w:val="20"/>
          <w14:ligatures w14:val="standardContextual"/>
        </w:rPr>
        <w:t>Article 5. Sélection du prestataire</w:t>
      </w:r>
      <w:bookmarkEnd w:id="5"/>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 xml:space="preserve">La direction présentera aux organisations syndicales signataires du présent accord un ou plusieurs prestataires de vote électronique. </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 prestataire sera sélectionné conjointement par la direction et les organisations syndicales.</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Chaque nouvelle échéance électorale pourra faire l’objet d’une nouvelle sélection de prestataire sans requérir de renégociation du présent accord.</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6" w:name="_Toc223095272"/>
      <w:r w:rsidRPr="00A713B5">
        <w:rPr>
          <w:rFonts w:ascii="Plus Jakarta Sans" w:eastAsia="Cambria" w:hAnsi="Plus Jakarta Sans" w:cs="Times New Roman"/>
          <w:b/>
          <w:bCs/>
          <w:color w:val="002EB5"/>
          <w:kern w:val="2"/>
          <w:sz w:val="24"/>
          <w:szCs w:val="20"/>
          <w14:ligatures w14:val="standardContextual"/>
        </w:rPr>
        <w:t>Article 6. Respect du RGPD - Règlement (UE) 2016/679 du Parlement européen et du Conseil du 27 avril 2016</w:t>
      </w:r>
      <w:bookmarkEnd w:id="6"/>
    </w:p>
    <w:p w:rsidR="00A713B5" w:rsidRPr="00A713B5" w:rsidRDefault="00A713B5" w:rsidP="00A713B5">
      <w:pPr>
        <w:spacing w:after="0" w:line="276" w:lineRule="auto"/>
        <w:jc w:val="both"/>
        <w:rPr>
          <w:rFonts w:ascii="Calibri" w:eastAsia="Cambria" w:hAnsi="Calibri" w:cs="Times New Roman"/>
          <w:color w:val="333333"/>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La mise en œuvre et le fonctionnement du système de vote électronique donneront lieu au respect réglementaire du traitement des données personnelles.</w:t>
      </w:r>
    </w:p>
    <w:p w:rsidR="00A713B5" w:rsidRPr="00A713B5" w:rsidRDefault="00A713B5" w:rsidP="00A713B5">
      <w:pPr>
        <w:spacing w:after="0" w:line="276" w:lineRule="auto"/>
        <w:jc w:val="both"/>
        <w:rPr>
          <w:rFonts w:ascii="Calibri" w:eastAsia="Cambria" w:hAnsi="Calibri" w:cs="Times New Roman"/>
          <w:color w:val="333333"/>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En outre, le prestataire sélectionné sera engagé à disposer de toutes les autorisations et certifications exigées par le Code du Travail avant la mise en œuvre du processus électoral.</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7" w:name="_Toc223095273"/>
      <w:r w:rsidRPr="00A713B5">
        <w:rPr>
          <w:rFonts w:ascii="Plus Jakarta Sans" w:eastAsia="Cambria" w:hAnsi="Plus Jakarta Sans" w:cs="Times New Roman"/>
          <w:b/>
          <w:bCs/>
          <w:color w:val="002EB5"/>
          <w:kern w:val="2"/>
          <w:sz w:val="24"/>
          <w:szCs w:val="20"/>
          <w14:ligatures w14:val="standardContextual"/>
        </w:rPr>
        <w:t>Article 7. Modalités d’organisation du vote électronique</w:t>
      </w:r>
      <w:bookmarkEnd w:id="7"/>
    </w:p>
    <w:p w:rsidR="00A713B5" w:rsidRPr="00A713B5" w:rsidRDefault="00A713B5" w:rsidP="00A713B5">
      <w:pPr>
        <w:spacing w:after="0" w:line="276" w:lineRule="auto"/>
        <w:jc w:val="both"/>
        <w:rPr>
          <w:rFonts w:ascii="Calibri" w:eastAsia="Cambria" w:hAnsi="Calibri" w:cs="Times New Roman"/>
          <w:color w:val="333333"/>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Les salariés électeurs pourront voter dans les conditions spécifiées dans le cahier des charges présenté par le prestataire sélectionné.</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Une note d’information qui reprendra, en termes simples, les modalités de vote électronique sera créée afin d’être communiquée aux salariés électeurs.</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Une annexe spécifiant les modalités de vote électronique, selon les solutions techniques définies avec le prestataire, sera jointe en annexe au présent accord ainsi qu’au protocole d’accord préélectoral.</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8" w:name="_Toc223095274"/>
      <w:r w:rsidRPr="00A713B5">
        <w:rPr>
          <w:rFonts w:ascii="Plus Jakarta Sans" w:eastAsia="Cambria" w:hAnsi="Plus Jakarta Sans" w:cs="Times New Roman"/>
          <w:b/>
          <w:bCs/>
          <w:color w:val="002EB5"/>
          <w:kern w:val="2"/>
          <w:sz w:val="24"/>
          <w:szCs w:val="20"/>
          <w14:ligatures w14:val="standardContextual"/>
        </w:rPr>
        <w:t>Article 8. Cellule d’assistance technique et formation</w:t>
      </w:r>
      <w:bookmarkEnd w:id="8"/>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Une cellule d’assistance technique sera mise en place afin de fournir un support à tout salarié électeur en difficulté.</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Les modalités de fonctionnement de cette cellule seront définies avec le prestataire sélectionné.</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A713B5">
        <w:rPr>
          <w:rFonts w:ascii="Plus Jakarta Sans" w:eastAsia="Cambria" w:hAnsi="Plus Jakarta Sans" w:cs="Times New Roman"/>
          <w:kern w:val="2"/>
          <w:sz w:val="24"/>
          <w:szCs w:val="20"/>
          <w14:ligatures w14:val="standardContextual"/>
        </w:rPr>
        <w:t>Une formation spécifique pourra être dispensée aux membres des bureaux de vote en vue du bon déroulement des opérations de dépouillement.</w:t>
      </w:r>
    </w:p>
    <w:p w:rsidR="00A713B5" w:rsidRPr="00A713B5"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A713B5" w:rsidRDefault="00A713B5" w:rsidP="00A713B5">
      <w:pPr>
        <w:pBdr>
          <w:bottom w:val="single" w:sz="4" w:space="1" w:color="auto"/>
        </w:pBdr>
        <w:spacing w:after="0" w:line="276" w:lineRule="auto"/>
        <w:jc w:val="both"/>
        <w:outlineLvl w:val="0"/>
        <w:rPr>
          <w:rFonts w:ascii="Plus Jakarta Sans" w:eastAsia="Cambria" w:hAnsi="Plus Jakarta Sans" w:cs="Times New Roman"/>
          <w:b/>
          <w:bCs/>
          <w:color w:val="002EB5"/>
          <w:kern w:val="2"/>
          <w:sz w:val="24"/>
          <w:szCs w:val="20"/>
          <w14:ligatures w14:val="standardContextual"/>
        </w:rPr>
      </w:pPr>
      <w:bookmarkStart w:id="9" w:name="_Toc223095275"/>
      <w:r w:rsidRPr="00A713B5">
        <w:rPr>
          <w:rFonts w:ascii="Plus Jakarta Sans" w:eastAsia="Cambria" w:hAnsi="Plus Jakarta Sans" w:cs="Times New Roman"/>
          <w:b/>
          <w:bCs/>
          <w:color w:val="002EB5"/>
          <w:kern w:val="2"/>
          <w:sz w:val="24"/>
          <w:szCs w:val="20"/>
          <w14:ligatures w14:val="standardContextual"/>
        </w:rPr>
        <w:t>Article 9. Dépôt et publicité</w:t>
      </w:r>
      <w:bookmarkEnd w:id="9"/>
    </w:p>
    <w:p w:rsidR="00A713B5" w:rsidRPr="00A713B5" w:rsidRDefault="00A713B5" w:rsidP="00A713B5">
      <w:pPr>
        <w:spacing w:after="0" w:line="276" w:lineRule="auto"/>
        <w:jc w:val="both"/>
        <w:rPr>
          <w:rFonts w:ascii="Cambria" w:eastAsia="Cambria" w:hAnsi="Cambria" w:cs="Times New Roman"/>
          <w:kern w:val="2"/>
          <w:sz w:val="20"/>
          <w:szCs w:val="20"/>
          <w14:ligatures w14:val="standardContextual"/>
        </w:rPr>
      </w:pPr>
    </w:p>
    <w:p w:rsidR="00A713B5" w:rsidRPr="000D3F17"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0D3F17">
        <w:rPr>
          <w:rFonts w:ascii="Plus Jakarta Sans" w:eastAsia="Cambria" w:hAnsi="Plus Jakarta Sans" w:cs="Times New Roman"/>
          <w:kern w:val="2"/>
          <w:sz w:val="24"/>
          <w:szCs w:val="20"/>
          <w14:ligatures w14:val="standardContextual"/>
        </w:rPr>
        <w:t>Conformément aux articles L.2231-6 et D.2231-2 et suivants du Code du travail, le présent accord sera déposé :</w:t>
      </w:r>
    </w:p>
    <w:p w:rsidR="00A713B5" w:rsidRPr="000D3F17" w:rsidRDefault="00A713B5" w:rsidP="000D3F17">
      <w:pPr>
        <w:pStyle w:val="Paragraphedeliste"/>
        <w:numPr>
          <w:ilvl w:val="0"/>
          <w:numId w:val="3"/>
        </w:numPr>
        <w:spacing w:after="0" w:line="276" w:lineRule="auto"/>
        <w:jc w:val="both"/>
        <w:rPr>
          <w:rFonts w:ascii="Plus Jakarta Sans" w:eastAsia="Cambria" w:hAnsi="Plus Jakarta Sans" w:cs="Times New Roman"/>
          <w:kern w:val="2"/>
          <w:sz w:val="24"/>
          <w:szCs w:val="20"/>
          <w14:ligatures w14:val="standardContextual"/>
        </w:rPr>
      </w:pPr>
      <w:r w:rsidRPr="000D3F17">
        <w:rPr>
          <w:rFonts w:ascii="Plus Jakarta Sans" w:eastAsia="Cambria" w:hAnsi="Plus Jakarta Sans" w:cs="Times New Roman"/>
          <w:kern w:val="2"/>
          <w:sz w:val="24"/>
          <w:szCs w:val="20"/>
          <w14:ligatures w14:val="standardContextual"/>
        </w:rPr>
        <w:t>auprès du secrétariat-greffe du Conseil des Prud’hommes de Strasbourg,</w:t>
      </w:r>
    </w:p>
    <w:p w:rsidR="00A713B5" w:rsidRPr="000D3F17" w:rsidRDefault="00A713B5" w:rsidP="000D3F17">
      <w:pPr>
        <w:pStyle w:val="Paragraphedeliste"/>
        <w:numPr>
          <w:ilvl w:val="0"/>
          <w:numId w:val="3"/>
        </w:numPr>
        <w:spacing w:after="0" w:line="276" w:lineRule="auto"/>
        <w:jc w:val="both"/>
        <w:rPr>
          <w:rFonts w:ascii="Plus Jakarta Sans" w:eastAsia="Cambria" w:hAnsi="Plus Jakarta Sans" w:cs="Times New Roman"/>
          <w:kern w:val="2"/>
          <w:sz w:val="24"/>
          <w:szCs w:val="20"/>
          <w14:ligatures w14:val="standardContextual"/>
        </w:rPr>
      </w:pPr>
      <w:r w:rsidRPr="000D3F17">
        <w:rPr>
          <w:rFonts w:ascii="Plus Jakarta Sans" w:eastAsia="Cambria" w:hAnsi="Plus Jakarta Sans" w:cs="Times New Roman"/>
          <w:kern w:val="2"/>
          <w:sz w:val="24"/>
          <w:szCs w:val="20"/>
          <w14:ligatures w14:val="standardContextual"/>
        </w:rPr>
        <w:t xml:space="preserve">auprès de l’administration du travail via : </w:t>
      </w:r>
      <w:hyperlink r:id="rId7" w:history="1">
        <w:r w:rsidRPr="000D3F17">
          <w:rPr>
            <w:rFonts w:ascii="Plus Jakarta Sans" w:eastAsia="Cambria" w:hAnsi="Plus Jakarta Sans" w:cs="Times New Roman"/>
            <w:kern w:val="2"/>
            <w:sz w:val="24"/>
            <w:szCs w:val="20"/>
            <w14:ligatures w14:val="standardContextual"/>
          </w:rPr>
          <w:t>www.teleaccords.travail-emploi.gouv.fr/</w:t>
        </w:r>
      </w:hyperlink>
      <w:r w:rsidRPr="000D3F17">
        <w:rPr>
          <w:rFonts w:ascii="Plus Jakarta Sans" w:eastAsia="Cambria" w:hAnsi="Plus Jakarta Sans" w:cs="Times New Roman"/>
          <w:kern w:val="2"/>
          <w:sz w:val="24"/>
          <w:szCs w:val="20"/>
          <w14:ligatures w14:val="standardContextual"/>
        </w:rPr>
        <w:t>,</w:t>
      </w:r>
    </w:p>
    <w:p w:rsidR="00A713B5" w:rsidRPr="000D3F17" w:rsidRDefault="00A713B5" w:rsidP="00A713B5">
      <w:pPr>
        <w:spacing w:after="0" w:line="276" w:lineRule="auto"/>
        <w:jc w:val="both"/>
        <w:rPr>
          <w:rFonts w:ascii="Plus Jakarta Sans" w:eastAsia="Cambria" w:hAnsi="Plus Jakarta Sans" w:cs="Times New Roman"/>
          <w:kern w:val="2"/>
          <w:sz w:val="24"/>
          <w:szCs w:val="20"/>
          <w14:ligatures w14:val="standardContextual"/>
        </w:rPr>
      </w:pPr>
    </w:p>
    <w:p w:rsidR="00A713B5" w:rsidRPr="000D3F17" w:rsidRDefault="00A713B5" w:rsidP="000D3F17">
      <w:pPr>
        <w:spacing w:after="0" w:line="276" w:lineRule="auto"/>
        <w:jc w:val="both"/>
        <w:rPr>
          <w:rFonts w:ascii="Plus Jakarta Sans" w:eastAsia="Cambria" w:hAnsi="Plus Jakarta Sans" w:cs="Times New Roman"/>
          <w:kern w:val="2"/>
          <w:sz w:val="24"/>
          <w:szCs w:val="20"/>
          <w14:ligatures w14:val="standardContextual"/>
        </w:rPr>
      </w:pPr>
      <w:r w:rsidRPr="000D3F17">
        <w:rPr>
          <w:rFonts w:ascii="Plus Jakarta Sans" w:eastAsia="Cambria" w:hAnsi="Plus Jakarta Sans" w:cs="Times New Roman"/>
          <w:kern w:val="2"/>
          <w:sz w:val="24"/>
          <w:szCs w:val="20"/>
          <w14:ligatures w14:val="standardContextual"/>
        </w:rPr>
        <w:t>Conformément aux dispositions de l’article L 2231-5 du Code du Travail, l’accord sera notifié à toutes les organisations syndicales représentatives dans l’Association.</w:t>
      </w:r>
    </w:p>
    <w:p w:rsidR="00A713B5" w:rsidRPr="000D3F17" w:rsidRDefault="00A713B5" w:rsidP="000D3F17">
      <w:pPr>
        <w:spacing w:after="0" w:line="276" w:lineRule="auto"/>
        <w:jc w:val="both"/>
        <w:rPr>
          <w:rFonts w:ascii="Plus Jakarta Sans" w:eastAsia="Cambria" w:hAnsi="Plus Jakarta Sans" w:cs="Times New Roman"/>
          <w:kern w:val="2"/>
          <w:sz w:val="24"/>
          <w:szCs w:val="20"/>
          <w14:ligatures w14:val="standardContextual"/>
        </w:rPr>
      </w:pPr>
    </w:p>
    <w:p w:rsidR="00A713B5" w:rsidRPr="000D3F17" w:rsidRDefault="00A713B5" w:rsidP="00A713B5">
      <w:pPr>
        <w:spacing w:after="0" w:line="276" w:lineRule="auto"/>
        <w:jc w:val="both"/>
        <w:rPr>
          <w:rFonts w:ascii="Plus Jakarta Sans" w:eastAsia="Cambria" w:hAnsi="Plus Jakarta Sans" w:cs="Times New Roman"/>
          <w:kern w:val="2"/>
          <w:sz w:val="24"/>
          <w:szCs w:val="20"/>
          <w14:ligatures w14:val="standardContextual"/>
        </w:rPr>
      </w:pPr>
      <w:r w:rsidRPr="000D3F17">
        <w:rPr>
          <w:rFonts w:ascii="Plus Jakarta Sans" w:eastAsia="Cambria" w:hAnsi="Plus Jakarta Sans" w:cs="Times New Roman"/>
          <w:kern w:val="2"/>
          <w:sz w:val="24"/>
          <w:szCs w:val="20"/>
          <w14:ligatures w14:val="standardContextual"/>
        </w:rPr>
        <w:t xml:space="preserve">Fait à Strasbourg , le </w:t>
      </w:r>
      <w:r w:rsidR="005F41DF">
        <w:rPr>
          <w:rFonts w:ascii="Plus Jakarta Sans" w:eastAsia="Cambria" w:hAnsi="Plus Jakarta Sans" w:cs="Times New Roman"/>
          <w:kern w:val="2"/>
          <w:sz w:val="24"/>
          <w:szCs w:val="20"/>
          <w14:ligatures w14:val="standardContextual"/>
        </w:rPr>
        <w:t>05</w:t>
      </w:r>
      <w:r w:rsidRPr="000D3F17">
        <w:rPr>
          <w:rFonts w:ascii="Plus Jakarta Sans" w:eastAsia="Cambria" w:hAnsi="Plus Jakarta Sans" w:cs="Times New Roman"/>
          <w:kern w:val="2"/>
          <w:sz w:val="24"/>
          <w:szCs w:val="20"/>
          <w14:ligatures w14:val="standardContextual"/>
        </w:rPr>
        <w:t xml:space="preserve">/03/2026 en autant d’exemplaires originaux paraphés et signés que de parties signataires. </w:t>
      </w:r>
    </w:p>
    <w:p w:rsidR="00A713B5" w:rsidRPr="00A713B5" w:rsidRDefault="00A713B5" w:rsidP="00A713B5">
      <w:pPr>
        <w:spacing w:after="0" w:line="240" w:lineRule="auto"/>
        <w:ind w:left="1620" w:right="842" w:firstLine="504"/>
        <w:jc w:val="both"/>
        <w:rPr>
          <w:rFonts w:ascii="Cambria" w:eastAsia="MS Mincho" w:hAnsi="Cambria" w:cs="Times New Roman"/>
          <w:sz w:val="24"/>
          <w:szCs w:val="24"/>
          <w:lang w:eastAsia="fr-FR"/>
        </w:rPr>
      </w:pPr>
    </w:p>
    <w:p w:rsidR="00A713B5" w:rsidRPr="00A713B5" w:rsidRDefault="00A713B5" w:rsidP="00A713B5">
      <w:pPr>
        <w:spacing w:after="0" w:line="240" w:lineRule="auto"/>
        <w:ind w:right="842"/>
        <w:jc w:val="both"/>
        <w:rPr>
          <w:rFonts w:ascii="Cambria" w:eastAsia="MS Mincho" w:hAnsi="Cambria" w:cs="Times New Roman"/>
          <w:lang w:eastAsia="fr-FR"/>
        </w:rPr>
      </w:pPr>
    </w:p>
    <w:p w:rsidR="00A713B5" w:rsidRPr="00A713B5" w:rsidRDefault="00A713B5" w:rsidP="00A713B5">
      <w:pPr>
        <w:spacing w:after="0" w:line="240" w:lineRule="auto"/>
        <w:ind w:right="842"/>
        <w:jc w:val="both"/>
        <w:rPr>
          <w:rFonts w:ascii="Cambria" w:eastAsia="MS Mincho" w:hAnsi="Cambria" w:cs="Times New Roman"/>
          <w:lang w:eastAsia="fr-FR"/>
        </w:rPr>
      </w:pPr>
    </w:p>
    <w:p w:rsidR="00A713B5" w:rsidRPr="005F41DF" w:rsidRDefault="00A713B5" w:rsidP="005F41DF">
      <w:pPr>
        <w:spacing w:after="0" w:line="276" w:lineRule="auto"/>
        <w:jc w:val="both"/>
        <w:rPr>
          <w:rFonts w:ascii="Plus Jakarta Sans" w:eastAsia="Cambria" w:hAnsi="Plus Jakarta Sans" w:cs="Times New Roman"/>
          <w:kern w:val="2"/>
          <w:sz w:val="24"/>
          <w:szCs w:val="20"/>
          <w14:ligatures w14:val="standardContextual"/>
        </w:rPr>
      </w:pPr>
      <w:r w:rsidRPr="005F41DF">
        <w:rPr>
          <w:rFonts w:ascii="Plus Jakarta Sans" w:eastAsia="Cambria" w:hAnsi="Plus Jakarta Sans" w:cs="Times New Roman"/>
          <w:kern w:val="2"/>
          <w:sz w:val="24"/>
          <w:szCs w:val="20"/>
          <w14:ligatures w14:val="standardContextual"/>
        </w:rPr>
        <w:t>Pour l’Association UDAF du Bas Rhin</w:t>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t>Pour le syndicat FO</w:t>
      </w:r>
    </w:p>
    <w:p w:rsidR="00A713B5" w:rsidRPr="005F41DF" w:rsidRDefault="00A713B5" w:rsidP="005F41DF">
      <w:pPr>
        <w:spacing w:after="0" w:line="276" w:lineRule="auto"/>
        <w:jc w:val="both"/>
        <w:rPr>
          <w:rFonts w:ascii="Plus Jakarta Sans" w:eastAsia="Cambria" w:hAnsi="Plus Jakarta Sans" w:cs="Times New Roman"/>
          <w:kern w:val="2"/>
          <w:sz w:val="24"/>
          <w:szCs w:val="20"/>
          <w14:ligatures w14:val="standardContextual"/>
        </w:rPr>
      </w:pP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p>
    <w:p w:rsidR="00A713B5" w:rsidRPr="005F41DF" w:rsidRDefault="00A713B5" w:rsidP="005F41DF">
      <w:pPr>
        <w:spacing w:after="0" w:line="276" w:lineRule="auto"/>
        <w:jc w:val="both"/>
        <w:rPr>
          <w:rFonts w:ascii="Plus Jakarta Sans" w:eastAsia="Cambria" w:hAnsi="Plus Jakarta Sans" w:cs="Times New Roman"/>
          <w:kern w:val="2"/>
          <w:sz w:val="24"/>
          <w:szCs w:val="20"/>
          <w14:ligatures w14:val="standardContextual"/>
        </w:rPr>
      </w:pP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r w:rsidRPr="005F41DF">
        <w:rPr>
          <w:rFonts w:ascii="Plus Jakarta Sans" w:eastAsia="Cambria" w:hAnsi="Plus Jakarta Sans" w:cs="Times New Roman"/>
          <w:kern w:val="2"/>
          <w:sz w:val="24"/>
          <w:szCs w:val="20"/>
          <w14:ligatures w14:val="standardContextual"/>
        </w:rPr>
        <w:tab/>
      </w:r>
    </w:p>
    <w:p w:rsidR="00A713B5" w:rsidRPr="005F41DF" w:rsidRDefault="00A713B5" w:rsidP="00A713B5">
      <w:pPr>
        <w:spacing w:after="0" w:line="276" w:lineRule="auto"/>
        <w:jc w:val="both"/>
        <w:rPr>
          <w:rFonts w:ascii="Plus Jakarta Sans" w:eastAsia="Cambria" w:hAnsi="Plus Jakarta Sans" w:cs="Times New Roman"/>
          <w:kern w:val="2"/>
          <w:sz w:val="24"/>
          <w:szCs w:val="20"/>
          <w14:ligatures w14:val="standardContextual"/>
        </w:rPr>
      </w:pPr>
      <w:bookmarkStart w:id="10" w:name="_GoBack"/>
      <w:bookmarkEnd w:id="10"/>
    </w:p>
    <w:p w:rsidR="003F3FD6" w:rsidRDefault="00A713B5" w:rsidP="00A713B5">
      <w:r w:rsidRPr="00A713B5">
        <w:rPr>
          <w:rFonts w:ascii="Cambria" w:eastAsia="MS Mincho" w:hAnsi="Cambria" w:cs="Times New Roman"/>
          <w:sz w:val="24"/>
          <w:szCs w:val="24"/>
        </w:rPr>
        <w:tab/>
      </w:r>
    </w:p>
    <w:sectPr w:rsidR="003F3FD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3B5" w:rsidRDefault="00A713B5" w:rsidP="00A713B5">
      <w:pPr>
        <w:spacing w:after="0" w:line="240" w:lineRule="auto"/>
      </w:pPr>
      <w:r>
        <w:separator/>
      </w:r>
    </w:p>
  </w:endnote>
  <w:endnote w:type="continuationSeparator" w:id="0">
    <w:p w:rsidR="00A713B5" w:rsidRDefault="00A713B5" w:rsidP="00A71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Plus Jakarta Sans">
    <w:altName w:val="Calibri"/>
    <w:charset w:val="00"/>
    <w:family w:val="auto"/>
    <w:pitch w:val="variable"/>
    <w:sig w:usb0="A10000FF" w:usb1="4000607B" w:usb2="00000000" w:usb3="00000000" w:csb0="000001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9080913"/>
      <w:docPartObj>
        <w:docPartGallery w:val="Page Numbers (Bottom of Page)"/>
        <w:docPartUnique/>
      </w:docPartObj>
    </w:sdtPr>
    <w:sdtEndPr/>
    <w:sdtContent>
      <w:p w:rsidR="00A713B5" w:rsidRDefault="00A713B5">
        <w:pPr>
          <w:pStyle w:val="Pieddepage"/>
          <w:jc w:val="right"/>
        </w:pPr>
        <w:r>
          <w:fldChar w:fldCharType="begin"/>
        </w:r>
        <w:r>
          <w:instrText>PAGE   \* MERGEFORMAT</w:instrText>
        </w:r>
        <w:r>
          <w:fldChar w:fldCharType="separate"/>
        </w:r>
        <w:r>
          <w:t>2</w:t>
        </w:r>
        <w:r>
          <w:fldChar w:fldCharType="end"/>
        </w:r>
      </w:p>
    </w:sdtContent>
  </w:sdt>
  <w:p w:rsidR="00A713B5" w:rsidRDefault="00A713B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3B5" w:rsidRDefault="00A713B5" w:rsidP="00A713B5">
      <w:pPr>
        <w:spacing w:after="0" w:line="240" w:lineRule="auto"/>
      </w:pPr>
      <w:r>
        <w:separator/>
      </w:r>
    </w:p>
  </w:footnote>
  <w:footnote w:type="continuationSeparator" w:id="0">
    <w:p w:rsidR="00A713B5" w:rsidRDefault="00A713B5" w:rsidP="00A71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3B5" w:rsidRDefault="00A713B5">
    <w:pPr>
      <w:pStyle w:val="En-tte"/>
    </w:pPr>
    <w:r>
      <w:rPr>
        <w:noProof/>
      </w:rPr>
      <w:drawing>
        <wp:anchor distT="0" distB="0" distL="114300" distR="114300" simplePos="0" relativeHeight="251659264" behindDoc="0" locked="0" layoutInCell="1" allowOverlap="1" wp14:anchorId="64ED9857" wp14:editId="09FA3AD8">
          <wp:simplePos x="0" y="0"/>
          <wp:positionH relativeFrom="column">
            <wp:posOffset>-647700</wp:posOffset>
          </wp:positionH>
          <wp:positionV relativeFrom="paragraph">
            <wp:posOffset>-267335</wp:posOffset>
          </wp:positionV>
          <wp:extent cx="1085215" cy="621665"/>
          <wp:effectExtent l="0" t="0" r="635"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6216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926"/>
    <w:multiLevelType w:val="hybridMultilevel"/>
    <w:tmpl w:val="348AE4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EF1519"/>
    <w:multiLevelType w:val="hybridMultilevel"/>
    <w:tmpl w:val="70DAE24C"/>
    <w:lvl w:ilvl="0" w:tplc="3EC210BE">
      <w:start w:val="1"/>
      <w:numFmt w:val="bullet"/>
      <w:lvlText w:val="▪"/>
      <w:lvlJc w:val="left"/>
      <w:pPr>
        <w:ind w:left="900" w:hanging="360"/>
      </w:pPr>
      <w:rPr>
        <w:rFonts w:ascii="Segoe UI" w:hAnsi="Segoe UI" w:hint="default"/>
        <w:color w:val="435384"/>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 w15:restartNumberingAfterBreak="0">
    <w:nsid w:val="7A321FB0"/>
    <w:multiLevelType w:val="hybridMultilevel"/>
    <w:tmpl w:val="CEFE95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3B5"/>
    <w:rsid w:val="000D3F17"/>
    <w:rsid w:val="0026606A"/>
    <w:rsid w:val="003F3FD6"/>
    <w:rsid w:val="005F41DF"/>
    <w:rsid w:val="00853A97"/>
    <w:rsid w:val="00A713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D8A57F-979D-45F7-9FE9-BA9C4C01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713B5"/>
    <w:pPr>
      <w:tabs>
        <w:tab w:val="center" w:pos="4536"/>
        <w:tab w:val="right" w:pos="9072"/>
      </w:tabs>
      <w:spacing w:after="0" w:line="240" w:lineRule="auto"/>
    </w:pPr>
  </w:style>
  <w:style w:type="character" w:customStyle="1" w:styleId="En-tteCar">
    <w:name w:val="En-tête Car"/>
    <w:basedOn w:val="Policepardfaut"/>
    <w:link w:val="En-tte"/>
    <w:uiPriority w:val="99"/>
    <w:rsid w:val="00A713B5"/>
  </w:style>
  <w:style w:type="paragraph" w:styleId="Pieddepage">
    <w:name w:val="footer"/>
    <w:basedOn w:val="Normal"/>
    <w:link w:val="PieddepageCar"/>
    <w:uiPriority w:val="99"/>
    <w:unhideWhenUsed/>
    <w:rsid w:val="00A713B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3B5"/>
  </w:style>
  <w:style w:type="paragraph" w:styleId="Paragraphedeliste">
    <w:name w:val="List Paragraph"/>
    <w:basedOn w:val="Normal"/>
    <w:uiPriority w:val="34"/>
    <w:qFormat/>
    <w:rsid w:val="000D3F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898</Words>
  <Characters>4941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UDAF67</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BECHER Jessica</dc:creator>
  <cp:keywords/>
  <dc:description/>
  <cp:lastModifiedBy>BIROUK Ghania</cp:lastModifiedBy>
  <cp:revision>2</cp:revision>
  <dcterms:created xsi:type="dcterms:W3CDTF">2026-04-01T09:09:00Z</dcterms:created>
  <dcterms:modified xsi:type="dcterms:W3CDTF">2026-04-01T09:09:00Z</dcterms:modified>
</cp:coreProperties>
</file>