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3E57F" w14:textId="2C92CF55" w:rsidR="00441075" w:rsidRDefault="00441075" w:rsidP="00D95D4B">
      <w:pPr>
        <w:pStyle w:val="NormalWeb"/>
        <w:shd w:val="clear" w:color="auto" w:fill="FFFFFF"/>
        <w:autoSpaceDE w:val="0"/>
        <w:spacing w:before="0" w:beforeAutospacing="0" w:after="0" w:afterAutospacing="0"/>
        <w:ind w:left="4956"/>
        <w:jc w:val="both"/>
        <w:textAlignment w:val="top"/>
        <w:rPr>
          <w:rFonts w:asciiTheme="minorHAnsi" w:hAnsiTheme="minorHAnsi" w:cstheme="minorHAnsi"/>
          <w:color w:val="222222"/>
          <w:sz w:val="22"/>
          <w:szCs w:val="22"/>
        </w:rPr>
      </w:pPr>
    </w:p>
    <w:p w14:paraId="1728BFAE" w14:textId="114E3AD9" w:rsidR="007464D7" w:rsidRDefault="007464D7" w:rsidP="00D95D4B">
      <w:pPr>
        <w:pStyle w:val="NormalWeb"/>
        <w:shd w:val="clear" w:color="auto" w:fill="FFFFFF"/>
        <w:autoSpaceDE w:val="0"/>
        <w:spacing w:before="0" w:beforeAutospacing="0" w:after="0" w:afterAutospacing="0"/>
        <w:ind w:left="4956"/>
        <w:jc w:val="both"/>
        <w:textAlignment w:val="top"/>
        <w:rPr>
          <w:rFonts w:asciiTheme="minorHAnsi" w:hAnsiTheme="minorHAnsi" w:cstheme="minorHAnsi"/>
          <w:color w:val="222222"/>
          <w:sz w:val="22"/>
          <w:szCs w:val="22"/>
        </w:rPr>
      </w:pPr>
    </w:p>
    <w:p w14:paraId="013458FF" w14:textId="5046F106" w:rsidR="007464D7" w:rsidRDefault="007464D7" w:rsidP="00D95D4B">
      <w:pPr>
        <w:pStyle w:val="NormalWeb"/>
        <w:shd w:val="clear" w:color="auto" w:fill="FFFFFF"/>
        <w:autoSpaceDE w:val="0"/>
        <w:spacing w:before="0" w:beforeAutospacing="0" w:after="0" w:afterAutospacing="0"/>
        <w:ind w:left="4956"/>
        <w:jc w:val="both"/>
        <w:textAlignment w:val="top"/>
        <w:rPr>
          <w:rFonts w:asciiTheme="minorHAnsi" w:hAnsiTheme="minorHAnsi" w:cstheme="minorHAnsi"/>
          <w:color w:val="222222"/>
          <w:sz w:val="22"/>
          <w:szCs w:val="22"/>
        </w:rPr>
      </w:pPr>
    </w:p>
    <w:p w14:paraId="4C994A79" w14:textId="77777777" w:rsidR="007464D7" w:rsidRPr="0066253D" w:rsidRDefault="007464D7" w:rsidP="00D95D4B">
      <w:pPr>
        <w:pStyle w:val="NormalWeb"/>
        <w:shd w:val="clear" w:color="auto" w:fill="FFFFFF"/>
        <w:autoSpaceDE w:val="0"/>
        <w:spacing w:before="0" w:beforeAutospacing="0" w:after="0" w:afterAutospacing="0"/>
        <w:ind w:left="4956"/>
        <w:jc w:val="both"/>
        <w:textAlignment w:val="top"/>
        <w:rPr>
          <w:rFonts w:asciiTheme="minorHAnsi" w:hAnsiTheme="minorHAnsi" w:cstheme="minorHAnsi"/>
          <w:color w:val="222222"/>
          <w:sz w:val="22"/>
          <w:szCs w:val="22"/>
        </w:rPr>
      </w:pPr>
    </w:p>
    <w:p w14:paraId="5908094F" w14:textId="77777777" w:rsidR="005B0FD7" w:rsidRPr="00CC1253" w:rsidRDefault="005B0FD7" w:rsidP="00D95D4B">
      <w:pPr>
        <w:pStyle w:val="NormalWeb"/>
        <w:shd w:val="clear" w:color="auto" w:fill="FFFFFF"/>
        <w:autoSpaceDE w:val="0"/>
        <w:spacing w:before="0" w:beforeAutospacing="0" w:after="0" w:afterAutospacing="0"/>
        <w:ind w:left="4956"/>
        <w:jc w:val="both"/>
        <w:textAlignment w:val="top"/>
        <w:rPr>
          <w:rFonts w:asciiTheme="minorHAnsi" w:hAnsiTheme="minorHAnsi" w:cstheme="minorHAnsi"/>
          <w:color w:val="222222"/>
          <w:sz w:val="22"/>
          <w:szCs w:val="22"/>
        </w:rPr>
      </w:pPr>
    </w:p>
    <w:p w14:paraId="245A0EA4" w14:textId="77777777" w:rsidR="005B0FD7" w:rsidRPr="00CC1253" w:rsidRDefault="005B0FD7" w:rsidP="00D95D4B">
      <w:pPr>
        <w:pStyle w:val="NormalWeb"/>
        <w:shd w:val="clear" w:color="auto" w:fill="FFFFFF"/>
        <w:autoSpaceDE w:val="0"/>
        <w:spacing w:before="0" w:beforeAutospacing="0" w:after="0" w:afterAutospacing="0"/>
        <w:ind w:left="4956"/>
        <w:jc w:val="both"/>
        <w:textAlignment w:val="top"/>
        <w:rPr>
          <w:rFonts w:asciiTheme="minorHAnsi" w:hAnsiTheme="minorHAnsi" w:cstheme="minorHAnsi"/>
          <w:color w:val="222222"/>
          <w:sz w:val="22"/>
          <w:szCs w:val="22"/>
        </w:rPr>
      </w:pPr>
    </w:p>
    <w:p w14:paraId="2DF0757B" w14:textId="77777777" w:rsidR="005B0FD7" w:rsidRPr="00CC1253" w:rsidRDefault="005B0FD7" w:rsidP="00D95D4B">
      <w:pPr>
        <w:pStyle w:val="NormalWeb"/>
        <w:shd w:val="clear" w:color="auto" w:fill="FFFFFF"/>
        <w:autoSpaceDE w:val="0"/>
        <w:spacing w:before="0" w:beforeAutospacing="0" w:after="0" w:afterAutospacing="0"/>
        <w:ind w:left="4956"/>
        <w:jc w:val="both"/>
        <w:textAlignment w:val="top"/>
        <w:rPr>
          <w:rFonts w:asciiTheme="minorHAnsi" w:hAnsiTheme="minorHAnsi" w:cstheme="minorHAnsi"/>
          <w:color w:val="222222"/>
          <w:sz w:val="22"/>
          <w:szCs w:val="22"/>
        </w:rPr>
      </w:pPr>
    </w:p>
    <w:p w14:paraId="7CD7C998" w14:textId="77777777" w:rsidR="00A604CE" w:rsidRPr="0066253D" w:rsidRDefault="00A604CE" w:rsidP="00D95D4B">
      <w:pPr>
        <w:pStyle w:val="Titre"/>
        <w:pBdr>
          <w:bottom w:val="none" w:sz="0" w:space="0" w:color="auto"/>
        </w:pBdr>
        <w:jc w:val="both"/>
        <w:rPr>
          <w:rFonts w:asciiTheme="minorHAnsi" w:hAnsiTheme="minorHAnsi" w:cstheme="minorHAnsi"/>
        </w:rPr>
      </w:pPr>
    </w:p>
    <w:p w14:paraId="7D5DCB38" w14:textId="77777777" w:rsidR="00A604CE" w:rsidRPr="0066253D" w:rsidRDefault="00A604CE" w:rsidP="00D95D4B">
      <w:pPr>
        <w:pStyle w:val="Titre"/>
        <w:pBdr>
          <w:bottom w:val="none" w:sz="0" w:space="0" w:color="auto"/>
        </w:pBdr>
        <w:jc w:val="both"/>
        <w:rPr>
          <w:rFonts w:asciiTheme="minorHAnsi" w:hAnsiTheme="minorHAnsi" w:cstheme="minorHAnsi"/>
        </w:rPr>
      </w:pPr>
    </w:p>
    <w:p w14:paraId="124A1F0E" w14:textId="77777777" w:rsidR="00A604CE" w:rsidRPr="0066253D" w:rsidRDefault="00A604CE" w:rsidP="00D95D4B">
      <w:pPr>
        <w:pStyle w:val="Titre"/>
        <w:pBdr>
          <w:bottom w:val="none" w:sz="0" w:space="0" w:color="auto"/>
        </w:pBdr>
        <w:jc w:val="both"/>
        <w:rPr>
          <w:rFonts w:asciiTheme="minorHAnsi" w:hAnsiTheme="minorHAnsi" w:cstheme="minorHAnsi"/>
        </w:rPr>
      </w:pPr>
    </w:p>
    <w:p w14:paraId="40960B5E" w14:textId="77777777" w:rsidR="00A604CE" w:rsidRPr="0066253D" w:rsidRDefault="00A604CE" w:rsidP="00D95D4B">
      <w:pPr>
        <w:pStyle w:val="Titre"/>
        <w:pBdr>
          <w:bottom w:val="none" w:sz="0" w:space="0" w:color="auto"/>
        </w:pBdr>
        <w:jc w:val="both"/>
        <w:rPr>
          <w:rFonts w:asciiTheme="minorHAnsi" w:hAnsiTheme="minorHAnsi" w:cstheme="minorHAnsi"/>
        </w:rPr>
      </w:pPr>
    </w:p>
    <w:p w14:paraId="3CFB7C7B" w14:textId="77777777" w:rsidR="00523B2A" w:rsidRPr="0066253D" w:rsidRDefault="00523B2A" w:rsidP="0041102E">
      <w:pPr>
        <w:pStyle w:val="NormalWeb"/>
        <w:spacing w:before="0" w:beforeAutospacing="0"/>
        <w:jc w:val="center"/>
        <w:rPr>
          <w:rFonts w:asciiTheme="minorHAnsi" w:eastAsiaTheme="majorEastAsia" w:hAnsiTheme="minorHAnsi" w:cstheme="minorHAnsi"/>
          <w:b/>
          <w:bCs/>
          <w:color w:val="3EA710" w:themeColor="accent1"/>
          <w:sz w:val="28"/>
          <w:szCs w:val="28"/>
          <w:lang w:eastAsia="en-US"/>
        </w:rPr>
      </w:pPr>
      <w:r w:rsidRPr="0066253D">
        <w:rPr>
          <w:rFonts w:asciiTheme="minorHAnsi" w:eastAsiaTheme="majorEastAsia" w:hAnsiTheme="minorHAnsi" w:cstheme="minorHAnsi"/>
          <w:b/>
          <w:bCs/>
          <w:color w:val="3EA710" w:themeColor="accent1"/>
          <w:sz w:val="28"/>
          <w:szCs w:val="28"/>
          <w:lang w:eastAsia="en-US"/>
        </w:rPr>
        <w:t>ACCORD D’ENTREPRISE</w:t>
      </w:r>
    </w:p>
    <w:p w14:paraId="16E340BF" w14:textId="77777777" w:rsidR="00523B2A" w:rsidRPr="0066253D" w:rsidRDefault="00523B2A" w:rsidP="0041102E">
      <w:pPr>
        <w:pStyle w:val="NormalWeb"/>
        <w:spacing w:before="0" w:beforeAutospacing="0"/>
        <w:jc w:val="center"/>
        <w:rPr>
          <w:rFonts w:asciiTheme="minorHAnsi" w:eastAsiaTheme="majorEastAsia" w:hAnsiTheme="minorHAnsi" w:cstheme="minorHAnsi"/>
          <w:b/>
          <w:bCs/>
          <w:color w:val="3EA710" w:themeColor="accent1"/>
          <w:sz w:val="28"/>
          <w:szCs w:val="28"/>
          <w:lang w:eastAsia="en-US"/>
        </w:rPr>
      </w:pPr>
      <w:r w:rsidRPr="0066253D">
        <w:rPr>
          <w:rFonts w:asciiTheme="minorHAnsi" w:eastAsiaTheme="majorEastAsia" w:hAnsiTheme="minorHAnsi" w:cstheme="minorHAnsi"/>
          <w:b/>
          <w:bCs/>
          <w:color w:val="3EA710" w:themeColor="accent1"/>
          <w:sz w:val="28"/>
          <w:szCs w:val="28"/>
          <w:lang w:eastAsia="en-US"/>
        </w:rPr>
        <w:t>RELATIF A L’AMENAGEMENT DE LA MODALITE 2</w:t>
      </w:r>
    </w:p>
    <w:p w14:paraId="573EE03A" w14:textId="6DB32B33" w:rsidR="00A604CE" w:rsidRPr="0066253D" w:rsidRDefault="00523B2A" w:rsidP="0041102E">
      <w:pPr>
        <w:pBdr>
          <w:bottom w:val="single" w:sz="4" w:space="1" w:color="auto"/>
        </w:pBdr>
        <w:jc w:val="center"/>
        <w:rPr>
          <w:rFonts w:cstheme="minorHAnsi"/>
          <w:b/>
          <w:bCs/>
          <w:color w:val="3EA710" w:themeColor="accent1"/>
          <w:sz w:val="28"/>
          <w:szCs w:val="28"/>
        </w:rPr>
      </w:pPr>
      <w:r w:rsidRPr="0066253D">
        <w:rPr>
          <w:rFonts w:eastAsiaTheme="majorEastAsia" w:cstheme="minorHAnsi"/>
          <w:b/>
          <w:bCs/>
          <w:color w:val="3EA710" w:themeColor="accent1"/>
          <w:sz w:val="28"/>
          <w:szCs w:val="28"/>
        </w:rPr>
        <w:t>DE LA CONVENTION COLLECTIVE SYNTEC</w:t>
      </w:r>
    </w:p>
    <w:p w14:paraId="01EAD69A" w14:textId="77777777" w:rsidR="00A604CE" w:rsidRPr="00CC1253" w:rsidRDefault="00A604CE" w:rsidP="00D95D4B">
      <w:pPr>
        <w:pStyle w:val="NormalWeb"/>
        <w:shd w:val="clear" w:color="auto" w:fill="FFFFFF"/>
        <w:autoSpaceDE w:val="0"/>
        <w:spacing w:before="0" w:beforeAutospacing="0" w:after="0" w:afterAutospacing="0"/>
        <w:ind w:left="4956"/>
        <w:jc w:val="both"/>
        <w:textAlignment w:val="top"/>
        <w:rPr>
          <w:rFonts w:asciiTheme="minorHAnsi" w:hAnsiTheme="minorHAnsi" w:cstheme="minorHAnsi"/>
          <w:color w:val="222222"/>
          <w:sz w:val="22"/>
          <w:szCs w:val="22"/>
        </w:rPr>
      </w:pPr>
    </w:p>
    <w:p w14:paraId="29377A8F" w14:textId="77777777" w:rsidR="00A604CE" w:rsidRPr="00CC1253" w:rsidRDefault="00A604CE" w:rsidP="00D95D4B">
      <w:pPr>
        <w:pStyle w:val="NormalWeb"/>
        <w:shd w:val="clear" w:color="auto" w:fill="FFFFFF"/>
        <w:autoSpaceDE w:val="0"/>
        <w:spacing w:before="0" w:beforeAutospacing="0" w:after="0" w:afterAutospacing="0"/>
        <w:ind w:left="4956"/>
        <w:jc w:val="both"/>
        <w:textAlignment w:val="top"/>
        <w:rPr>
          <w:rFonts w:asciiTheme="minorHAnsi" w:hAnsiTheme="minorHAnsi" w:cstheme="minorHAnsi"/>
          <w:color w:val="222222"/>
          <w:sz w:val="22"/>
          <w:szCs w:val="22"/>
        </w:rPr>
      </w:pPr>
    </w:p>
    <w:p w14:paraId="1E2DAFCD" w14:textId="77777777" w:rsidR="00A604CE" w:rsidRPr="00CC1253" w:rsidRDefault="00A604CE" w:rsidP="00D95D4B">
      <w:pPr>
        <w:pStyle w:val="NormalWeb"/>
        <w:shd w:val="clear" w:color="auto" w:fill="FFFFFF"/>
        <w:autoSpaceDE w:val="0"/>
        <w:spacing w:before="0" w:beforeAutospacing="0" w:after="0" w:afterAutospacing="0"/>
        <w:ind w:left="4956"/>
        <w:jc w:val="both"/>
        <w:textAlignment w:val="top"/>
        <w:rPr>
          <w:rFonts w:asciiTheme="minorHAnsi" w:hAnsiTheme="minorHAnsi" w:cstheme="minorHAnsi"/>
          <w:color w:val="222222"/>
          <w:sz w:val="22"/>
          <w:szCs w:val="22"/>
        </w:rPr>
      </w:pPr>
    </w:p>
    <w:p w14:paraId="59BE12CE" w14:textId="77777777" w:rsidR="00A604CE" w:rsidRPr="00CC1253" w:rsidRDefault="00A604CE" w:rsidP="00D95D4B">
      <w:pPr>
        <w:pStyle w:val="NormalWeb"/>
        <w:shd w:val="clear" w:color="auto" w:fill="FFFFFF"/>
        <w:autoSpaceDE w:val="0"/>
        <w:spacing w:before="0" w:beforeAutospacing="0" w:after="0" w:afterAutospacing="0"/>
        <w:ind w:left="4956"/>
        <w:jc w:val="both"/>
        <w:textAlignment w:val="top"/>
        <w:rPr>
          <w:rFonts w:asciiTheme="minorHAnsi" w:hAnsiTheme="minorHAnsi" w:cstheme="minorHAnsi"/>
          <w:color w:val="222222"/>
          <w:sz w:val="22"/>
          <w:szCs w:val="22"/>
        </w:rPr>
      </w:pPr>
    </w:p>
    <w:p w14:paraId="6BE43FAD" w14:textId="77777777" w:rsidR="00A604CE" w:rsidRPr="00CC1253" w:rsidRDefault="00A604CE" w:rsidP="00D95D4B">
      <w:pPr>
        <w:pStyle w:val="NormalWeb"/>
        <w:shd w:val="clear" w:color="auto" w:fill="FFFFFF"/>
        <w:autoSpaceDE w:val="0"/>
        <w:spacing w:before="0" w:beforeAutospacing="0" w:after="0" w:afterAutospacing="0"/>
        <w:ind w:left="4956"/>
        <w:jc w:val="both"/>
        <w:textAlignment w:val="top"/>
        <w:rPr>
          <w:rFonts w:asciiTheme="minorHAnsi" w:hAnsiTheme="minorHAnsi" w:cstheme="minorHAnsi"/>
          <w:color w:val="222222"/>
          <w:sz w:val="22"/>
          <w:szCs w:val="22"/>
        </w:rPr>
      </w:pPr>
    </w:p>
    <w:p w14:paraId="2E6BBDB2" w14:textId="77777777" w:rsidR="00A604CE" w:rsidRPr="00CC1253" w:rsidRDefault="00A604CE" w:rsidP="00D95D4B">
      <w:pPr>
        <w:pStyle w:val="NormalWeb"/>
        <w:shd w:val="clear" w:color="auto" w:fill="FFFFFF"/>
        <w:autoSpaceDE w:val="0"/>
        <w:spacing w:before="0" w:beforeAutospacing="0" w:after="0" w:afterAutospacing="0"/>
        <w:ind w:left="4956"/>
        <w:jc w:val="both"/>
        <w:textAlignment w:val="top"/>
        <w:rPr>
          <w:rFonts w:asciiTheme="minorHAnsi" w:hAnsiTheme="minorHAnsi" w:cstheme="minorHAnsi"/>
          <w:color w:val="222222"/>
          <w:sz w:val="22"/>
          <w:szCs w:val="22"/>
        </w:rPr>
      </w:pPr>
    </w:p>
    <w:p w14:paraId="7659143A" w14:textId="77777777" w:rsidR="00A604CE" w:rsidRPr="00CC1253" w:rsidRDefault="00A604CE" w:rsidP="00D95D4B">
      <w:pPr>
        <w:pStyle w:val="NormalWeb"/>
        <w:shd w:val="clear" w:color="auto" w:fill="FFFFFF"/>
        <w:autoSpaceDE w:val="0"/>
        <w:spacing w:before="0" w:beforeAutospacing="0" w:after="0" w:afterAutospacing="0"/>
        <w:ind w:left="4956"/>
        <w:jc w:val="both"/>
        <w:textAlignment w:val="top"/>
        <w:rPr>
          <w:rFonts w:asciiTheme="minorHAnsi" w:hAnsiTheme="minorHAnsi" w:cstheme="minorHAnsi"/>
          <w:color w:val="222222"/>
          <w:sz w:val="22"/>
          <w:szCs w:val="22"/>
        </w:rPr>
      </w:pPr>
    </w:p>
    <w:p w14:paraId="5269E89C" w14:textId="77777777" w:rsidR="00A604CE" w:rsidRPr="00CC1253" w:rsidRDefault="00A604CE" w:rsidP="00D95D4B">
      <w:pPr>
        <w:pStyle w:val="NormalWeb"/>
        <w:shd w:val="clear" w:color="auto" w:fill="FFFFFF"/>
        <w:autoSpaceDE w:val="0"/>
        <w:spacing w:before="0" w:beforeAutospacing="0" w:after="0" w:afterAutospacing="0"/>
        <w:ind w:left="4956"/>
        <w:jc w:val="both"/>
        <w:textAlignment w:val="top"/>
        <w:rPr>
          <w:rFonts w:asciiTheme="minorHAnsi" w:hAnsiTheme="minorHAnsi" w:cstheme="minorHAnsi"/>
          <w:color w:val="222222"/>
          <w:sz w:val="22"/>
          <w:szCs w:val="22"/>
        </w:rPr>
      </w:pPr>
    </w:p>
    <w:p w14:paraId="440D861C" w14:textId="77777777" w:rsidR="00A604CE" w:rsidRPr="00CC1253" w:rsidRDefault="00A604CE" w:rsidP="00D95D4B">
      <w:pPr>
        <w:pStyle w:val="NormalWeb"/>
        <w:shd w:val="clear" w:color="auto" w:fill="FFFFFF"/>
        <w:autoSpaceDE w:val="0"/>
        <w:spacing w:before="0" w:beforeAutospacing="0" w:after="0" w:afterAutospacing="0"/>
        <w:ind w:left="4956"/>
        <w:jc w:val="both"/>
        <w:textAlignment w:val="top"/>
        <w:rPr>
          <w:rFonts w:asciiTheme="minorHAnsi" w:hAnsiTheme="minorHAnsi" w:cstheme="minorHAnsi"/>
          <w:color w:val="222222"/>
          <w:sz w:val="22"/>
          <w:szCs w:val="22"/>
        </w:rPr>
      </w:pPr>
    </w:p>
    <w:p w14:paraId="55DEA70E" w14:textId="77777777" w:rsidR="00A604CE" w:rsidRPr="00CC1253" w:rsidRDefault="00A604CE" w:rsidP="00D95D4B">
      <w:pPr>
        <w:pStyle w:val="NormalWeb"/>
        <w:shd w:val="clear" w:color="auto" w:fill="FFFFFF"/>
        <w:autoSpaceDE w:val="0"/>
        <w:spacing w:before="0" w:beforeAutospacing="0" w:after="0" w:afterAutospacing="0"/>
        <w:ind w:left="4956"/>
        <w:jc w:val="both"/>
        <w:textAlignment w:val="top"/>
        <w:rPr>
          <w:rFonts w:asciiTheme="minorHAnsi" w:hAnsiTheme="minorHAnsi" w:cstheme="minorHAnsi"/>
          <w:color w:val="222222"/>
          <w:sz w:val="22"/>
          <w:szCs w:val="22"/>
        </w:rPr>
      </w:pPr>
    </w:p>
    <w:p w14:paraId="59BB977B" w14:textId="77777777" w:rsidR="00A604CE" w:rsidRPr="00CC1253" w:rsidRDefault="00A604CE" w:rsidP="00D95D4B">
      <w:pPr>
        <w:jc w:val="both"/>
        <w:rPr>
          <w:rFonts w:eastAsia="Times New Roman" w:cstheme="minorHAnsi"/>
          <w:color w:val="222222"/>
          <w:lang w:eastAsia="fr-FR"/>
        </w:rPr>
      </w:pPr>
      <w:r w:rsidRPr="00CC1253">
        <w:rPr>
          <w:rFonts w:cstheme="minorHAnsi"/>
          <w:color w:val="222222"/>
        </w:rPr>
        <w:br w:type="page"/>
      </w:r>
    </w:p>
    <w:p w14:paraId="1B4A4730" w14:textId="582BAAF9" w:rsidR="00AD3F84" w:rsidRDefault="00A604CE">
      <w:pPr>
        <w:pStyle w:val="TM1"/>
        <w:tabs>
          <w:tab w:val="right" w:leader="dot" w:pos="9060"/>
        </w:tabs>
        <w:rPr>
          <w:noProof/>
          <w:lang w:eastAsia="fr-FR"/>
        </w:rPr>
      </w:pPr>
      <w:r w:rsidRPr="00CC1253">
        <w:rPr>
          <w:rFonts w:cstheme="minorHAnsi"/>
          <w:bCs/>
          <w:caps/>
          <w:sz w:val="32"/>
          <w:szCs w:val="20"/>
        </w:rPr>
        <w:lastRenderedPageBreak/>
        <w:fldChar w:fldCharType="begin"/>
      </w:r>
      <w:r w:rsidRPr="00CC1253">
        <w:rPr>
          <w:rFonts w:cstheme="minorHAnsi"/>
          <w:sz w:val="32"/>
        </w:rPr>
        <w:instrText xml:space="preserve"> TOC \o "1-3" \u </w:instrText>
      </w:r>
      <w:r w:rsidRPr="00CC1253">
        <w:rPr>
          <w:rFonts w:cstheme="minorHAnsi"/>
          <w:bCs/>
          <w:caps/>
          <w:sz w:val="32"/>
          <w:szCs w:val="20"/>
        </w:rPr>
        <w:fldChar w:fldCharType="separate"/>
      </w:r>
      <w:r w:rsidR="00AD3F84" w:rsidRPr="00263994">
        <w:rPr>
          <w:bCs/>
          <w:noProof/>
        </w:rPr>
        <w:t>ARTICLE</w:t>
      </w:r>
      <w:r w:rsidR="00AD3F84">
        <w:rPr>
          <w:noProof/>
        </w:rPr>
        <w:t xml:space="preserve"> 1</w:t>
      </w:r>
      <w:r w:rsidR="00AD3F84" w:rsidRPr="00263994">
        <w:rPr>
          <w:bCs/>
          <w:noProof/>
        </w:rPr>
        <w:t xml:space="preserve"> </w:t>
      </w:r>
      <w:r w:rsidR="00AD3F84">
        <w:rPr>
          <w:noProof/>
        </w:rPr>
        <w:t>– Salariés concernés</w:t>
      </w:r>
      <w:r w:rsidR="00AD3F84">
        <w:rPr>
          <w:noProof/>
        </w:rPr>
        <w:tab/>
      </w:r>
      <w:r w:rsidR="00AD3F84">
        <w:rPr>
          <w:noProof/>
        </w:rPr>
        <w:fldChar w:fldCharType="begin"/>
      </w:r>
      <w:r w:rsidR="00AD3F84">
        <w:rPr>
          <w:noProof/>
        </w:rPr>
        <w:instrText xml:space="preserve"> PAGEREF _Toc225931566 \h </w:instrText>
      </w:r>
      <w:r w:rsidR="00AD3F84">
        <w:rPr>
          <w:noProof/>
        </w:rPr>
      </w:r>
      <w:r w:rsidR="00AD3F84">
        <w:rPr>
          <w:noProof/>
        </w:rPr>
        <w:fldChar w:fldCharType="separate"/>
      </w:r>
      <w:r w:rsidR="00AD3F84">
        <w:rPr>
          <w:noProof/>
        </w:rPr>
        <w:t>5</w:t>
      </w:r>
      <w:r w:rsidR="00AD3F84">
        <w:rPr>
          <w:noProof/>
        </w:rPr>
        <w:fldChar w:fldCharType="end"/>
      </w:r>
    </w:p>
    <w:p w14:paraId="0B99B889" w14:textId="3772D93A" w:rsidR="00AD3F84" w:rsidRDefault="00AD3F84">
      <w:pPr>
        <w:pStyle w:val="TM1"/>
        <w:tabs>
          <w:tab w:val="right" w:leader="dot" w:pos="9060"/>
        </w:tabs>
        <w:rPr>
          <w:noProof/>
          <w:lang w:eastAsia="fr-FR"/>
        </w:rPr>
      </w:pPr>
      <w:r w:rsidRPr="00263994">
        <w:rPr>
          <w:bCs/>
          <w:noProof/>
        </w:rPr>
        <w:t>ARTICLE</w:t>
      </w:r>
      <w:r>
        <w:rPr>
          <w:noProof/>
        </w:rPr>
        <w:t xml:space="preserve"> 2 – Mise en œuvre individuelle de la modalité 2</w:t>
      </w:r>
      <w:r>
        <w:rPr>
          <w:noProof/>
        </w:rPr>
        <w:tab/>
      </w:r>
      <w:r>
        <w:rPr>
          <w:noProof/>
        </w:rPr>
        <w:fldChar w:fldCharType="begin"/>
      </w:r>
      <w:r>
        <w:rPr>
          <w:noProof/>
        </w:rPr>
        <w:instrText xml:space="preserve"> PAGEREF _Toc225931567 \h </w:instrText>
      </w:r>
      <w:r>
        <w:rPr>
          <w:noProof/>
        </w:rPr>
      </w:r>
      <w:r>
        <w:rPr>
          <w:noProof/>
        </w:rPr>
        <w:fldChar w:fldCharType="separate"/>
      </w:r>
      <w:r>
        <w:rPr>
          <w:noProof/>
        </w:rPr>
        <w:t>5</w:t>
      </w:r>
      <w:r>
        <w:rPr>
          <w:noProof/>
        </w:rPr>
        <w:fldChar w:fldCharType="end"/>
      </w:r>
    </w:p>
    <w:p w14:paraId="234906CF" w14:textId="7BCD7E1E" w:rsidR="00AD3F84" w:rsidRDefault="00AD3F84">
      <w:pPr>
        <w:pStyle w:val="TM1"/>
        <w:tabs>
          <w:tab w:val="right" w:leader="dot" w:pos="9060"/>
        </w:tabs>
        <w:rPr>
          <w:noProof/>
          <w:lang w:eastAsia="fr-FR"/>
        </w:rPr>
      </w:pPr>
      <w:r w:rsidRPr="00263994">
        <w:rPr>
          <w:bCs/>
          <w:noProof/>
        </w:rPr>
        <w:t>ARTICLE</w:t>
      </w:r>
      <w:r>
        <w:rPr>
          <w:noProof/>
        </w:rPr>
        <w:t xml:space="preserve"> 3 – Substitution à la condition de rémunération conventionnelle</w:t>
      </w:r>
      <w:r>
        <w:rPr>
          <w:noProof/>
        </w:rPr>
        <w:tab/>
      </w:r>
      <w:r>
        <w:rPr>
          <w:noProof/>
        </w:rPr>
        <w:fldChar w:fldCharType="begin"/>
      </w:r>
      <w:r>
        <w:rPr>
          <w:noProof/>
        </w:rPr>
        <w:instrText xml:space="preserve"> PAGEREF _Toc225931568 \h </w:instrText>
      </w:r>
      <w:r>
        <w:rPr>
          <w:noProof/>
        </w:rPr>
      </w:r>
      <w:r>
        <w:rPr>
          <w:noProof/>
        </w:rPr>
        <w:fldChar w:fldCharType="separate"/>
      </w:r>
      <w:r>
        <w:rPr>
          <w:noProof/>
        </w:rPr>
        <w:t>6</w:t>
      </w:r>
      <w:r>
        <w:rPr>
          <w:noProof/>
        </w:rPr>
        <w:fldChar w:fldCharType="end"/>
      </w:r>
    </w:p>
    <w:p w14:paraId="4396FF07" w14:textId="1BB88ACD" w:rsidR="00AD3F84" w:rsidRDefault="00AD3F84">
      <w:pPr>
        <w:pStyle w:val="TM1"/>
        <w:tabs>
          <w:tab w:val="right" w:leader="dot" w:pos="9060"/>
        </w:tabs>
        <w:rPr>
          <w:noProof/>
          <w:lang w:eastAsia="fr-FR"/>
        </w:rPr>
      </w:pPr>
      <w:r w:rsidRPr="00263994">
        <w:rPr>
          <w:bCs/>
          <w:noProof/>
        </w:rPr>
        <w:t>ARTICLE</w:t>
      </w:r>
      <w:r>
        <w:rPr>
          <w:noProof/>
        </w:rPr>
        <w:t xml:space="preserve"> 4 – Condition de rémunération</w:t>
      </w:r>
      <w:r>
        <w:rPr>
          <w:noProof/>
        </w:rPr>
        <w:tab/>
      </w:r>
      <w:r>
        <w:rPr>
          <w:noProof/>
        </w:rPr>
        <w:fldChar w:fldCharType="begin"/>
      </w:r>
      <w:r>
        <w:rPr>
          <w:noProof/>
        </w:rPr>
        <w:instrText xml:space="preserve"> PAGEREF _Toc225931569 \h </w:instrText>
      </w:r>
      <w:r>
        <w:rPr>
          <w:noProof/>
        </w:rPr>
      </w:r>
      <w:r>
        <w:rPr>
          <w:noProof/>
        </w:rPr>
        <w:fldChar w:fldCharType="separate"/>
      </w:r>
      <w:r>
        <w:rPr>
          <w:noProof/>
        </w:rPr>
        <w:t>6</w:t>
      </w:r>
      <w:r>
        <w:rPr>
          <w:noProof/>
        </w:rPr>
        <w:fldChar w:fldCharType="end"/>
      </w:r>
    </w:p>
    <w:p w14:paraId="12C2827E" w14:textId="6F3E62FB" w:rsidR="00AD3F84" w:rsidRDefault="00AD3F84">
      <w:pPr>
        <w:pStyle w:val="TM1"/>
        <w:tabs>
          <w:tab w:val="right" w:leader="dot" w:pos="9060"/>
        </w:tabs>
        <w:rPr>
          <w:noProof/>
          <w:lang w:eastAsia="fr-FR"/>
        </w:rPr>
      </w:pPr>
      <w:r w:rsidRPr="00263994">
        <w:rPr>
          <w:bCs/>
          <w:noProof/>
        </w:rPr>
        <w:t>ARTICLE</w:t>
      </w:r>
      <w:r>
        <w:rPr>
          <w:noProof/>
        </w:rPr>
        <w:t xml:space="preserve"> 5 – Nature de la modalité 2</w:t>
      </w:r>
      <w:r>
        <w:rPr>
          <w:noProof/>
        </w:rPr>
        <w:tab/>
      </w:r>
      <w:r>
        <w:rPr>
          <w:noProof/>
        </w:rPr>
        <w:fldChar w:fldCharType="begin"/>
      </w:r>
      <w:r>
        <w:rPr>
          <w:noProof/>
        </w:rPr>
        <w:instrText xml:space="preserve"> PAGEREF _Toc225931570 \h </w:instrText>
      </w:r>
      <w:r>
        <w:rPr>
          <w:noProof/>
        </w:rPr>
      </w:r>
      <w:r>
        <w:rPr>
          <w:noProof/>
        </w:rPr>
        <w:fldChar w:fldCharType="separate"/>
      </w:r>
      <w:r>
        <w:rPr>
          <w:noProof/>
        </w:rPr>
        <w:t>6</w:t>
      </w:r>
      <w:r>
        <w:rPr>
          <w:noProof/>
        </w:rPr>
        <w:fldChar w:fldCharType="end"/>
      </w:r>
    </w:p>
    <w:p w14:paraId="4B14D22C" w14:textId="1F7B241E" w:rsidR="00AD3F84" w:rsidRDefault="00AD3F84">
      <w:pPr>
        <w:pStyle w:val="TM1"/>
        <w:tabs>
          <w:tab w:val="right" w:leader="dot" w:pos="9060"/>
        </w:tabs>
        <w:rPr>
          <w:noProof/>
          <w:lang w:eastAsia="fr-FR"/>
        </w:rPr>
      </w:pPr>
      <w:r w:rsidRPr="00263994">
        <w:rPr>
          <w:bCs/>
          <w:noProof/>
        </w:rPr>
        <w:t>ARTICLE</w:t>
      </w:r>
      <w:r>
        <w:rPr>
          <w:noProof/>
        </w:rPr>
        <w:t xml:space="preserve"> 6 – Plafond annuel de jours travaillés</w:t>
      </w:r>
      <w:r>
        <w:rPr>
          <w:noProof/>
        </w:rPr>
        <w:tab/>
      </w:r>
      <w:r>
        <w:rPr>
          <w:noProof/>
        </w:rPr>
        <w:fldChar w:fldCharType="begin"/>
      </w:r>
      <w:r>
        <w:rPr>
          <w:noProof/>
        </w:rPr>
        <w:instrText xml:space="preserve"> PAGEREF _Toc225931571 \h </w:instrText>
      </w:r>
      <w:r>
        <w:rPr>
          <w:noProof/>
        </w:rPr>
      </w:r>
      <w:r>
        <w:rPr>
          <w:noProof/>
        </w:rPr>
        <w:fldChar w:fldCharType="separate"/>
      </w:r>
      <w:r>
        <w:rPr>
          <w:noProof/>
        </w:rPr>
        <w:t>6</w:t>
      </w:r>
      <w:r>
        <w:rPr>
          <w:noProof/>
        </w:rPr>
        <w:fldChar w:fldCharType="end"/>
      </w:r>
    </w:p>
    <w:p w14:paraId="78CFB6E0" w14:textId="327FAB18" w:rsidR="00AD3F84" w:rsidRDefault="00AD3F84">
      <w:pPr>
        <w:pStyle w:val="TM1"/>
        <w:tabs>
          <w:tab w:val="right" w:leader="dot" w:pos="9060"/>
        </w:tabs>
        <w:rPr>
          <w:noProof/>
          <w:lang w:eastAsia="fr-FR"/>
        </w:rPr>
      </w:pPr>
      <w:r w:rsidRPr="00263994">
        <w:rPr>
          <w:bCs/>
          <w:noProof/>
        </w:rPr>
        <w:t>ARTICLE</w:t>
      </w:r>
      <w:r>
        <w:rPr>
          <w:noProof/>
        </w:rPr>
        <w:t xml:space="preserve"> 7 – Jours de repos conventionnels</w:t>
      </w:r>
      <w:r>
        <w:rPr>
          <w:noProof/>
        </w:rPr>
        <w:tab/>
      </w:r>
      <w:r>
        <w:rPr>
          <w:noProof/>
        </w:rPr>
        <w:fldChar w:fldCharType="begin"/>
      </w:r>
      <w:r>
        <w:rPr>
          <w:noProof/>
        </w:rPr>
        <w:instrText xml:space="preserve"> PAGEREF _Toc225931572 \h </w:instrText>
      </w:r>
      <w:r>
        <w:rPr>
          <w:noProof/>
        </w:rPr>
      </w:r>
      <w:r>
        <w:rPr>
          <w:noProof/>
        </w:rPr>
        <w:fldChar w:fldCharType="separate"/>
      </w:r>
      <w:r>
        <w:rPr>
          <w:noProof/>
        </w:rPr>
        <w:t>7</w:t>
      </w:r>
      <w:r>
        <w:rPr>
          <w:noProof/>
        </w:rPr>
        <w:fldChar w:fldCharType="end"/>
      </w:r>
    </w:p>
    <w:p w14:paraId="53A7A7DC" w14:textId="0B992357" w:rsidR="00AD3F84" w:rsidRDefault="00AD3F84">
      <w:pPr>
        <w:pStyle w:val="TM1"/>
        <w:tabs>
          <w:tab w:val="right" w:leader="dot" w:pos="9060"/>
        </w:tabs>
        <w:rPr>
          <w:noProof/>
          <w:lang w:eastAsia="fr-FR"/>
        </w:rPr>
      </w:pPr>
      <w:r w:rsidRPr="00263994">
        <w:rPr>
          <w:bCs/>
          <w:noProof/>
        </w:rPr>
        <w:t>ARTICLE</w:t>
      </w:r>
      <w:r>
        <w:rPr>
          <w:noProof/>
        </w:rPr>
        <w:t xml:space="preserve"> 8 – Suivi de la charge de travail</w:t>
      </w:r>
      <w:r>
        <w:rPr>
          <w:noProof/>
        </w:rPr>
        <w:tab/>
      </w:r>
      <w:r>
        <w:rPr>
          <w:noProof/>
        </w:rPr>
        <w:fldChar w:fldCharType="begin"/>
      </w:r>
      <w:r>
        <w:rPr>
          <w:noProof/>
        </w:rPr>
        <w:instrText xml:space="preserve"> PAGEREF _Toc225931573 \h </w:instrText>
      </w:r>
      <w:r>
        <w:rPr>
          <w:noProof/>
        </w:rPr>
      </w:r>
      <w:r>
        <w:rPr>
          <w:noProof/>
        </w:rPr>
        <w:fldChar w:fldCharType="separate"/>
      </w:r>
      <w:r>
        <w:rPr>
          <w:noProof/>
        </w:rPr>
        <w:t>7</w:t>
      </w:r>
      <w:r>
        <w:rPr>
          <w:noProof/>
        </w:rPr>
        <w:fldChar w:fldCharType="end"/>
      </w:r>
    </w:p>
    <w:p w14:paraId="61DF7FC2" w14:textId="04538044" w:rsidR="00AD3F84" w:rsidRDefault="00AD3F84">
      <w:pPr>
        <w:pStyle w:val="TM1"/>
        <w:tabs>
          <w:tab w:val="right" w:leader="dot" w:pos="9060"/>
        </w:tabs>
        <w:rPr>
          <w:noProof/>
          <w:lang w:eastAsia="fr-FR"/>
        </w:rPr>
      </w:pPr>
      <w:r w:rsidRPr="00263994">
        <w:rPr>
          <w:bCs/>
          <w:noProof/>
        </w:rPr>
        <w:t>ARTICLE</w:t>
      </w:r>
      <w:r>
        <w:rPr>
          <w:noProof/>
        </w:rPr>
        <w:t xml:space="preserve"> 9 – Entretien annuel spécifique</w:t>
      </w:r>
      <w:r>
        <w:rPr>
          <w:noProof/>
        </w:rPr>
        <w:tab/>
      </w:r>
      <w:r>
        <w:rPr>
          <w:noProof/>
        </w:rPr>
        <w:fldChar w:fldCharType="begin"/>
      </w:r>
      <w:r>
        <w:rPr>
          <w:noProof/>
        </w:rPr>
        <w:instrText xml:space="preserve"> PAGEREF _Toc225931574 \h </w:instrText>
      </w:r>
      <w:r>
        <w:rPr>
          <w:noProof/>
        </w:rPr>
      </w:r>
      <w:r>
        <w:rPr>
          <w:noProof/>
        </w:rPr>
        <w:fldChar w:fldCharType="separate"/>
      </w:r>
      <w:r>
        <w:rPr>
          <w:noProof/>
        </w:rPr>
        <w:t>7</w:t>
      </w:r>
      <w:r>
        <w:rPr>
          <w:noProof/>
        </w:rPr>
        <w:fldChar w:fldCharType="end"/>
      </w:r>
    </w:p>
    <w:p w14:paraId="56351156" w14:textId="205F0367" w:rsidR="00AD3F84" w:rsidRDefault="00AD3F84">
      <w:pPr>
        <w:pStyle w:val="TM1"/>
        <w:tabs>
          <w:tab w:val="right" w:leader="dot" w:pos="9060"/>
        </w:tabs>
        <w:rPr>
          <w:noProof/>
          <w:lang w:eastAsia="fr-FR"/>
        </w:rPr>
      </w:pPr>
      <w:r w:rsidRPr="00263994">
        <w:rPr>
          <w:bCs/>
          <w:noProof/>
        </w:rPr>
        <w:t>ARTICLE</w:t>
      </w:r>
      <w:r>
        <w:rPr>
          <w:noProof/>
        </w:rPr>
        <w:t xml:space="preserve"> 10 – Droit d’alerte</w:t>
      </w:r>
      <w:r>
        <w:rPr>
          <w:noProof/>
        </w:rPr>
        <w:tab/>
      </w:r>
      <w:r>
        <w:rPr>
          <w:noProof/>
        </w:rPr>
        <w:fldChar w:fldCharType="begin"/>
      </w:r>
      <w:r>
        <w:rPr>
          <w:noProof/>
        </w:rPr>
        <w:instrText xml:space="preserve"> PAGEREF _Toc225931575 \h </w:instrText>
      </w:r>
      <w:r>
        <w:rPr>
          <w:noProof/>
        </w:rPr>
      </w:r>
      <w:r>
        <w:rPr>
          <w:noProof/>
        </w:rPr>
        <w:fldChar w:fldCharType="separate"/>
      </w:r>
      <w:r>
        <w:rPr>
          <w:noProof/>
        </w:rPr>
        <w:t>7</w:t>
      </w:r>
      <w:r>
        <w:rPr>
          <w:noProof/>
        </w:rPr>
        <w:fldChar w:fldCharType="end"/>
      </w:r>
    </w:p>
    <w:p w14:paraId="4CE7049B" w14:textId="44E22FC0" w:rsidR="00AD3F84" w:rsidRDefault="00AD3F84">
      <w:pPr>
        <w:pStyle w:val="TM1"/>
        <w:tabs>
          <w:tab w:val="right" w:leader="dot" w:pos="9060"/>
        </w:tabs>
        <w:rPr>
          <w:noProof/>
          <w:lang w:eastAsia="fr-FR"/>
        </w:rPr>
      </w:pPr>
      <w:r w:rsidRPr="00263994">
        <w:rPr>
          <w:bCs/>
          <w:noProof/>
        </w:rPr>
        <w:t xml:space="preserve">ARTICLE </w:t>
      </w:r>
      <w:r>
        <w:rPr>
          <w:noProof/>
        </w:rPr>
        <w:t>11 – Repos et droit à la déconnexion</w:t>
      </w:r>
      <w:r>
        <w:rPr>
          <w:noProof/>
        </w:rPr>
        <w:tab/>
      </w:r>
      <w:r>
        <w:rPr>
          <w:noProof/>
        </w:rPr>
        <w:fldChar w:fldCharType="begin"/>
      </w:r>
      <w:r>
        <w:rPr>
          <w:noProof/>
        </w:rPr>
        <w:instrText xml:space="preserve"> PAGEREF _Toc225931576 \h </w:instrText>
      </w:r>
      <w:r>
        <w:rPr>
          <w:noProof/>
        </w:rPr>
      </w:r>
      <w:r>
        <w:rPr>
          <w:noProof/>
        </w:rPr>
        <w:fldChar w:fldCharType="separate"/>
      </w:r>
      <w:r>
        <w:rPr>
          <w:noProof/>
        </w:rPr>
        <w:t>7</w:t>
      </w:r>
      <w:r>
        <w:rPr>
          <w:noProof/>
        </w:rPr>
        <w:fldChar w:fldCharType="end"/>
      </w:r>
    </w:p>
    <w:p w14:paraId="55A88B85" w14:textId="66C47604" w:rsidR="00AD3F84" w:rsidRDefault="00AD3F84">
      <w:pPr>
        <w:pStyle w:val="TM1"/>
        <w:tabs>
          <w:tab w:val="right" w:leader="dot" w:pos="9060"/>
        </w:tabs>
        <w:rPr>
          <w:noProof/>
          <w:lang w:eastAsia="fr-FR"/>
        </w:rPr>
      </w:pPr>
      <w:r>
        <w:rPr>
          <w:noProof/>
        </w:rPr>
        <w:t>ARTICLE 12 - Durée et entrée en vigueur de l’accord</w:t>
      </w:r>
      <w:r>
        <w:rPr>
          <w:noProof/>
        </w:rPr>
        <w:tab/>
      </w:r>
      <w:r>
        <w:rPr>
          <w:noProof/>
        </w:rPr>
        <w:fldChar w:fldCharType="begin"/>
      </w:r>
      <w:r>
        <w:rPr>
          <w:noProof/>
        </w:rPr>
        <w:instrText xml:space="preserve"> PAGEREF _Toc225931577 \h </w:instrText>
      </w:r>
      <w:r>
        <w:rPr>
          <w:noProof/>
        </w:rPr>
      </w:r>
      <w:r>
        <w:rPr>
          <w:noProof/>
        </w:rPr>
        <w:fldChar w:fldCharType="separate"/>
      </w:r>
      <w:r>
        <w:rPr>
          <w:noProof/>
        </w:rPr>
        <w:t>7</w:t>
      </w:r>
      <w:r>
        <w:rPr>
          <w:noProof/>
        </w:rPr>
        <w:fldChar w:fldCharType="end"/>
      </w:r>
    </w:p>
    <w:p w14:paraId="3DFD45A8" w14:textId="218706B1" w:rsidR="00AD3F84" w:rsidRDefault="00AD3F84">
      <w:pPr>
        <w:pStyle w:val="TM1"/>
        <w:tabs>
          <w:tab w:val="right" w:leader="dot" w:pos="9060"/>
        </w:tabs>
        <w:rPr>
          <w:noProof/>
          <w:lang w:eastAsia="fr-FR"/>
        </w:rPr>
      </w:pPr>
      <w:r>
        <w:rPr>
          <w:noProof/>
        </w:rPr>
        <w:t>ARTICLE 13 – Révision et dénonciation de l’accord</w:t>
      </w:r>
      <w:r>
        <w:rPr>
          <w:noProof/>
        </w:rPr>
        <w:tab/>
      </w:r>
      <w:r>
        <w:rPr>
          <w:noProof/>
        </w:rPr>
        <w:fldChar w:fldCharType="begin"/>
      </w:r>
      <w:r>
        <w:rPr>
          <w:noProof/>
        </w:rPr>
        <w:instrText xml:space="preserve"> PAGEREF _Toc225931578 \h </w:instrText>
      </w:r>
      <w:r>
        <w:rPr>
          <w:noProof/>
        </w:rPr>
      </w:r>
      <w:r>
        <w:rPr>
          <w:noProof/>
        </w:rPr>
        <w:fldChar w:fldCharType="separate"/>
      </w:r>
      <w:r>
        <w:rPr>
          <w:noProof/>
        </w:rPr>
        <w:t>7</w:t>
      </w:r>
      <w:r>
        <w:rPr>
          <w:noProof/>
        </w:rPr>
        <w:fldChar w:fldCharType="end"/>
      </w:r>
    </w:p>
    <w:p w14:paraId="38661DCA" w14:textId="54CD70B2" w:rsidR="00AD3F84" w:rsidRDefault="00AD3F84">
      <w:pPr>
        <w:pStyle w:val="TM1"/>
        <w:tabs>
          <w:tab w:val="right" w:leader="dot" w:pos="9060"/>
        </w:tabs>
        <w:rPr>
          <w:noProof/>
          <w:lang w:eastAsia="fr-FR"/>
        </w:rPr>
      </w:pPr>
      <w:r>
        <w:rPr>
          <w:noProof/>
        </w:rPr>
        <w:t>ARTICLE 14 – Dépôt et publicité</w:t>
      </w:r>
      <w:r>
        <w:rPr>
          <w:noProof/>
        </w:rPr>
        <w:tab/>
      </w:r>
      <w:r>
        <w:rPr>
          <w:noProof/>
        </w:rPr>
        <w:fldChar w:fldCharType="begin"/>
      </w:r>
      <w:r>
        <w:rPr>
          <w:noProof/>
        </w:rPr>
        <w:instrText xml:space="preserve"> PAGEREF _Toc225931579 \h </w:instrText>
      </w:r>
      <w:r>
        <w:rPr>
          <w:noProof/>
        </w:rPr>
      </w:r>
      <w:r>
        <w:rPr>
          <w:noProof/>
        </w:rPr>
        <w:fldChar w:fldCharType="separate"/>
      </w:r>
      <w:r>
        <w:rPr>
          <w:noProof/>
        </w:rPr>
        <w:t>8</w:t>
      </w:r>
      <w:r>
        <w:rPr>
          <w:noProof/>
        </w:rPr>
        <w:fldChar w:fldCharType="end"/>
      </w:r>
    </w:p>
    <w:p w14:paraId="4EDD0C19" w14:textId="29396E54" w:rsidR="00A604CE" w:rsidRPr="00CC1253" w:rsidRDefault="00A604CE" w:rsidP="00D95D4B">
      <w:pPr>
        <w:pStyle w:val="tpart"/>
        <w:spacing w:after="0"/>
        <w:rPr>
          <w:rFonts w:asciiTheme="minorHAnsi" w:hAnsiTheme="minorHAnsi" w:cstheme="minorHAnsi"/>
          <w:b/>
          <w:sz w:val="32"/>
        </w:rPr>
      </w:pPr>
      <w:r w:rsidRPr="00CC1253">
        <w:rPr>
          <w:rFonts w:asciiTheme="minorHAnsi" w:hAnsiTheme="minorHAnsi" w:cstheme="minorHAnsi"/>
          <w:b/>
          <w:sz w:val="40"/>
        </w:rPr>
        <w:fldChar w:fldCharType="end"/>
      </w:r>
    </w:p>
    <w:p w14:paraId="1125E93C" w14:textId="77777777" w:rsidR="00A604CE" w:rsidRPr="00CC1253" w:rsidRDefault="00A604CE" w:rsidP="00D95D4B">
      <w:pPr>
        <w:pStyle w:val="tpart"/>
        <w:spacing w:after="0"/>
        <w:rPr>
          <w:rFonts w:asciiTheme="minorHAnsi" w:hAnsiTheme="minorHAnsi" w:cstheme="minorHAnsi"/>
          <w:b/>
          <w:sz w:val="32"/>
        </w:rPr>
      </w:pPr>
    </w:p>
    <w:p w14:paraId="76716794" w14:textId="77777777" w:rsidR="00A604CE" w:rsidRPr="00CC1253" w:rsidRDefault="00A604CE" w:rsidP="00D95D4B">
      <w:pPr>
        <w:pStyle w:val="tpart"/>
        <w:spacing w:after="0"/>
        <w:rPr>
          <w:rFonts w:asciiTheme="minorHAnsi" w:hAnsiTheme="minorHAnsi" w:cstheme="minorHAnsi"/>
          <w:b/>
          <w:sz w:val="32"/>
        </w:rPr>
      </w:pPr>
    </w:p>
    <w:p w14:paraId="779F8F39" w14:textId="77777777" w:rsidR="00A604CE" w:rsidRPr="00CC1253" w:rsidRDefault="00A604CE" w:rsidP="00D95D4B">
      <w:pPr>
        <w:pStyle w:val="tpart"/>
        <w:spacing w:after="0"/>
        <w:rPr>
          <w:rFonts w:asciiTheme="minorHAnsi" w:hAnsiTheme="minorHAnsi" w:cstheme="minorHAnsi"/>
          <w:b/>
          <w:sz w:val="32"/>
        </w:rPr>
      </w:pPr>
    </w:p>
    <w:p w14:paraId="3F4684A7" w14:textId="77777777" w:rsidR="00A604CE" w:rsidRPr="00CC1253" w:rsidRDefault="00A604CE" w:rsidP="00D95D4B">
      <w:pPr>
        <w:pStyle w:val="tpart"/>
        <w:spacing w:after="0"/>
        <w:rPr>
          <w:rFonts w:asciiTheme="minorHAnsi" w:hAnsiTheme="minorHAnsi" w:cstheme="minorHAnsi"/>
          <w:b/>
          <w:sz w:val="32"/>
        </w:rPr>
      </w:pPr>
    </w:p>
    <w:p w14:paraId="0F5BD9C1" w14:textId="77777777" w:rsidR="00A604CE" w:rsidRPr="00CC1253" w:rsidRDefault="00A604CE" w:rsidP="00D95D4B">
      <w:pPr>
        <w:pStyle w:val="tpart"/>
        <w:spacing w:after="0"/>
        <w:rPr>
          <w:rFonts w:asciiTheme="minorHAnsi" w:hAnsiTheme="minorHAnsi" w:cstheme="minorHAnsi"/>
          <w:b/>
          <w:u w:val="single"/>
        </w:rPr>
      </w:pPr>
    </w:p>
    <w:p w14:paraId="51BD87D8" w14:textId="77777777" w:rsidR="00A604CE" w:rsidRPr="00CC1253" w:rsidRDefault="00A604CE" w:rsidP="00D95D4B">
      <w:pPr>
        <w:pStyle w:val="tpart"/>
        <w:spacing w:after="0"/>
        <w:rPr>
          <w:rFonts w:asciiTheme="minorHAnsi" w:hAnsiTheme="minorHAnsi" w:cstheme="minorHAnsi"/>
          <w:b/>
          <w:u w:val="single"/>
        </w:rPr>
      </w:pPr>
    </w:p>
    <w:p w14:paraId="6F11554A" w14:textId="77777777" w:rsidR="00A604CE" w:rsidRPr="00CC1253" w:rsidRDefault="00A604CE" w:rsidP="00D95D4B">
      <w:pPr>
        <w:pStyle w:val="tpart"/>
        <w:spacing w:after="0"/>
        <w:rPr>
          <w:rFonts w:asciiTheme="minorHAnsi" w:hAnsiTheme="minorHAnsi" w:cstheme="minorHAnsi"/>
          <w:b/>
          <w:u w:val="single"/>
        </w:rPr>
      </w:pPr>
    </w:p>
    <w:p w14:paraId="0701E056" w14:textId="77777777" w:rsidR="00A604CE" w:rsidRPr="00CC1253" w:rsidRDefault="00A604CE" w:rsidP="00D95D4B">
      <w:pPr>
        <w:pStyle w:val="tpart"/>
        <w:spacing w:after="0"/>
        <w:rPr>
          <w:rFonts w:asciiTheme="minorHAnsi" w:hAnsiTheme="minorHAnsi" w:cstheme="minorHAnsi"/>
          <w:b/>
          <w:u w:val="single"/>
        </w:rPr>
      </w:pPr>
    </w:p>
    <w:p w14:paraId="6E07FECF" w14:textId="77777777" w:rsidR="00A604CE" w:rsidRPr="00CC1253" w:rsidRDefault="00A604CE" w:rsidP="00D95D4B">
      <w:pPr>
        <w:pStyle w:val="tpart"/>
        <w:spacing w:after="0"/>
        <w:rPr>
          <w:rFonts w:asciiTheme="minorHAnsi" w:hAnsiTheme="minorHAnsi" w:cstheme="minorHAnsi"/>
          <w:b/>
          <w:u w:val="single"/>
        </w:rPr>
      </w:pPr>
    </w:p>
    <w:p w14:paraId="43C7348C" w14:textId="77777777" w:rsidR="00A604CE" w:rsidRPr="00CC1253" w:rsidRDefault="00A604CE" w:rsidP="00D95D4B">
      <w:pPr>
        <w:pStyle w:val="tpart"/>
        <w:spacing w:after="0"/>
        <w:rPr>
          <w:rFonts w:asciiTheme="minorHAnsi" w:hAnsiTheme="minorHAnsi" w:cstheme="minorHAnsi"/>
          <w:b/>
          <w:u w:val="single"/>
        </w:rPr>
      </w:pPr>
    </w:p>
    <w:p w14:paraId="4C37C7AF" w14:textId="77777777" w:rsidR="00A604CE" w:rsidRPr="00CC1253" w:rsidRDefault="00A604CE" w:rsidP="00D95D4B">
      <w:pPr>
        <w:pStyle w:val="tpart"/>
        <w:spacing w:after="0"/>
        <w:rPr>
          <w:rFonts w:asciiTheme="minorHAnsi" w:hAnsiTheme="minorHAnsi" w:cstheme="minorHAnsi"/>
          <w:b/>
          <w:u w:val="single"/>
        </w:rPr>
      </w:pPr>
    </w:p>
    <w:p w14:paraId="12F462D6" w14:textId="77777777" w:rsidR="00A604CE" w:rsidRPr="00CC1253" w:rsidRDefault="00A604CE" w:rsidP="00D95D4B">
      <w:pPr>
        <w:jc w:val="both"/>
        <w:rPr>
          <w:rFonts w:cstheme="minorHAnsi"/>
          <w:b/>
          <w:u w:val="single"/>
        </w:rPr>
      </w:pPr>
      <w:r w:rsidRPr="00CC1253">
        <w:rPr>
          <w:rFonts w:cstheme="minorHAnsi"/>
          <w:b/>
          <w:u w:val="single"/>
        </w:rPr>
        <w:br w:type="page"/>
      </w:r>
    </w:p>
    <w:p w14:paraId="4480728D" w14:textId="77777777" w:rsidR="00A604CE" w:rsidRDefault="00A604CE" w:rsidP="00D95D4B">
      <w:pPr>
        <w:pStyle w:val="tpart"/>
        <w:spacing w:after="0"/>
        <w:rPr>
          <w:rFonts w:asciiTheme="minorHAnsi" w:hAnsiTheme="minorHAnsi" w:cstheme="minorHAnsi"/>
          <w:b/>
          <w:u w:val="single"/>
        </w:rPr>
      </w:pPr>
      <w:proofErr w:type="gramStart"/>
      <w:r w:rsidRPr="00CC1253">
        <w:rPr>
          <w:rFonts w:asciiTheme="minorHAnsi" w:hAnsiTheme="minorHAnsi" w:cstheme="minorHAnsi"/>
          <w:b/>
          <w:u w:val="single"/>
        </w:rPr>
        <w:lastRenderedPageBreak/>
        <w:t>ENTRE LES</w:t>
      </w:r>
      <w:proofErr w:type="gramEnd"/>
      <w:r w:rsidRPr="00CC1253">
        <w:rPr>
          <w:rFonts w:asciiTheme="minorHAnsi" w:hAnsiTheme="minorHAnsi" w:cstheme="minorHAnsi"/>
          <w:b/>
          <w:u w:val="single"/>
        </w:rPr>
        <w:t xml:space="preserve"> SOUSSIGNES :</w:t>
      </w:r>
    </w:p>
    <w:p w14:paraId="2E72FB13" w14:textId="77777777" w:rsidR="00810F23" w:rsidRPr="00CC1253" w:rsidRDefault="00810F23" w:rsidP="00D95D4B">
      <w:pPr>
        <w:pStyle w:val="tpart"/>
        <w:spacing w:after="0"/>
        <w:rPr>
          <w:rFonts w:asciiTheme="minorHAnsi" w:hAnsiTheme="minorHAnsi" w:cstheme="minorHAnsi"/>
          <w:b/>
          <w:u w:val="single"/>
        </w:rPr>
      </w:pPr>
    </w:p>
    <w:p w14:paraId="0EB757A7" w14:textId="4D0A8C31" w:rsidR="00A604CE" w:rsidRPr="00CC1253" w:rsidRDefault="00810F23" w:rsidP="00D95D4B">
      <w:pPr>
        <w:pStyle w:val="tpart"/>
        <w:spacing w:after="0"/>
        <w:rPr>
          <w:rFonts w:asciiTheme="minorHAnsi" w:hAnsiTheme="minorHAnsi" w:cstheme="minorHAnsi"/>
        </w:rPr>
      </w:pPr>
      <w:r w:rsidRPr="00810F23">
        <w:rPr>
          <w:rFonts w:asciiTheme="minorHAnsi" w:hAnsiTheme="minorHAnsi" w:cstheme="minorHAnsi"/>
        </w:rPr>
        <w:t>INGEN MANAG GENIE ENERGET ENERG NOUV</w:t>
      </w:r>
    </w:p>
    <w:p w14:paraId="6523AC01" w14:textId="41CEE561" w:rsidR="00A604CE" w:rsidRPr="00EA2A06" w:rsidRDefault="00A604CE" w:rsidP="00D95D4B">
      <w:pPr>
        <w:pStyle w:val="ppart"/>
        <w:spacing w:after="0"/>
        <w:rPr>
          <w:rFonts w:asciiTheme="minorHAnsi" w:hAnsiTheme="minorHAnsi" w:cstheme="minorHAnsi"/>
        </w:rPr>
      </w:pPr>
      <w:r w:rsidRPr="00EA2A06">
        <w:rPr>
          <w:rFonts w:asciiTheme="minorHAnsi" w:hAnsiTheme="minorHAnsi" w:cstheme="minorHAnsi"/>
        </w:rPr>
        <w:t xml:space="preserve">Dont le siège social est fixé à </w:t>
      </w:r>
      <w:r w:rsidR="007464D7">
        <w:rPr>
          <w:rFonts w:asciiTheme="minorHAnsi" w:hAnsiTheme="minorHAnsi" w:cstheme="minorHAnsi"/>
        </w:rPr>
        <w:t>XXXXXXXXXXXXXXXXXXXXXXX</w:t>
      </w:r>
      <w:r w:rsidRPr="00EA2A06">
        <w:rPr>
          <w:rFonts w:asciiTheme="minorHAnsi" w:hAnsiTheme="minorHAnsi" w:cstheme="minorHAnsi"/>
        </w:rPr>
        <w:t>, immatriculée au RCS de Saint-Denis sous le n</w:t>
      </w:r>
      <w:r w:rsidRPr="00EA2A06">
        <w:rPr>
          <w:rFonts w:asciiTheme="minorHAnsi" w:hAnsiTheme="minorHAnsi" w:cstheme="minorHAnsi"/>
          <w:vertAlign w:val="superscript"/>
        </w:rPr>
        <w:t>o</w:t>
      </w:r>
      <w:r w:rsidRPr="00EA2A06">
        <w:rPr>
          <w:rFonts w:asciiTheme="minorHAnsi" w:hAnsiTheme="minorHAnsi" w:cstheme="minorHAnsi"/>
        </w:rPr>
        <w:t> </w:t>
      </w:r>
      <w:r w:rsidR="00810F23" w:rsidRPr="00810F23">
        <w:rPr>
          <w:rFonts w:asciiTheme="minorHAnsi" w:hAnsiTheme="minorHAnsi" w:cstheme="minorHAnsi"/>
        </w:rPr>
        <w:t>47982343700013</w:t>
      </w:r>
      <w:r w:rsidRPr="00EA2A06">
        <w:rPr>
          <w:rFonts w:asciiTheme="minorHAnsi" w:hAnsiTheme="minorHAnsi" w:cstheme="minorHAnsi"/>
        </w:rPr>
        <w:t xml:space="preserve">, représentée par </w:t>
      </w:r>
      <w:r w:rsidR="007464D7">
        <w:rPr>
          <w:rFonts w:asciiTheme="minorHAnsi" w:hAnsiTheme="minorHAnsi" w:cstheme="minorHAnsi"/>
        </w:rPr>
        <w:t>XXXXXXXXXXXXXXXXX</w:t>
      </w:r>
      <w:r w:rsidR="006F57EF" w:rsidRPr="00EA2A06">
        <w:rPr>
          <w:rFonts w:asciiTheme="minorHAnsi" w:hAnsiTheme="minorHAnsi" w:cstheme="minorHAnsi"/>
        </w:rPr>
        <w:t xml:space="preserve"> et </w:t>
      </w:r>
      <w:r w:rsidR="007464D7">
        <w:rPr>
          <w:rFonts w:asciiTheme="minorHAnsi" w:hAnsiTheme="minorHAnsi" w:cstheme="minorHAnsi"/>
        </w:rPr>
        <w:t>XXXXXXXXXXXXXX</w:t>
      </w:r>
      <w:r w:rsidR="006F57EF" w:rsidRPr="00EA2A06">
        <w:rPr>
          <w:rFonts w:asciiTheme="minorHAnsi" w:hAnsiTheme="minorHAnsi" w:cstheme="minorHAnsi"/>
        </w:rPr>
        <w:t xml:space="preserve">I </w:t>
      </w:r>
      <w:r w:rsidRPr="00EA2A06">
        <w:rPr>
          <w:rFonts w:asciiTheme="minorHAnsi" w:hAnsiTheme="minorHAnsi" w:cstheme="minorHAnsi"/>
        </w:rPr>
        <w:t xml:space="preserve">en qualité de </w:t>
      </w:r>
      <w:r w:rsidR="00AD3F84">
        <w:rPr>
          <w:rFonts w:asciiTheme="minorHAnsi" w:hAnsiTheme="minorHAnsi" w:cstheme="minorHAnsi"/>
        </w:rPr>
        <w:t>XXXXXX</w:t>
      </w:r>
      <w:r w:rsidRPr="00EA2A06">
        <w:rPr>
          <w:rFonts w:asciiTheme="minorHAnsi" w:hAnsiTheme="minorHAnsi" w:cstheme="minorHAnsi"/>
        </w:rPr>
        <w:t xml:space="preserve">, </w:t>
      </w:r>
    </w:p>
    <w:p w14:paraId="248AA09F" w14:textId="77777777" w:rsidR="00A604CE" w:rsidRPr="00EA2A06" w:rsidRDefault="00A604CE" w:rsidP="00D95D4B">
      <w:pPr>
        <w:pStyle w:val="ppart"/>
        <w:spacing w:after="0"/>
        <w:rPr>
          <w:rFonts w:asciiTheme="minorHAnsi" w:hAnsiTheme="minorHAnsi" w:cstheme="minorHAnsi"/>
        </w:rPr>
      </w:pPr>
      <w:r w:rsidRPr="00EA2A06">
        <w:rPr>
          <w:rFonts w:asciiTheme="minorHAnsi" w:hAnsiTheme="minorHAnsi" w:cstheme="minorHAnsi"/>
        </w:rPr>
        <w:t>N°IDCC : 1486 Bureaux d'études techniques, cabinets d'ingénieurs-conseils et</w:t>
      </w:r>
      <w:r w:rsidRPr="00EA2A06">
        <w:rPr>
          <w:rFonts w:asciiTheme="minorHAnsi" w:hAnsiTheme="minorHAnsi" w:cstheme="minorHAnsi"/>
          <w:shd w:val="clear" w:color="auto" w:fill="FFFFFF"/>
        </w:rPr>
        <w:t xml:space="preserve"> sociétés de conseils</w:t>
      </w:r>
    </w:p>
    <w:p w14:paraId="7540A9B5" w14:textId="77777777" w:rsidR="00A604CE" w:rsidRPr="00EA2A06" w:rsidRDefault="00A604CE" w:rsidP="00D95D4B">
      <w:pPr>
        <w:pStyle w:val="epart"/>
        <w:spacing w:after="0"/>
        <w:rPr>
          <w:rFonts w:asciiTheme="minorHAnsi" w:hAnsiTheme="minorHAnsi" w:cstheme="minorHAnsi"/>
          <w:sz w:val="23"/>
          <w:szCs w:val="23"/>
        </w:rPr>
      </w:pPr>
    </w:p>
    <w:p w14:paraId="4CBB7C90" w14:textId="77777777" w:rsidR="00A604CE" w:rsidRPr="00EA2A06" w:rsidRDefault="00A604CE" w:rsidP="00D95D4B">
      <w:pPr>
        <w:pStyle w:val="epart"/>
        <w:spacing w:after="0"/>
        <w:rPr>
          <w:rFonts w:asciiTheme="minorHAnsi" w:hAnsiTheme="minorHAnsi" w:cstheme="minorHAnsi"/>
          <w:b/>
        </w:rPr>
      </w:pPr>
    </w:p>
    <w:p w14:paraId="4FA68B3C" w14:textId="77777777" w:rsidR="00A604CE" w:rsidRPr="00EA2A06" w:rsidRDefault="00A604CE" w:rsidP="00D95D4B">
      <w:pPr>
        <w:pStyle w:val="epart"/>
        <w:spacing w:after="0"/>
        <w:rPr>
          <w:rFonts w:asciiTheme="minorHAnsi" w:hAnsiTheme="minorHAnsi" w:cstheme="minorHAnsi"/>
          <w:b/>
        </w:rPr>
      </w:pPr>
      <w:r w:rsidRPr="00EA2A06">
        <w:rPr>
          <w:rFonts w:asciiTheme="minorHAnsi" w:hAnsiTheme="minorHAnsi" w:cstheme="minorHAnsi"/>
          <w:b/>
        </w:rPr>
        <w:t>D'une part,</w:t>
      </w:r>
    </w:p>
    <w:p w14:paraId="43385E5B" w14:textId="77777777" w:rsidR="00A604CE" w:rsidRPr="00EA2A06" w:rsidRDefault="00A604CE" w:rsidP="00D95D4B">
      <w:pPr>
        <w:pStyle w:val="epart"/>
        <w:spacing w:after="0"/>
        <w:rPr>
          <w:rFonts w:asciiTheme="minorHAnsi" w:hAnsiTheme="minorHAnsi" w:cstheme="minorHAnsi"/>
        </w:rPr>
      </w:pPr>
    </w:p>
    <w:p w14:paraId="64888F90" w14:textId="77777777" w:rsidR="00A604CE" w:rsidRPr="00EA2A06" w:rsidRDefault="00A604CE" w:rsidP="00D95D4B">
      <w:pPr>
        <w:pStyle w:val="tpart"/>
        <w:spacing w:after="0"/>
        <w:rPr>
          <w:rFonts w:asciiTheme="minorHAnsi" w:hAnsiTheme="minorHAnsi" w:cstheme="minorHAnsi"/>
          <w:b/>
          <w:u w:val="single"/>
        </w:rPr>
      </w:pPr>
      <w:r w:rsidRPr="00EA2A06">
        <w:rPr>
          <w:rFonts w:asciiTheme="minorHAnsi" w:hAnsiTheme="minorHAnsi" w:cstheme="minorHAnsi"/>
          <w:b/>
          <w:u w:val="single"/>
        </w:rPr>
        <w:t>ET :</w:t>
      </w:r>
    </w:p>
    <w:p w14:paraId="65F88497" w14:textId="77777777" w:rsidR="00A604CE" w:rsidRPr="00EA2A06" w:rsidRDefault="00A604CE" w:rsidP="00D95D4B">
      <w:pPr>
        <w:pStyle w:val="d1"/>
        <w:spacing w:after="0"/>
        <w:rPr>
          <w:rFonts w:asciiTheme="minorHAnsi" w:hAnsiTheme="minorHAnsi" w:cstheme="minorHAnsi"/>
        </w:rPr>
      </w:pPr>
    </w:p>
    <w:p w14:paraId="0A0389AC" w14:textId="3259FCE6" w:rsidR="00A604CE" w:rsidRPr="00EA2A06" w:rsidRDefault="00A604CE" w:rsidP="00D95D4B">
      <w:pPr>
        <w:pStyle w:val="d1"/>
        <w:spacing w:after="0"/>
        <w:rPr>
          <w:rFonts w:asciiTheme="minorHAnsi" w:hAnsiTheme="minorHAnsi" w:cstheme="minorHAnsi"/>
          <w:sz w:val="23"/>
          <w:szCs w:val="23"/>
        </w:rPr>
      </w:pPr>
      <w:r w:rsidRPr="00EA2A06">
        <w:rPr>
          <w:rFonts w:asciiTheme="minorHAnsi" w:hAnsiTheme="minorHAnsi" w:cstheme="minorHAnsi"/>
          <w:sz w:val="23"/>
          <w:szCs w:val="23"/>
        </w:rPr>
        <w:t>L’ensemble des membres du personnel de l’entreprise statuant à la majorité des deux tiers</w:t>
      </w:r>
      <w:r w:rsidR="00CC1253" w:rsidRPr="00EA2A06">
        <w:rPr>
          <w:rFonts w:asciiTheme="minorHAnsi" w:hAnsiTheme="minorHAnsi" w:cstheme="minorHAnsi"/>
          <w:sz w:val="23"/>
          <w:szCs w:val="23"/>
        </w:rPr>
        <w:t xml:space="preserve"> conformément aux articles L.2232</w:t>
      </w:r>
      <w:r w:rsidR="00CC1253" w:rsidRPr="00EA2A06">
        <w:rPr>
          <w:rFonts w:ascii="Cambria Math" w:hAnsi="Cambria Math" w:cs="Cambria Math"/>
          <w:sz w:val="23"/>
          <w:szCs w:val="23"/>
        </w:rPr>
        <w:t>‑</w:t>
      </w:r>
      <w:r w:rsidR="00CC1253" w:rsidRPr="00EA2A06">
        <w:rPr>
          <w:rFonts w:asciiTheme="minorHAnsi" w:hAnsiTheme="minorHAnsi" w:cstheme="minorHAnsi"/>
          <w:sz w:val="23"/>
          <w:szCs w:val="23"/>
        </w:rPr>
        <w:t>21 et suivants du Code du travail,</w:t>
      </w:r>
    </w:p>
    <w:p w14:paraId="44C545C7" w14:textId="77777777" w:rsidR="00A604CE" w:rsidRPr="00EA2A06" w:rsidRDefault="00A604CE" w:rsidP="00D95D4B">
      <w:pPr>
        <w:pStyle w:val="d1"/>
        <w:spacing w:after="0"/>
        <w:rPr>
          <w:rFonts w:asciiTheme="minorHAnsi" w:hAnsiTheme="minorHAnsi" w:cstheme="minorHAnsi"/>
        </w:rPr>
      </w:pPr>
    </w:p>
    <w:p w14:paraId="5F12C945" w14:textId="77777777" w:rsidR="00A604CE" w:rsidRPr="00EA2A06" w:rsidRDefault="00A604CE" w:rsidP="00D95D4B">
      <w:pPr>
        <w:pStyle w:val="epart"/>
        <w:spacing w:after="0"/>
        <w:rPr>
          <w:rFonts w:asciiTheme="minorHAnsi" w:hAnsiTheme="minorHAnsi" w:cstheme="minorHAnsi"/>
          <w:b/>
        </w:rPr>
      </w:pPr>
      <w:r w:rsidRPr="00EA2A06">
        <w:rPr>
          <w:rFonts w:asciiTheme="minorHAnsi" w:hAnsiTheme="minorHAnsi" w:cstheme="minorHAnsi"/>
          <w:b/>
        </w:rPr>
        <w:t>D'autre part,</w:t>
      </w:r>
    </w:p>
    <w:p w14:paraId="6EC03E12" w14:textId="77777777" w:rsidR="00A604CE" w:rsidRPr="00EA2A06" w:rsidRDefault="00A604CE" w:rsidP="00D95D4B">
      <w:pPr>
        <w:pStyle w:val="d1"/>
        <w:spacing w:after="0"/>
        <w:rPr>
          <w:rFonts w:asciiTheme="minorHAnsi" w:hAnsiTheme="minorHAnsi" w:cstheme="minorHAnsi"/>
        </w:rPr>
      </w:pPr>
    </w:p>
    <w:p w14:paraId="2052F173" w14:textId="35F8AF20" w:rsidR="00B548B1" w:rsidRPr="00B548B1" w:rsidRDefault="00B548B1" w:rsidP="00D95D4B">
      <w:pPr>
        <w:jc w:val="both"/>
        <w:rPr>
          <w:rFonts w:cstheme="minorHAnsi"/>
          <w:b/>
          <w:sz w:val="28"/>
          <w:szCs w:val="23"/>
          <w:u w:val="single"/>
        </w:rPr>
      </w:pPr>
      <w:r w:rsidRPr="00B548B1">
        <w:rPr>
          <w:rFonts w:cstheme="minorHAnsi"/>
          <w:b/>
          <w:sz w:val="28"/>
          <w:szCs w:val="23"/>
          <w:u w:val="single"/>
        </w:rPr>
        <w:t xml:space="preserve">Représentation du personnel </w:t>
      </w:r>
    </w:p>
    <w:p w14:paraId="7FC4F69A" w14:textId="7293849A" w:rsidR="00E71670" w:rsidRPr="00EA2A06" w:rsidRDefault="00E71670" w:rsidP="00D95D4B">
      <w:pPr>
        <w:jc w:val="both"/>
        <w:rPr>
          <w:rFonts w:cstheme="minorHAnsi"/>
          <w:sz w:val="23"/>
          <w:szCs w:val="23"/>
        </w:rPr>
      </w:pPr>
      <w:r w:rsidRPr="00EA2A06">
        <w:rPr>
          <w:rFonts w:cstheme="minorHAnsi"/>
          <w:sz w:val="23"/>
          <w:szCs w:val="23"/>
        </w:rPr>
        <w:t>L’effectif de l’entreprise étant inférieur aux seuils définis par la loi, aucune représentation du personnel n’a été mise en place dans l’entreprise.</w:t>
      </w:r>
    </w:p>
    <w:p w14:paraId="601A28DB" w14:textId="0FBFDFF3" w:rsidR="00A604CE" w:rsidRPr="00EA2A06" w:rsidRDefault="00A604CE" w:rsidP="00D95D4B">
      <w:pPr>
        <w:pStyle w:val="d1"/>
        <w:spacing w:after="0"/>
        <w:rPr>
          <w:rFonts w:asciiTheme="minorHAnsi" w:hAnsiTheme="minorHAnsi" w:cstheme="minorHAnsi"/>
        </w:rPr>
      </w:pPr>
    </w:p>
    <w:p w14:paraId="185695D4" w14:textId="6948B236" w:rsidR="00B548B1" w:rsidRPr="00B548B1" w:rsidRDefault="00B548B1" w:rsidP="00D95D4B">
      <w:pPr>
        <w:spacing w:after="100" w:afterAutospacing="1" w:line="240" w:lineRule="auto"/>
        <w:jc w:val="both"/>
        <w:rPr>
          <w:rFonts w:eastAsia="Times New Roman" w:cstheme="minorHAnsi"/>
          <w:b/>
          <w:sz w:val="28"/>
          <w:szCs w:val="24"/>
          <w:u w:val="single"/>
          <w:lang w:eastAsia="fr-FR"/>
        </w:rPr>
      </w:pPr>
      <w:r w:rsidRPr="00B548B1">
        <w:rPr>
          <w:rFonts w:eastAsia="Times New Roman" w:cstheme="minorHAnsi"/>
          <w:b/>
          <w:sz w:val="28"/>
          <w:szCs w:val="24"/>
          <w:u w:val="single"/>
          <w:lang w:eastAsia="fr-FR"/>
        </w:rPr>
        <w:t>Préambule – motif de l’accord</w:t>
      </w:r>
    </w:p>
    <w:p w14:paraId="2A531FD7" w14:textId="15B9EA1A" w:rsidR="00523B2A" w:rsidRPr="00EA2A06" w:rsidRDefault="00523B2A" w:rsidP="00D95D4B">
      <w:pPr>
        <w:spacing w:after="100" w:afterAutospacing="1" w:line="240" w:lineRule="auto"/>
        <w:jc w:val="both"/>
        <w:rPr>
          <w:rFonts w:eastAsia="Times New Roman" w:cstheme="minorHAnsi"/>
          <w:sz w:val="24"/>
          <w:szCs w:val="24"/>
          <w:lang w:eastAsia="fr-FR"/>
        </w:rPr>
      </w:pPr>
      <w:r w:rsidRPr="00EA2A06">
        <w:rPr>
          <w:rFonts w:eastAsia="Times New Roman" w:cstheme="minorHAnsi"/>
          <w:sz w:val="24"/>
          <w:szCs w:val="24"/>
          <w:lang w:eastAsia="fr-FR"/>
        </w:rPr>
        <w:t>La Société est soumise à la Convention collective nationale des bureaux d’études techniques, des cabinets d’ingénieurs-conseils et des sociétés de conseils, dite Convention collective nationale « Syntec ».</w:t>
      </w:r>
    </w:p>
    <w:p w14:paraId="51F954DE" w14:textId="77777777" w:rsidR="00523B2A" w:rsidRPr="00EA2A06" w:rsidRDefault="00523B2A" w:rsidP="00D95D4B">
      <w:pPr>
        <w:spacing w:after="100" w:afterAutospacing="1" w:line="240" w:lineRule="auto"/>
        <w:jc w:val="both"/>
        <w:rPr>
          <w:rFonts w:eastAsia="Times New Roman" w:cstheme="minorHAnsi"/>
          <w:sz w:val="24"/>
          <w:szCs w:val="24"/>
          <w:lang w:eastAsia="fr-FR"/>
        </w:rPr>
      </w:pPr>
      <w:r w:rsidRPr="00EA2A06">
        <w:rPr>
          <w:rFonts w:eastAsia="Times New Roman" w:cstheme="minorHAnsi"/>
          <w:sz w:val="24"/>
          <w:szCs w:val="24"/>
          <w:lang w:eastAsia="fr-FR"/>
        </w:rPr>
        <w:t>L’aménagement du temps de travail actuellement en vigueur au sein de l’entreprise résulte des dispositions de la convention collective nationale Syntec et des accords nationaux étendus application, en particulier l’accord du 22 juin 1999.</w:t>
      </w:r>
    </w:p>
    <w:p w14:paraId="6539B9B7" w14:textId="77777777" w:rsidR="00523B2A" w:rsidRPr="00EA2A06" w:rsidRDefault="00523B2A" w:rsidP="00D95D4B">
      <w:pPr>
        <w:spacing w:after="100" w:afterAutospacing="1" w:line="240" w:lineRule="auto"/>
        <w:jc w:val="both"/>
        <w:rPr>
          <w:rFonts w:eastAsia="Times New Roman" w:cstheme="minorHAnsi"/>
          <w:sz w:val="24"/>
          <w:szCs w:val="24"/>
          <w:lang w:eastAsia="fr-FR"/>
        </w:rPr>
      </w:pPr>
      <w:r w:rsidRPr="00EA2A06">
        <w:rPr>
          <w:rFonts w:eastAsia="Times New Roman" w:cstheme="minorHAnsi"/>
          <w:sz w:val="24"/>
          <w:szCs w:val="24"/>
          <w:lang w:eastAsia="fr-FR"/>
        </w:rPr>
        <w:t>Ces accords prévoient un aménagement du temps de travail selon plusieurs modalités :</w:t>
      </w:r>
    </w:p>
    <w:p w14:paraId="72967EFD" w14:textId="77777777" w:rsidR="00523B2A" w:rsidRPr="00EA2A06" w:rsidRDefault="00523B2A" w:rsidP="00D95D4B">
      <w:pPr>
        <w:numPr>
          <w:ilvl w:val="0"/>
          <w:numId w:val="19"/>
        </w:numPr>
        <w:spacing w:after="100" w:afterAutospacing="1" w:line="240" w:lineRule="auto"/>
        <w:jc w:val="both"/>
        <w:rPr>
          <w:rFonts w:eastAsia="Times New Roman" w:cstheme="minorHAnsi"/>
          <w:sz w:val="24"/>
          <w:szCs w:val="24"/>
          <w:lang w:eastAsia="fr-FR"/>
        </w:rPr>
      </w:pPr>
      <w:r w:rsidRPr="00EA2A06">
        <w:rPr>
          <w:rFonts w:eastAsia="Times New Roman" w:cstheme="minorHAnsi"/>
          <w:sz w:val="24"/>
          <w:szCs w:val="24"/>
          <w:lang w:eastAsia="fr-FR"/>
        </w:rPr>
        <w:t>La modalité 1 « modalités standard », qui concerne les ETAM et certains cadres et prévoit une durée annuelle de 1610 heures ;</w:t>
      </w:r>
    </w:p>
    <w:p w14:paraId="1292A421" w14:textId="77777777" w:rsidR="00523B2A" w:rsidRPr="00EA2A06" w:rsidRDefault="00523B2A" w:rsidP="00D95D4B">
      <w:pPr>
        <w:pStyle w:val="NormalWeb"/>
        <w:numPr>
          <w:ilvl w:val="0"/>
          <w:numId w:val="19"/>
        </w:numPr>
        <w:spacing w:before="0" w:beforeAutospacing="0"/>
        <w:jc w:val="both"/>
        <w:rPr>
          <w:rFonts w:asciiTheme="minorHAnsi" w:hAnsiTheme="minorHAnsi" w:cstheme="minorHAnsi"/>
        </w:rPr>
      </w:pPr>
      <w:r w:rsidRPr="00EA2A06">
        <w:rPr>
          <w:rFonts w:asciiTheme="minorHAnsi" w:hAnsiTheme="minorHAnsi" w:cstheme="minorHAnsi"/>
        </w:rPr>
        <w:t>La modalité 2 « réalisation de missions » qui concerne les ingénieurs et cadres, et certains ETAM, qui prévoit un forfait en heures sur la semaine (de 35h à 38h30) avec un plafond annuel en jours ;</w:t>
      </w:r>
    </w:p>
    <w:p w14:paraId="1EAF2EFA" w14:textId="77777777" w:rsidR="00523B2A" w:rsidRPr="00EA2A06" w:rsidRDefault="00523B2A" w:rsidP="00D95D4B">
      <w:pPr>
        <w:pStyle w:val="NormalWeb"/>
        <w:numPr>
          <w:ilvl w:val="0"/>
          <w:numId w:val="19"/>
        </w:numPr>
        <w:spacing w:before="0" w:beforeAutospacing="0"/>
        <w:jc w:val="both"/>
        <w:rPr>
          <w:rFonts w:asciiTheme="minorHAnsi" w:hAnsiTheme="minorHAnsi" w:cstheme="minorHAnsi"/>
        </w:rPr>
      </w:pPr>
      <w:r w:rsidRPr="00EA2A06">
        <w:rPr>
          <w:rFonts w:asciiTheme="minorHAnsi" w:hAnsiTheme="minorHAnsi" w:cstheme="minorHAnsi"/>
        </w:rPr>
        <w:t>La modalité 3 « Jours complémentaires de repos » permettant de disposer de jours de repos complémentaires en contrepartie d’une récupération du temps correspondant, selon des modalités à définir par l’entreprise.</w:t>
      </w:r>
    </w:p>
    <w:p w14:paraId="41A9EE02" w14:textId="77777777" w:rsidR="00523B2A" w:rsidRPr="00EA2A06" w:rsidRDefault="00523B2A" w:rsidP="00D95D4B">
      <w:pPr>
        <w:pStyle w:val="NormalWeb"/>
        <w:numPr>
          <w:ilvl w:val="0"/>
          <w:numId w:val="19"/>
        </w:numPr>
        <w:spacing w:before="0" w:beforeAutospacing="0"/>
        <w:jc w:val="both"/>
        <w:rPr>
          <w:rFonts w:asciiTheme="minorHAnsi" w:hAnsiTheme="minorHAnsi" w:cstheme="minorHAnsi"/>
        </w:rPr>
      </w:pPr>
      <w:r w:rsidRPr="00EA2A06">
        <w:rPr>
          <w:rFonts w:asciiTheme="minorHAnsi" w:hAnsiTheme="minorHAnsi" w:cstheme="minorHAnsi"/>
        </w:rPr>
        <w:lastRenderedPageBreak/>
        <w:t>Le forfait annuel en jours, qui concerne les salariés relevant de la position 3 de la classification des cadres.</w:t>
      </w:r>
    </w:p>
    <w:p w14:paraId="2F1C9D9E" w14:textId="77777777" w:rsidR="00523B2A" w:rsidRPr="00EA2A06" w:rsidRDefault="00523B2A" w:rsidP="00D95D4B">
      <w:pPr>
        <w:pStyle w:val="NormalWeb"/>
        <w:spacing w:before="0" w:beforeAutospacing="0"/>
        <w:jc w:val="both"/>
        <w:rPr>
          <w:rFonts w:asciiTheme="minorHAnsi" w:hAnsiTheme="minorHAnsi" w:cstheme="minorHAnsi"/>
        </w:rPr>
      </w:pPr>
      <w:r w:rsidRPr="00EA2A06">
        <w:rPr>
          <w:rFonts w:asciiTheme="minorHAnsi" w:hAnsiTheme="minorHAnsi" w:cstheme="minorHAnsi"/>
        </w:rPr>
        <w:t>Seule la modalité « réalisation de missions » dite « modalité 2 » fait l’objet du présent accord.</w:t>
      </w:r>
    </w:p>
    <w:p w14:paraId="77D77689" w14:textId="77777777" w:rsidR="00523B2A" w:rsidRPr="00EA2A06" w:rsidRDefault="00523B2A" w:rsidP="00D95D4B">
      <w:pPr>
        <w:pStyle w:val="NormalWeb"/>
        <w:spacing w:before="0" w:beforeAutospacing="0"/>
        <w:jc w:val="both"/>
        <w:rPr>
          <w:rFonts w:asciiTheme="minorHAnsi" w:hAnsiTheme="minorHAnsi" w:cstheme="minorHAnsi"/>
        </w:rPr>
      </w:pPr>
      <w:r w:rsidRPr="00EA2A06">
        <w:rPr>
          <w:rFonts w:asciiTheme="minorHAnsi" w:hAnsiTheme="minorHAnsi" w:cstheme="minorHAnsi"/>
        </w:rPr>
        <w:t>Selon les dispositions de l’accord du 22 juin 1999, cette modalité 2 s’applique </w:t>
      </w:r>
      <w:r w:rsidRPr="00EA2A06">
        <w:rPr>
          <w:rStyle w:val="Accentuation"/>
          <w:rFonts w:asciiTheme="minorHAnsi" w:hAnsiTheme="minorHAnsi" w:cstheme="minorHAnsi"/>
        </w:rPr>
        <w:t>« aux salariés non concernés par les modalités standard ou les réalisations de missions avec autonomie complète. Tous les ingénieurs et cadres sont a priori concernés, à condition que leur rémunération soit au moins égale au plafond de la sécurité sociale. De plus, en fonction de l'activité de l'entreprise, un accord d'entreprise doit préciser les conditions dans lesquelles d'autres catégories de personnel peuvent disposer de ces modalités de gestion.</w:t>
      </w:r>
    </w:p>
    <w:p w14:paraId="1FEB5231" w14:textId="77777777" w:rsidR="00523B2A" w:rsidRPr="00EA2A06" w:rsidRDefault="00523B2A" w:rsidP="00D95D4B">
      <w:pPr>
        <w:spacing w:after="100" w:afterAutospacing="1" w:line="240" w:lineRule="auto"/>
        <w:jc w:val="both"/>
        <w:rPr>
          <w:rFonts w:eastAsia="Times New Roman" w:cstheme="minorHAnsi"/>
          <w:sz w:val="24"/>
          <w:szCs w:val="24"/>
          <w:lang w:eastAsia="fr-FR"/>
        </w:rPr>
      </w:pPr>
      <w:r w:rsidRPr="00EA2A06">
        <w:rPr>
          <w:rFonts w:eastAsia="Times New Roman" w:cstheme="minorHAnsi"/>
          <w:i/>
          <w:iCs/>
          <w:sz w:val="24"/>
          <w:szCs w:val="24"/>
          <w:lang w:eastAsia="fr-FR"/>
        </w:rPr>
        <w:t>Compte tenu de la nature des tâches accomplies (responsabilités particulières d'expertise technique ou de gestion qui ne peuvent s'arrêter à heure fixe, utilisation d'outils de haute technologie mis en commun, coordination de travaux effectués par des collaborateurs travaillant aux mêmes tâches...), le personnel concerné, tout en disposant d'une autonomie moindre par rapport aux collaborateurs définis à l'article 3, ne peut suivre strictement un horaire prédéfini. La comptabilisation du temps de travail de ces collaborateurs dans le respect des dispositions légales se fera également en jours, avec un contrôle du temps de travail opéré annuellement (chapitre III). […] »</w:t>
      </w:r>
    </w:p>
    <w:p w14:paraId="21BCF559" w14:textId="506B0D49" w:rsidR="00523B2A" w:rsidRPr="00EA2A06" w:rsidRDefault="00523B2A" w:rsidP="00D95D4B">
      <w:pPr>
        <w:spacing w:after="100" w:afterAutospacing="1" w:line="240" w:lineRule="auto"/>
        <w:jc w:val="both"/>
        <w:rPr>
          <w:rFonts w:eastAsia="Times New Roman" w:cstheme="minorHAnsi"/>
          <w:sz w:val="24"/>
          <w:szCs w:val="24"/>
          <w:lang w:eastAsia="fr-FR"/>
        </w:rPr>
      </w:pPr>
      <w:r w:rsidRPr="00EA2A06">
        <w:rPr>
          <w:rFonts w:eastAsia="Times New Roman" w:cstheme="minorHAnsi"/>
          <w:sz w:val="24"/>
          <w:szCs w:val="24"/>
          <w:lang w:eastAsia="fr-FR"/>
        </w:rPr>
        <w:t xml:space="preserve">Au sein de la société </w:t>
      </w:r>
      <w:r w:rsidR="007464D7">
        <w:rPr>
          <w:rFonts w:eastAsia="Times New Roman" w:cstheme="minorHAnsi"/>
          <w:sz w:val="24"/>
          <w:szCs w:val="24"/>
          <w:lang w:eastAsia="fr-FR"/>
        </w:rPr>
        <w:t>XXXXX</w:t>
      </w:r>
      <w:r w:rsidRPr="00EA2A06">
        <w:rPr>
          <w:rFonts w:eastAsia="Times New Roman" w:cstheme="minorHAnsi"/>
          <w:sz w:val="24"/>
          <w:szCs w:val="24"/>
          <w:lang w:eastAsia="fr-FR"/>
        </w:rPr>
        <w:t>, les salariés cadres bénéficient d’une certaine autonomie et ne peuvent suivent strictement un horaire prédéfini. Compte tenu de l’organisation de la Société, de l’autonomie et de la nature des fonctions qui sont confiés aux salariés cadres, la « modalité 2 » est plus adaptée à ces salariés qu’un temps de travail standard à 35 heures.</w:t>
      </w:r>
    </w:p>
    <w:p w14:paraId="4355F19D" w14:textId="77777777" w:rsidR="00CC1253" w:rsidRPr="00EA2A06" w:rsidRDefault="00CC1253" w:rsidP="00D95D4B">
      <w:pPr>
        <w:spacing w:after="100" w:afterAutospacing="1" w:line="240" w:lineRule="auto"/>
        <w:jc w:val="both"/>
        <w:rPr>
          <w:rFonts w:eastAsia="Times New Roman" w:cstheme="minorHAnsi"/>
          <w:sz w:val="24"/>
          <w:szCs w:val="24"/>
          <w:lang w:eastAsia="fr-FR"/>
        </w:rPr>
      </w:pPr>
      <w:r w:rsidRPr="00EA2A06">
        <w:rPr>
          <w:rFonts w:eastAsia="Times New Roman" w:cstheme="minorHAnsi"/>
          <w:sz w:val="24"/>
          <w:szCs w:val="24"/>
          <w:lang w:eastAsia="fr-FR"/>
        </w:rPr>
        <w:t>Dans ce contexte, les parties constatent que la modalité 2 prévue par l’accord de branche du 22 juin 1999 constitue un cadre adapté pour organiser le travail de ces salariés, tout en garantissant le respect des temps de repos et de l’équilibre entre vie professionnelle et vie personnelle.</w:t>
      </w:r>
    </w:p>
    <w:p w14:paraId="5322DF0A" w14:textId="77777777" w:rsidR="00CC1253" w:rsidRPr="00EA2A06" w:rsidRDefault="00CC1253" w:rsidP="00D95D4B">
      <w:pPr>
        <w:spacing w:after="100" w:afterAutospacing="1" w:line="240" w:lineRule="auto"/>
        <w:jc w:val="both"/>
        <w:rPr>
          <w:rFonts w:eastAsia="Times New Roman" w:cstheme="minorHAnsi"/>
          <w:sz w:val="24"/>
          <w:szCs w:val="24"/>
          <w:lang w:eastAsia="fr-FR"/>
        </w:rPr>
      </w:pPr>
      <w:r w:rsidRPr="00EA2A06">
        <w:rPr>
          <w:rFonts w:eastAsia="Times New Roman" w:cstheme="minorHAnsi"/>
          <w:sz w:val="24"/>
          <w:szCs w:val="24"/>
          <w:lang w:eastAsia="fr-FR"/>
        </w:rPr>
        <w:t>Les jours de repos attachés à ce dispositif participent à la limitation du nombre annuel de jours travaillés et à la protection de la santé et de la sécurité des salariés.</w:t>
      </w:r>
    </w:p>
    <w:p w14:paraId="50E56735" w14:textId="77777777" w:rsidR="00F550B9" w:rsidRPr="00EA2A06" w:rsidRDefault="00F550B9" w:rsidP="00D95D4B">
      <w:pPr>
        <w:spacing w:after="100" w:afterAutospacing="1" w:line="240" w:lineRule="auto"/>
        <w:jc w:val="both"/>
        <w:rPr>
          <w:rFonts w:eastAsia="Times New Roman" w:cstheme="minorHAnsi"/>
          <w:sz w:val="24"/>
          <w:szCs w:val="24"/>
          <w:lang w:eastAsia="fr-FR"/>
        </w:rPr>
      </w:pPr>
      <w:r w:rsidRPr="00EA2A06">
        <w:rPr>
          <w:rFonts w:eastAsia="Times New Roman" w:cstheme="minorHAnsi"/>
          <w:sz w:val="24"/>
          <w:szCs w:val="24"/>
          <w:lang w:eastAsia="fr-FR"/>
        </w:rPr>
        <w:t>L’accord de branche du 22 juin 1999 subordonne l’accès à la modalité 2 « réalisation de missions » au respect de deux conditions de rémunération cumulatives, dont une rémunération au moins égale au plafond annuel de la sécurité sociale (PASS).</w:t>
      </w:r>
    </w:p>
    <w:p w14:paraId="0BB54801" w14:textId="77777777" w:rsidR="00F550B9" w:rsidRPr="00EA2A06" w:rsidRDefault="00F550B9" w:rsidP="00D95D4B">
      <w:pPr>
        <w:spacing w:after="100" w:afterAutospacing="1" w:line="240" w:lineRule="auto"/>
        <w:jc w:val="both"/>
        <w:rPr>
          <w:rFonts w:eastAsia="Times New Roman" w:cstheme="minorHAnsi"/>
          <w:sz w:val="24"/>
          <w:szCs w:val="24"/>
          <w:lang w:eastAsia="fr-FR"/>
        </w:rPr>
      </w:pPr>
      <w:r w:rsidRPr="00EA2A06">
        <w:rPr>
          <w:rFonts w:eastAsia="Times New Roman" w:cstheme="minorHAnsi"/>
          <w:sz w:val="24"/>
          <w:szCs w:val="24"/>
          <w:lang w:eastAsia="fr-FR"/>
        </w:rPr>
        <w:t>Les parties constatent que cette condition, indépendante de la classification et du niveau réel de responsabilité exercé, ne permet plus d’adapter de manière pertinente l’organisation du travail de certains salariés disposant d’une autonomie effective dans la conduite de leurs missions.</w:t>
      </w:r>
    </w:p>
    <w:p w14:paraId="449814F2" w14:textId="77777777" w:rsidR="00F550B9" w:rsidRPr="00EA2A06" w:rsidRDefault="00F550B9" w:rsidP="00D95D4B">
      <w:pPr>
        <w:spacing w:after="100" w:afterAutospacing="1" w:line="240" w:lineRule="auto"/>
        <w:jc w:val="both"/>
        <w:rPr>
          <w:rFonts w:eastAsia="Times New Roman" w:cstheme="minorHAnsi"/>
          <w:sz w:val="24"/>
          <w:szCs w:val="24"/>
          <w:lang w:eastAsia="fr-FR"/>
        </w:rPr>
      </w:pPr>
      <w:r w:rsidRPr="00EA2A06">
        <w:rPr>
          <w:rFonts w:eastAsia="Times New Roman" w:cstheme="minorHAnsi"/>
          <w:sz w:val="24"/>
          <w:szCs w:val="24"/>
          <w:lang w:eastAsia="fr-FR"/>
        </w:rPr>
        <w:t xml:space="preserve">En application des articles L.2253-3 et L.3121-63 du Code du travail, les accords d’entreprise peuvent définir les conditions d’éligibilité aux conventions de forfait en heures sur l’année et </w:t>
      </w:r>
      <w:r w:rsidRPr="00EA2A06">
        <w:rPr>
          <w:rFonts w:eastAsia="Times New Roman" w:cstheme="minorHAnsi"/>
          <w:sz w:val="24"/>
          <w:szCs w:val="24"/>
          <w:lang w:eastAsia="fr-FR"/>
        </w:rPr>
        <w:lastRenderedPageBreak/>
        <w:t>en adapter les modalités, y compris lorsqu’elles diffèrent de celles prévues par l’accord de branche.</w:t>
      </w:r>
    </w:p>
    <w:p w14:paraId="1ABD952B" w14:textId="77777777" w:rsidR="00F550B9" w:rsidRPr="00EA2A06" w:rsidRDefault="00F550B9" w:rsidP="00D95D4B">
      <w:pPr>
        <w:spacing w:after="100" w:afterAutospacing="1" w:line="240" w:lineRule="auto"/>
        <w:jc w:val="both"/>
        <w:rPr>
          <w:rFonts w:eastAsia="Times New Roman" w:cstheme="minorHAnsi"/>
          <w:sz w:val="24"/>
          <w:szCs w:val="24"/>
          <w:lang w:eastAsia="fr-FR"/>
        </w:rPr>
      </w:pPr>
      <w:r w:rsidRPr="00EA2A06">
        <w:rPr>
          <w:rFonts w:eastAsia="Times New Roman" w:cstheme="minorHAnsi"/>
          <w:sz w:val="24"/>
          <w:szCs w:val="24"/>
          <w:lang w:eastAsia="fr-FR"/>
        </w:rPr>
        <w:t>Le présent accord a donc pour objet :</w:t>
      </w:r>
    </w:p>
    <w:p w14:paraId="196865CD" w14:textId="742886CD" w:rsidR="00F550B9" w:rsidRPr="00EA2A06" w:rsidRDefault="00F550B9" w:rsidP="00D95D4B">
      <w:pPr>
        <w:pStyle w:val="Paragraphedeliste"/>
        <w:numPr>
          <w:ilvl w:val="0"/>
          <w:numId w:val="23"/>
        </w:numPr>
        <w:spacing w:after="100" w:afterAutospacing="1" w:line="240" w:lineRule="auto"/>
        <w:jc w:val="both"/>
        <w:rPr>
          <w:rFonts w:eastAsia="Times New Roman" w:cstheme="minorHAnsi"/>
          <w:sz w:val="24"/>
          <w:szCs w:val="24"/>
          <w:lang w:eastAsia="fr-FR"/>
        </w:rPr>
      </w:pPr>
      <w:proofErr w:type="gramStart"/>
      <w:r w:rsidRPr="00EA2A06">
        <w:rPr>
          <w:rFonts w:eastAsia="Times New Roman" w:cstheme="minorHAnsi"/>
          <w:sz w:val="24"/>
          <w:szCs w:val="24"/>
          <w:lang w:eastAsia="fr-FR"/>
        </w:rPr>
        <w:t>de</w:t>
      </w:r>
      <w:proofErr w:type="gramEnd"/>
      <w:r w:rsidRPr="00EA2A06">
        <w:rPr>
          <w:rFonts w:eastAsia="Times New Roman" w:cstheme="minorHAnsi"/>
          <w:sz w:val="24"/>
          <w:szCs w:val="24"/>
          <w:lang w:eastAsia="fr-FR"/>
        </w:rPr>
        <w:t xml:space="preserve"> substituer aux conditions de rémunération prévues par la convention collective nationale des bureaux d’études techniques une condition de rémunération alternative assurant un niveau de protection équivalent pour les salariés concernés.</w:t>
      </w:r>
    </w:p>
    <w:p w14:paraId="380B0204" w14:textId="721385F1" w:rsidR="00F550B9" w:rsidRPr="00EA2A06" w:rsidRDefault="00F550B9" w:rsidP="00D95D4B">
      <w:pPr>
        <w:pStyle w:val="Paragraphedeliste"/>
        <w:numPr>
          <w:ilvl w:val="0"/>
          <w:numId w:val="23"/>
        </w:numPr>
        <w:spacing w:after="100" w:afterAutospacing="1" w:line="240" w:lineRule="auto"/>
        <w:jc w:val="both"/>
        <w:rPr>
          <w:rFonts w:eastAsia="Times New Roman" w:cstheme="minorHAnsi"/>
          <w:sz w:val="24"/>
          <w:szCs w:val="24"/>
          <w:lang w:eastAsia="fr-FR"/>
        </w:rPr>
      </w:pPr>
      <w:proofErr w:type="gramStart"/>
      <w:r w:rsidRPr="00EA2A06">
        <w:rPr>
          <w:rFonts w:eastAsia="Times New Roman" w:cstheme="minorHAnsi"/>
          <w:sz w:val="24"/>
          <w:szCs w:val="24"/>
          <w:lang w:eastAsia="fr-FR"/>
        </w:rPr>
        <w:t>d’aménager</w:t>
      </w:r>
      <w:proofErr w:type="gramEnd"/>
      <w:r w:rsidRPr="00EA2A06">
        <w:rPr>
          <w:rFonts w:eastAsia="Times New Roman" w:cstheme="minorHAnsi"/>
          <w:sz w:val="24"/>
          <w:szCs w:val="24"/>
          <w:lang w:eastAsia="fr-FR"/>
        </w:rPr>
        <w:t xml:space="preserve"> les conditions d’application de la modalité 2 « réalisation de missions » prévue par l’accord de branche Syntec du 22 juin 1999.</w:t>
      </w:r>
    </w:p>
    <w:p w14:paraId="0CFCEA00" w14:textId="77777777" w:rsidR="00F550B9" w:rsidRPr="00EA2A06" w:rsidRDefault="00F550B9" w:rsidP="00D95D4B">
      <w:pPr>
        <w:jc w:val="both"/>
      </w:pPr>
      <w:r w:rsidRPr="00EA2A06">
        <w:rPr>
          <w:rFonts w:eastAsia="Times New Roman" w:cstheme="minorHAnsi"/>
          <w:sz w:val="24"/>
          <w:szCs w:val="24"/>
          <w:lang w:eastAsia="fr-FR"/>
        </w:rPr>
        <w:t>Les parties entendent sécuriser juridiquement le dispositif en garantissant un niveau de protection équivalent au droit commun du temps de travail, notamment au regard de la rémunération, du suivi de la charge de travail et du respect des temps de repos.</w:t>
      </w:r>
    </w:p>
    <w:p w14:paraId="2697F4C6" w14:textId="4B97E91D" w:rsidR="00523B2A" w:rsidRPr="00EA2A06" w:rsidRDefault="00523B2A" w:rsidP="00D95D4B">
      <w:pPr>
        <w:pStyle w:val="NormalWeb"/>
        <w:spacing w:before="0" w:beforeAutospacing="0"/>
        <w:jc w:val="both"/>
        <w:rPr>
          <w:rFonts w:asciiTheme="minorHAnsi" w:hAnsiTheme="minorHAnsi" w:cstheme="minorHAnsi"/>
        </w:rPr>
      </w:pPr>
      <w:r w:rsidRPr="00EA2A06">
        <w:rPr>
          <w:rFonts w:asciiTheme="minorHAnsi" w:hAnsiTheme="minorHAnsi" w:cstheme="minorHAnsi"/>
        </w:rPr>
        <w:t xml:space="preserve">Conformément aux articles L2232-21 et suivants du code du travail, la Société comptabilisant moins de 11 salariés, le présent accord a été soumis </w:t>
      </w:r>
      <w:r w:rsidR="00F550B9" w:rsidRPr="00EA2A06">
        <w:rPr>
          <w:rFonts w:asciiTheme="minorHAnsi" w:hAnsiTheme="minorHAnsi" w:cstheme="minorHAnsi"/>
        </w:rPr>
        <w:t xml:space="preserve">par référendum </w:t>
      </w:r>
      <w:r w:rsidRPr="00EA2A06">
        <w:rPr>
          <w:rFonts w:asciiTheme="minorHAnsi" w:hAnsiTheme="minorHAnsi" w:cstheme="minorHAnsi"/>
        </w:rPr>
        <w:t>à l’approbation de la majorité des deux tiers du personnel.</w:t>
      </w:r>
    </w:p>
    <w:p w14:paraId="6559E940" w14:textId="16EBDC21" w:rsidR="00A604CE" w:rsidRPr="00EA2A06" w:rsidRDefault="00D95D4B" w:rsidP="00D95D4B">
      <w:pPr>
        <w:pStyle w:val="Titre1"/>
        <w:jc w:val="both"/>
      </w:pPr>
      <w:bookmarkStart w:id="0" w:name="_Toc225931566"/>
      <w:r w:rsidRPr="00EA2A06">
        <w:rPr>
          <w:bCs/>
        </w:rPr>
        <w:t>ARTICLE</w:t>
      </w:r>
      <w:r w:rsidR="00421E1E" w:rsidRPr="00EA2A06">
        <w:t xml:space="preserve"> </w:t>
      </w:r>
      <w:r w:rsidR="00F550B9" w:rsidRPr="00EA2A06">
        <w:t>1</w:t>
      </w:r>
      <w:r w:rsidR="00F550B9" w:rsidRPr="00EA2A06">
        <w:rPr>
          <w:bCs/>
        </w:rPr>
        <w:t xml:space="preserve"> </w:t>
      </w:r>
      <w:r w:rsidR="00F550B9" w:rsidRPr="00EA2A06">
        <w:t xml:space="preserve">– </w:t>
      </w:r>
      <w:r w:rsidR="00523B2A" w:rsidRPr="00EA2A06">
        <w:t>Salariés concernés</w:t>
      </w:r>
      <w:bookmarkEnd w:id="0"/>
    </w:p>
    <w:p w14:paraId="417F643F" w14:textId="77777777" w:rsidR="00523B2A" w:rsidRPr="00EA2A06" w:rsidRDefault="00523B2A" w:rsidP="00D95D4B">
      <w:pPr>
        <w:pStyle w:val="NormalWeb"/>
        <w:spacing w:before="0" w:beforeAutospacing="0"/>
        <w:jc w:val="both"/>
        <w:rPr>
          <w:rFonts w:asciiTheme="minorHAnsi" w:hAnsiTheme="minorHAnsi" w:cstheme="minorHAnsi"/>
        </w:rPr>
      </w:pPr>
      <w:r w:rsidRPr="00EA2A06">
        <w:rPr>
          <w:rFonts w:asciiTheme="minorHAnsi" w:hAnsiTheme="minorHAnsi" w:cstheme="minorHAnsi"/>
        </w:rPr>
        <w:t>L’accord s’applique aux salariés de l’entreprise sous contrat à durée indéterminée ou contrat à durée déterminée, bénéficiant d’une certaine autonomie dans l’organisation de leur temps de travail ne leur permettant pas de suivre strictement un horaire prédéfini.</w:t>
      </w:r>
    </w:p>
    <w:p w14:paraId="4F35A671" w14:textId="3EB4149C" w:rsidR="00523B2A" w:rsidRPr="00EA2A06" w:rsidRDefault="00523B2A" w:rsidP="00D95D4B">
      <w:pPr>
        <w:pStyle w:val="NormalWeb"/>
        <w:spacing w:before="0" w:beforeAutospacing="0"/>
        <w:jc w:val="both"/>
        <w:rPr>
          <w:rFonts w:asciiTheme="minorHAnsi" w:hAnsiTheme="minorHAnsi" w:cstheme="minorHAnsi"/>
        </w:rPr>
      </w:pPr>
      <w:r w:rsidRPr="00EA2A06">
        <w:rPr>
          <w:rFonts w:asciiTheme="minorHAnsi" w:hAnsiTheme="minorHAnsi" w:cstheme="minorHAnsi"/>
        </w:rPr>
        <w:t xml:space="preserve">Au sein de la société </w:t>
      </w:r>
      <w:r w:rsidR="007464D7">
        <w:rPr>
          <w:rFonts w:asciiTheme="minorHAnsi" w:hAnsiTheme="minorHAnsi" w:cstheme="minorHAnsi"/>
        </w:rPr>
        <w:t>XXXXXXXX</w:t>
      </w:r>
      <w:r w:rsidRPr="00EA2A06">
        <w:rPr>
          <w:rFonts w:asciiTheme="minorHAnsi" w:hAnsiTheme="minorHAnsi" w:cstheme="minorHAnsi"/>
        </w:rPr>
        <w:t>, l’ensemble des salariés classifiés cadres répondent à cette définition. La « modalité 2 » peut être appliquée à l’ensemble des salariés classifiés ingénieurs et cadres (dès la position 1 du statut cadre) de la Convention collective « Syntec ».</w:t>
      </w:r>
    </w:p>
    <w:p w14:paraId="583F29EC" w14:textId="77777777" w:rsidR="00523B2A" w:rsidRPr="00EA2A06" w:rsidRDefault="00523B2A" w:rsidP="00D95D4B">
      <w:pPr>
        <w:pStyle w:val="NormalWeb"/>
        <w:spacing w:before="0" w:beforeAutospacing="0"/>
        <w:jc w:val="both"/>
        <w:rPr>
          <w:rFonts w:asciiTheme="minorHAnsi" w:hAnsiTheme="minorHAnsi" w:cstheme="minorHAnsi"/>
        </w:rPr>
      </w:pPr>
      <w:r w:rsidRPr="00EA2A06">
        <w:rPr>
          <w:rFonts w:asciiTheme="minorHAnsi" w:hAnsiTheme="minorHAnsi" w:cstheme="minorHAnsi"/>
        </w:rPr>
        <w:t>Le fait que les salariés concernés ne soient pas tenus de suivre un horaire collectif ne s’oppose pas à l’existence de certaines contraintes horaires (ex : présence à des réunions d’équipe, projets ou échanges nécessaires au fonctionnement de l’entreprise) inhérentes à toute activité professionnelle au sein d’une collectivité de travail.</w:t>
      </w:r>
    </w:p>
    <w:p w14:paraId="6DC81AD6" w14:textId="6CE9D51E" w:rsidR="009C230F" w:rsidRPr="00D95D4B" w:rsidRDefault="00D95D4B" w:rsidP="00D95D4B">
      <w:pPr>
        <w:pStyle w:val="Titre1"/>
        <w:jc w:val="both"/>
      </w:pPr>
      <w:bookmarkStart w:id="1" w:name="_Toc225931567"/>
      <w:r w:rsidRPr="00D95D4B">
        <w:rPr>
          <w:bCs/>
        </w:rPr>
        <w:t>ARTICLE</w:t>
      </w:r>
      <w:r w:rsidR="009C230F" w:rsidRPr="00D95D4B">
        <w:t xml:space="preserve"> 2 – Mise en œuvre individuelle de la modalité 2</w:t>
      </w:r>
      <w:bookmarkEnd w:id="1"/>
    </w:p>
    <w:p w14:paraId="69B6DFEC" w14:textId="77777777" w:rsidR="00A174D4" w:rsidRPr="00EA2A06" w:rsidRDefault="00A174D4" w:rsidP="00D95D4B">
      <w:pPr>
        <w:jc w:val="both"/>
        <w:rPr>
          <w:sz w:val="24"/>
          <w:szCs w:val="24"/>
        </w:rPr>
      </w:pPr>
      <w:r w:rsidRPr="00EA2A06">
        <w:rPr>
          <w:sz w:val="24"/>
          <w:szCs w:val="24"/>
        </w:rPr>
        <w:t>L’application de la modalité 2 « réalisation de missions » au sein de l’entreprise nécessite l’accord exprès du salarié concerné.</w:t>
      </w:r>
    </w:p>
    <w:p w14:paraId="27B941EB" w14:textId="77777777" w:rsidR="00A174D4" w:rsidRPr="00EA2A06" w:rsidRDefault="00A174D4" w:rsidP="00D95D4B">
      <w:pPr>
        <w:jc w:val="both"/>
        <w:rPr>
          <w:sz w:val="24"/>
          <w:szCs w:val="24"/>
        </w:rPr>
      </w:pPr>
      <w:r w:rsidRPr="00EA2A06">
        <w:rPr>
          <w:sz w:val="24"/>
          <w:szCs w:val="24"/>
        </w:rPr>
        <w:t>Cet accord est formalisé dans le contrat de travail ou par la signature d’un avenant précisant l’application du dispositif et les garanties associées.</w:t>
      </w:r>
    </w:p>
    <w:p w14:paraId="10239A94" w14:textId="77777777" w:rsidR="00A174D4" w:rsidRPr="00EA2A06" w:rsidRDefault="00A174D4" w:rsidP="00D95D4B">
      <w:pPr>
        <w:jc w:val="both"/>
        <w:rPr>
          <w:sz w:val="24"/>
          <w:szCs w:val="24"/>
        </w:rPr>
      </w:pPr>
      <w:r w:rsidRPr="00EA2A06">
        <w:rPr>
          <w:sz w:val="24"/>
          <w:szCs w:val="24"/>
        </w:rPr>
        <w:t>Les salariés actuellement soumis à la modalité 2 se verront proposer un avenant confirmant la poursuite du dispositif dans le cadre du présent accord.</w:t>
      </w:r>
    </w:p>
    <w:p w14:paraId="40EDEC58" w14:textId="77777777" w:rsidR="00A174D4" w:rsidRPr="00EA2A06" w:rsidRDefault="00A174D4" w:rsidP="00D95D4B">
      <w:pPr>
        <w:jc w:val="both"/>
        <w:rPr>
          <w:sz w:val="24"/>
          <w:szCs w:val="24"/>
        </w:rPr>
      </w:pPr>
      <w:r w:rsidRPr="00EA2A06">
        <w:rPr>
          <w:sz w:val="24"/>
          <w:szCs w:val="24"/>
        </w:rPr>
        <w:lastRenderedPageBreak/>
        <w:t>Les salariés actuellement soumis au décompte horaire de droit commun (modalité 1) pourront se voir proposer l’application de la modalité 2 par avenant à leur contrat de travail.</w:t>
      </w:r>
      <w:r w:rsidRPr="00EA2A06">
        <w:rPr>
          <w:sz w:val="24"/>
          <w:szCs w:val="24"/>
        </w:rPr>
        <w:br/>
        <w:t>Cet avenant précisera notamment la rémunération applicable, les modalités d’organisation du travail, le suivi de la charge de travail et les garanties prévues par le présent accord.</w:t>
      </w:r>
    </w:p>
    <w:p w14:paraId="0290B7E0" w14:textId="77777777" w:rsidR="00A174D4" w:rsidRPr="00EA2A06" w:rsidRDefault="00A174D4" w:rsidP="00D95D4B">
      <w:pPr>
        <w:jc w:val="both"/>
        <w:rPr>
          <w:sz w:val="24"/>
          <w:szCs w:val="24"/>
        </w:rPr>
      </w:pPr>
      <w:r w:rsidRPr="00EA2A06">
        <w:rPr>
          <w:sz w:val="24"/>
          <w:szCs w:val="24"/>
        </w:rPr>
        <w:t>Le refus d’un salarié de conclure l’avenant ne constitue ni une faute ni un motif de sanction et entraîne le maintien de l’organisation du temps de travail antérieure.</w:t>
      </w:r>
    </w:p>
    <w:p w14:paraId="0F60B5C1" w14:textId="5370761A" w:rsidR="00F550B9" w:rsidRPr="00D95D4B" w:rsidRDefault="00D95D4B" w:rsidP="00D95D4B">
      <w:pPr>
        <w:pStyle w:val="Titre1"/>
        <w:jc w:val="both"/>
      </w:pPr>
      <w:bookmarkStart w:id="2" w:name="_Toc225931568"/>
      <w:r w:rsidRPr="00D95D4B">
        <w:rPr>
          <w:bCs/>
        </w:rPr>
        <w:t>ARTICLE</w:t>
      </w:r>
      <w:r w:rsidR="00F550B9" w:rsidRPr="00D95D4B">
        <w:t xml:space="preserve"> </w:t>
      </w:r>
      <w:r w:rsidR="00A174D4" w:rsidRPr="00D95D4B">
        <w:t>3</w:t>
      </w:r>
      <w:r w:rsidR="00F550B9" w:rsidRPr="00D95D4B">
        <w:t xml:space="preserve"> – Substitution à la condition de rémunération conventionnelle</w:t>
      </w:r>
      <w:bookmarkEnd w:id="2"/>
    </w:p>
    <w:p w14:paraId="0C295ECB" w14:textId="7AFCEC11" w:rsidR="00F550B9" w:rsidRPr="00EA2A06" w:rsidRDefault="00F550B9" w:rsidP="00D95D4B">
      <w:pPr>
        <w:jc w:val="both"/>
      </w:pPr>
      <w:r w:rsidRPr="00EA2A06">
        <w:t>Par dérogation aux dispositions de l’accord de branche du 22 juin 1999 relatives à la modalité 2 « réalisation de missions », la condition tenant à une rémunération au moins égale au plafond annuel de la sécurité sociale (PASS) n’est pas applicable au sein de l’entreprise.</w:t>
      </w:r>
    </w:p>
    <w:p w14:paraId="2A2655A2" w14:textId="77777777" w:rsidR="00F550B9" w:rsidRPr="00EA2A06" w:rsidRDefault="00F550B9" w:rsidP="00D95D4B">
      <w:pPr>
        <w:jc w:val="both"/>
      </w:pPr>
      <w:r w:rsidRPr="00EA2A06">
        <w:t>Elle est remplacée par la condition de rémunération prévue au présent accord, laquelle se substitue intégralement aux conditions de rémunération conventionnelles d’accès à la modalité 2.</w:t>
      </w:r>
    </w:p>
    <w:p w14:paraId="4AC45323" w14:textId="7FE39758" w:rsidR="00421E1E" w:rsidRPr="00D95D4B" w:rsidRDefault="00D95D4B" w:rsidP="00D95D4B">
      <w:pPr>
        <w:pStyle w:val="Titre1"/>
        <w:jc w:val="both"/>
      </w:pPr>
      <w:bookmarkStart w:id="3" w:name="_Toc225931569"/>
      <w:r w:rsidRPr="00D95D4B">
        <w:rPr>
          <w:bCs/>
        </w:rPr>
        <w:t>ARTICLE</w:t>
      </w:r>
      <w:r w:rsidR="00421E1E" w:rsidRPr="00D95D4B">
        <w:t xml:space="preserve"> </w:t>
      </w:r>
      <w:r w:rsidR="00A174D4" w:rsidRPr="00D95D4B">
        <w:t>4</w:t>
      </w:r>
      <w:r w:rsidR="00421E1E" w:rsidRPr="00D95D4B">
        <w:t xml:space="preserve"> – Condition de rémunération</w:t>
      </w:r>
      <w:bookmarkEnd w:id="3"/>
    </w:p>
    <w:p w14:paraId="68B64758" w14:textId="68C9E7FF" w:rsidR="00421E1E" w:rsidRPr="00EA2A06" w:rsidRDefault="00421E1E" w:rsidP="00D95D4B">
      <w:pPr>
        <w:jc w:val="both"/>
        <w:rPr>
          <w:sz w:val="24"/>
          <w:szCs w:val="24"/>
        </w:rPr>
      </w:pPr>
      <w:r w:rsidRPr="00EA2A06">
        <w:rPr>
          <w:sz w:val="24"/>
          <w:szCs w:val="24"/>
        </w:rPr>
        <w:t>Les salariés relevant de la modalité 2 doivent percevoir une rémunération annuelle brute au moins égale à</w:t>
      </w:r>
      <w:r w:rsidR="00B548B1">
        <w:rPr>
          <w:sz w:val="24"/>
          <w:szCs w:val="24"/>
        </w:rPr>
        <w:t xml:space="preserve"> 120%</w:t>
      </w:r>
      <w:r w:rsidR="00B548B1">
        <w:rPr>
          <w:rStyle w:val="Marquedecommentaire"/>
          <w:sz w:val="24"/>
          <w:szCs w:val="24"/>
        </w:rPr>
        <w:t xml:space="preserve"> du </w:t>
      </w:r>
      <w:r w:rsidRPr="00EA2A06">
        <w:rPr>
          <w:sz w:val="24"/>
          <w:szCs w:val="24"/>
        </w:rPr>
        <w:t>minimum conventionnel Syntec correspondant à leur coefficient de classification, apprécié en équivalent temps plein 35 heures.</w:t>
      </w:r>
    </w:p>
    <w:p w14:paraId="33DBEECF" w14:textId="77777777" w:rsidR="00421E1E" w:rsidRPr="00EA2A06" w:rsidRDefault="00421E1E" w:rsidP="00D95D4B">
      <w:pPr>
        <w:jc w:val="both"/>
        <w:rPr>
          <w:sz w:val="24"/>
          <w:szCs w:val="24"/>
        </w:rPr>
      </w:pPr>
      <w:r w:rsidRPr="00EA2A06">
        <w:rPr>
          <w:sz w:val="24"/>
          <w:szCs w:val="24"/>
        </w:rPr>
        <w:t>Cette rémunération comprend le salaire fixe contractuel et les éléments fixes et permanents, à l’exclusion de la rémunération du dépassement conventionnel d’horaire, des avantages en nature et des primes exceptionnelles.</w:t>
      </w:r>
    </w:p>
    <w:p w14:paraId="17654DFF" w14:textId="13CE4144" w:rsidR="00421E1E" w:rsidRPr="00EA2A06" w:rsidRDefault="00421E1E" w:rsidP="00D95D4B">
      <w:pPr>
        <w:jc w:val="both"/>
        <w:rPr>
          <w:sz w:val="24"/>
          <w:szCs w:val="24"/>
        </w:rPr>
      </w:pPr>
      <w:r w:rsidRPr="00EA2A06">
        <w:rPr>
          <w:sz w:val="24"/>
          <w:szCs w:val="24"/>
        </w:rPr>
        <w:t xml:space="preserve">Le seuil est apprécié sur une base annuelle, incluant le 13e mois </w:t>
      </w:r>
      <w:r w:rsidR="00F550B9" w:rsidRPr="00EA2A06">
        <w:rPr>
          <w:sz w:val="24"/>
          <w:szCs w:val="24"/>
        </w:rPr>
        <w:t>qu’il soit</w:t>
      </w:r>
      <w:r w:rsidRPr="00EA2A06">
        <w:rPr>
          <w:sz w:val="24"/>
          <w:szCs w:val="24"/>
        </w:rPr>
        <w:t xml:space="preserve"> prévu contractuellement ou résult</w:t>
      </w:r>
      <w:r w:rsidR="00F550B9" w:rsidRPr="00EA2A06">
        <w:rPr>
          <w:sz w:val="24"/>
          <w:szCs w:val="24"/>
        </w:rPr>
        <w:t>ant</w:t>
      </w:r>
      <w:r w:rsidRPr="00EA2A06">
        <w:rPr>
          <w:sz w:val="24"/>
          <w:szCs w:val="24"/>
        </w:rPr>
        <w:t xml:space="preserve"> d’un usage constant.</w:t>
      </w:r>
    </w:p>
    <w:p w14:paraId="246DFE77" w14:textId="7061E30A" w:rsidR="00421E1E" w:rsidRPr="00D95D4B" w:rsidRDefault="00D95D4B" w:rsidP="00D95D4B">
      <w:pPr>
        <w:pStyle w:val="Titre1"/>
        <w:jc w:val="both"/>
      </w:pPr>
      <w:bookmarkStart w:id="4" w:name="_Toc225931570"/>
      <w:r w:rsidRPr="00D95D4B">
        <w:rPr>
          <w:bCs/>
        </w:rPr>
        <w:t>ARTICLE</w:t>
      </w:r>
      <w:r w:rsidR="00421E1E" w:rsidRPr="00D95D4B">
        <w:t xml:space="preserve"> </w:t>
      </w:r>
      <w:r w:rsidR="00A174D4" w:rsidRPr="00D95D4B">
        <w:t>5</w:t>
      </w:r>
      <w:r w:rsidR="00421E1E" w:rsidRPr="00D95D4B">
        <w:t xml:space="preserve"> – Nature de la modalité 2</w:t>
      </w:r>
      <w:bookmarkEnd w:id="4"/>
    </w:p>
    <w:p w14:paraId="2AC7D201" w14:textId="77777777" w:rsidR="00421E1E" w:rsidRPr="00EA2A06" w:rsidRDefault="00421E1E" w:rsidP="00D95D4B">
      <w:pPr>
        <w:jc w:val="both"/>
        <w:rPr>
          <w:sz w:val="24"/>
          <w:szCs w:val="24"/>
        </w:rPr>
      </w:pPr>
      <w:r w:rsidRPr="00EA2A06">
        <w:rPr>
          <w:sz w:val="24"/>
          <w:szCs w:val="24"/>
        </w:rPr>
        <w:t>La modalité 2 repose sur l’autonomie du salarié dans l’organisation de son activité. Le dépassement conventionnel d’horaire jusqu’à 38h30 hebdomadaires constitue une sujétion inhérente aux fonctions exercées et ne correspond pas à un décompte d’heures supplémentaires semaine par semaine.</w:t>
      </w:r>
    </w:p>
    <w:p w14:paraId="4ED041BC" w14:textId="748163BB" w:rsidR="00421E1E" w:rsidRPr="00D95D4B" w:rsidRDefault="00D95D4B" w:rsidP="00D95D4B">
      <w:pPr>
        <w:pStyle w:val="Titre1"/>
        <w:jc w:val="both"/>
      </w:pPr>
      <w:bookmarkStart w:id="5" w:name="_Toc225931571"/>
      <w:r w:rsidRPr="00D95D4B">
        <w:rPr>
          <w:bCs/>
        </w:rPr>
        <w:t>ARTICLE</w:t>
      </w:r>
      <w:r w:rsidR="00421E1E" w:rsidRPr="00D95D4B">
        <w:t xml:space="preserve"> </w:t>
      </w:r>
      <w:r w:rsidR="00A174D4" w:rsidRPr="00D95D4B">
        <w:t>6</w:t>
      </w:r>
      <w:r w:rsidR="00421E1E" w:rsidRPr="00D95D4B">
        <w:t xml:space="preserve"> – Plafond annuel de jours travaillés</w:t>
      </w:r>
      <w:bookmarkEnd w:id="5"/>
    </w:p>
    <w:p w14:paraId="2676AD2E" w14:textId="77777777" w:rsidR="00421E1E" w:rsidRPr="00EA2A06" w:rsidRDefault="00421E1E" w:rsidP="00D95D4B">
      <w:pPr>
        <w:jc w:val="both"/>
        <w:rPr>
          <w:sz w:val="24"/>
          <w:szCs w:val="24"/>
        </w:rPr>
      </w:pPr>
      <w:r w:rsidRPr="00EA2A06">
        <w:rPr>
          <w:sz w:val="24"/>
          <w:szCs w:val="24"/>
        </w:rPr>
        <w:t>Le nombre maximal de jours travaillés est fixé à 219 jours par année civile conformément à l’accord de branche Syntec du 22 juin 1999.</w:t>
      </w:r>
    </w:p>
    <w:p w14:paraId="31DE760F" w14:textId="720E4FE1" w:rsidR="00421E1E" w:rsidRPr="00D95D4B" w:rsidRDefault="00D95D4B" w:rsidP="00D95D4B">
      <w:pPr>
        <w:pStyle w:val="Titre1"/>
        <w:jc w:val="both"/>
      </w:pPr>
      <w:bookmarkStart w:id="6" w:name="_Toc225931572"/>
      <w:r w:rsidRPr="00D95D4B">
        <w:rPr>
          <w:bCs/>
        </w:rPr>
        <w:lastRenderedPageBreak/>
        <w:t>ARTICLE</w:t>
      </w:r>
      <w:r w:rsidR="00421E1E" w:rsidRPr="00D95D4B">
        <w:t xml:space="preserve"> </w:t>
      </w:r>
      <w:r w:rsidR="00A174D4" w:rsidRPr="00D95D4B">
        <w:t>7</w:t>
      </w:r>
      <w:r w:rsidR="00421E1E" w:rsidRPr="00D95D4B">
        <w:t xml:space="preserve"> – Jours de repos conventionnels</w:t>
      </w:r>
      <w:bookmarkEnd w:id="6"/>
    </w:p>
    <w:p w14:paraId="3E63E7B4" w14:textId="052374F9" w:rsidR="00421E1E" w:rsidRPr="00EA2A06" w:rsidRDefault="00421E1E" w:rsidP="00D95D4B">
      <w:pPr>
        <w:jc w:val="both"/>
        <w:rPr>
          <w:sz w:val="24"/>
          <w:szCs w:val="24"/>
        </w:rPr>
      </w:pPr>
      <w:r w:rsidRPr="00EA2A06">
        <w:rPr>
          <w:sz w:val="24"/>
          <w:szCs w:val="24"/>
        </w:rPr>
        <w:t>Afin de garantir le respect de ce plafond, les salariés</w:t>
      </w:r>
      <w:r w:rsidR="00F550B9" w:rsidRPr="00EA2A06">
        <w:rPr>
          <w:sz w:val="24"/>
          <w:szCs w:val="24"/>
        </w:rPr>
        <w:t xml:space="preserve"> sous modalité 2</w:t>
      </w:r>
      <w:r w:rsidRPr="00EA2A06">
        <w:rPr>
          <w:sz w:val="24"/>
          <w:szCs w:val="24"/>
        </w:rPr>
        <w:t xml:space="preserve"> bénéficient de jours de repos conventionnels. Ces jours ne constituent pas des jours de réduction du temps de travail au sens du Code du travail.</w:t>
      </w:r>
    </w:p>
    <w:p w14:paraId="19BCBE75" w14:textId="0FE42869" w:rsidR="00421E1E" w:rsidRPr="00D95D4B" w:rsidRDefault="00D95D4B" w:rsidP="00D95D4B">
      <w:pPr>
        <w:pStyle w:val="Titre1"/>
        <w:jc w:val="both"/>
      </w:pPr>
      <w:bookmarkStart w:id="7" w:name="_Toc225931573"/>
      <w:r w:rsidRPr="00D95D4B">
        <w:rPr>
          <w:bCs/>
        </w:rPr>
        <w:t>ARTICLE</w:t>
      </w:r>
      <w:r w:rsidR="00421E1E" w:rsidRPr="00D95D4B">
        <w:t xml:space="preserve"> </w:t>
      </w:r>
      <w:r w:rsidR="00A174D4" w:rsidRPr="00D95D4B">
        <w:t>8</w:t>
      </w:r>
      <w:r w:rsidR="00421E1E" w:rsidRPr="00D95D4B">
        <w:t xml:space="preserve"> – Suivi de la charge de travail</w:t>
      </w:r>
      <w:bookmarkEnd w:id="7"/>
    </w:p>
    <w:p w14:paraId="78E34EB7" w14:textId="77777777" w:rsidR="00421E1E" w:rsidRPr="00EA2A06" w:rsidRDefault="00421E1E" w:rsidP="00D95D4B">
      <w:pPr>
        <w:jc w:val="both"/>
        <w:rPr>
          <w:sz w:val="24"/>
          <w:szCs w:val="24"/>
        </w:rPr>
      </w:pPr>
      <w:r w:rsidRPr="00EA2A06">
        <w:rPr>
          <w:sz w:val="24"/>
          <w:szCs w:val="24"/>
        </w:rPr>
        <w:t>Un document de suivi individuel est établi mensuellement par le salarié indiquant les journées travaillées et les repos. Ce document est validé par le responsable hiérarchique et conservé pendant trois ans.</w:t>
      </w:r>
    </w:p>
    <w:p w14:paraId="434FB5DF" w14:textId="4E9F44FD" w:rsidR="00421E1E" w:rsidRPr="00D95D4B" w:rsidRDefault="00D95D4B" w:rsidP="00D95D4B">
      <w:pPr>
        <w:pStyle w:val="Titre1"/>
        <w:jc w:val="both"/>
      </w:pPr>
      <w:bookmarkStart w:id="8" w:name="_Toc225931574"/>
      <w:r w:rsidRPr="00D95D4B">
        <w:rPr>
          <w:bCs/>
        </w:rPr>
        <w:t>ARTICLE</w:t>
      </w:r>
      <w:r w:rsidR="00421E1E" w:rsidRPr="00D95D4B">
        <w:t xml:space="preserve"> </w:t>
      </w:r>
      <w:r w:rsidR="00A174D4" w:rsidRPr="00D95D4B">
        <w:t>9</w:t>
      </w:r>
      <w:r w:rsidR="00421E1E" w:rsidRPr="00D95D4B">
        <w:t xml:space="preserve"> – Entretien annuel spécifique</w:t>
      </w:r>
      <w:bookmarkEnd w:id="8"/>
    </w:p>
    <w:p w14:paraId="6400FB5C" w14:textId="77777777" w:rsidR="00421E1E" w:rsidRPr="00EA2A06" w:rsidRDefault="00421E1E" w:rsidP="00D95D4B">
      <w:pPr>
        <w:jc w:val="both"/>
        <w:rPr>
          <w:sz w:val="24"/>
          <w:szCs w:val="24"/>
        </w:rPr>
      </w:pPr>
      <w:r w:rsidRPr="00EA2A06">
        <w:rPr>
          <w:sz w:val="24"/>
          <w:szCs w:val="24"/>
        </w:rPr>
        <w:t>Un entretien annuel spécifique portant sur la charge de travail, l’organisation de l’activité et l’articulation vie professionnelle/vie personnelle est organisé.</w:t>
      </w:r>
    </w:p>
    <w:p w14:paraId="14B7DFFA" w14:textId="49A877C7" w:rsidR="00421E1E" w:rsidRPr="00D95D4B" w:rsidRDefault="00D95D4B" w:rsidP="00D95D4B">
      <w:pPr>
        <w:pStyle w:val="Titre1"/>
        <w:jc w:val="both"/>
      </w:pPr>
      <w:bookmarkStart w:id="9" w:name="_Toc225931575"/>
      <w:r w:rsidRPr="00D95D4B">
        <w:rPr>
          <w:bCs/>
        </w:rPr>
        <w:t>ARTICLE</w:t>
      </w:r>
      <w:r w:rsidR="00421E1E" w:rsidRPr="00D95D4B">
        <w:t xml:space="preserve"> </w:t>
      </w:r>
      <w:r w:rsidR="00A174D4" w:rsidRPr="00D95D4B">
        <w:t>10</w:t>
      </w:r>
      <w:r w:rsidR="00421E1E" w:rsidRPr="00D95D4B">
        <w:t xml:space="preserve"> – Droit d’alerte</w:t>
      </w:r>
      <w:bookmarkEnd w:id="9"/>
    </w:p>
    <w:p w14:paraId="6D182E58" w14:textId="77777777" w:rsidR="00421E1E" w:rsidRPr="00EA2A06" w:rsidRDefault="00421E1E" w:rsidP="00D95D4B">
      <w:pPr>
        <w:jc w:val="both"/>
        <w:rPr>
          <w:sz w:val="24"/>
          <w:szCs w:val="24"/>
        </w:rPr>
      </w:pPr>
      <w:r w:rsidRPr="00EA2A06">
        <w:rPr>
          <w:sz w:val="24"/>
          <w:szCs w:val="24"/>
        </w:rPr>
        <w:t>En cas de surcharge de travail, le salarié peut saisir son responsable hiérarchique. Un entretien est organisé dans un délai de 15 jours afin d’apporter les mesures correctives nécessaires.</w:t>
      </w:r>
    </w:p>
    <w:p w14:paraId="53B6CC78" w14:textId="1CAC270B" w:rsidR="00421E1E" w:rsidRPr="00D95D4B" w:rsidRDefault="00D95D4B" w:rsidP="00D95D4B">
      <w:pPr>
        <w:pStyle w:val="Titre1"/>
        <w:jc w:val="both"/>
      </w:pPr>
      <w:bookmarkStart w:id="10" w:name="_Toc225931576"/>
      <w:r w:rsidRPr="00D95D4B">
        <w:rPr>
          <w:bCs/>
        </w:rPr>
        <w:t xml:space="preserve">ARTICLE </w:t>
      </w:r>
      <w:r w:rsidR="00F550B9" w:rsidRPr="00D95D4B">
        <w:t>1</w:t>
      </w:r>
      <w:r w:rsidR="00A174D4" w:rsidRPr="00D95D4B">
        <w:t>1</w:t>
      </w:r>
      <w:r w:rsidR="00421E1E" w:rsidRPr="00D95D4B">
        <w:t xml:space="preserve"> – Repos et droit à la déconnexion</w:t>
      </w:r>
      <w:bookmarkEnd w:id="10"/>
    </w:p>
    <w:p w14:paraId="26CF0404" w14:textId="77777777" w:rsidR="00421E1E" w:rsidRPr="00EA2A06" w:rsidRDefault="00421E1E" w:rsidP="00D95D4B">
      <w:pPr>
        <w:jc w:val="both"/>
        <w:rPr>
          <w:sz w:val="24"/>
          <w:szCs w:val="24"/>
        </w:rPr>
      </w:pPr>
      <w:r w:rsidRPr="00EA2A06">
        <w:rPr>
          <w:sz w:val="24"/>
          <w:szCs w:val="24"/>
        </w:rPr>
        <w:t>Les salariés bénéficient du repos quotidien de 11 heures consécutives et du repos hebdomadaire de 35 heures. Ils ne sont pas tenus de répondre aux sollicitations professionnelles en dehors de leurs périodes d’activité habituelles sauf urgence.</w:t>
      </w:r>
    </w:p>
    <w:p w14:paraId="764A9070" w14:textId="7921248D" w:rsidR="00523B2A" w:rsidRPr="00EA2A06" w:rsidRDefault="009C230F" w:rsidP="00D95D4B">
      <w:pPr>
        <w:pStyle w:val="Titre1"/>
        <w:jc w:val="both"/>
        <w:rPr>
          <w:rFonts w:ascii="Times New Roman" w:eastAsia="Times New Roman" w:hAnsi="Times New Roman" w:cs="Times New Roman"/>
          <w:sz w:val="24"/>
          <w:szCs w:val="24"/>
          <w:u w:val="none"/>
          <w:lang w:eastAsia="fr-FR"/>
        </w:rPr>
      </w:pPr>
      <w:bookmarkStart w:id="11" w:name="_Toc225931577"/>
      <w:r w:rsidRPr="00EA2A06">
        <w:t>ARTICLE 1</w:t>
      </w:r>
      <w:r w:rsidR="00A174D4" w:rsidRPr="00EA2A06">
        <w:t>2</w:t>
      </w:r>
      <w:r w:rsidRPr="00EA2A06">
        <w:t xml:space="preserve"> - </w:t>
      </w:r>
      <w:bookmarkStart w:id="12" w:name="_Toc221789523"/>
      <w:bookmarkStart w:id="13" w:name="_Toc221789562"/>
      <w:bookmarkStart w:id="14" w:name="_Toc221789595"/>
      <w:bookmarkStart w:id="15" w:name="_Toc221789524"/>
      <w:bookmarkStart w:id="16" w:name="_Toc221789563"/>
      <w:bookmarkStart w:id="17" w:name="_Toc221789596"/>
      <w:bookmarkStart w:id="18" w:name="_Toc221789525"/>
      <w:bookmarkStart w:id="19" w:name="_Toc221789564"/>
      <w:bookmarkStart w:id="20" w:name="_Toc221789597"/>
      <w:bookmarkEnd w:id="12"/>
      <w:bookmarkEnd w:id="13"/>
      <w:bookmarkEnd w:id="14"/>
      <w:bookmarkEnd w:id="15"/>
      <w:bookmarkEnd w:id="16"/>
      <w:bookmarkEnd w:id="17"/>
      <w:bookmarkEnd w:id="18"/>
      <w:bookmarkEnd w:id="19"/>
      <w:bookmarkEnd w:id="20"/>
      <w:r w:rsidR="00523B2A" w:rsidRPr="00EA2A06">
        <w:t>Durée et entrée en vigueur de l’accord</w:t>
      </w:r>
      <w:bookmarkEnd w:id="11"/>
    </w:p>
    <w:p w14:paraId="142011FD" w14:textId="77777777" w:rsidR="00523B2A" w:rsidRPr="00EA2A06" w:rsidRDefault="00523B2A" w:rsidP="00D95D4B">
      <w:pPr>
        <w:pStyle w:val="NormalWeb"/>
        <w:spacing w:before="0" w:beforeAutospacing="0"/>
        <w:jc w:val="both"/>
        <w:rPr>
          <w:rFonts w:asciiTheme="minorHAnsi" w:hAnsiTheme="minorHAnsi" w:cstheme="minorHAnsi"/>
        </w:rPr>
      </w:pPr>
      <w:r w:rsidRPr="00EA2A06">
        <w:rPr>
          <w:rFonts w:asciiTheme="minorHAnsi" w:hAnsiTheme="minorHAnsi" w:cstheme="minorHAnsi"/>
        </w:rPr>
        <w:t>Le présent accord est conclu pour une durée indéterminée.</w:t>
      </w:r>
    </w:p>
    <w:p w14:paraId="2D5ED627" w14:textId="7F280AC4" w:rsidR="00523B2A" w:rsidRPr="00EA2A06" w:rsidRDefault="00523B2A" w:rsidP="00D95D4B">
      <w:pPr>
        <w:pStyle w:val="NormalWeb"/>
        <w:spacing w:before="0" w:beforeAutospacing="0"/>
        <w:jc w:val="both"/>
        <w:rPr>
          <w:rFonts w:asciiTheme="minorHAnsi" w:hAnsiTheme="minorHAnsi" w:cstheme="minorHAnsi"/>
        </w:rPr>
      </w:pPr>
      <w:r w:rsidRPr="00EA2A06">
        <w:rPr>
          <w:rFonts w:asciiTheme="minorHAnsi" w:hAnsiTheme="minorHAnsi" w:cstheme="minorHAnsi"/>
        </w:rPr>
        <w:t xml:space="preserve">Il entrera en vigueur au lendemain de la date son dépôt dans les conditions prévues par l’article </w:t>
      </w:r>
      <w:r w:rsidR="00EE6C32">
        <w:rPr>
          <w:rFonts w:asciiTheme="minorHAnsi" w:hAnsiTheme="minorHAnsi" w:cstheme="minorHAnsi"/>
        </w:rPr>
        <w:t>14</w:t>
      </w:r>
      <w:r w:rsidRPr="00EA2A06">
        <w:rPr>
          <w:rFonts w:asciiTheme="minorHAnsi" w:hAnsiTheme="minorHAnsi" w:cstheme="minorHAnsi"/>
        </w:rPr>
        <w:t xml:space="preserve"> du présent accord.</w:t>
      </w:r>
    </w:p>
    <w:p w14:paraId="21FA2348" w14:textId="3CBB7B9F" w:rsidR="00A604CE" w:rsidRPr="00EA2A06" w:rsidRDefault="009C230F" w:rsidP="00D95D4B">
      <w:pPr>
        <w:pStyle w:val="Titre1"/>
        <w:jc w:val="both"/>
      </w:pPr>
      <w:bookmarkStart w:id="21" w:name="_Toc221789527"/>
      <w:bookmarkStart w:id="22" w:name="_Toc221789566"/>
      <w:bookmarkStart w:id="23" w:name="_Toc221789599"/>
      <w:bookmarkStart w:id="24" w:name="_Toc221789528"/>
      <w:bookmarkStart w:id="25" w:name="_Toc221789567"/>
      <w:bookmarkStart w:id="26" w:name="_Toc221789600"/>
      <w:bookmarkStart w:id="27" w:name="_Toc221789529"/>
      <w:bookmarkStart w:id="28" w:name="_Toc221789568"/>
      <w:bookmarkStart w:id="29" w:name="_Toc221789601"/>
      <w:bookmarkStart w:id="30" w:name="_Toc221789530"/>
      <w:bookmarkStart w:id="31" w:name="_Toc221789569"/>
      <w:bookmarkStart w:id="32" w:name="_Toc221789602"/>
      <w:bookmarkStart w:id="33" w:name="_Toc221789531"/>
      <w:bookmarkStart w:id="34" w:name="_Toc221789570"/>
      <w:bookmarkStart w:id="35" w:name="_Toc221789603"/>
      <w:bookmarkStart w:id="36" w:name="_Toc221789532"/>
      <w:bookmarkStart w:id="37" w:name="_Toc221789571"/>
      <w:bookmarkStart w:id="38" w:name="_Toc221789604"/>
      <w:bookmarkStart w:id="39" w:name="_Toc225931578"/>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EA2A06">
        <w:t>ARTICLE 1</w:t>
      </w:r>
      <w:r w:rsidR="00A174D4" w:rsidRPr="00EA2A06">
        <w:t>3</w:t>
      </w:r>
      <w:r w:rsidRPr="00EA2A06">
        <w:t xml:space="preserve"> – Révision et </w:t>
      </w:r>
      <w:bookmarkStart w:id="40" w:name="_Toc221789534"/>
      <w:bookmarkStart w:id="41" w:name="_Toc221789573"/>
      <w:bookmarkStart w:id="42" w:name="_Toc221789606"/>
      <w:bookmarkStart w:id="43" w:name="_Toc221789535"/>
      <w:bookmarkStart w:id="44" w:name="_Toc221789574"/>
      <w:bookmarkStart w:id="45" w:name="_Toc221789607"/>
      <w:bookmarkStart w:id="46" w:name="_Toc221789536"/>
      <w:bookmarkStart w:id="47" w:name="_Toc221789575"/>
      <w:bookmarkStart w:id="48" w:name="_Toc221789608"/>
      <w:bookmarkStart w:id="49" w:name="_Toc221789537"/>
      <w:bookmarkStart w:id="50" w:name="_Toc221789576"/>
      <w:bookmarkStart w:id="51" w:name="_Toc221789609"/>
      <w:bookmarkStart w:id="52" w:name="_Toc221789538"/>
      <w:bookmarkStart w:id="53" w:name="_Toc221789577"/>
      <w:bookmarkStart w:id="54" w:name="_Toc221789610"/>
      <w:bookmarkStart w:id="55" w:name="_Toc221789539"/>
      <w:bookmarkStart w:id="56" w:name="_Toc221789578"/>
      <w:bookmarkStart w:id="57" w:name="_Toc221789611"/>
      <w:bookmarkStart w:id="58" w:name="_Toc221789540"/>
      <w:bookmarkStart w:id="59" w:name="_Toc221789579"/>
      <w:bookmarkStart w:id="60" w:name="_Toc221789612"/>
      <w:bookmarkStart w:id="61" w:name="_Toc221789541"/>
      <w:bookmarkStart w:id="62" w:name="_Toc221789580"/>
      <w:bookmarkStart w:id="63" w:name="_Toc221789613"/>
      <w:bookmarkStart w:id="64" w:name="_Toc221789542"/>
      <w:bookmarkStart w:id="65" w:name="_Toc221789581"/>
      <w:bookmarkStart w:id="66" w:name="_Toc221789614"/>
      <w:bookmarkStart w:id="67" w:name="_Toc221789543"/>
      <w:bookmarkStart w:id="68" w:name="_Toc221789582"/>
      <w:bookmarkStart w:id="69" w:name="_Toc221789615"/>
      <w:bookmarkStart w:id="70" w:name="_Toc221789544"/>
      <w:bookmarkStart w:id="71" w:name="_Toc221789583"/>
      <w:bookmarkStart w:id="72" w:name="_Toc221789616"/>
      <w:bookmarkStart w:id="73" w:name="_Toc221789545"/>
      <w:bookmarkStart w:id="74" w:name="_Toc221789584"/>
      <w:bookmarkStart w:id="75" w:name="_Toc221789617"/>
      <w:bookmarkStart w:id="76" w:name="_Toc221789546"/>
      <w:bookmarkStart w:id="77" w:name="_Toc221789585"/>
      <w:bookmarkStart w:id="78" w:name="_Toc221789618"/>
      <w:bookmarkStart w:id="79" w:name="_Toc221789547"/>
      <w:bookmarkStart w:id="80" w:name="_Toc221789586"/>
      <w:bookmarkStart w:id="81" w:name="_Toc221789619"/>
      <w:bookmarkStart w:id="82" w:name="_Toc221789548"/>
      <w:bookmarkStart w:id="83" w:name="_Toc221789587"/>
      <w:bookmarkStart w:id="84" w:name="_Toc221789620"/>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EA2A06">
        <w:t>d</w:t>
      </w:r>
      <w:r w:rsidR="00E91B0F" w:rsidRPr="00EA2A06">
        <w:t>énonciation de l’accord</w:t>
      </w:r>
      <w:bookmarkEnd w:id="39"/>
    </w:p>
    <w:p w14:paraId="45E9B826" w14:textId="77777777" w:rsidR="00BA52CC" w:rsidRPr="00EA2A06" w:rsidRDefault="00BA52CC" w:rsidP="00D95D4B">
      <w:pPr>
        <w:pStyle w:val="NormalWeb"/>
        <w:spacing w:before="0" w:beforeAutospacing="0"/>
        <w:jc w:val="both"/>
        <w:rPr>
          <w:rFonts w:asciiTheme="minorHAnsi" w:eastAsiaTheme="minorEastAsia" w:hAnsiTheme="minorHAnsi" w:cstheme="minorBidi"/>
          <w:lang w:eastAsia="en-US"/>
        </w:rPr>
      </w:pPr>
      <w:r w:rsidRPr="00EA2A06">
        <w:rPr>
          <w:rFonts w:asciiTheme="minorHAnsi" w:eastAsiaTheme="minorEastAsia" w:hAnsiTheme="minorHAnsi" w:cstheme="minorBidi"/>
          <w:lang w:eastAsia="en-US"/>
        </w:rPr>
        <w:t>Le présent accord peut être révisé à l’initiative de l’employeur ou des salariés dans les conditions prévues par les articles L.2232-21 et suivants du Code du travail.</w:t>
      </w:r>
    </w:p>
    <w:p w14:paraId="324A62E5" w14:textId="77777777" w:rsidR="00BA52CC" w:rsidRPr="00EA2A06" w:rsidRDefault="00BA52CC" w:rsidP="00D95D4B">
      <w:pPr>
        <w:pStyle w:val="NormalWeb"/>
        <w:spacing w:before="0" w:beforeAutospacing="0"/>
        <w:jc w:val="both"/>
        <w:rPr>
          <w:rFonts w:asciiTheme="minorHAnsi" w:eastAsiaTheme="minorEastAsia" w:hAnsiTheme="minorHAnsi" w:cstheme="minorBidi"/>
          <w:lang w:eastAsia="en-US"/>
        </w:rPr>
      </w:pPr>
      <w:r w:rsidRPr="00EA2A06">
        <w:rPr>
          <w:rFonts w:asciiTheme="minorHAnsi" w:eastAsiaTheme="minorEastAsia" w:hAnsiTheme="minorHAnsi" w:cstheme="minorBidi"/>
          <w:lang w:eastAsia="en-US"/>
        </w:rPr>
        <w:t>Toute demande de révision est notifiée par écrit et précise son objet. Les parties s’efforcent d’ouvrir des échanges dans un délai de deux mois suivant cette notification.</w:t>
      </w:r>
    </w:p>
    <w:p w14:paraId="6AC0C3E7" w14:textId="77777777" w:rsidR="00BA52CC" w:rsidRPr="00EA2A06" w:rsidRDefault="00BA52CC" w:rsidP="00D95D4B">
      <w:pPr>
        <w:pStyle w:val="NormalWeb"/>
        <w:spacing w:before="0" w:beforeAutospacing="0"/>
        <w:jc w:val="both"/>
        <w:rPr>
          <w:rFonts w:asciiTheme="minorHAnsi" w:eastAsiaTheme="minorEastAsia" w:hAnsiTheme="minorHAnsi" w:cstheme="minorBidi"/>
          <w:lang w:eastAsia="en-US"/>
        </w:rPr>
      </w:pPr>
      <w:r w:rsidRPr="00EA2A06">
        <w:rPr>
          <w:rFonts w:asciiTheme="minorHAnsi" w:eastAsiaTheme="minorEastAsia" w:hAnsiTheme="minorHAnsi" w:cstheme="minorBidi"/>
          <w:lang w:eastAsia="en-US"/>
        </w:rPr>
        <w:lastRenderedPageBreak/>
        <w:t>Le présent accord peut être dénoncé dans les conditions prévues par les articles L.2232-22 et L.2261-9 à L.2261-13 du Code du travail.</w:t>
      </w:r>
    </w:p>
    <w:p w14:paraId="00287786" w14:textId="77777777" w:rsidR="00BA52CC" w:rsidRPr="00EA2A06" w:rsidRDefault="00BA52CC" w:rsidP="00D95D4B">
      <w:pPr>
        <w:pStyle w:val="NormalWeb"/>
        <w:spacing w:before="0" w:beforeAutospacing="0"/>
        <w:jc w:val="both"/>
        <w:rPr>
          <w:rFonts w:asciiTheme="minorHAnsi" w:eastAsiaTheme="minorEastAsia" w:hAnsiTheme="minorHAnsi" w:cstheme="minorBidi"/>
          <w:lang w:eastAsia="en-US"/>
        </w:rPr>
      </w:pPr>
      <w:r w:rsidRPr="00EA2A06">
        <w:rPr>
          <w:rFonts w:asciiTheme="minorHAnsi" w:eastAsiaTheme="minorEastAsia" w:hAnsiTheme="minorHAnsi" w:cstheme="minorBidi"/>
          <w:lang w:eastAsia="en-US"/>
        </w:rPr>
        <w:t>La partie envisageant la dénonciation informe préalablement l’autre partie, par écrit, de son intention d’engager cette démarche afin de permettre l’ouverture d’échanges.</w:t>
      </w:r>
    </w:p>
    <w:p w14:paraId="2B7DF3CC" w14:textId="77777777" w:rsidR="00BA52CC" w:rsidRPr="00EA2A06" w:rsidRDefault="00BA52CC" w:rsidP="00D95D4B">
      <w:pPr>
        <w:pStyle w:val="NormalWeb"/>
        <w:spacing w:before="0" w:beforeAutospacing="0"/>
        <w:jc w:val="both"/>
        <w:rPr>
          <w:rFonts w:asciiTheme="minorHAnsi" w:eastAsiaTheme="minorEastAsia" w:hAnsiTheme="minorHAnsi" w:cstheme="minorBidi"/>
          <w:lang w:eastAsia="en-US"/>
        </w:rPr>
      </w:pPr>
      <w:r w:rsidRPr="00EA2A06">
        <w:rPr>
          <w:rFonts w:asciiTheme="minorHAnsi" w:eastAsiaTheme="minorEastAsia" w:hAnsiTheme="minorHAnsi" w:cstheme="minorBidi"/>
          <w:lang w:eastAsia="en-US"/>
        </w:rPr>
        <w:t>Lorsque la dénonciation intervient à l’initiative des salariés, elle ne peut avoir lieu que dans les conditions prévues par l’article L.2232-22 du Code du travail, notamment pendant le mois précédant chaque date anniversaire de la conclusion de l’accord.</w:t>
      </w:r>
    </w:p>
    <w:p w14:paraId="19FEA1B8" w14:textId="77777777" w:rsidR="00BA52CC" w:rsidRPr="00EA2A06" w:rsidRDefault="00BA52CC" w:rsidP="00D95D4B">
      <w:pPr>
        <w:pStyle w:val="NormalWeb"/>
        <w:spacing w:before="0" w:beforeAutospacing="0"/>
        <w:jc w:val="both"/>
        <w:rPr>
          <w:rFonts w:asciiTheme="minorHAnsi" w:eastAsiaTheme="minorEastAsia" w:hAnsiTheme="minorHAnsi" w:cstheme="minorBidi"/>
          <w:lang w:eastAsia="en-US"/>
        </w:rPr>
      </w:pPr>
      <w:r w:rsidRPr="00EA2A06">
        <w:rPr>
          <w:rFonts w:asciiTheme="minorHAnsi" w:eastAsiaTheme="minorEastAsia" w:hAnsiTheme="minorHAnsi" w:cstheme="minorBidi"/>
          <w:lang w:eastAsia="en-US"/>
        </w:rPr>
        <w:t>L’accord continue de produire effet pendant la durée du préavis et de la période de survie légale. Durant cette période, les parties s’engagent à ouvrir des négociations en vue de la conclusion d’un accord de substitution.</w:t>
      </w:r>
    </w:p>
    <w:p w14:paraId="2E66C378" w14:textId="08CAFB1C" w:rsidR="00E91B0F" w:rsidRPr="00EA2A06" w:rsidRDefault="009C230F" w:rsidP="00D95D4B">
      <w:pPr>
        <w:pStyle w:val="Titre1"/>
        <w:jc w:val="both"/>
      </w:pPr>
      <w:bookmarkStart w:id="85" w:name="_Toc225931579"/>
      <w:r w:rsidRPr="00EA2A06">
        <w:t>ARTICLE 1</w:t>
      </w:r>
      <w:r w:rsidR="00BA52CC" w:rsidRPr="00EA2A06">
        <w:t>4</w:t>
      </w:r>
      <w:r w:rsidRPr="00EA2A06">
        <w:t xml:space="preserve"> – </w:t>
      </w:r>
      <w:bookmarkStart w:id="86" w:name="_Toc221789550"/>
      <w:bookmarkStart w:id="87" w:name="_Toc221789589"/>
      <w:bookmarkStart w:id="88" w:name="_Toc221789622"/>
      <w:bookmarkEnd w:id="86"/>
      <w:bookmarkEnd w:id="87"/>
      <w:bookmarkEnd w:id="88"/>
      <w:r w:rsidR="00E91B0F" w:rsidRPr="00EA2A06">
        <w:t>Dépôt et publicité</w:t>
      </w:r>
      <w:bookmarkEnd w:id="85"/>
    </w:p>
    <w:p w14:paraId="10F7BAE8" w14:textId="77777777" w:rsidR="00E91B0F" w:rsidRPr="00EA2A06" w:rsidRDefault="00E91B0F" w:rsidP="00D95D4B">
      <w:pPr>
        <w:spacing w:after="100" w:afterAutospacing="1" w:line="240" w:lineRule="auto"/>
        <w:jc w:val="both"/>
        <w:rPr>
          <w:rFonts w:eastAsia="Times New Roman" w:cstheme="minorHAnsi"/>
          <w:sz w:val="24"/>
          <w:szCs w:val="24"/>
          <w:lang w:eastAsia="fr-FR"/>
        </w:rPr>
      </w:pPr>
      <w:r w:rsidRPr="00EA2A06">
        <w:rPr>
          <w:rFonts w:eastAsia="Times New Roman" w:cstheme="minorHAnsi"/>
          <w:sz w:val="24"/>
          <w:szCs w:val="24"/>
          <w:lang w:eastAsia="fr-FR"/>
        </w:rPr>
        <w:t>Le présent accord donnera lieu à dépôt et publicité dans les conditions prévues par le code du travail.</w:t>
      </w:r>
    </w:p>
    <w:p w14:paraId="0ACA0BC9" w14:textId="40368415" w:rsidR="00E91B0F" w:rsidRPr="00EA2A06" w:rsidRDefault="00E91B0F" w:rsidP="00D95D4B">
      <w:pPr>
        <w:spacing w:after="100" w:afterAutospacing="1" w:line="240" w:lineRule="auto"/>
        <w:jc w:val="both"/>
        <w:rPr>
          <w:rFonts w:eastAsia="Times New Roman" w:cstheme="minorHAnsi"/>
          <w:sz w:val="24"/>
          <w:szCs w:val="24"/>
          <w:lang w:eastAsia="fr-FR"/>
        </w:rPr>
      </w:pPr>
      <w:r w:rsidRPr="00EA2A06">
        <w:rPr>
          <w:rFonts w:eastAsia="Times New Roman" w:cstheme="minorHAnsi"/>
          <w:sz w:val="24"/>
          <w:szCs w:val="24"/>
          <w:lang w:eastAsia="fr-FR"/>
        </w:rPr>
        <w:t xml:space="preserve">Le présent accord sera déposé, à la diligence de la Société, sous forme électronique sur la plateforme de télé-procédure du ministère du travail « </w:t>
      </w:r>
      <w:proofErr w:type="spellStart"/>
      <w:r w:rsidRPr="00EA2A06">
        <w:rPr>
          <w:rFonts w:eastAsia="Times New Roman" w:cstheme="minorHAnsi"/>
          <w:sz w:val="24"/>
          <w:szCs w:val="24"/>
          <w:lang w:eastAsia="fr-FR"/>
        </w:rPr>
        <w:t>TéléAccords</w:t>
      </w:r>
      <w:proofErr w:type="spellEnd"/>
      <w:r w:rsidRPr="00EA2A06">
        <w:rPr>
          <w:rFonts w:eastAsia="Times New Roman" w:cstheme="minorHAnsi"/>
          <w:sz w:val="24"/>
          <w:szCs w:val="24"/>
          <w:lang w:eastAsia="fr-FR"/>
        </w:rPr>
        <w:t xml:space="preserve"> », dans les conditions légales et réglementaires en vigueur, avec les annexes nécessaires. </w:t>
      </w:r>
    </w:p>
    <w:p w14:paraId="356A0B0B" w14:textId="77777777" w:rsidR="00E91B0F" w:rsidRPr="00EA2A06" w:rsidRDefault="00E91B0F" w:rsidP="00D95D4B">
      <w:pPr>
        <w:spacing w:after="100" w:afterAutospacing="1" w:line="240" w:lineRule="auto"/>
        <w:jc w:val="both"/>
        <w:rPr>
          <w:rFonts w:eastAsia="Times New Roman" w:cstheme="minorHAnsi"/>
          <w:sz w:val="24"/>
          <w:szCs w:val="24"/>
          <w:lang w:eastAsia="fr-FR"/>
        </w:rPr>
      </w:pPr>
      <w:r w:rsidRPr="00EA2A06">
        <w:rPr>
          <w:rFonts w:eastAsia="Times New Roman" w:cstheme="minorHAnsi"/>
          <w:sz w:val="24"/>
          <w:szCs w:val="24"/>
          <w:lang w:eastAsia="fr-FR"/>
        </w:rPr>
        <w:t>Le présent accord fera l’objet des formalités d’affichage et un exemplaire est tenu à la disposition du personnel.</w:t>
      </w:r>
    </w:p>
    <w:p w14:paraId="31C7856E" w14:textId="77777777" w:rsidR="00A604CE" w:rsidRPr="00EA2A06" w:rsidRDefault="00A604CE" w:rsidP="00D95D4B">
      <w:pPr>
        <w:pStyle w:val="NormalWeb"/>
        <w:spacing w:after="0"/>
        <w:jc w:val="both"/>
        <w:rPr>
          <w:rFonts w:asciiTheme="minorHAnsi" w:hAnsiTheme="minorHAnsi" w:cstheme="minorHAnsi"/>
        </w:rPr>
      </w:pPr>
      <w:r w:rsidRPr="00EA2A06">
        <w:rPr>
          <w:rFonts w:asciiTheme="minorHAnsi" w:hAnsiTheme="minorHAnsi" w:cstheme="minorHAnsi"/>
        </w:rPr>
        <w:t>Fait à </w:t>
      </w:r>
      <w:r w:rsidRPr="00EA2A06">
        <w:rPr>
          <w:rStyle w:val="apreciser"/>
          <w:rFonts w:asciiTheme="minorHAnsi" w:eastAsiaTheme="majorEastAsia" w:hAnsiTheme="minorHAnsi" w:cstheme="minorHAnsi"/>
        </w:rPr>
        <w:t>Saint-Denis,</w:t>
      </w:r>
      <w:r w:rsidRPr="00EA2A06">
        <w:rPr>
          <w:rFonts w:asciiTheme="minorHAnsi" w:hAnsiTheme="minorHAnsi" w:cstheme="minorHAnsi"/>
        </w:rPr>
        <w:t xml:space="preserve"> le </w:t>
      </w:r>
    </w:p>
    <w:p w14:paraId="13A0298B" w14:textId="77777777" w:rsidR="00295FB5" w:rsidRPr="00EA2A06" w:rsidRDefault="00295FB5" w:rsidP="00D95D4B">
      <w:pPr>
        <w:pStyle w:val="Corpsdetexte"/>
        <w:rPr>
          <w:rFonts w:cs="Times New Roman"/>
          <w:b/>
          <w:sz w:val="22"/>
        </w:rPr>
      </w:pPr>
      <w:r w:rsidRPr="00EA2A06">
        <w:rPr>
          <w:rStyle w:val="apreciser"/>
          <w:rFonts w:asciiTheme="minorHAnsi" w:eastAsiaTheme="majorEastAsia" w:hAnsiTheme="minorHAnsi" w:cstheme="minorHAnsi"/>
          <w:sz w:val="24"/>
          <w:szCs w:val="24"/>
        </w:rPr>
        <w:t>Pour la Direction,</w:t>
      </w:r>
      <w:r w:rsidRPr="00EA2A06">
        <w:rPr>
          <w:rStyle w:val="apreciser"/>
          <w:rFonts w:asciiTheme="minorHAnsi" w:eastAsiaTheme="majorEastAsia" w:hAnsiTheme="minorHAnsi" w:cstheme="minorHAnsi"/>
          <w:sz w:val="24"/>
          <w:szCs w:val="24"/>
        </w:rPr>
        <w:tab/>
      </w:r>
      <w:r w:rsidRPr="00EA2A06">
        <w:rPr>
          <w:rStyle w:val="apreciser"/>
          <w:rFonts w:asciiTheme="minorHAnsi" w:eastAsiaTheme="majorEastAsia" w:hAnsiTheme="minorHAnsi" w:cstheme="minorHAnsi"/>
          <w:sz w:val="24"/>
          <w:szCs w:val="24"/>
        </w:rPr>
        <w:tab/>
      </w:r>
      <w:r w:rsidRPr="00EA2A06">
        <w:rPr>
          <w:rStyle w:val="apreciser"/>
          <w:rFonts w:asciiTheme="minorHAnsi" w:eastAsiaTheme="majorEastAsia" w:hAnsiTheme="minorHAnsi" w:cstheme="minorHAnsi"/>
          <w:sz w:val="24"/>
          <w:szCs w:val="24"/>
        </w:rPr>
        <w:tab/>
      </w:r>
      <w:r w:rsidRPr="00EA2A06">
        <w:rPr>
          <w:rStyle w:val="apreciser"/>
          <w:rFonts w:asciiTheme="minorHAnsi" w:eastAsiaTheme="majorEastAsia" w:hAnsiTheme="minorHAnsi" w:cstheme="minorHAnsi"/>
          <w:sz w:val="24"/>
          <w:szCs w:val="24"/>
        </w:rPr>
        <w:tab/>
        <w:t>Pour les membres du personnel,</w:t>
      </w:r>
    </w:p>
    <w:p w14:paraId="66C434B0" w14:textId="77777777" w:rsidR="00B32610" w:rsidRPr="00EA2A06" w:rsidRDefault="00B32610" w:rsidP="00D95D4B">
      <w:pPr>
        <w:pStyle w:val="NormalWeb"/>
        <w:spacing w:after="0"/>
        <w:jc w:val="both"/>
        <w:rPr>
          <w:rFonts w:asciiTheme="minorHAnsi" w:hAnsiTheme="minorHAnsi" w:cstheme="minorHAnsi"/>
        </w:rPr>
      </w:pPr>
    </w:p>
    <w:p w14:paraId="2336E0C8" w14:textId="77777777" w:rsidR="00EA2A06" w:rsidRDefault="00EA2A06" w:rsidP="00D95D4B">
      <w:pPr>
        <w:jc w:val="both"/>
        <w:rPr>
          <w:rFonts w:ascii="Times New Roman" w:hAnsi="Times New Roman"/>
          <w:sz w:val="24"/>
          <w:szCs w:val="24"/>
        </w:rPr>
      </w:pPr>
      <w:r>
        <w:br w:type="page"/>
      </w:r>
    </w:p>
    <w:p w14:paraId="0493AB37" w14:textId="56D77881" w:rsidR="00B32610" w:rsidRPr="00EA2A06" w:rsidRDefault="00B32610" w:rsidP="00D95D4B">
      <w:pPr>
        <w:pStyle w:val="NormalWeb"/>
        <w:spacing w:after="0"/>
        <w:jc w:val="both"/>
        <w:rPr>
          <w:rFonts w:cstheme="minorBidi"/>
          <w:color w:val="3EA710" w:themeColor="accent1"/>
        </w:rPr>
      </w:pPr>
      <w:r w:rsidRPr="00EA2A06">
        <w:rPr>
          <w:rFonts w:asciiTheme="majorHAnsi" w:eastAsiaTheme="majorEastAsia" w:hAnsiTheme="majorHAnsi" w:cstheme="majorBidi"/>
          <w:b/>
          <w:bCs/>
          <w:color w:val="3EA710" w:themeColor="accent1"/>
          <w:sz w:val="28"/>
          <w:szCs w:val="28"/>
          <w:u w:val="single"/>
          <w:lang w:eastAsia="en-US"/>
        </w:rPr>
        <w:lastRenderedPageBreak/>
        <w:t>Annexe : procès-verbal du référendum</w:t>
      </w:r>
      <w:r w:rsidRPr="00EA2A06">
        <w:rPr>
          <w:rFonts w:asciiTheme="minorHAnsi" w:eastAsiaTheme="minorEastAsia" w:hAnsiTheme="minorHAnsi" w:cstheme="minorBidi"/>
          <w:color w:val="3EA710" w:themeColor="accent1"/>
          <w:lang w:eastAsia="en-US"/>
        </w:rPr>
        <w:t>.</w:t>
      </w:r>
    </w:p>
    <w:p w14:paraId="2FDDABEF" w14:textId="61C3E619" w:rsidR="00A604CE" w:rsidRPr="00EA2A06" w:rsidRDefault="00A604CE" w:rsidP="00D95D4B">
      <w:pPr>
        <w:jc w:val="both"/>
        <w:rPr>
          <w:rFonts w:eastAsiaTheme="majorEastAsia" w:cstheme="minorHAnsi"/>
          <w:b/>
          <w:bCs/>
          <w:sz w:val="28"/>
          <w:szCs w:val="28"/>
          <w:u w:val="single"/>
        </w:rPr>
      </w:pPr>
    </w:p>
    <w:sectPr w:rsidR="00A604CE" w:rsidRPr="00EA2A06" w:rsidSect="00F43374">
      <w:headerReference w:type="default" r:id="rId11"/>
      <w:footerReference w:type="default" r:id="rId12"/>
      <w:footerReference w:type="first" r:id="rId13"/>
      <w:pgSz w:w="11906" w:h="16838" w:code="9"/>
      <w:pgMar w:top="851"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A3A39" w14:textId="77777777" w:rsidR="00DE7C7B" w:rsidRDefault="00DE7C7B" w:rsidP="00DA7159">
      <w:pPr>
        <w:spacing w:after="0" w:line="240" w:lineRule="auto"/>
      </w:pPr>
      <w:r>
        <w:separator/>
      </w:r>
    </w:p>
  </w:endnote>
  <w:endnote w:type="continuationSeparator" w:id="0">
    <w:p w14:paraId="075AC34F" w14:textId="77777777" w:rsidR="00DE7C7B" w:rsidRDefault="00DE7C7B" w:rsidP="00DA71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60C71" w14:textId="77777777" w:rsidR="00A604CE" w:rsidRPr="00415B01" w:rsidRDefault="00A604CE" w:rsidP="00A604CE">
    <w:pPr>
      <w:pStyle w:val="Pieddepage"/>
      <w:jc w:val="center"/>
    </w:pPr>
    <w:r>
      <w:rPr>
        <w:noProof/>
        <w:lang w:eastAsia="fr-FR"/>
      </w:rPr>
      <mc:AlternateContent>
        <mc:Choice Requires="wps">
          <w:drawing>
            <wp:anchor distT="0" distB="0" distL="0" distR="0" simplePos="0" relativeHeight="251661312" behindDoc="0" locked="0" layoutInCell="1" allowOverlap="1" wp14:anchorId="5CF2581E" wp14:editId="582B6F15">
              <wp:simplePos x="0" y="0"/>
              <wp:positionH relativeFrom="rightMargin">
                <wp:posOffset>-401955</wp:posOffset>
              </wp:positionH>
              <wp:positionV relativeFrom="bottomMargin">
                <wp:posOffset>216081</wp:posOffset>
              </wp:positionV>
              <wp:extent cx="857250" cy="320040"/>
              <wp:effectExtent l="0" t="0" r="0" b="3810"/>
              <wp:wrapSquare wrapText="bothSides"/>
              <wp:docPr id="40" name="Rectangle 40"/>
              <wp:cNvGraphicFramePr/>
              <a:graphic xmlns:a="http://schemas.openxmlformats.org/drawingml/2006/main">
                <a:graphicData uri="http://schemas.microsoft.com/office/word/2010/wordprocessingShape">
                  <wps:wsp>
                    <wps:cNvSpPr/>
                    <wps:spPr>
                      <a:xfrm>
                        <a:off x="0" y="0"/>
                        <a:ext cx="857250" cy="320040"/>
                      </a:xfrm>
                      <a:prstGeom prst="rect">
                        <a:avLst/>
                      </a:prstGeom>
                      <a:solidFill>
                        <a:schemeClr val="tx1"/>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134B869" w14:textId="45BE1431" w:rsidR="00A604CE" w:rsidRPr="00F43374" w:rsidRDefault="00A604CE" w:rsidP="00A604CE">
                          <w:pPr>
                            <w:jc w:val="center"/>
                            <w:rPr>
                              <w:color w:val="FFFFFF" w:themeColor="background1"/>
                              <w:sz w:val="24"/>
                              <w:szCs w:val="24"/>
                            </w:rPr>
                          </w:pPr>
                          <w:r w:rsidRPr="00F43374">
                            <w:rPr>
                              <w:b/>
                              <w:bCs/>
                              <w:color w:val="FFFFFF" w:themeColor="background1"/>
                              <w:sz w:val="24"/>
                              <w:szCs w:val="24"/>
                            </w:rPr>
                            <w:fldChar w:fldCharType="begin"/>
                          </w:r>
                          <w:r w:rsidRPr="00F43374">
                            <w:rPr>
                              <w:b/>
                              <w:bCs/>
                              <w:color w:val="FFFFFF" w:themeColor="background1"/>
                              <w:sz w:val="24"/>
                              <w:szCs w:val="24"/>
                            </w:rPr>
                            <w:instrText>PAGE  \* Arabic  \* MERGEFORMAT</w:instrText>
                          </w:r>
                          <w:r w:rsidRPr="00F43374">
                            <w:rPr>
                              <w:b/>
                              <w:bCs/>
                              <w:color w:val="FFFFFF" w:themeColor="background1"/>
                              <w:sz w:val="24"/>
                              <w:szCs w:val="24"/>
                            </w:rPr>
                            <w:fldChar w:fldCharType="separate"/>
                          </w:r>
                          <w:r w:rsidR="00446FB4">
                            <w:rPr>
                              <w:b/>
                              <w:bCs/>
                              <w:noProof/>
                              <w:color w:val="FFFFFF" w:themeColor="background1"/>
                              <w:sz w:val="24"/>
                              <w:szCs w:val="24"/>
                            </w:rPr>
                            <w:t>4</w:t>
                          </w:r>
                          <w:r w:rsidRPr="00F43374">
                            <w:rPr>
                              <w:b/>
                              <w:bCs/>
                              <w:color w:val="FFFFFF" w:themeColor="background1"/>
                              <w:sz w:val="24"/>
                              <w:szCs w:val="24"/>
                            </w:rPr>
                            <w:fldChar w:fldCharType="end"/>
                          </w:r>
                          <w:r w:rsidRPr="00F43374">
                            <w:rPr>
                              <w:color w:val="FFFFFF" w:themeColor="background1"/>
                              <w:sz w:val="24"/>
                              <w:szCs w:val="24"/>
                            </w:rPr>
                            <w:t xml:space="preserve"> sur </w:t>
                          </w:r>
                          <w:r w:rsidRPr="00F43374">
                            <w:rPr>
                              <w:b/>
                              <w:bCs/>
                              <w:color w:val="FFFFFF" w:themeColor="background1"/>
                              <w:sz w:val="24"/>
                              <w:szCs w:val="24"/>
                            </w:rPr>
                            <w:fldChar w:fldCharType="begin"/>
                          </w:r>
                          <w:r w:rsidRPr="00F43374">
                            <w:rPr>
                              <w:b/>
                              <w:bCs/>
                              <w:color w:val="FFFFFF" w:themeColor="background1"/>
                              <w:sz w:val="24"/>
                              <w:szCs w:val="24"/>
                            </w:rPr>
                            <w:instrText>NUMPAGES  \* Arabic  \* MERGEFORMAT</w:instrText>
                          </w:r>
                          <w:r w:rsidRPr="00F43374">
                            <w:rPr>
                              <w:b/>
                              <w:bCs/>
                              <w:color w:val="FFFFFF" w:themeColor="background1"/>
                              <w:sz w:val="24"/>
                              <w:szCs w:val="24"/>
                            </w:rPr>
                            <w:fldChar w:fldCharType="separate"/>
                          </w:r>
                          <w:r w:rsidR="00446FB4">
                            <w:rPr>
                              <w:b/>
                              <w:bCs/>
                              <w:noProof/>
                              <w:color w:val="FFFFFF" w:themeColor="background1"/>
                              <w:sz w:val="24"/>
                              <w:szCs w:val="24"/>
                            </w:rPr>
                            <w:t>9</w:t>
                          </w:r>
                          <w:r w:rsidRPr="00F43374">
                            <w:rPr>
                              <w:b/>
                              <w:bCs/>
                              <w:color w:val="FFFFFF" w:themeColor="background1"/>
                              <w:sz w:val="24"/>
                              <w:szCs w:val="24"/>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F2581E" id="Rectangle 40" o:spid="_x0000_s1026" style="position:absolute;left:0;text-align:left;margin-left:-31.65pt;margin-top:17pt;width:67.5pt;height:25.2pt;z-index:251661312;visibility:visible;mso-wrap-style:square;mso-width-percent:0;mso-height-percent:0;mso-wrap-distance-left:0;mso-wrap-distance-top:0;mso-wrap-distance-right:0;mso-wrap-distance-bottom:0;mso-position-horizontal:absolute;mso-position-horizontal-relative:right-margin-area;mso-position-vertical:absolute;mso-position-vertical-relative:bottom-margin-area;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" fillcolor="black [3213]" stroked="f" strokeweight="3pt">
              <v:stroke endcap="round"/>
              <v:textbox>
                <w:txbxContent>
                  <w:p w14:paraId="1134B869" w14:textId="45BE1431" w:rsidR="00A604CE" w:rsidRPr="00F43374" w:rsidRDefault="00A604CE" w:rsidP="00A604CE">
                    <w:pPr>
                      <w:jc w:val="center"/>
                      <w:rPr>
                        <w:color w:val="FFFFFF" w:themeColor="background1"/>
                        <w:sz w:val="24"/>
                        <w:szCs w:val="24"/>
                      </w:rPr>
                    </w:pPr>
                    <w:r w:rsidRPr="00F43374">
                      <w:rPr>
                        <w:b/>
                        <w:bCs/>
                        <w:color w:val="FFFFFF" w:themeColor="background1"/>
                        <w:sz w:val="24"/>
                        <w:szCs w:val="24"/>
                      </w:rPr>
                      <w:fldChar w:fldCharType="begin"/>
                    </w:r>
                    <w:r w:rsidRPr="00F43374">
                      <w:rPr>
                        <w:b/>
                        <w:bCs/>
                        <w:color w:val="FFFFFF" w:themeColor="background1"/>
                        <w:sz w:val="24"/>
                        <w:szCs w:val="24"/>
                      </w:rPr>
                      <w:instrText>PAGE  \* Arabic  \* MERGEFORMAT</w:instrText>
                    </w:r>
                    <w:r w:rsidRPr="00F43374">
                      <w:rPr>
                        <w:b/>
                        <w:bCs/>
                        <w:color w:val="FFFFFF" w:themeColor="background1"/>
                        <w:sz w:val="24"/>
                        <w:szCs w:val="24"/>
                      </w:rPr>
                      <w:fldChar w:fldCharType="separate"/>
                    </w:r>
                    <w:r w:rsidR="00446FB4">
                      <w:rPr>
                        <w:b/>
                        <w:bCs/>
                        <w:noProof/>
                        <w:color w:val="FFFFFF" w:themeColor="background1"/>
                        <w:sz w:val="24"/>
                        <w:szCs w:val="24"/>
                      </w:rPr>
                      <w:t>4</w:t>
                    </w:r>
                    <w:r w:rsidRPr="00F43374">
                      <w:rPr>
                        <w:b/>
                        <w:bCs/>
                        <w:color w:val="FFFFFF" w:themeColor="background1"/>
                        <w:sz w:val="24"/>
                        <w:szCs w:val="24"/>
                      </w:rPr>
                      <w:fldChar w:fldCharType="end"/>
                    </w:r>
                    <w:r w:rsidRPr="00F43374">
                      <w:rPr>
                        <w:color w:val="FFFFFF" w:themeColor="background1"/>
                        <w:sz w:val="24"/>
                        <w:szCs w:val="24"/>
                      </w:rPr>
                      <w:t xml:space="preserve"> sur </w:t>
                    </w:r>
                    <w:r w:rsidRPr="00F43374">
                      <w:rPr>
                        <w:b/>
                        <w:bCs/>
                        <w:color w:val="FFFFFF" w:themeColor="background1"/>
                        <w:sz w:val="24"/>
                        <w:szCs w:val="24"/>
                      </w:rPr>
                      <w:fldChar w:fldCharType="begin"/>
                    </w:r>
                    <w:r w:rsidRPr="00F43374">
                      <w:rPr>
                        <w:b/>
                        <w:bCs/>
                        <w:color w:val="FFFFFF" w:themeColor="background1"/>
                        <w:sz w:val="24"/>
                        <w:szCs w:val="24"/>
                      </w:rPr>
                      <w:instrText>NUMPAGES  \* Arabic  \* MERGEFORMAT</w:instrText>
                    </w:r>
                    <w:r w:rsidRPr="00F43374">
                      <w:rPr>
                        <w:b/>
                        <w:bCs/>
                        <w:color w:val="FFFFFF" w:themeColor="background1"/>
                        <w:sz w:val="24"/>
                        <w:szCs w:val="24"/>
                      </w:rPr>
                      <w:fldChar w:fldCharType="separate"/>
                    </w:r>
                    <w:r w:rsidR="00446FB4">
                      <w:rPr>
                        <w:b/>
                        <w:bCs/>
                        <w:noProof/>
                        <w:color w:val="FFFFFF" w:themeColor="background1"/>
                        <w:sz w:val="24"/>
                        <w:szCs w:val="24"/>
                      </w:rPr>
                      <w:t>9</w:t>
                    </w:r>
                    <w:r w:rsidRPr="00F43374">
                      <w:rPr>
                        <w:b/>
                        <w:bCs/>
                        <w:color w:val="FFFFFF" w:themeColor="background1"/>
                        <w:sz w:val="24"/>
                        <w:szCs w:val="24"/>
                      </w:rPr>
                      <w:fldChar w:fldCharType="end"/>
                    </w:r>
                  </w:p>
                </w:txbxContent>
              </v:textbox>
              <w10:wrap type="square" anchorx="margin" anchory="margin"/>
            </v:rect>
          </w:pict>
        </mc:Fallback>
      </mc:AlternateContent>
    </w:r>
    <w:r>
      <w:rPr>
        <w:noProof/>
        <w:color w:val="808080" w:themeColor="background1" w:themeShade="80"/>
        <w:lang w:eastAsia="fr-FR"/>
      </w:rPr>
      <mc:AlternateContent>
        <mc:Choice Requires="wpg">
          <w:drawing>
            <wp:anchor distT="0" distB="0" distL="0" distR="0" simplePos="0" relativeHeight="251662336" behindDoc="0" locked="0" layoutInCell="1" allowOverlap="1" wp14:anchorId="15515FF5" wp14:editId="6DDAFFFC">
              <wp:simplePos x="0" y="0"/>
              <wp:positionH relativeFrom="margin">
                <wp:align>right</wp:align>
              </wp:positionH>
              <mc:AlternateContent>
                <mc:Choice Requires="wp14">
                  <wp:positionV relativeFrom="bottomMargin">
                    <wp14:pctPosVOffset>20000</wp14:pctPosVOffset>
                  </wp:positionV>
                </mc:Choice>
                <mc:Fallback>
                  <wp:positionV relativeFrom="page">
                    <wp:posOffset>10115550</wp:posOffset>
                  </wp:positionV>
                </mc:Fallback>
              </mc:AlternateContent>
              <wp:extent cx="5943600" cy="320040"/>
              <wp:effectExtent l="0" t="0" r="0" b="3810"/>
              <wp:wrapSquare wrapText="bothSides"/>
              <wp:docPr id="37" name="Groupe 37"/>
              <wp:cNvGraphicFramePr/>
              <a:graphic xmlns:a="http://schemas.openxmlformats.org/drawingml/2006/main">
                <a:graphicData uri="http://schemas.microsoft.com/office/word/2010/wordprocessingGroup">
                  <wpg:wgp>
                    <wpg:cNvGrpSpPr/>
                    <wpg:grpSpPr>
                      <a:xfrm>
                        <a:off x="0" y="0"/>
                        <a:ext cx="5943600" cy="320032"/>
                        <a:chOff x="0" y="0"/>
                        <a:chExt cx="5962650" cy="323851"/>
                      </a:xfrm>
                    </wpg:grpSpPr>
                    <wps:wsp>
                      <wps:cNvPr id="38" name="Rectangle 38"/>
                      <wps:cNvSpPr/>
                      <wps:spPr>
                        <a:xfrm>
                          <a:off x="19050" y="0"/>
                          <a:ext cx="5943600" cy="18826"/>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Zone de texte 39"/>
                      <wps:cNvSpPr txBox="1"/>
                      <wps:spPr>
                        <a:xfrm>
                          <a:off x="0" y="66676"/>
                          <a:ext cx="594360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B04815" w14:textId="1AACA351" w:rsidR="00A604CE" w:rsidRDefault="00A604CE" w:rsidP="00A604CE">
                            <w:pPr>
                              <w:rPr>
                                <w:color w:val="808080" w:themeColor="background1" w:themeShade="80"/>
                              </w:rPr>
                            </w:pPr>
                            <w:r>
                              <w:rPr>
                                <w:color w:val="808080" w:themeColor="background1" w:themeShade="80"/>
                              </w:rPr>
                              <w:t xml:space="preserve">Accord </w:t>
                            </w:r>
                            <w:r w:rsidR="009141EF">
                              <w:rPr>
                                <w:color w:val="808080" w:themeColor="background1" w:themeShade="80"/>
                              </w:rPr>
                              <w:t>d’entreprise - 2026</w:t>
                            </w:r>
                          </w:p>
                        </w:txbxContent>
                      </wps:txbx>
                      <wps:bodyPr rot="0" spcFirstLastPara="0" vertOverflow="overflow" horzOverflow="overflow" vert="horz" wrap="square" lIns="91440" tIns="45720" rIns="91440" bIns="0" numCol="1" spcCol="0" rtlCol="0" fromWordArt="0" anchor="b" anchorCtr="0" forceAA="0" compatLnSpc="1">
                        <a:prstTxWarp prst="textNoShape">
                          <a:avLst/>
                        </a:prstTxWarp>
                        <a:noAutofit/>
                      </wps:bodyPr>
                    </wps:wsp>
                  </wpg:wgp>
                </a:graphicData>
              </a:graphic>
              <wp14:sizeRelH relativeFrom="margin">
                <wp14:pctWidth>100000</wp14:pctWidth>
              </wp14:sizeRelH>
              <wp14:sizeRelV relativeFrom="margin">
                <wp14:pctHeight>0</wp14:pctHeight>
              </wp14:sizeRelV>
            </wp:anchor>
          </w:drawing>
        </mc:Choice>
        <mc:Fallback>
          <w:pict>
            <v:group w14:anchorId="15515FF5" id="Groupe 37" o:spid="_x0000_s1027" style="position:absolute;left:0;text-align:left;margin-left:416.8pt;margin-top:0;width:468pt;height:25.2pt;z-index:251662336;mso-width-percent:1000;mso-top-percent:200;mso-wrap-distance-left:0;mso-wrap-distance-right:0;mso-position-horizontal:right;mso-position-horizontal-relative:margin;mso-position-vertical-relative:bottom-margin-area;mso-width-percent:1000;mso-top-percent:200;mso-width-relative:margin;mso-height-relative:margin" coordsize="59626,3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">
              <v:rect id="Rectangle 38" o:spid="_x0000_s1028" style="position:absolute;left:190;width:59436;height:1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" fillcolor="black [3213]" stroked="f" strokeweight="1.5pt">
                <v:stroke endcap="round"/>
              </v:rect>
              <v:shapetype id="_x0000_t202" coordsize="21600,21600" o:spt="202" path="m,l,21600r21600,l21600,xe">
                <v:stroke joinstyle="miter"/>
                <v:path gradientshapeok="t" o:connecttype="rect"/>
              </v:shapetype>
              <v:shape id="Zone de texte 39" o:spid="_x0000_s1029" type="#_x0000_t202" style="position:absolute;top:666;width:59436;height:257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" filled="f" stroked="f" strokeweight=".5pt">
                <v:textbox inset=",,,0">
                  <w:txbxContent>
                    <w:p w14:paraId="66B04815" w14:textId="1AACA351" w:rsidR="00A604CE" w:rsidRDefault="00A604CE" w:rsidP="00A604CE">
                      <w:pPr>
                        <w:rPr>
                          <w:color w:val="808080" w:themeColor="background1" w:themeShade="80"/>
                        </w:rPr>
                      </w:pPr>
                      <w:r>
                        <w:rPr>
                          <w:color w:val="808080" w:themeColor="background1" w:themeShade="80"/>
                        </w:rPr>
                        <w:t xml:space="preserve">Accord </w:t>
                      </w:r>
                      <w:r w:rsidR="009141EF">
                        <w:rPr>
                          <w:color w:val="808080" w:themeColor="background1" w:themeShade="80"/>
                        </w:rPr>
                        <w:t>d’entreprise - 2026</w:t>
                      </w:r>
                    </w:p>
                  </w:txbxContent>
                </v:textbox>
              </v:shape>
              <w10:wrap type="square" anchorx="margin" anchory="margin"/>
            </v:group>
          </w:pict>
        </mc:Fallback>
      </mc:AlternateContent>
    </w:r>
  </w:p>
  <w:p w14:paraId="2CF84509" w14:textId="77777777" w:rsidR="00144B0D" w:rsidRPr="00A604CE" w:rsidRDefault="00144B0D" w:rsidP="00A604C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14AFD" w14:textId="77777777" w:rsidR="00144B0D" w:rsidRPr="00A604CE" w:rsidRDefault="00A604CE" w:rsidP="00A604CE">
    <w:pPr>
      <w:pStyle w:val="Pieddepage"/>
    </w:pPr>
    <w:r>
      <w:rPr>
        <w:noProof/>
        <w:lang w:eastAsia="fr-FR"/>
      </w:rPr>
      <mc:AlternateContent>
        <mc:Choice Requires="wps">
          <w:drawing>
            <wp:anchor distT="0" distB="0" distL="0" distR="0" simplePos="0" relativeHeight="251668480" behindDoc="0" locked="0" layoutInCell="1" allowOverlap="1" wp14:anchorId="059B596A" wp14:editId="33C1FC85">
              <wp:simplePos x="0" y="0"/>
              <wp:positionH relativeFrom="rightMargin">
                <wp:posOffset>-377825</wp:posOffset>
              </wp:positionH>
              <wp:positionV relativeFrom="bottomMargin">
                <wp:posOffset>-121285</wp:posOffset>
              </wp:positionV>
              <wp:extent cx="914400" cy="320040"/>
              <wp:effectExtent l="0" t="0" r="0" b="3810"/>
              <wp:wrapSquare wrapText="bothSides"/>
              <wp:docPr id="11" name="Rectangle 11"/>
              <wp:cNvGraphicFramePr/>
              <a:graphic xmlns:a="http://schemas.openxmlformats.org/drawingml/2006/main">
                <a:graphicData uri="http://schemas.microsoft.com/office/word/2010/wordprocessingShape">
                  <wps:wsp>
                    <wps:cNvSpPr/>
                    <wps:spPr>
                      <a:xfrm>
                        <a:off x="0" y="0"/>
                        <a:ext cx="914400" cy="320040"/>
                      </a:xfrm>
                      <a:prstGeom prst="rect">
                        <a:avLst/>
                      </a:prstGeom>
                      <a:solidFill>
                        <a:schemeClr val="tx1"/>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01098F8" w14:textId="6C02079B" w:rsidR="00A604CE" w:rsidRPr="00A604CE" w:rsidRDefault="00A604CE" w:rsidP="00A604CE">
                          <w:pPr>
                            <w:jc w:val="right"/>
                            <w:rPr>
                              <w:color w:val="BFBFBF" w:themeColor="background1" w:themeShade="BF"/>
                              <w:sz w:val="24"/>
                              <w:szCs w:val="24"/>
                            </w:rPr>
                          </w:pPr>
                          <w:r w:rsidRPr="00A604CE">
                            <w:rPr>
                              <w:b/>
                              <w:bCs/>
                              <w:color w:val="BFBFBF" w:themeColor="background1" w:themeShade="BF"/>
                              <w:sz w:val="24"/>
                              <w:szCs w:val="24"/>
                            </w:rPr>
                            <w:fldChar w:fldCharType="begin"/>
                          </w:r>
                          <w:r w:rsidRPr="00A604CE">
                            <w:rPr>
                              <w:b/>
                              <w:bCs/>
                              <w:color w:val="BFBFBF" w:themeColor="background1" w:themeShade="BF"/>
                              <w:sz w:val="24"/>
                              <w:szCs w:val="24"/>
                            </w:rPr>
                            <w:instrText>PAGE  \* Arabic  \* MERGEFORMAT</w:instrText>
                          </w:r>
                          <w:r w:rsidRPr="00A604CE">
                            <w:rPr>
                              <w:b/>
                              <w:bCs/>
                              <w:color w:val="BFBFBF" w:themeColor="background1" w:themeShade="BF"/>
                              <w:sz w:val="24"/>
                              <w:szCs w:val="24"/>
                            </w:rPr>
                            <w:fldChar w:fldCharType="separate"/>
                          </w:r>
                          <w:r w:rsidR="00446FB4">
                            <w:rPr>
                              <w:b/>
                              <w:bCs/>
                              <w:noProof/>
                              <w:color w:val="BFBFBF" w:themeColor="background1" w:themeShade="BF"/>
                              <w:sz w:val="24"/>
                              <w:szCs w:val="24"/>
                            </w:rPr>
                            <w:t>1</w:t>
                          </w:r>
                          <w:r w:rsidRPr="00A604CE">
                            <w:rPr>
                              <w:b/>
                              <w:bCs/>
                              <w:color w:val="BFBFBF" w:themeColor="background1" w:themeShade="BF"/>
                              <w:sz w:val="24"/>
                              <w:szCs w:val="24"/>
                            </w:rPr>
                            <w:fldChar w:fldCharType="end"/>
                          </w:r>
                          <w:r w:rsidRPr="00A604CE">
                            <w:rPr>
                              <w:color w:val="BFBFBF" w:themeColor="background1" w:themeShade="BF"/>
                              <w:sz w:val="24"/>
                              <w:szCs w:val="24"/>
                            </w:rPr>
                            <w:t xml:space="preserve"> sur </w:t>
                          </w:r>
                          <w:r w:rsidRPr="00A604CE">
                            <w:rPr>
                              <w:b/>
                              <w:bCs/>
                              <w:color w:val="BFBFBF" w:themeColor="background1" w:themeShade="BF"/>
                              <w:sz w:val="24"/>
                              <w:szCs w:val="24"/>
                            </w:rPr>
                            <w:fldChar w:fldCharType="begin"/>
                          </w:r>
                          <w:r w:rsidRPr="00A604CE">
                            <w:rPr>
                              <w:b/>
                              <w:bCs/>
                              <w:color w:val="BFBFBF" w:themeColor="background1" w:themeShade="BF"/>
                              <w:sz w:val="24"/>
                              <w:szCs w:val="24"/>
                            </w:rPr>
                            <w:instrText>NUMPAGES  \* Arabic  \* MERGEFORMAT</w:instrText>
                          </w:r>
                          <w:r w:rsidRPr="00A604CE">
                            <w:rPr>
                              <w:b/>
                              <w:bCs/>
                              <w:color w:val="BFBFBF" w:themeColor="background1" w:themeShade="BF"/>
                              <w:sz w:val="24"/>
                              <w:szCs w:val="24"/>
                            </w:rPr>
                            <w:fldChar w:fldCharType="separate"/>
                          </w:r>
                          <w:r w:rsidR="00446FB4">
                            <w:rPr>
                              <w:b/>
                              <w:bCs/>
                              <w:noProof/>
                              <w:color w:val="BFBFBF" w:themeColor="background1" w:themeShade="BF"/>
                              <w:sz w:val="24"/>
                              <w:szCs w:val="24"/>
                            </w:rPr>
                            <w:t>9</w:t>
                          </w:r>
                          <w:r w:rsidRPr="00A604CE">
                            <w:rPr>
                              <w:b/>
                              <w:bCs/>
                              <w:color w:val="BFBFBF" w:themeColor="background1" w:themeShade="BF"/>
                              <w:sz w:val="24"/>
                              <w:szCs w:val="24"/>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9B596A" id="Rectangle 11" o:spid="_x0000_s1030" style="position:absolute;margin-left:-29.75pt;margin-top:-9.55pt;width:1in;height:25.2pt;z-index:251668480;visibility:visible;mso-wrap-style:square;mso-width-percent:0;mso-height-percent:0;mso-wrap-distance-left:0;mso-wrap-distance-top:0;mso-wrap-distance-right:0;mso-wrap-distance-bottom:0;mso-position-horizontal:absolute;mso-position-horizontal-relative:right-margin-area;mso-position-vertical:absolute;mso-position-vertical-relative:bottom-margin-area;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" fillcolor="black [3213]" stroked="f" strokeweight="3pt">
              <v:stroke endcap="round"/>
              <v:textbox>
                <w:txbxContent>
                  <w:p w14:paraId="501098F8" w14:textId="6C02079B" w:rsidR="00A604CE" w:rsidRPr="00A604CE" w:rsidRDefault="00A604CE" w:rsidP="00A604CE">
                    <w:pPr>
                      <w:jc w:val="right"/>
                      <w:rPr>
                        <w:color w:val="BFBFBF" w:themeColor="background1" w:themeShade="BF"/>
                        <w:sz w:val="24"/>
                        <w:szCs w:val="24"/>
                      </w:rPr>
                    </w:pPr>
                    <w:r w:rsidRPr="00A604CE">
                      <w:rPr>
                        <w:b/>
                        <w:bCs/>
                        <w:color w:val="BFBFBF" w:themeColor="background1" w:themeShade="BF"/>
                        <w:sz w:val="24"/>
                        <w:szCs w:val="24"/>
                      </w:rPr>
                      <w:fldChar w:fldCharType="begin"/>
                    </w:r>
                    <w:r w:rsidRPr="00A604CE">
                      <w:rPr>
                        <w:b/>
                        <w:bCs/>
                        <w:color w:val="BFBFBF" w:themeColor="background1" w:themeShade="BF"/>
                        <w:sz w:val="24"/>
                        <w:szCs w:val="24"/>
                      </w:rPr>
                      <w:instrText>PAGE  \* Arabic  \* MERGEFORMAT</w:instrText>
                    </w:r>
                    <w:r w:rsidRPr="00A604CE">
                      <w:rPr>
                        <w:b/>
                        <w:bCs/>
                        <w:color w:val="BFBFBF" w:themeColor="background1" w:themeShade="BF"/>
                        <w:sz w:val="24"/>
                        <w:szCs w:val="24"/>
                      </w:rPr>
                      <w:fldChar w:fldCharType="separate"/>
                    </w:r>
                    <w:r w:rsidR="00446FB4">
                      <w:rPr>
                        <w:b/>
                        <w:bCs/>
                        <w:noProof/>
                        <w:color w:val="BFBFBF" w:themeColor="background1" w:themeShade="BF"/>
                        <w:sz w:val="24"/>
                        <w:szCs w:val="24"/>
                      </w:rPr>
                      <w:t>1</w:t>
                    </w:r>
                    <w:r w:rsidRPr="00A604CE">
                      <w:rPr>
                        <w:b/>
                        <w:bCs/>
                        <w:color w:val="BFBFBF" w:themeColor="background1" w:themeShade="BF"/>
                        <w:sz w:val="24"/>
                        <w:szCs w:val="24"/>
                      </w:rPr>
                      <w:fldChar w:fldCharType="end"/>
                    </w:r>
                    <w:r w:rsidRPr="00A604CE">
                      <w:rPr>
                        <w:color w:val="BFBFBF" w:themeColor="background1" w:themeShade="BF"/>
                        <w:sz w:val="24"/>
                        <w:szCs w:val="24"/>
                      </w:rPr>
                      <w:t xml:space="preserve"> sur </w:t>
                    </w:r>
                    <w:r w:rsidRPr="00A604CE">
                      <w:rPr>
                        <w:b/>
                        <w:bCs/>
                        <w:color w:val="BFBFBF" w:themeColor="background1" w:themeShade="BF"/>
                        <w:sz w:val="24"/>
                        <w:szCs w:val="24"/>
                      </w:rPr>
                      <w:fldChar w:fldCharType="begin"/>
                    </w:r>
                    <w:r w:rsidRPr="00A604CE">
                      <w:rPr>
                        <w:b/>
                        <w:bCs/>
                        <w:color w:val="BFBFBF" w:themeColor="background1" w:themeShade="BF"/>
                        <w:sz w:val="24"/>
                        <w:szCs w:val="24"/>
                      </w:rPr>
                      <w:instrText>NUMPAGES  \* Arabic  \* MERGEFORMAT</w:instrText>
                    </w:r>
                    <w:r w:rsidRPr="00A604CE">
                      <w:rPr>
                        <w:b/>
                        <w:bCs/>
                        <w:color w:val="BFBFBF" w:themeColor="background1" w:themeShade="BF"/>
                        <w:sz w:val="24"/>
                        <w:szCs w:val="24"/>
                      </w:rPr>
                      <w:fldChar w:fldCharType="separate"/>
                    </w:r>
                    <w:r w:rsidR="00446FB4">
                      <w:rPr>
                        <w:b/>
                        <w:bCs/>
                        <w:noProof/>
                        <w:color w:val="BFBFBF" w:themeColor="background1" w:themeShade="BF"/>
                        <w:sz w:val="24"/>
                        <w:szCs w:val="24"/>
                      </w:rPr>
                      <w:t>9</w:t>
                    </w:r>
                    <w:r w:rsidRPr="00A604CE">
                      <w:rPr>
                        <w:b/>
                        <w:bCs/>
                        <w:color w:val="BFBFBF" w:themeColor="background1" w:themeShade="BF"/>
                        <w:sz w:val="24"/>
                        <w:szCs w:val="24"/>
                      </w:rPr>
                      <w:fldChar w:fldCharType="end"/>
                    </w:r>
                  </w:p>
                </w:txbxContent>
              </v:textbox>
              <w10:wrap type="square" anchorx="margin" anchory="margin"/>
            </v:rect>
          </w:pict>
        </mc:Fallback>
      </mc:AlternateContent>
    </w:r>
    <w:r>
      <w:rPr>
        <w:noProof/>
        <w:lang w:eastAsia="fr-FR"/>
      </w:rPr>
      <mc:AlternateContent>
        <mc:Choice Requires="wps">
          <w:drawing>
            <wp:anchor distT="0" distB="0" distL="114300" distR="114300" simplePos="0" relativeHeight="251664384" behindDoc="0" locked="0" layoutInCell="1" allowOverlap="1" wp14:anchorId="340138F5" wp14:editId="2DF2E326">
              <wp:simplePos x="0" y="0"/>
              <wp:positionH relativeFrom="column">
                <wp:posOffset>114300</wp:posOffset>
              </wp:positionH>
              <wp:positionV relativeFrom="paragraph">
                <wp:posOffset>-190500</wp:posOffset>
              </wp:positionV>
              <wp:extent cx="5741049" cy="18604"/>
              <wp:effectExtent l="0" t="0" r="0" b="0"/>
              <wp:wrapNone/>
              <wp:docPr id="10" name="Rectangle 9"/>
              <wp:cNvGraphicFramePr/>
              <a:graphic xmlns:a="http://schemas.openxmlformats.org/drawingml/2006/main">
                <a:graphicData uri="http://schemas.microsoft.com/office/word/2010/wordprocessingShape">
                  <wps:wsp>
                    <wps:cNvSpPr/>
                    <wps:spPr>
                      <a:xfrm>
                        <a:off x="0" y="0"/>
                        <a:ext cx="5741049" cy="18604"/>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DD485CE" id="Rectangle 9" o:spid="_x0000_s1026" style="position:absolute;margin-left:9pt;margin-top:-15pt;width:452.05pt;height:1.4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" fillcolor="black [3213]" stroked="f" strokeweight="1.5pt">
              <v:stroke endcap="round"/>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765DE" w14:textId="77777777" w:rsidR="00DE7C7B" w:rsidRDefault="00DE7C7B" w:rsidP="00DA7159">
      <w:pPr>
        <w:spacing w:after="0" w:line="240" w:lineRule="auto"/>
      </w:pPr>
      <w:r>
        <w:separator/>
      </w:r>
    </w:p>
  </w:footnote>
  <w:footnote w:type="continuationSeparator" w:id="0">
    <w:p w14:paraId="432A1D4F" w14:textId="77777777" w:rsidR="00DE7C7B" w:rsidRDefault="00DE7C7B" w:rsidP="00DA71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F69BC" w14:textId="2F99BDA2" w:rsidR="00144B0D" w:rsidRDefault="00AD3F84" w:rsidP="00AD3F84">
    <w:pPr>
      <w:pStyle w:val="En-tte"/>
      <w:tabs>
        <w:tab w:val="clear" w:pos="4536"/>
        <w:tab w:val="clear" w:pos="9072"/>
        <w:tab w:val="left" w:pos="7035"/>
      </w:tabs>
      <w:rPr>
        <w:b/>
      </w:rPr>
    </w:pPr>
    <w:r>
      <w:rPr>
        <w:b/>
      </w:rPr>
      <w:tab/>
    </w:r>
  </w:p>
  <w:p w14:paraId="33E819D4" w14:textId="77777777" w:rsidR="00144B0D" w:rsidRDefault="00144B0D">
    <w:pPr>
      <w:pStyle w:val="En-tte"/>
      <w:rPr>
        <w:b/>
      </w:rPr>
    </w:pPr>
  </w:p>
  <w:p w14:paraId="6A33AD42" w14:textId="77777777" w:rsidR="00144B0D" w:rsidRDefault="00144B0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A27A9"/>
    <w:multiLevelType w:val="hybridMultilevel"/>
    <w:tmpl w:val="2DE03AA8"/>
    <w:lvl w:ilvl="0" w:tplc="DDEE90BE">
      <w:start w:val="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8D7347F"/>
    <w:multiLevelType w:val="hybridMultilevel"/>
    <w:tmpl w:val="1ED29F1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CB74591"/>
    <w:multiLevelType w:val="hybridMultilevel"/>
    <w:tmpl w:val="A61C1D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1BE2D72"/>
    <w:multiLevelType w:val="hybridMultilevel"/>
    <w:tmpl w:val="49C0AEEC"/>
    <w:lvl w:ilvl="0" w:tplc="5A1C48E2">
      <w:start w:val="2"/>
      <w:numFmt w:val="bullet"/>
      <w:lvlText w:val="-"/>
      <w:lvlJc w:val="left"/>
      <w:pPr>
        <w:ind w:left="360" w:hanging="360"/>
      </w:pPr>
      <w:rPr>
        <w:rFonts w:ascii="Calibri" w:eastAsiaTheme="minorHAnsi"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2BCE3751"/>
    <w:multiLevelType w:val="multilevel"/>
    <w:tmpl w:val="B7E20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8AC67C6"/>
    <w:multiLevelType w:val="hybridMultilevel"/>
    <w:tmpl w:val="B5F8A0A6"/>
    <w:lvl w:ilvl="0" w:tplc="A23097BA">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38B47E29"/>
    <w:multiLevelType w:val="hybridMultilevel"/>
    <w:tmpl w:val="6B74DBC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AFA45AB"/>
    <w:multiLevelType w:val="hybridMultilevel"/>
    <w:tmpl w:val="DA86EB10"/>
    <w:lvl w:ilvl="0" w:tplc="A042B6C6">
      <w:start w:val="1"/>
      <w:numFmt w:val="bullet"/>
      <w:lvlText w:val="-"/>
      <w:lvlJc w:val="left"/>
      <w:pPr>
        <w:tabs>
          <w:tab w:val="num" w:pos="397"/>
        </w:tabs>
        <w:ind w:left="397" w:hanging="397"/>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3FE200E1"/>
    <w:multiLevelType w:val="hybridMultilevel"/>
    <w:tmpl w:val="1A28E73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6B303BE"/>
    <w:multiLevelType w:val="hybridMultilevel"/>
    <w:tmpl w:val="2A34663C"/>
    <w:lvl w:ilvl="0" w:tplc="62CA43AA">
      <w:start w:val="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7DF6F6E"/>
    <w:multiLevelType w:val="multilevel"/>
    <w:tmpl w:val="39668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B205147"/>
    <w:multiLevelType w:val="hybridMultilevel"/>
    <w:tmpl w:val="D1123B18"/>
    <w:lvl w:ilvl="0" w:tplc="FFC49FBC">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2" w15:restartNumberingAfterBreak="0">
    <w:nsid w:val="525C6A32"/>
    <w:multiLevelType w:val="hybridMultilevel"/>
    <w:tmpl w:val="84A8A0E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53ED78EA"/>
    <w:multiLevelType w:val="multilevel"/>
    <w:tmpl w:val="10923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5335B60"/>
    <w:multiLevelType w:val="hybridMultilevel"/>
    <w:tmpl w:val="7B528E7E"/>
    <w:lvl w:ilvl="0" w:tplc="D8ACDFA0">
      <w:start w:val="1"/>
      <w:numFmt w:val="decimal"/>
      <w:lvlText w:val="%1."/>
      <w:lvlJc w:val="left"/>
      <w:pPr>
        <w:ind w:left="720" w:hanging="360"/>
      </w:pPr>
      <w:rPr>
        <w:b/>
        <w:color w:val="3EA710" w:themeColor="accent1"/>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56BD5829"/>
    <w:multiLevelType w:val="hybridMultilevel"/>
    <w:tmpl w:val="DD7457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B1B765C"/>
    <w:multiLevelType w:val="hybridMultilevel"/>
    <w:tmpl w:val="99D65714"/>
    <w:lvl w:ilvl="0" w:tplc="5A1C48E2">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B8011AE"/>
    <w:multiLevelType w:val="hybridMultilevel"/>
    <w:tmpl w:val="A512211C"/>
    <w:lvl w:ilvl="0" w:tplc="4F446366">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31B5788"/>
    <w:multiLevelType w:val="hybridMultilevel"/>
    <w:tmpl w:val="A4085446"/>
    <w:lvl w:ilvl="0" w:tplc="9A9E49D0">
      <w:start w:val="1"/>
      <w:numFmt w:val="decimal"/>
      <w:lvlText w:val="%1."/>
      <w:lvlJc w:val="lef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abstractNum w:abstractNumId="19" w15:restartNumberingAfterBreak="0">
    <w:nsid w:val="64350F89"/>
    <w:multiLevelType w:val="hybridMultilevel"/>
    <w:tmpl w:val="5EC07728"/>
    <w:lvl w:ilvl="0" w:tplc="92D45A0E">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75D781B"/>
    <w:multiLevelType w:val="hybridMultilevel"/>
    <w:tmpl w:val="93084314"/>
    <w:lvl w:ilvl="0" w:tplc="DD9C6E28">
      <w:numFmt w:val="bullet"/>
      <w:lvlText w:val=""/>
      <w:lvlJc w:val="left"/>
      <w:pPr>
        <w:ind w:left="720" w:hanging="360"/>
      </w:pPr>
      <w:rPr>
        <w:rFonts w:ascii="Symbol" w:eastAsiaTheme="minorHAnsi" w:hAnsi="Symbol"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93704BD"/>
    <w:multiLevelType w:val="hybridMultilevel"/>
    <w:tmpl w:val="CD1C3D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E3163A2"/>
    <w:multiLevelType w:val="hybridMultilevel"/>
    <w:tmpl w:val="886E4F4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849366811">
    <w:abstractNumId w:val="16"/>
  </w:num>
  <w:num w:numId="2" w16cid:durableId="1155416639">
    <w:abstractNumId w:val="0"/>
  </w:num>
  <w:num w:numId="3" w16cid:durableId="779377246">
    <w:abstractNumId w:val="4"/>
  </w:num>
  <w:num w:numId="4" w16cid:durableId="1418014743">
    <w:abstractNumId w:val="17"/>
  </w:num>
  <w:num w:numId="5" w16cid:durableId="36703172">
    <w:abstractNumId w:val="15"/>
  </w:num>
  <w:num w:numId="6" w16cid:durableId="1790272583">
    <w:abstractNumId w:val="3"/>
  </w:num>
  <w:num w:numId="7" w16cid:durableId="1368874392">
    <w:abstractNumId w:val="2"/>
  </w:num>
  <w:num w:numId="8" w16cid:durableId="1785341775">
    <w:abstractNumId w:val="8"/>
  </w:num>
  <w:num w:numId="9" w16cid:durableId="680274809">
    <w:abstractNumId w:val="14"/>
  </w:num>
  <w:num w:numId="10" w16cid:durableId="1893998418">
    <w:abstractNumId w:val="11"/>
  </w:num>
  <w:num w:numId="11" w16cid:durableId="2138598311">
    <w:abstractNumId w:val="22"/>
  </w:num>
  <w:num w:numId="12" w16cid:durableId="1383212046">
    <w:abstractNumId w:val="19"/>
  </w:num>
  <w:num w:numId="13" w16cid:durableId="5520652">
    <w:abstractNumId w:val="1"/>
  </w:num>
  <w:num w:numId="14" w16cid:durableId="641235109">
    <w:abstractNumId w:val="6"/>
  </w:num>
  <w:num w:numId="15" w16cid:durableId="51003353">
    <w:abstractNumId w:val="5"/>
  </w:num>
  <w:num w:numId="16" w16cid:durableId="729618782">
    <w:abstractNumId w:val="20"/>
  </w:num>
  <w:num w:numId="17" w16cid:durableId="186648711">
    <w:abstractNumId w:val="21"/>
  </w:num>
  <w:num w:numId="18" w16cid:durableId="1091317155">
    <w:abstractNumId w:val="12"/>
  </w:num>
  <w:num w:numId="19" w16cid:durableId="657271818">
    <w:abstractNumId w:val="13"/>
  </w:num>
  <w:num w:numId="20" w16cid:durableId="1778133628">
    <w:abstractNumId w:val="14"/>
    <w:lvlOverride w:ilvl="0">
      <w:startOverride w:val="1"/>
    </w:lvlOverride>
  </w:num>
  <w:num w:numId="21" w16cid:durableId="231694999">
    <w:abstractNumId w:val="14"/>
  </w:num>
  <w:num w:numId="22" w16cid:durableId="664554002">
    <w:abstractNumId w:val="10"/>
  </w:num>
  <w:num w:numId="23" w16cid:durableId="508566171">
    <w:abstractNumId w:val="9"/>
  </w:num>
  <w:num w:numId="24" w16cid:durableId="156461225">
    <w:abstractNumId w:val="18"/>
  </w:num>
  <w:num w:numId="25" w16cid:durableId="88837296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07B2"/>
    <w:rsid w:val="000041CF"/>
    <w:rsid w:val="000044B3"/>
    <w:rsid w:val="00010B06"/>
    <w:rsid w:val="00023E7D"/>
    <w:rsid w:val="00030877"/>
    <w:rsid w:val="00037D49"/>
    <w:rsid w:val="00041EF6"/>
    <w:rsid w:val="00072259"/>
    <w:rsid w:val="00084783"/>
    <w:rsid w:val="00090713"/>
    <w:rsid w:val="00094186"/>
    <w:rsid w:val="000C728C"/>
    <w:rsid w:val="000D3E6A"/>
    <w:rsid w:val="00104CD6"/>
    <w:rsid w:val="001356A0"/>
    <w:rsid w:val="00137479"/>
    <w:rsid w:val="00144B0D"/>
    <w:rsid w:val="00156A2C"/>
    <w:rsid w:val="001577C6"/>
    <w:rsid w:val="00160236"/>
    <w:rsid w:val="0017408C"/>
    <w:rsid w:val="001776C3"/>
    <w:rsid w:val="00186565"/>
    <w:rsid w:val="0019146C"/>
    <w:rsid w:val="001A41A4"/>
    <w:rsid w:val="001E1615"/>
    <w:rsid w:val="002026D9"/>
    <w:rsid w:val="002112F2"/>
    <w:rsid w:val="00256E95"/>
    <w:rsid w:val="0028354F"/>
    <w:rsid w:val="00295FB5"/>
    <w:rsid w:val="002A238B"/>
    <w:rsid w:val="002A3A87"/>
    <w:rsid w:val="002C7F54"/>
    <w:rsid w:val="002D41A4"/>
    <w:rsid w:val="002D5937"/>
    <w:rsid w:val="002E4A2C"/>
    <w:rsid w:val="002F2AB0"/>
    <w:rsid w:val="00311340"/>
    <w:rsid w:val="00314241"/>
    <w:rsid w:val="00320F1E"/>
    <w:rsid w:val="00336171"/>
    <w:rsid w:val="00337DA3"/>
    <w:rsid w:val="00356039"/>
    <w:rsid w:val="003618FB"/>
    <w:rsid w:val="00395865"/>
    <w:rsid w:val="003A1E4B"/>
    <w:rsid w:val="003A4EB0"/>
    <w:rsid w:val="003B07B2"/>
    <w:rsid w:val="003E1EA5"/>
    <w:rsid w:val="003E2241"/>
    <w:rsid w:val="00410624"/>
    <w:rsid w:val="0041102E"/>
    <w:rsid w:val="00415B01"/>
    <w:rsid w:val="004217D1"/>
    <w:rsid w:val="00421E1E"/>
    <w:rsid w:val="00432E37"/>
    <w:rsid w:val="00441075"/>
    <w:rsid w:val="00446C87"/>
    <w:rsid w:val="00446FB4"/>
    <w:rsid w:val="00474C12"/>
    <w:rsid w:val="00487F66"/>
    <w:rsid w:val="004C2438"/>
    <w:rsid w:val="004E2F2E"/>
    <w:rsid w:val="0050595C"/>
    <w:rsid w:val="00511EA1"/>
    <w:rsid w:val="00512A80"/>
    <w:rsid w:val="005176A8"/>
    <w:rsid w:val="00523411"/>
    <w:rsid w:val="00523B2A"/>
    <w:rsid w:val="00532EA5"/>
    <w:rsid w:val="0053411B"/>
    <w:rsid w:val="005B0FD7"/>
    <w:rsid w:val="005B1E8A"/>
    <w:rsid w:val="005B4343"/>
    <w:rsid w:val="005C26F4"/>
    <w:rsid w:val="005F18A3"/>
    <w:rsid w:val="005F2D3F"/>
    <w:rsid w:val="005F471C"/>
    <w:rsid w:val="005F4FD2"/>
    <w:rsid w:val="00615496"/>
    <w:rsid w:val="00616057"/>
    <w:rsid w:val="00646888"/>
    <w:rsid w:val="00650988"/>
    <w:rsid w:val="00654FE9"/>
    <w:rsid w:val="00657DE3"/>
    <w:rsid w:val="0066093E"/>
    <w:rsid w:val="0066253D"/>
    <w:rsid w:val="006714BB"/>
    <w:rsid w:val="00690E10"/>
    <w:rsid w:val="006B1DCB"/>
    <w:rsid w:val="006C3C6C"/>
    <w:rsid w:val="006F57EF"/>
    <w:rsid w:val="00703718"/>
    <w:rsid w:val="0070469E"/>
    <w:rsid w:val="00704D2C"/>
    <w:rsid w:val="007060F7"/>
    <w:rsid w:val="00721C7A"/>
    <w:rsid w:val="007464D7"/>
    <w:rsid w:val="00781537"/>
    <w:rsid w:val="00790B52"/>
    <w:rsid w:val="007B0AD7"/>
    <w:rsid w:val="007C5E25"/>
    <w:rsid w:val="007C6D01"/>
    <w:rsid w:val="007E20D0"/>
    <w:rsid w:val="007F13F0"/>
    <w:rsid w:val="007F5EDC"/>
    <w:rsid w:val="00805801"/>
    <w:rsid w:val="00807B27"/>
    <w:rsid w:val="00810F23"/>
    <w:rsid w:val="0084284B"/>
    <w:rsid w:val="0086485B"/>
    <w:rsid w:val="0087340D"/>
    <w:rsid w:val="00884BF2"/>
    <w:rsid w:val="00890235"/>
    <w:rsid w:val="00892673"/>
    <w:rsid w:val="00895116"/>
    <w:rsid w:val="008E2FA6"/>
    <w:rsid w:val="00902EFD"/>
    <w:rsid w:val="009141EF"/>
    <w:rsid w:val="00916B39"/>
    <w:rsid w:val="00962417"/>
    <w:rsid w:val="00975B84"/>
    <w:rsid w:val="009A4522"/>
    <w:rsid w:val="009B6FB6"/>
    <w:rsid w:val="009C230F"/>
    <w:rsid w:val="009F7E2F"/>
    <w:rsid w:val="00A0299B"/>
    <w:rsid w:val="00A174D4"/>
    <w:rsid w:val="00A604CE"/>
    <w:rsid w:val="00A62197"/>
    <w:rsid w:val="00A65F12"/>
    <w:rsid w:val="00AA18C3"/>
    <w:rsid w:val="00AB204F"/>
    <w:rsid w:val="00AD3F84"/>
    <w:rsid w:val="00AE46DB"/>
    <w:rsid w:val="00AE50F1"/>
    <w:rsid w:val="00AF00AF"/>
    <w:rsid w:val="00AF45F4"/>
    <w:rsid w:val="00B06B4F"/>
    <w:rsid w:val="00B13572"/>
    <w:rsid w:val="00B32610"/>
    <w:rsid w:val="00B548B1"/>
    <w:rsid w:val="00B614F0"/>
    <w:rsid w:val="00B63926"/>
    <w:rsid w:val="00B64762"/>
    <w:rsid w:val="00B6747F"/>
    <w:rsid w:val="00B80F2F"/>
    <w:rsid w:val="00BA52CC"/>
    <w:rsid w:val="00C51616"/>
    <w:rsid w:val="00C51646"/>
    <w:rsid w:val="00C53A39"/>
    <w:rsid w:val="00C71D33"/>
    <w:rsid w:val="00C73B08"/>
    <w:rsid w:val="00C91EE8"/>
    <w:rsid w:val="00CA12F3"/>
    <w:rsid w:val="00CA30B6"/>
    <w:rsid w:val="00CA5D9C"/>
    <w:rsid w:val="00CC1253"/>
    <w:rsid w:val="00D076AF"/>
    <w:rsid w:val="00D127D2"/>
    <w:rsid w:val="00D31FBE"/>
    <w:rsid w:val="00D466DB"/>
    <w:rsid w:val="00D52C99"/>
    <w:rsid w:val="00D747D8"/>
    <w:rsid w:val="00D818D4"/>
    <w:rsid w:val="00D95D4B"/>
    <w:rsid w:val="00DA6C58"/>
    <w:rsid w:val="00DA7159"/>
    <w:rsid w:val="00DE7C7B"/>
    <w:rsid w:val="00E01D93"/>
    <w:rsid w:val="00E2502E"/>
    <w:rsid w:val="00E25F96"/>
    <w:rsid w:val="00E60452"/>
    <w:rsid w:val="00E71670"/>
    <w:rsid w:val="00E7621B"/>
    <w:rsid w:val="00E91B0F"/>
    <w:rsid w:val="00E92BFC"/>
    <w:rsid w:val="00EA2A06"/>
    <w:rsid w:val="00EE6C32"/>
    <w:rsid w:val="00EF4A6A"/>
    <w:rsid w:val="00F0590E"/>
    <w:rsid w:val="00F146CE"/>
    <w:rsid w:val="00F25EF9"/>
    <w:rsid w:val="00F42C67"/>
    <w:rsid w:val="00F43374"/>
    <w:rsid w:val="00F550B9"/>
    <w:rsid w:val="00F574A4"/>
    <w:rsid w:val="00F60DAB"/>
    <w:rsid w:val="00FB4AE8"/>
    <w:rsid w:val="00FD18F8"/>
    <w:rsid w:val="00FE4451"/>
    <w:rsid w:val="00FF53A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CB5388"/>
  <w15:docId w15:val="{38402749-6EF7-4D41-B5CD-B1F26F739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0FD7"/>
  </w:style>
  <w:style w:type="paragraph" w:styleId="Titre1">
    <w:name w:val="heading 1"/>
    <w:basedOn w:val="Normal"/>
    <w:next w:val="Normal"/>
    <w:link w:val="Titre1Car"/>
    <w:autoRedefine/>
    <w:uiPriority w:val="9"/>
    <w:qFormat/>
    <w:rsid w:val="00D95D4B"/>
    <w:pPr>
      <w:keepNext/>
      <w:keepLines/>
      <w:spacing w:before="360" w:after="120"/>
      <w:outlineLvl w:val="0"/>
    </w:pPr>
    <w:rPr>
      <w:rFonts w:asciiTheme="majorHAnsi" w:eastAsiaTheme="majorEastAsia" w:hAnsiTheme="majorHAnsi" w:cstheme="majorBidi"/>
      <w:b/>
      <w:color w:val="3EA710" w:themeColor="accent1"/>
      <w:sz w:val="28"/>
      <w:szCs w:val="28"/>
      <w:u w:val="single"/>
    </w:rPr>
  </w:style>
  <w:style w:type="paragraph" w:styleId="Titre2">
    <w:name w:val="heading 2"/>
    <w:basedOn w:val="Normal"/>
    <w:next w:val="Normal"/>
    <w:link w:val="Titre2Car"/>
    <w:uiPriority w:val="9"/>
    <w:semiHidden/>
    <w:unhideWhenUsed/>
    <w:qFormat/>
    <w:rsid w:val="005B0FD7"/>
    <w:pPr>
      <w:keepNext/>
      <w:keepLines/>
      <w:spacing w:before="200" w:after="0"/>
      <w:outlineLvl w:val="1"/>
    </w:pPr>
    <w:rPr>
      <w:rFonts w:asciiTheme="majorHAnsi" w:eastAsiaTheme="majorEastAsia" w:hAnsiTheme="majorHAnsi" w:cstheme="majorBidi"/>
      <w:b/>
      <w:bCs/>
      <w:color w:val="FEEC01" w:themeColor="accent2"/>
      <w:sz w:val="26"/>
      <w:szCs w:val="26"/>
    </w:rPr>
  </w:style>
  <w:style w:type="paragraph" w:styleId="Titre3">
    <w:name w:val="heading 3"/>
    <w:basedOn w:val="Normal"/>
    <w:next w:val="Normal"/>
    <w:link w:val="Titre3Car"/>
    <w:uiPriority w:val="9"/>
    <w:semiHidden/>
    <w:unhideWhenUsed/>
    <w:qFormat/>
    <w:rsid w:val="005B0FD7"/>
    <w:pPr>
      <w:keepNext/>
      <w:keepLines/>
      <w:spacing w:before="200" w:after="0"/>
      <w:outlineLvl w:val="2"/>
    </w:pPr>
    <w:rPr>
      <w:rFonts w:asciiTheme="majorHAnsi" w:eastAsiaTheme="majorEastAsia" w:hAnsiTheme="majorHAnsi" w:cstheme="majorBidi"/>
      <w:b/>
      <w:bCs/>
      <w:color w:val="3EA710" w:themeColor="accent1"/>
    </w:rPr>
  </w:style>
  <w:style w:type="paragraph" w:styleId="Titre4">
    <w:name w:val="heading 4"/>
    <w:basedOn w:val="Normal"/>
    <w:next w:val="Normal"/>
    <w:link w:val="Titre4Car"/>
    <w:uiPriority w:val="9"/>
    <w:semiHidden/>
    <w:unhideWhenUsed/>
    <w:qFormat/>
    <w:rsid w:val="005B0FD7"/>
    <w:pPr>
      <w:keepNext/>
      <w:keepLines/>
      <w:spacing w:before="200" w:after="0"/>
      <w:outlineLvl w:val="3"/>
    </w:pPr>
    <w:rPr>
      <w:rFonts w:asciiTheme="majorHAnsi" w:eastAsiaTheme="majorEastAsia" w:hAnsiTheme="majorHAnsi" w:cstheme="majorBidi"/>
      <w:b/>
      <w:bCs/>
      <w:i/>
      <w:iCs/>
      <w:color w:val="3EA710" w:themeColor="accent1"/>
    </w:rPr>
  </w:style>
  <w:style w:type="paragraph" w:styleId="Titre5">
    <w:name w:val="heading 5"/>
    <w:basedOn w:val="Normal"/>
    <w:next w:val="Normal"/>
    <w:link w:val="Titre5Car"/>
    <w:uiPriority w:val="9"/>
    <w:semiHidden/>
    <w:unhideWhenUsed/>
    <w:qFormat/>
    <w:rsid w:val="005B0FD7"/>
    <w:pPr>
      <w:keepNext/>
      <w:keepLines/>
      <w:spacing w:before="200" w:after="0"/>
      <w:outlineLvl w:val="4"/>
    </w:pPr>
    <w:rPr>
      <w:rFonts w:asciiTheme="majorHAnsi" w:eastAsiaTheme="majorEastAsia" w:hAnsiTheme="majorHAnsi" w:cstheme="majorBidi"/>
      <w:color w:val="1E5308" w:themeColor="accent1" w:themeShade="7F"/>
    </w:rPr>
  </w:style>
  <w:style w:type="paragraph" w:styleId="Titre6">
    <w:name w:val="heading 6"/>
    <w:basedOn w:val="Normal"/>
    <w:next w:val="Normal"/>
    <w:link w:val="Titre6Car"/>
    <w:uiPriority w:val="9"/>
    <w:semiHidden/>
    <w:unhideWhenUsed/>
    <w:qFormat/>
    <w:rsid w:val="005B0FD7"/>
    <w:pPr>
      <w:keepNext/>
      <w:keepLines/>
      <w:spacing w:before="200" w:after="0"/>
      <w:outlineLvl w:val="5"/>
    </w:pPr>
    <w:rPr>
      <w:rFonts w:asciiTheme="majorHAnsi" w:eastAsiaTheme="majorEastAsia" w:hAnsiTheme="majorHAnsi" w:cstheme="majorBidi"/>
      <w:i/>
      <w:iCs/>
      <w:color w:val="1E5308" w:themeColor="accent1" w:themeShade="7F"/>
    </w:rPr>
  </w:style>
  <w:style w:type="paragraph" w:styleId="Titre7">
    <w:name w:val="heading 7"/>
    <w:basedOn w:val="Normal"/>
    <w:next w:val="Normal"/>
    <w:link w:val="Titre7Car"/>
    <w:uiPriority w:val="9"/>
    <w:semiHidden/>
    <w:unhideWhenUsed/>
    <w:qFormat/>
    <w:rsid w:val="005B0FD7"/>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5B0FD7"/>
    <w:pPr>
      <w:keepNext/>
      <w:keepLines/>
      <w:spacing w:before="200" w:after="0"/>
      <w:outlineLvl w:val="7"/>
    </w:pPr>
    <w:rPr>
      <w:rFonts w:asciiTheme="majorHAnsi" w:eastAsiaTheme="majorEastAsia" w:hAnsiTheme="majorHAnsi" w:cstheme="majorBidi"/>
      <w:color w:val="3EA710" w:themeColor="accent1"/>
      <w:sz w:val="20"/>
      <w:szCs w:val="20"/>
    </w:rPr>
  </w:style>
  <w:style w:type="paragraph" w:styleId="Titre9">
    <w:name w:val="heading 9"/>
    <w:basedOn w:val="Normal"/>
    <w:next w:val="Normal"/>
    <w:link w:val="Titre9Car"/>
    <w:uiPriority w:val="9"/>
    <w:semiHidden/>
    <w:unhideWhenUsed/>
    <w:qFormat/>
    <w:rsid w:val="005B0FD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3B07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E2502E"/>
    <w:pPr>
      <w:ind w:left="720"/>
      <w:contextualSpacing/>
    </w:pPr>
  </w:style>
  <w:style w:type="table" w:customStyle="1" w:styleId="TableauGrille5Fonc1">
    <w:name w:val="Tableau Grille 5 Foncé1"/>
    <w:basedOn w:val="TableauNormal"/>
    <w:uiPriority w:val="50"/>
    <w:rsid w:val="00337DA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styleId="Textedebulles">
    <w:name w:val="Balloon Text"/>
    <w:basedOn w:val="Normal"/>
    <w:link w:val="TextedebullesCar"/>
    <w:uiPriority w:val="99"/>
    <w:semiHidden/>
    <w:unhideWhenUsed/>
    <w:rsid w:val="00AB204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AB204F"/>
    <w:rPr>
      <w:rFonts w:ascii="Segoe UI" w:hAnsi="Segoe UI" w:cs="Segoe UI"/>
      <w:sz w:val="18"/>
      <w:szCs w:val="18"/>
    </w:rPr>
  </w:style>
  <w:style w:type="character" w:customStyle="1" w:styleId="Titre1Car">
    <w:name w:val="Titre 1 Car"/>
    <w:basedOn w:val="Policepardfaut"/>
    <w:link w:val="Titre1"/>
    <w:uiPriority w:val="9"/>
    <w:rsid w:val="00D95D4B"/>
    <w:rPr>
      <w:rFonts w:asciiTheme="majorHAnsi" w:eastAsiaTheme="majorEastAsia" w:hAnsiTheme="majorHAnsi" w:cstheme="majorBidi"/>
      <w:b/>
      <w:color w:val="3EA710" w:themeColor="accent1"/>
      <w:sz w:val="28"/>
      <w:szCs w:val="28"/>
      <w:u w:val="single"/>
    </w:rPr>
  </w:style>
  <w:style w:type="paragraph" w:styleId="En-tte">
    <w:name w:val="header"/>
    <w:basedOn w:val="Normal"/>
    <w:link w:val="En-tteCar"/>
    <w:uiPriority w:val="99"/>
    <w:unhideWhenUsed/>
    <w:rsid w:val="00DA7159"/>
    <w:pPr>
      <w:tabs>
        <w:tab w:val="center" w:pos="4536"/>
        <w:tab w:val="right" w:pos="9072"/>
      </w:tabs>
      <w:spacing w:after="0" w:line="240" w:lineRule="auto"/>
    </w:pPr>
  </w:style>
  <w:style w:type="character" w:customStyle="1" w:styleId="En-tteCar">
    <w:name w:val="En-tête Car"/>
    <w:basedOn w:val="Policepardfaut"/>
    <w:link w:val="En-tte"/>
    <w:uiPriority w:val="99"/>
    <w:rsid w:val="00DA7159"/>
  </w:style>
  <w:style w:type="paragraph" w:styleId="Pieddepage">
    <w:name w:val="footer"/>
    <w:basedOn w:val="Normal"/>
    <w:link w:val="PieddepageCar"/>
    <w:uiPriority w:val="99"/>
    <w:unhideWhenUsed/>
    <w:rsid w:val="00DA715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A7159"/>
  </w:style>
  <w:style w:type="paragraph" w:styleId="NormalWeb">
    <w:name w:val="Normal (Web)"/>
    <w:basedOn w:val="Normal"/>
    <w:uiPriority w:val="99"/>
    <w:unhideWhenUsed/>
    <w:rsid w:val="00415B01"/>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itre">
    <w:name w:val="Title"/>
    <w:basedOn w:val="Normal"/>
    <w:next w:val="Normal"/>
    <w:link w:val="TitreCar"/>
    <w:uiPriority w:val="10"/>
    <w:qFormat/>
    <w:rsid w:val="005B0FD7"/>
    <w:pPr>
      <w:pBdr>
        <w:bottom w:val="single" w:sz="8" w:space="4" w:color="3EA710" w:themeColor="accent1"/>
      </w:pBdr>
      <w:spacing w:after="300" w:line="240" w:lineRule="auto"/>
      <w:contextualSpacing/>
    </w:pPr>
    <w:rPr>
      <w:rFonts w:asciiTheme="majorHAnsi" w:eastAsiaTheme="majorEastAsia" w:hAnsiTheme="majorHAnsi" w:cstheme="majorBidi"/>
      <w:color w:val="403E36" w:themeColor="text2" w:themeShade="BF"/>
      <w:spacing w:val="5"/>
      <w:sz w:val="52"/>
      <w:szCs w:val="52"/>
    </w:rPr>
  </w:style>
  <w:style w:type="character" w:customStyle="1" w:styleId="TitreCar">
    <w:name w:val="Titre Car"/>
    <w:basedOn w:val="Policepardfaut"/>
    <w:link w:val="Titre"/>
    <w:uiPriority w:val="10"/>
    <w:rsid w:val="005B0FD7"/>
    <w:rPr>
      <w:rFonts w:asciiTheme="majorHAnsi" w:eastAsiaTheme="majorEastAsia" w:hAnsiTheme="majorHAnsi" w:cstheme="majorBidi"/>
      <w:color w:val="403E36" w:themeColor="text2" w:themeShade="BF"/>
      <w:spacing w:val="5"/>
      <w:sz w:val="52"/>
      <w:szCs w:val="52"/>
    </w:rPr>
  </w:style>
  <w:style w:type="character" w:customStyle="1" w:styleId="Titre2Car">
    <w:name w:val="Titre 2 Car"/>
    <w:basedOn w:val="Policepardfaut"/>
    <w:link w:val="Titre2"/>
    <w:uiPriority w:val="9"/>
    <w:semiHidden/>
    <w:rsid w:val="005B0FD7"/>
    <w:rPr>
      <w:rFonts w:asciiTheme="majorHAnsi" w:eastAsiaTheme="majorEastAsia" w:hAnsiTheme="majorHAnsi" w:cstheme="majorBidi"/>
      <w:b/>
      <w:bCs/>
      <w:color w:val="FEEC01" w:themeColor="accent2"/>
      <w:sz w:val="26"/>
      <w:szCs w:val="26"/>
    </w:rPr>
  </w:style>
  <w:style w:type="character" w:customStyle="1" w:styleId="Titre3Car">
    <w:name w:val="Titre 3 Car"/>
    <w:basedOn w:val="Policepardfaut"/>
    <w:link w:val="Titre3"/>
    <w:uiPriority w:val="9"/>
    <w:semiHidden/>
    <w:rsid w:val="005B0FD7"/>
    <w:rPr>
      <w:rFonts w:asciiTheme="majorHAnsi" w:eastAsiaTheme="majorEastAsia" w:hAnsiTheme="majorHAnsi" w:cstheme="majorBidi"/>
      <w:b/>
      <w:bCs/>
      <w:color w:val="3EA710" w:themeColor="accent1"/>
    </w:rPr>
  </w:style>
  <w:style w:type="character" w:customStyle="1" w:styleId="Titre4Car">
    <w:name w:val="Titre 4 Car"/>
    <w:basedOn w:val="Policepardfaut"/>
    <w:link w:val="Titre4"/>
    <w:uiPriority w:val="9"/>
    <w:semiHidden/>
    <w:rsid w:val="005B0FD7"/>
    <w:rPr>
      <w:rFonts w:asciiTheme="majorHAnsi" w:eastAsiaTheme="majorEastAsia" w:hAnsiTheme="majorHAnsi" w:cstheme="majorBidi"/>
      <w:b/>
      <w:bCs/>
      <w:i/>
      <w:iCs/>
      <w:color w:val="3EA710" w:themeColor="accent1"/>
    </w:rPr>
  </w:style>
  <w:style w:type="character" w:customStyle="1" w:styleId="Titre5Car">
    <w:name w:val="Titre 5 Car"/>
    <w:basedOn w:val="Policepardfaut"/>
    <w:link w:val="Titre5"/>
    <w:uiPriority w:val="9"/>
    <w:semiHidden/>
    <w:rsid w:val="005B0FD7"/>
    <w:rPr>
      <w:rFonts w:asciiTheme="majorHAnsi" w:eastAsiaTheme="majorEastAsia" w:hAnsiTheme="majorHAnsi" w:cstheme="majorBidi"/>
      <w:color w:val="1E5308" w:themeColor="accent1" w:themeShade="7F"/>
    </w:rPr>
  </w:style>
  <w:style w:type="character" w:customStyle="1" w:styleId="Titre6Car">
    <w:name w:val="Titre 6 Car"/>
    <w:basedOn w:val="Policepardfaut"/>
    <w:link w:val="Titre6"/>
    <w:uiPriority w:val="9"/>
    <w:semiHidden/>
    <w:rsid w:val="005B0FD7"/>
    <w:rPr>
      <w:rFonts w:asciiTheme="majorHAnsi" w:eastAsiaTheme="majorEastAsia" w:hAnsiTheme="majorHAnsi" w:cstheme="majorBidi"/>
      <w:i/>
      <w:iCs/>
      <w:color w:val="1E5308" w:themeColor="accent1" w:themeShade="7F"/>
    </w:rPr>
  </w:style>
  <w:style w:type="character" w:customStyle="1" w:styleId="Titre7Car">
    <w:name w:val="Titre 7 Car"/>
    <w:basedOn w:val="Policepardfaut"/>
    <w:link w:val="Titre7"/>
    <w:uiPriority w:val="9"/>
    <w:semiHidden/>
    <w:rsid w:val="005B0FD7"/>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5B0FD7"/>
    <w:rPr>
      <w:rFonts w:asciiTheme="majorHAnsi" w:eastAsiaTheme="majorEastAsia" w:hAnsiTheme="majorHAnsi" w:cstheme="majorBidi"/>
      <w:color w:val="3EA710" w:themeColor="accent1"/>
      <w:sz w:val="20"/>
      <w:szCs w:val="20"/>
    </w:rPr>
  </w:style>
  <w:style w:type="character" w:customStyle="1" w:styleId="Titre9Car">
    <w:name w:val="Titre 9 Car"/>
    <w:basedOn w:val="Policepardfaut"/>
    <w:link w:val="Titre9"/>
    <w:uiPriority w:val="9"/>
    <w:semiHidden/>
    <w:rsid w:val="005B0FD7"/>
    <w:rPr>
      <w:rFonts w:asciiTheme="majorHAnsi" w:eastAsiaTheme="majorEastAsia" w:hAnsiTheme="majorHAnsi" w:cstheme="majorBidi"/>
      <w:i/>
      <w:iCs/>
      <w:color w:val="404040" w:themeColor="text1" w:themeTint="BF"/>
      <w:sz w:val="20"/>
      <w:szCs w:val="20"/>
    </w:rPr>
  </w:style>
  <w:style w:type="paragraph" w:styleId="Lgende">
    <w:name w:val="caption"/>
    <w:basedOn w:val="Normal"/>
    <w:next w:val="Normal"/>
    <w:uiPriority w:val="35"/>
    <w:semiHidden/>
    <w:unhideWhenUsed/>
    <w:qFormat/>
    <w:rsid w:val="005B0FD7"/>
    <w:pPr>
      <w:spacing w:line="240" w:lineRule="auto"/>
    </w:pPr>
    <w:rPr>
      <w:b/>
      <w:bCs/>
      <w:color w:val="3EA710" w:themeColor="accent1"/>
      <w:sz w:val="18"/>
      <w:szCs w:val="18"/>
    </w:rPr>
  </w:style>
  <w:style w:type="paragraph" w:styleId="Sous-titre">
    <w:name w:val="Subtitle"/>
    <w:basedOn w:val="Normal"/>
    <w:next w:val="Normal"/>
    <w:link w:val="Sous-titreCar"/>
    <w:uiPriority w:val="11"/>
    <w:qFormat/>
    <w:rsid w:val="005B0FD7"/>
    <w:pPr>
      <w:numPr>
        <w:ilvl w:val="1"/>
      </w:numPr>
    </w:pPr>
    <w:rPr>
      <w:rFonts w:asciiTheme="majorHAnsi" w:eastAsiaTheme="majorEastAsia" w:hAnsiTheme="majorHAnsi" w:cstheme="majorBidi"/>
      <w:i/>
      <w:iCs/>
      <w:color w:val="3EA710" w:themeColor="accent1"/>
      <w:spacing w:val="15"/>
      <w:sz w:val="24"/>
      <w:szCs w:val="24"/>
    </w:rPr>
  </w:style>
  <w:style w:type="character" w:customStyle="1" w:styleId="Sous-titreCar">
    <w:name w:val="Sous-titre Car"/>
    <w:basedOn w:val="Policepardfaut"/>
    <w:link w:val="Sous-titre"/>
    <w:uiPriority w:val="11"/>
    <w:rsid w:val="005B0FD7"/>
    <w:rPr>
      <w:rFonts w:asciiTheme="majorHAnsi" w:eastAsiaTheme="majorEastAsia" w:hAnsiTheme="majorHAnsi" w:cstheme="majorBidi"/>
      <w:i/>
      <w:iCs/>
      <w:color w:val="3EA710" w:themeColor="accent1"/>
      <w:spacing w:val="15"/>
      <w:sz w:val="24"/>
      <w:szCs w:val="24"/>
    </w:rPr>
  </w:style>
  <w:style w:type="character" w:styleId="lev">
    <w:name w:val="Strong"/>
    <w:basedOn w:val="Policepardfaut"/>
    <w:uiPriority w:val="22"/>
    <w:qFormat/>
    <w:rsid w:val="005B0FD7"/>
    <w:rPr>
      <w:b/>
      <w:bCs/>
    </w:rPr>
  </w:style>
  <w:style w:type="character" w:styleId="Accentuation">
    <w:name w:val="Emphasis"/>
    <w:basedOn w:val="Policepardfaut"/>
    <w:uiPriority w:val="20"/>
    <w:qFormat/>
    <w:rsid w:val="005B0FD7"/>
    <w:rPr>
      <w:i/>
      <w:iCs/>
    </w:rPr>
  </w:style>
  <w:style w:type="paragraph" w:styleId="Sansinterligne">
    <w:name w:val="No Spacing"/>
    <w:uiPriority w:val="1"/>
    <w:qFormat/>
    <w:rsid w:val="005B0FD7"/>
    <w:pPr>
      <w:spacing w:after="0" w:line="240" w:lineRule="auto"/>
    </w:pPr>
  </w:style>
  <w:style w:type="paragraph" w:styleId="Citation">
    <w:name w:val="Quote"/>
    <w:basedOn w:val="Normal"/>
    <w:next w:val="Normal"/>
    <w:link w:val="CitationCar"/>
    <w:uiPriority w:val="29"/>
    <w:qFormat/>
    <w:rsid w:val="005B0FD7"/>
    <w:rPr>
      <w:i/>
      <w:iCs/>
      <w:color w:val="000000" w:themeColor="text1"/>
    </w:rPr>
  </w:style>
  <w:style w:type="character" w:customStyle="1" w:styleId="CitationCar">
    <w:name w:val="Citation Car"/>
    <w:basedOn w:val="Policepardfaut"/>
    <w:link w:val="Citation"/>
    <w:uiPriority w:val="29"/>
    <w:rsid w:val="005B0FD7"/>
    <w:rPr>
      <w:i/>
      <w:iCs/>
      <w:color w:val="000000" w:themeColor="text1"/>
    </w:rPr>
  </w:style>
  <w:style w:type="paragraph" w:styleId="Citationintense">
    <w:name w:val="Intense Quote"/>
    <w:basedOn w:val="Normal"/>
    <w:next w:val="Normal"/>
    <w:link w:val="CitationintenseCar"/>
    <w:uiPriority w:val="30"/>
    <w:qFormat/>
    <w:rsid w:val="005B0FD7"/>
    <w:pPr>
      <w:pBdr>
        <w:bottom w:val="single" w:sz="4" w:space="4" w:color="3EA710" w:themeColor="accent1"/>
      </w:pBdr>
      <w:spacing w:before="200" w:after="280"/>
      <w:ind w:left="936" w:right="936"/>
    </w:pPr>
    <w:rPr>
      <w:b/>
      <w:bCs/>
      <w:i/>
      <w:iCs/>
      <w:color w:val="3EA710" w:themeColor="accent1"/>
    </w:rPr>
  </w:style>
  <w:style w:type="character" w:customStyle="1" w:styleId="CitationintenseCar">
    <w:name w:val="Citation intense Car"/>
    <w:basedOn w:val="Policepardfaut"/>
    <w:link w:val="Citationintense"/>
    <w:uiPriority w:val="30"/>
    <w:rsid w:val="005B0FD7"/>
    <w:rPr>
      <w:b/>
      <w:bCs/>
      <w:i/>
      <w:iCs/>
      <w:color w:val="3EA710" w:themeColor="accent1"/>
    </w:rPr>
  </w:style>
  <w:style w:type="character" w:styleId="Accentuationlgre">
    <w:name w:val="Subtle Emphasis"/>
    <w:basedOn w:val="Policepardfaut"/>
    <w:uiPriority w:val="19"/>
    <w:qFormat/>
    <w:rsid w:val="005B0FD7"/>
    <w:rPr>
      <w:i/>
      <w:iCs/>
      <w:color w:val="808080" w:themeColor="text1" w:themeTint="7F"/>
    </w:rPr>
  </w:style>
  <w:style w:type="character" w:styleId="Accentuationintense">
    <w:name w:val="Intense Emphasis"/>
    <w:basedOn w:val="Policepardfaut"/>
    <w:uiPriority w:val="21"/>
    <w:qFormat/>
    <w:rsid w:val="005B0FD7"/>
    <w:rPr>
      <w:b/>
      <w:bCs/>
      <w:i/>
      <w:iCs/>
      <w:color w:val="3EA710" w:themeColor="accent1"/>
    </w:rPr>
  </w:style>
  <w:style w:type="character" w:styleId="Rfrencelgre">
    <w:name w:val="Subtle Reference"/>
    <w:basedOn w:val="Policepardfaut"/>
    <w:uiPriority w:val="31"/>
    <w:qFormat/>
    <w:rsid w:val="005B0FD7"/>
    <w:rPr>
      <w:smallCaps/>
      <w:color w:val="FEEC01" w:themeColor="accent2"/>
      <w:u w:val="single"/>
    </w:rPr>
  </w:style>
  <w:style w:type="character" w:styleId="Rfrenceintense">
    <w:name w:val="Intense Reference"/>
    <w:basedOn w:val="Policepardfaut"/>
    <w:uiPriority w:val="32"/>
    <w:qFormat/>
    <w:rsid w:val="005B0FD7"/>
    <w:rPr>
      <w:b/>
      <w:bCs/>
      <w:smallCaps/>
      <w:color w:val="FEEC01" w:themeColor="accent2"/>
      <w:spacing w:val="5"/>
      <w:u w:val="single"/>
    </w:rPr>
  </w:style>
  <w:style w:type="character" w:styleId="Titredulivre">
    <w:name w:val="Book Title"/>
    <w:basedOn w:val="Policepardfaut"/>
    <w:uiPriority w:val="33"/>
    <w:qFormat/>
    <w:rsid w:val="005B0FD7"/>
    <w:rPr>
      <w:b/>
      <w:bCs/>
      <w:smallCaps/>
      <w:spacing w:val="5"/>
    </w:rPr>
  </w:style>
  <w:style w:type="paragraph" w:styleId="En-ttedetabledesmatires">
    <w:name w:val="TOC Heading"/>
    <w:basedOn w:val="Titre1"/>
    <w:next w:val="Normal"/>
    <w:uiPriority w:val="39"/>
    <w:unhideWhenUsed/>
    <w:qFormat/>
    <w:rsid w:val="005B0FD7"/>
    <w:pPr>
      <w:outlineLvl w:val="9"/>
    </w:pPr>
  </w:style>
  <w:style w:type="character" w:styleId="Lienhypertexte">
    <w:name w:val="Hyperlink"/>
    <w:uiPriority w:val="99"/>
    <w:unhideWhenUsed/>
    <w:rsid w:val="002112F2"/>
    <w:rPr>
      <w:color w:val="0000FF"/>
      <w:u w:val="single"/>
    </w:rPr>
  </w:style>
  <w:style w:type="paragraph" w:styleId="TM1">
    <w:name w:val="toc 1"/>
    <w:basedOn w:val="Normal"/>
    <w:next w:val="Normal"/>
    <w:autoRedefine/>
    <w:uiPriority w:val="39"/>
    <w:unhideWhenUsed/>
    <w:rsid w:val="00A604CE"/>
    <w:pPr>
      <w:spacing w:after="100"/>
      <w:jc w:val="both"/>
    </w:pPr>
  </w:style>
  <w:style w:type="paragraph" w:styleId="TM2">
    <w:name w:val="toc 2"/>
    <w:basedOn w:val="Normal"/>
    <w:next w:val="Normal"/>
    <w:autoRedefine/>
    <w:uiPriority w:val="39"/>
    <w:unhideWhenUsed/>
    <w:rsid w:val="00A604CE"/>
    <w:pPr>
      <w:spacing w:after="100"/>
      <w:ind w:left="220"/>
      <w:jc w:val="both"/>
    </w:pPr>
  </w:style>
  <w:style w:type="paragraph" w:customStyle="1" w:styleId="tpart">
    <w:name w:val="tpart"/>
    <w:basedOn w:val="Normal"/>
    <w:rsid w:val="00A604CE"/>
    <w:pPr>
      <w:spacing w:after="119" w:line="240" w:lineRule="auto"/>
      <w:jc w:val="both"/>
    </w:pPr>
    <w:rPr>
      <w:rFonts w:ascii="Times New Roman" w:hAnsi="Times New Roman" w:cs="Times New Roman"/>
      <w:sz w:val="24"/>
      <w:szCs w:val="24"/>
      <w:lang w:eastAsia="fr-FR"/>
    </w:rPr>
  </w:style>
  <w:style w:type="paragraph" w:customStyle="1" w:styleId="ppart">
    <w:name w:val="ppart"/>
    <w:basedOn w:val="Normal"/>
    <w:rsid w:val="00A604CE"/>
    <w:pPr>
      <w:spacing w:after="119" w:line="240" w:lineRule="auto"/>
      <w:jc w:val="both"/>
    </w:pPr>
    <w:rPr>
      <w:rFonts w:ascii="Times New Roman" w:hAnsi="Times New Roman" w:cs="Times New Roman"/>
      <w:sz w:val="24"/>
      <w:szCs w:val="24"/>
      <w:lang w:eastAsia="fr-FR"/>
    </w:rPr>
  </w:style>
  <w:style w:type="paragraph" w:customStyle="1" w:styleId="epart">
    <w:name w:val="epart"/>
    <w:basedOn w:val="Normal"/>
    <w:rsid w:val="00A604CE"/>
    <w:pPr>
      <w:spacing w:after="119" w:line="240" w:lineRule="auto"/>
      <w:jc w:val="both"/>
    </w:pPr>
    <w:rPr>
      <w:rFonts w:ascii="Times New Roman" w:hAnsi="Times New Roman" w:cs="Times New Roman"/>
      <w:sz w:val="24"/>
      <w:szCs w:val="24"/>
      <w:lang w:eastAsia="fr-FR"/>
    </w:rPr>
  </w:style>
  <w:style w:type="paragraph" w:customStyle="1" w:styleId="d1">
    <w:name w:val="d1"/>
    <w:basedOn w:val="Normal"/>
    <w:rsid w:val="00A604CE"/>
    <w:pPr>
      <w:spacing w:after="119" w:line="240" w:lineRule="auto"/>
      <w:jc w:val="both"/>
    </w:pPr>
    <w:rPr>
      <w:rFonts w:ascii="Times New Roman" w:hAnsi="Times New Roman" w:cs="Times New Roman"/>
      <w:sz w:val="24"/>
      <w:szCs w:val="24"/>
      <w:lang w:eastAsia="fr-FR"/>
    </w:rPr>
  </w:style>
  <w:style w:type="character" w:customStyle="1" w:styleId="apreciser">
    <w:name w:val="apreciser"/>
    <w:basedOn w:val="Policepardfaut"/>
    <w:rsid w:val="00A604CE"/>
  </w:style>
  <w:style w:type="paragraph" w:styleId="Corpsdetexte">
    <w:name w:val="Body Text"/>
    <w:basedOn w:val="Normal"/>
    <w:link w:val="CorpsdetexteCar"/>
    <w:uiPriority w:val="99"/>
    <w:rsid w:val="00A604CE"/>
    <w:pPr>
      <w:spacing w:after="0" w:line="240" w:lineRule="auto"/>
      <w:jc w:val="both"/>
    </w:pPr>
    <w:rPr>
      <w:rFonts w:ascii="Book Antiqua" w:eastAsia="Times New Roman" w:hAnsi="Book Antiqua" w:cs="Book Antiqua"/>
      <w:sz w:val="20"/>
      <w:szCs w:val="20"/>
      <w:lang w:eastAsia="fr-FR"/>
    </w:rPr>
  </w:style>
  <w:style w:type="character" w:customStyle="1" w:styleId="CorpsdetexteCar">
    <w:name w:val="Corps de texte Car"/>
    <w:basedOn w:val="Policepardfaut"/>
    <w:link w:val="Corpsdetexte"/>
    <w:uiPriority w:val="99"/>
    <w:rsid w:val="00A604CE"/>
    <w:rPr>
      <w:rFonts w:ascii="Book Antiqua" w:eastAsia="Times New Roman" w:hAnsi="Book Antiqua" w:cs="Book Antiqua"/>
      <w:sz w:val="20"/>
      <w:szCs w:val="20"/>
      <w:lang w:eastAsia="fr-FR"/>
    </w:rPr>
  </w:style>
  <w:style w:type="paragraph" w:styleId="TM3">
    <w:name w:val="toc 3"/>
    <w:basedOn w:val="Normal"/>
    <w:next w:val="Normal"/>
    <w:autoRedefine/>
    <w:uiPriority w:val="39"/>
    <w:unhideWhenUsed/>
    <w:rsid w:val="00A604CE"/>
    <w:pPr>
      <w:spacing w:after="100"/>
      <w:ind w:left="440"/>
      <w:jc w:val="both"/>
    </w:pPr>
  </w:style>
  <w:style w:type="character" w:styleId="Marquedecommentaire">
    <w:name w:val="annotation reference"/>
    <w:basedOn w:val="Policepardfaut"/>
    <w:uiPriority w:val="99"/>
    <w:semiHidden/>
    <w:unhideWhenUsed/>
    <w:rsid w:val="00A604CE"/>
    <w:rPr>
      <w:sz w:val="16"/>
      <w:szCs w:val="16"/>
    </w:rPr>
  </w:style>
  <w:style w:type="paragraph" w:styleId="Commentaire">
    <w:name w:val="annotation text"/>
    <w:basedOn w:val="Normal"/>
    <w:link w:val="CommentaireCar"/>
    <w:uiPriority w:val="99"/>
    <w:unhideWhenUsed/>
    <w:rsid w:val="00A604CE"/>
    <w:pPr>
      <w:spacing w:line="240" w:lineRule="auto"/>
      <w:jc w:val="both"/>
    </w:pPr>
    <w:rPr>
      <w:sz w:val="20"/>
      <w:szCs w:val="20"/>
    </w:rPr>
  </w:style>
  <w:style w:type="character" w:customStyle="1" w:styleId="CommentaireCar">
    <w:name w:val="Commentaire Car"/>
    <w:basedOn w:val="Policepardfaut"/>
    <w:link w:val="Commentaire"/>
    <w:uiPriority w:val="99"/>
    <w:rsid w:val="00A604CE"/>
    <w:rPr>
      <w:sz w:val="20"/>
      <w:szCs w:val="20"/>
    </w:rPr>
  </w:style>
  <w:style w:type="paragraph" w:styleId="Objetducommentaire">
    <w:name w:val="annotation subject"/>
    <w:basedOn w:val="Commentaire"/>
    <w:next w:val="Commentaire"/>
    <w:link w:val="ObjetducommentaireCar"/>
    <w:uiPriority w:val="99"/>
    <w:semiHidden/>
    <w:unhideWhenUsed/>
    <w:rsid w:val="00AE46DB"/>
    <w:pPr>
      <w:jc w:val="left"/>
    </w:pPr>
    <w:rPr>
      <w:b/>
      <w:bCs/>
    </w:rPr>
  </w:style>
  <w:style w:type="character" w:customStyle="1" w:styleId="ObjetducommentaireCar">
    <w:name w:val="Objet du commentaire Car"/>
    <w:basedOn w:val="CommentaireCar"/>
    <w:link w:val="Objetducommentaire"/>
    <w:uiPriority w:val="99"/>
    <w:semiHidden/>
    <w:rsid w:val="00AE46DB"/>
    <w:rPr>
      <w:b/>
      <w:bCs/>
      <w:sz w:val="20"/>
      <w:szCs w:val="20"/>
    </w:rPr>
  </w:style>
  <w:style w:type="paragraph" w:customStyle="1" w:styleId="Retrait1">
    <w:name w:val="Retrait1"/>
    <w:basedOn w:val="Normal"/>
    <w:rsid w:val="00E71670"/>
    <w:pPr>
      <w:spacing w:before="120" w:after="0" w:line="240" w:lineRule="auto"/>
      <w:ind w:left="425"/>
      <w:jc w:val="both"/>
    </w:pPr>
    <w:rPr>
      <w:rFonts w:ascii="Arial" w:eastAsia="Times New Roman" w:hAnsi="Arial" w:cs="Times New Roman"/>
      <w:sz w:val="20"/>
      <w:szCs w:val="20"/>
      <w:lang w:eastAsia="fr-FR"/>
    </w:rPr>
  </w:style>
  <w:style w:type="paragraph" w:customStyle="1" w:styleId="Normal1">
    <w:name w:val="Normal1"/>
    <w:basedOn w:val="Normal"/>
    <w:rsid w:val="00030877"/>
    <w:pPr>
      <w:spacing w:after="0" w:line="240" w:lineRule="auto"/>
      <w:jc w:val="both"/>
    </w:pPr>
    <w:rPr>
      <w:rFonts w:ascii="Arial" w:eastAsia="Times New Roman" w:hAnsi="Arial" w:cs="Times New Roman"/>
      <w:sz w:val="20"/>
      <w:szCs w:val="20"/>
      <w:lang w:eastAsia="fr-FR"/>
    </w:rPr>
  </w:style>
  <w:style w:type="paragraph" w:styleId="Notedebasdepage">
    <w:name w:val="footnote text"/>
    <w:basedOn w:val="Normal"/>
    <w:link w:val="NotedebasdepageCar"/>
    <w:semiHidden/>
    <w:rsid w:val="00030877"/>
    <w:pPr>
      <w:spacing w:before="120" w:after="0" w:line="240" w:lineRule="auto"/>
      <w:jc w:val="both"/>
    </w:pPr>
    <w:rPr>
      <w:rFonts w:ascii="Arial" w:eastAsia="Times New Roman" w:hAnsi="Arial" w:cs="Times New Roman"/>
      <w:sz w:val="20"/>
      <w:szCs w:val="20"/>
      <w:lang w:eastAsia="fr-FR"/>
    </w:rPr>
  </w:style>
  <w:style w:type="character" w:customStyle="1" w:styleId="NotedebasdepageCar">
    <w:name w:val="Note de bas de page Car"/>
    <w:basedOn w:val="Policepardfaut"/>
    <w:link w:val="Notedebasdepage"/>
    <w:semiHidden/>
    <w:rsid w:val="00030877"/>
    <w:rPr>
      <w:rFonts w:ascii="Arial" w:eastAsia="Times New Roman" w:hAnsi="Arial" w:cs="Times New Roman"/>
      <w:sz w:val="20"/>
      <w:szCs w:val="20"/>
      <w:lang w:eastAsia="fr-FR"/>
    </w:rPr>
  </w:style>
  <w:style w:type="character" w:styleId="Appelnotedebasdep">
    <w:name w:val="footnote reference"/>
    <w:semiHidden/>
    <w:rsid w:val="00030877"/>
    <w:rPr>
      <w:vertAlign w:val="superscript"/>
    </w:rPr>
  </w:style>
  <w:style w:type="paragraph" w:styleId="Rvision">
    <w:name w:val="Revision"/>
    <w:hidden/>
    <w:uiPriority w:val="99"/>
    <w:semiHidden/>
    <w:rsid w:val="0053411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6688">
      <w:bodyDiv w:val="1"/>
      <w:marLeft w:val="0"/>
      <w:marRight w:val="0"/>
      <w:marTop w:val="0"/>
      <w:marBottom w:val="0"/>
      <w:divBdr>
        <w:top w:val="none" w:sz="0" w:space="0" w:color="auto"/>
        <w:left w:val="none" w:sz="0" w:space="0" w:color="auto"/>
        <w:bottom w:val="none" w:sz="0" w:space="0" w:color="auto"/>
        <w:right w:val="none" w:sz="0" w:space="0" w:color="auto"/>
      </w:divBdr>
      <w:divsChild>
        <w:div w:id="419061269">
          <w:marLeft w:val="0"/>
          <w:marRight w:val="0"/>
          <w:marTop w:val="0"/>
          <w:marBottom w:val="0"/>
          <w:divBdr>
            <w:top w:val="none" w:sz="0" w:space="0" w:color="auto"/>
            <w:left w:val="none" w:sz="0" w:space="0" w:color="auto"/>
            <w:bottom w:val="none" w:sz="0" w:space="0" w:color="auto"/>
            <w:right w:val="none" w:sz="0" w:space="0" w:color="auto"/>
          </w:divBdr>
          <w:divsChild>
            <w:div w:id="1005740106">
              <w:marLeft w:val="0"/>
              <w:marRight w:val="0"/>
              <w:marTop w:val="675"/>
              <w:marBottom w:val="300"/>
              <w:divBdr>
                <w:top w:val="none" w:sz="0" w:space="0" w:color="auto"/>
                <w:left w:val="none" w:sz="0" w:space="0" w:color="auto"/>
                <w:bottom w:val="none" w:sz="0" w:space="0" w:color="auto"/>
                <w:right w:val="none" w:sz="0" w:space="0" w:color="auto"/>
              </w:divBdr>
              <w:divsChild>
                <w:div w:id="1889295902">
                  <w:marLeft w:val="0"/>
                  <w:marRight w:val="0"/>
                  <w:marTop w:val="1200"/>
                  <w:marBottom w:val="0"/>
                  <w:divBdr>
                    <w:top w:val="single" w:sz="6" w:space="8" w:color="E5E5E5"/>
                    <w:left w:val="single" w:sz="6" w:space="8" w:color="E5E5E5"/>
                    <w:bottom w:val="none" w:sz="0" w:space="0" w:color="auto"/>
                    <w:right w:val="single" w:sz="6" w:space="8" w:color="E5E5E5"/>
                  </w:divBdr>
                  <w:divsChild>
                    <w:div w:id="1639919739">
                      <w:marLeft w:val="0"/>
                      <w:marRight w:val="0"/>
                      <w:marTop w:val="600"/>
                      <w:marBottom w:val="300"/>
                      <w:divBdr>
                        <w:top w:val="none" w:sz="0" w:space="0" w:color="auto"/>
                        <w:left w:val="none" w:sz="0" w:space="0" w:color="auto"/>
                        <w:bottom w:val="none" w:sz="0" w:space="0" w:color="auto"/>
                        <w:right w:val="none" w:sz="0" w:space="0" w:color="auto"/>
                      </w:divBdr>
                      <w:divsChild>
                        <w:div w:id="1549954228">
                          <w:marLeft w:val="0"/>
                          <w:marRight w:val="0"/>
                          <w:marTop w:val="0"/>
                          <w:marBottom w:val="0"/>
                          <w:divBdr>
                            <w:top w:val="none" w:sz="0" w:space="0" w:color="auto"/>
                            <w:left w:val="none" w:sz="0" w:space="0" w:color="auto"/>
                            <w:bottom w:val="none" w:sz="0" w:space="0" w:color="auto"/>
                            <w:right w:val="none" w:sz="0" w:space="0" w:color="auto"/>
                          </w:divBdr>
                          <w:divsChild>
                            <w:div w:id="83677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555235">
      <w:bodyDiv w:val="1"/>
      <w:marLeft w:val="0"/>
      <w:marRight w:val="0"/>
      <w:marTop w:val="0"/>
      <w:marBottom w:val="0"/>
      <w:divBdr>
        <w:top w:val="none" w:sz="0" w:space="0" w:color="auto"/>
        <w:left w:val="none" w:sz="0" w:space="0" w:color="auto"/>
        <w:bottom w:val="none" w:sz="0" w:space="0" w:color="auto"/>
        <w:right w:val="none" w:sz="0" w:space="0" w:color="auto"/>
      </w:divBdr>
    </w:div>
    <w:div w:id="156844070">
      <w:bodyDiv w:val="1"/>
      <w:marLeft w:val="0"/>
      <w:marRight w:val="0"/>
      <w:marTop w:val="0"/>
      <w:marBottom w:val="0"/>
      <w:divBdr>
        <w:top w:val="none" w:sz="0" w:space="0" w:color="auto"/>
        <w:left w:val="none" w:sz="0" w:space="0" w:color="auto"/>
        <w:bottom w:val="none" w:sz="0" w:space="0" w:color="auto"/>
        <w:right w:val="none" w:sz="0" w:space="0" w:color="auto"/>
      </w:divBdr>
    </w:div>
    <w:div w:id="888608709">
      <w:bodyDiv w:val="1"/>
      <w:marLeft w:val="0"/>
      <w:marRight w:val="0"/>
      <w:marTop w:val="0"/>
      <w:marBottom w:val="0"/>
      <w:divBdr>
        <w:top w:val="none" w:sz="0" w:space="0" w:color="auto"/>
        <w:left w:val="none" w:sz="0" w:space="0" w:color="auto"/>
        <w:bottom w:val="none" w:sz="0" w:space="0" w:color="auto"/>
        <w:right w:val="none" w:sz="0" w:space="0" w:color="auto"/>
      </w:divBdr>
    </w:div>
    <w:div w:id="1295333289">
      <w:bodyDiv w:val="1"/>
      <w:marLeft w:val="0"/>
      <w:marRight w:val="0"/>
      <w:marTop w:val="0"/>
      <w:marBottom w:val="0"/>
      <w:divBdr>
        <w:top w:val="none" w:sz="0" w:space="0" w:color="auto"/>
        <w:left w:val="none" w:sz="0" w:space="0" w:color="auto"/>
        <w:bottom w:val="none" w:sz="0" w:space="0" w:color="auto"/>
        <w:right w:val="none" w:sz="0" w:space="0" w:color="auto"/>
      </w:divBdr>
    </w:div>
    <w:div w:id="1391345986">
      <w:bodyDiv w:val="1"/>
      <w:marLeft w:val="0"/>
      <w:marRight w:val="0"/>
      <w:marTop w:val="0"/>
      <w:marBottom w:val="0"/>
      <w:divBdr>
        <w:top w:val="none" w:sz="0" w:space="0" w:color="auto"/>
        <w:left w:val="none" w:sz="0" w:space="0" w:color="auto"/>
        <w:bottom w:val="none" w:sz="0" w:space="0" w:color="auto"/>
        <w:right w:val="none" w:sz="0" w:space="0" w:color="auto"/>
      </w:divBdr>
    </w:div>
    <w:div w:id="1879125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Facette">
  <a:themeElements>
    <a:clrScheme name="Imageen">
      <a:dk1>
        <a:srgbClr val="000000"/>
      </a:dk1>
      <a:lt1>
        <a:srgbClr val="FFFFFF"/>
      </a:lt1>
      <a:dk2>
        <a:srgbClr val="565349"/>
      </a:dk2>
      <a:lt2>
        <a:srgbClr val="DDDDDD"/>
      </a:lt2>
      <a:accent1>
        <a:srgbClr val="3EA710"/>
      </a:accent1>
      <a:accent2>
        <a:srgbClr val="FEEC01"/>
      </a:accent2>
      <a:accent3>
        <a:srgbClr val="FE9E00"/>
      </a:accent3>
      <a:accent4>
        <a:srgbClr val="042BF8"/>
      </a:accent4>
      <a:accent5>
        <a:srgbClr val="D7D447"/>
      </a:accent5>
      <a:accent6>
        <a:srgbClr val="818183"/>
      </a:accent6>
      <a:hlink>
        <a:srgbClr val="F59E00"/>
      </a:hlink>
      <a:folHlink>
        <a:srgbClr val="B2B2B2"/>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Facette">
      <a:fillStyleLst>
        <a:solidFill>
          <a:schemeClr val="phClr"/>
        </a:solidFill>
        <a:gradFill rotWithShape="1">
          <a:gsLst>
            <a:gs pos="0">
              <a:schemeClr val="phClr">
                <a:tint val="65000"/>
                <a:lumMod val="110000"/>
              </a:schemeClr>
            </a:gs>
            <a:gs pos="88000">
              <a:schemeClr val="phClr">
                <a:tint val="90000"/>
              </a:schemeClr>
            </a:gs>
          </a:gsLst>
          <a:lin ang="5400000" scaled="0"/>
        </a:gradFill>
        <a:gradFill rotWithShape="1">
          <a:gsLst>
            <a:gs pos="0">
              <a:schemeClr val="phClr">
                <a:tint val="96000"/>
                <a:lumMod val="100000"/>
              </a:schemeClr>
            </a:gs>
            <a:gs pos="78000">
              <a:schemeClr val="phClr">
                <a:shade val="94000"/>
                <a:lumMod val="94000"/>
              </a:schemeClr>
            </a:gs>
          </a:gsLst>
          <a:lin ang="5400000" scaled="0"/>
        </a:gradFill>
      </a:fillStyleLst>
      <a:lnStyleLst>
        <a:ln w="12700" cap="rnd" cmpd="sng" algn="ctr">
          <a:solidFill>
            <a:schemeClr val="phClr"/>
          </a:solidFill>
          <a:prstDash val="solid"/>
        </a:ln>
        <a:ln w="19050" cap="rnd" cmpd="sng" algn="ctr">
          <a:solidFill>
            <a:schemeClr val="phClr"/>
          </a:solidFill>
          <a:prstDash val="solid"/>
        </a:ln>
        <a:ln w="25400" cap="rnd" cmpd="sng" algn="ctr">
          <a:solidFill>
            <a:schemeClr val="phClr"/>
          </a:solidFill>
          <a:prstDash val="solid"/>
        </a:ln>
      </a:lnStyleLst>
      <a:effectStyleLst>
        <a:effectStyle>
          <a:effectLst/>
        </a:effectStyle>
        <a:effectStyle>
          <a:effectLst>
            <a:outerShdw blurRad="38100" dist="25400" dir="5400000" rotWithShape="0">
              <a:srgbClr val="000000">
                <a:alpha val="35000"/>
              </a:srgbClr>
            </a:outerShdw>
          </a:effectLst>
        </a:effectStyle>
        <a:effectStyle>
          <a:effectLst>
            <a:outerShdw blurRad="50800" dist="38100" dir="5400000" rotWithShape="0">
              <a:srgbClr val="000000">
                <a:alpha val="35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0000"/>
                <a:lumMod val="104000"/>
              </a:schemeClr>
            </a:gs>
            <a:gs pos="94000">
              <a:schemeClr val="phClr">
                <a:shade val="96000"/>
                <a:lumMod val="82000"/>
              </a:schemeClr>
            </a:gs>
          </a:gsLst>
          <a:lin ang="5400000" scaled="0"/>
        </a:gradFill>
        <a:gradFill rotWithShape="1">
          <a:gsLst>
            <a:gs pos="0">
              <a:schemeClr val="phClr">
                <a:tint val="90000"/>
                <a:lumMod val="110000"/>
              </a:schemeClr>
            </a:gs>
            <a:gs pos="100000">
              <a:schemeClr val="phClr">
                <a:shade val="94000"/>
                <a:lumMod val="96000"/>
              </a:schemeClr>
            </a:gs>
          </a:gsLst>
          <a:path path="circle">
            <a:fillToRect l="50000" t="50000" r="100000" b="100000"/>
          </a:path>
        </a:gradFill>
      </a:bgFillStyleLst>
    </a:fmtScheme>
  </a:themeElements>
  <a:objectDefaults/>
  <a:extraClrSchemeLst/>
  <a:extLst>
    <a:ext uri="{05A4C25C-085E-4340-85A3-A5531E510DB2}">
      <thm15:themeFamily xmlns:thm15="http://schemas.microsoft.com/office/thememl/2012/main" name="Facet" id="{C0C680CD-088A-49FC-A102-D699147F32B2}" vid="{CFBC31BA-B70F-4F30-BCAA-4F3011E16C4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6C1BF396F8E6B46A56BEC199CC0E0CA" ma:contentTypeVersion="19" ma:contentTypeDescription="Crée un document." ma:contentTypeScope="" ma:versionID="563442c05c7646b5b210d69888718298">
  <xsd:schema xmlns:xsd="http://www.w3.org/2001/XMLSchema" xmlns:xs="http://www.w3.org/2001/XMLSchema" xmlns:p="http://schemas.microsoft.com/office/2006/metadata/properties" xmlns:ns2="c80c03bc-1b36-4ee3-953e-9071827ec310" xmlns:ns3="d8e55a07-8a70-479a-9c3e-803af7d17c8b" targetNamespace="http://schemas.microsoft.com/office/2006/metadata/properties" ma:root="true" ma:fieldsID="9b38b5d3790ce7fe3175b94fc0d7768c" ns2:_="" ns3:_="">
    <xsd:import namespace="c80c03bc-1b36-4ee3-953e-9071827ec310"/>
    <xsd:import namespace="d8e55a07-8a70-479a-9c3e-803af7d17c8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c03bc-1b36-4ee3-953e-9071827ec3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f841dcec-6c1a-4d71-bb7b-a6ba8e3550c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e55a07-8a70-479a-9c3e-803af7d17c8b"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77f2dd68-07c6-4df7-a531-d628e3d8c3df}" ma:internalName="TaxCatchAll" ma:showField="CatchAllData" ma:web="d8e55a07-8a70-479a-9c3e-803af7d17c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e55a07-8a70-479a-9c3e-803af7d17c8b" xsi:nil="true"/>
    <lcf76f155ced4ddcb4097134ff3c332f xmlns="c80c03bc-1b36-4ee3-953e-9071827ec31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A1E20C-D286-4725-A87B-F6BA26587C11}">
  <ds:schemaRefs>
    <ds:schemaRef ds:uri="http://schemas.microsoft.com/sharepoint/v3/contenttype/forms"/>
  </ds:schemaRefs>
</ds:datastoreItem>
</file>

<file path=customXml/itemProps2.xml><?xml version="1.0" encoding="utf-8"?>
<ds:datastoreItem xmlns:ds="http://schemas.openxmlformats.org/officeDocument/2006/customXml" ds:itemID="{221088CC-7BAE-4096-AD7C-864C537A5A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c03bc-1b36-4ee3-953e-9071827ec310"/>
    <ds:schemaRef ds:uri="d8e55a07-8a70-479a-9c3e-803af7d17c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FB57DD-EBFF-477E-A3DE-A0B9D18C0A7F}">
  <ds:schemaRefs>
    <ds:schemaRef ds:uri="http://schemas.microsoft.com/office/2006/metadata/properties"/>
    <ds:schemaRef ds:uri="http://schemas.microsoft.com/office/infopath/2007/PartnerControls"/>
    <ds:schemaRef ds:uri="d8e55a07-8a70-479a-9c3e-803af7d17c8b"/>
    <ds:schemaRef ds:uri="c80c03bc-1b36-4ee3-953e-9071827ec310"/>
  </ds:schemaRefs>
</ds:datastoreItem>
</file>

<file path=customXml/itemProps4.xml><?xml version="1.0" encoding="utf-8"?>
<ds:datastoreItem xmlns:ds="http://schemas.openxmlformats.org/officeDocument/2006/customXml" ds:itemID="{DA32B79D-6D41-48A1-A8E0-30D7287F9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2131</Words>
  <Characters>11722</Characters>
  <Application>Microsoft Office Word</Application>
  <DocSecurity>0</DocSecurity>
  <Lines>97</Lines>
  <Paragraphs>27</Paragraphs>
  <ScaleCrop>false</ScaleCrop>
  <HeadingPairs>
    <vt:vector size="2" baseType="variant">
      <vt:variant>
        <vt:lpstr>Titre</vt:lpstr>
      </vt:variant>
      <vt:variant>
        <vt:i4>1</vt:i4>
      </vt:variant>
    </vt:vector>
  </HeadingPairs>
  <TitlesOfParts>
    <vt:vector size="1" baseType="lpstr">
      <vt:lpstr/>
    </vt:vector>
  </TitlesOfParts>
  <Company>HP</Company>
  <LinksUpToDate>false</LinksUpToDate>
  <CharactersWithSpaces>13826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 RAMPIERE</dc:creator>
  <cp:lastModifiedBy>LALLEMAND, Cecile (DEETS-974)</cp:lastModifiedBy>
  <cp:revision>4</cp:revision>
  <cp:lastPrinted>2026-02-25T10:49:00Z</cp:lastPrinted>
  <dcterms:created xsi:type="dcterms:W3CDTF">2026-04-01T06:23:00Z</dcterms:created>
  <dcterms:modified xsi:type="dcterms:W3CDTF">2026-05-06T04:09:00Z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0x01010066C1BF396F8E6B46A56BEC199CC0E0CA</vt:lpwstr>
  </property>
  <property fmtid="{D5CDD505-2E9C-101B-9397-08002B2CF9AE}" pid="3" name="MSIP_Label_3094c1fb-3db8-4cce-b079-9b022302847f_Enabled">
    <vt:lpwstr>true</vt:lpwstr>
  </property>
  <property fmtid="{D5CDD505-2E9C-101B-9397-08002B2CF9AE}" pid="4" name="MSIP_Label_3094c1fb-3db8-4cce-b079-9b022302847f_SetDate">
    <vt:lpwstr>2026-05-06T04:09:13Z</vt:lpwstr>
  </property>
  <property fmtid="{D5CDD505-2E9C-101B-9397-08002B2CF9AE}" pid="5" name="MSIP_Label_3094c1fb-3db8-4cce-b079-9b022302847f_Method">
    <vt:lpwstr>Standard</vt:lpwstr>
  </property>
  <property fmtid="{D5CDD505-2E9C-101B-9397-08002B2CF9AE}" pid="6" name="MSIP_Label_3094c1fb-3db8-4cce-b079-9b022302847f_Name">
    <vt:lpwstr>[Prod v5] C1 - Standard</vt:lpwstr>
  </property>
  <property fmtid="{D5CDD505-2E9C-101B-9397-08002B2CF9AE}" pid="7" name="MSIP_Label_3094c1fb-3db8-4cce-b079-9b022302847f_SiteId">
    <vt:lpwstr>035e5292-5a25-4509-bb08-a555f7d31a8b</vt:lpwstr>
  </property>
  <property fmtid="{D5CDD505-2E9C-101B-9397-08002B2CF9AE}" pid="8" name="MSIP_Label_3094c1fb-3db8-4cce-b079-9b022302847f_ActionId">
    <vt:lpwstr>364efe58-8a9e-4cde-b246-a28192c8e74a</vt:lpwstr>
  </property>
  <property fmtid="{D5CDD505-2E9C-101B-9397-08002B2CF9AE}" pid="9" name="MSIP_Label_3094c1fb-3db8-4cce-b079-9b022302847f_ContentBits">
    <vt:lpwstr>0</vt:lpwstr>
  </property>
  <property fmtid="{D5CDD505-2E9C-101B-9397-08002B2CF9AE}" pid="10" name="MSIP_Label_3094c1fb-3db8-4cce-b079-9b022302847f_Tag">
    <vt:lpwstr>10, 3, 0, 1</vt:lpwstr>
  </property>
</Properties>
</file>