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100" w:rsidRDefault="00162100" w:rsidP="00162100">
      <w:pPr>
        <w:spacing w:after="0" w:line="360" w:lineRule="auto"/>
        <w:jc w:val="center"/>
        <w:rPr>
          <w:rFonts w:ascii="Poppins" w:eastAsia="Poppins" w:hAnsi="Poppins" w:cs="Poppins"/>
          <w:b/>
          <w:bCs/>
          <w:color w:val="E10078"/>
          <w:sz w:val="34"/>
          <w:szCs w:val="34"/>
        </w:rPr>
      </w:pPr>
      <w:r>
        <w:rPr>
          <w:rFonts w:ascii="Poppins" w:eastAsia="Poppins" w:hAnsi="Poppins" w:cs="Poppins"/>
          <w:b/>
          <w:bCs/>
          <w:color w:val="E10078"/>
          <w:sz w:val="34"/>
          <w:szCs w:val="34"/>
        </w:rPr>
        <w:t xml:space="preserve">Accord collectif relatif à la </w:t>
      </w:r>
    </w:p>
    <w:p w:rsidR="00162100" w:rsidRDefault="00162100" w:rsidP="00162100">
      <w:pPr>
        <w:spacing w:after="0" w:line="360" w:lineRule="auto"/>
        <w:jc w:val="center"/>
        <w:rPr>
          <w:rFonts w:ascii="Poppins" w:eastAsia="Poppins" w:hAnsi="Poppins" w:cs="Poppins"/>
        </w:rPr>
      </w:pPr>
      <w:r>
        <w:rPr>
          <w:rFonts w:ascii="Poppins" w:eastAsia="Poppins" w:hAnsi="Poppins" w:cs="Poppins"/>
          <w:b/>
          <w:bCs/>
          <w:color w:val="E10078"/>
          <w:sz w:val="34"/>
          <w:szCs w:val="34"/>
        </w:rPr>
        <w:t>Prime Mensuelle Logistique</w:t>
      </w:r>
    </w:p>
    <w:p w:rsidR="00162100" w:rsidRDefault="00162100" w:rsidP="00162100">
      <w:pPr>
        <w:spacing w:after="0" w:line="360" w:lineRule="auto"/>
        <w:jc w:val="both"/>
        <w:rPr>
          <w:rFonts w:ascii="Poppins" w:eastAsia="Poppins" w:hAnsi="Poppins" w:cs="Poppins"/>
          <w:sz w:val="20"/>
          <w:szCs w:val="20"/>
        </w:rPr>
      </w:pPr>
    </w:p>
    <w:p w:rsidR="00162100" w:rsidRDefault="00162100" w:rsidP="00162100">
      <w:pPr>
        <w:spacing w:after="0" w:line="360" w:lineRule="auto"/>
        <w:jc w:val="both"/>
        <w:rPr>
          <w:rFonts w:ascii="Poppins" w:eastAsia="Poppins" w:hAnsi="Poppins" w:cs="Poppins"/>
          <w:sz w:val="20"/>
          <w:szCs w:val="20"/>
        </w:rPr>
      </w:pPr>
      <w:r>
        <w:rPr>
          <w:rFonts w:ascii="Poppins" w:eastAsia="Poppins" w:hAnsi="Poppins" w:cs="Poppins"/>
          <w:sz w:val="20"/>
          <w:szCs w:val="20"/>
        </w:rPr>
        <w:t>Entre,</w:t>
      </w:r>
    </w:p>
    <w:p w:rsidR="00162100" w:rsidRDefault="00162100" w:rsidP="00162100">
      <w:pPr>
        <w:spacing w:after="0" w:line="360" w:lineRule="auto"/>
        <w:jc w:val="both"/>
        <w:rPr>
          <w:rFonts w:ascii="Poppins" w:eastAsia="Poppins" w:hAnsi="Poppins" w:cs="Poppins"/>
          <w:sz w:val="20"/>
          <w:szCs w:val="20"/>
        </w:rPr>
      </w:pPr>
      <w:r>
        <w:rPr>
          <w:rFonts w:ascii="Poppins" w:eastAsia="Poppins" w:hAnsi="Poppins" w:cs="Poppins"/>
          <w:sz w:val="20"/>
          <w:szCs w:val="20"/>
        </w:rPr>
        <w:t>La société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 SAS au capital de 10 130 053,00 euros immatriculée au RCS de Bourg en Bresse sous le n°452 650 500, dont le siège social est situé Allée des chênes, Parc Industriel de l’Ain – 01150 Saint-Vulbas, représentée par Monsieur XXX, Directeur général dûment habilité pour conclure le présent accord.</w:t>
      </w:r>
    </w:p>
    <w:p w:rsidR="00162100" w:rsidRDefault="00162100" w:rsidP="00162100">
      <w:pPr>
        <w:spacing w:after="0" w:line="360" w:lineRule="auto"/>
        <w:jc w:val="both"/>
        <w:rPr>
          <w:rFonts w:ascii="Poppins" w:eastAsia="Poppins" w:hAnsi="Poppins" w:cs="Poppins"/>
          <w:sz w:val="20"/>
          <w:szCs w:val="20"/>
        </w:rPr>
      </w:pPr>
      <w:r>
        <w:rPr>
          <w:rFonts w:ascii="Poppins" w:eastAsia="Poppins" w:hAnsi="Poppins" w:cs="Poppins"/>
          <w:sz w:val="20"/>
          <w:szCs w:val="20"/>
        </w:rPr>
        <w:t xml:space="preserve">D’une part, </w:t>
      </w:r>
    </w:p>
    <w:p w:rsidR="00162100" w:rsidRDefault="00162100" w:rsidP="00162100">
      <w:pPr>
        <w:spacing w:after="0" w:line="360" w:lineRule="auto"/>
        <w:jc w:val="both"/>
        <w:rPr>
          <w:rFonts w:ascii="Poppins" w:eastAsia="Poppins" w:hAnsi="Poppins" w:cs="Poppins"/>
          <w:sz w:val="20"/>
          <w:szCs w:val="20"/>
        </w:rPr>
      </w:pPr>
    </w:p>
    <w:p w:rsidR="00162100" w:rsidRDefault="00162100" w:rsidP="00162100">
      <w:pPr>
        <w:spacing w:after="0" w:line="360" w:lineRule="auto"/>
        <w:jc w:val="both"/>
        <w:rPr>
          <w:rFonts w:ascii="Poppins" w:eastAsia="Poppins" w:hAnsi="Poppins" w:cs="Poppins"/>
          <w:sz w:val="20"/>
          <w:szCs w:val="20"/>
        </w:rPr>
      </w:pPr>
      <w:r>
        <w:rPr>
          <w:rFonts w:ascii="Poppins" w:eastAsia="Poppins" w:hAnsi="Poppins" w:cs="Poppins"/>
          <w:sz w:val="20"/>
          <w:szCs w:val="20"/>
        </w:rPr>
        <w:t>Et,</w:t>
      </w:r>
    </w:p>
    <w:p w:rsidR="00162100" w:rsidRDefault="00162100" w:rsidP="00162100">
      <w:pPr>
        <w:numPr>
          <w:ilvl w:val="0"/>
          <w:numId w:val="8"/>
        </w:numPr>
        <w:spacing w:after="0" w:line="360" w:lineRule="auto"/>
        <w:jc w:val="both"/>
        <w:rPr>
          <w:rFonts w:ascii="Poppins" w:eastAsia="Poppins" w:hAnsi="Poppins" w:cs="Poppins"/>
          <w:sz w:val="20"/>
          <w:szCs w:val="20"/>
        </w:rPr>
      </w:pPr>
      <w:r>
        <w:rPr>
          <w:rFonts w:ascii="Poppins" w:eastAsia="Poppins" w:hAnsi="Poppins" w:cs="Poppins"/>
          <w:sz w:val="20"/>
          <w:szCs w:val="20"/>
        </w:rPr>
        <w:t>L’Organisation syndicale CGT représentée par Madame XXX, Madame XXX et Monsieur XXX, délégués syndicaux d’établissement au sein de l’UES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w:t>
      </w:r>
    </w:p>
    <w:p w:rsidR="00162100" w:rsidRDefault="00162100" w:rsidP="00162100">
      <w:pPr>
        <w:numPr>
          <w:ilvl w:val="0"/>
          <w:numId w:val="8"/>
        </w:numPr>
        <w:spacing w:after="0" w:line="360" w:lineRule="auto"/>
        <w:jc w:val="both"/>
        <w:rPr>
          <w:rFonts w:ascii="Poppins" w:eastAsia="Poppins" w:hAnsi="Poppins" w:cs="Poppins"/>
          <w:sz w:val="20"/>
          <w:szCs w:val="20"/>
        </w:rPr>
      </w:pPr>
      <w:r>
        <w:rPr>
          <w:rFonts w:ascii="Poppins" w:eastAsia="Poppins" w:hAnsi="Poppins" w:cs="Poppins"/>
          <w:sz w:val="20"/>
          <w:szCs w:val="20"/>
        </w:rPr>
        <w:t>L’Organisation syndicale CFE-CGC représentée par Monsieur XXX et Monsieur XXX, délégués syndicaux d’établissement au sein de l’UES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w:t>
      </w:r>
    </w:p>
    <w:p w:rsidR="00162100" w:rsidRDefault="00162100" w:rsidP="00162100">
      <w:pPr>
        <w:numPr>
          <w:ilvl w:val="0"/>
          <w:numId w:val="8"/>
        </w:numPr>
        <w:spacing w:after="0" w:line="360" w:lineRule="auto"/>
        <w:jc w:val="both"/>
        <w:rPr>
          <w:rFonts w:ascii="Poppins" w:eastAsia="Poppins" w:hAnsi="Poppins" w:cs="Poppins"/>
          <w:sz w:val="20"/>
          <w:szCs w:val="20"/>
        </w:rPr>
      </w:pPr>
      <w:r>
        <w:rPr>
          <w:rFonts w:ascii="Poppins" w:eastAsia="Poppins" w:hAnsi="Poppins" w:cs="Poppins"/>
          <w:sz w:val="20"/>
          <w:szCs w:val="20"/>
        </w:rPr>
        <w:t>L’Organisation syndicale SECI-UNSA représentée par Madame XXX et Monsieur XXX, délégués syndicaux d’établissement au sein de l’UES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w:t>
      </w:r>
    </w:p>
    <w:p w:rsidR="00162100" w:rsidRDefault="00162100" w:rsidP="00162100">
      <w:pPr>
        <w:numPr>
          <w:ilvl w:val="0"/>
          <w:numId w:val="8"/>
        </w:numPr>
        <w:spacing w:after="0" w:line="360" w:lineRule="auto"/>
        <w:jc w:val="both"/>
        <w:rPr>
          <w:rFonts w:ascii="Poppins" w:eastAsia="Poppins" w:hAnsi="Poppins" w:cs="Poppins"/>
          <w:sz w:val="20"/>
          <w:szCs w:val="20"/>
        </w:rPr>
      </w:pPr>
      <w:r>
        <w:rPr>
          <w:rFonts w:ascii="Poppins" w:eastAsia="Poppins" w:hAnsi="Poppins" w:cs="Poppins"/>
          <w:sz w:val="20"/>
          <w:szCs w:val="20"/>
        </w:rPr>
        <w:t>L’organisation syndicale CFDT, représentée par Monsieur XXX et Monsieur XXX, délégués syndicaux d’établissement au sein de l’UES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w:t>
      </w:r>
    </w:p>
    <w:p w:rsidR="00162100" w:rsidRDefault="00162100" w:rsidP="00162100">
      <w:pPr>
        <w:spacing w:after="0" w:line="360" w:lineRule="auto"/>
        <w:ind w:left="720"/>
        <w:jc w:val="both"/>
        <w:rPr>
          <w:rFonts w:ascii="Poppins" w:eastAsia="Poppins" w:hAnsi="Poppins" w:cs="Poppins"/>
          <w:sz w:val="20"/>
          <w:szCs w:val="20"/>
        </w:rPr>
      </w:pPr>
    </w:p>
    <w:p w:rsidR="00162100" w:rsidRDefault="00162100" w:rsidP="00162100">
      <w:pPr>
        <w:spacing w:after="0" w:line="360" w:lineRule="auto"/>
        <w:jc w:val="both"/>
        <w:rPr>
          <w:rFonts w:ascii="Poppins" w:eastAsia="Poppins" w:hAnsi="Poppins" w:cs="Poppins"/>
          <w:sz w:val="20"/>
          <w:szCs w:val="20"/>
        </w:rPr>
      </w:pPr>
      <w:r>
        <w:rPr>
          <w:rFonts w:ascii="Poppins" w:eastAsia="Poppins" w:hAnsi="Poppins" w:cs="Poppins"/>
          <w:sz w:val="20"/>
          <w:szCs w:val="20"/>
        </w:rPr>
        <w:t>Ci-après désignés « les Organisations Syndicales »,</w:t>
      </w:r>
    </w:p>
    <w:p w:rsidR="00162100" w:rsidRDefault="00162100" w:rsidP="00162100">
      <w:pPr>
        <w:pBdr>
          <w:top w:val="nil"/>
          <w:left w:val="nil"/>
          <w:bottom w:val="nil"/>
          <w:right w:val="nil"/>
          <w:between w:val="nil"/>
        </w:pBdr>
        <w:spacing w:after="0" w:line="360" w:lineRule="auto"/>
        <w:jc w:val="both"/>
        <w:rPr>
          <w:rFonts w:ascii="Poppins" w:eastAsia="Poppins" w:hAnsi="Poppins" w:cs="Poppins"/>
          <w:sz w:val="20"/>
          <w:szCs w:val="20"/>
        </w:rPr>
      </w:pPr>
      <w:r>
        <w:rPr>
          <w:rFonts w:ascii="Poppins" w:eastAsia="Poppins" w:hAnsi="Poppins" w:cs="Poppins"/>
          <w:sz w:val="20"/>
          <w:szCs w:val="20"/>
        </w:rPr>
        <w:t>D’autre part.</w:t>
      </w:r>
      <w:r>
        <w:br w:type="page"/>
      </w:r>
    </w:p>
    <w:p w:rsidR="00162100" w:rsidRDefault="00162100" w:rsidP="00162100">
      <w:pPr>
        <w:tabs>
          <w:tab w:val="left" w:pos="5535"/>
        </w:tabs>
        <w:spacing w:after="0" w:line="276" w:lineRule="auto"/>
        <w:rPr>
          <w:rFonts w:ascii="Poppins" w:eastAsia="Poppins" w:hAnsi="Poppins" w:cs="Poppins"/>
          <w:b/>
          <w:bCs/>
          <w:sz w:val="20"/>
          <w:szCs w:val="20"/>
        </w:rPr>
      </w:pPr>
      <w:r>
        <w:rPr>
          <w:rFonts w:ascii="Poppins" w:eastAsia="Poppins" w:hAnsi="Poppins" w:cs="Poppins"/>
          <w:b/>
          <w:bCs/>
          <w:sz w:val="20"/>
          <w:szCs w:val="20"/>
        </w:rPr>
        <w:lastRenderedPageBreak/>
        <w:tab/>
      </w:r>
      <w:bookmarkStart w:id="0" w:name="_GoBack"/>
      <w:bookmarkEnd w:id="0"/>
    </w:p>
    <w:p w:rsidR="00162100" w:rsidRDefault="00162100" w:rsidP="00162100">
      <w:pPr>
        <w:spacing w:after="0" w:line="276" w:lineRule="auto"/>
        <w:jc w:val="center"/>
        <w:rPr>
          <w:rFonts w:ascii="Poppins" w:eastAsia="Poppins" w:hAnsi="Poppins" w:cs="Poppins"/>
          <w:color w:val="E10078"/>
          <w:sz w:val="24"/>
          <w:szCs w:val="24"/>
        </w:rPr>
      </w:pPr>
      <w:r>
        <w:rPr>
          <w:rFonts w:ascii="Poppins" w:eastAsia="Poppins" w:hAnsi="Poppins" w:cs="Poppins"/>
          <w:b/>
          <w:bCs/>
          <w:color w:val="E10078"/>
          <w:sz w:val="24"/>
          <w:szCs w:val="24"/>
        </w:rPr>
        <w:t>Préambule </w:t>
      </w:r>
    </w:p>
    <w:p w:rsidR="00162100" w:rsidRDefault="00162100" w:rsidP="00162100">
      <w:pPr>
        <w:spacing w:after="240" w:line="276" w:lineRule="auto"/>
        <w:rPr>
          <w:rFonts w:ascii="Poppins" w:eastAsia="Poppins" w:hAnsi="Poppins" w:cs="Poppins"/>
          <w:sz w:val="20"/>
          <w:szCs w:val="20"/>
        </w:rPr>
      </w:pPr>
    </w:p>
    <w:p w:rsidR="00162100" w:rsidRDefault="00162100" w:rsidP="00162100">
      <w:pPr>
        <w:spacing w:after="0" w:line="360" w:lineRule="auto"/>
        <w:jc w:val="both"/>
        <w:rPr>
          <w:rFonts w:ascii="Poppins" w:eastAsia="Poppins" w:hAnsi="Poppins" w:cs="Poppins"/>
          <w:sz w:val="20"/>
          <w:szCs w:val="20"/>
        </w:rPr>
      </w:pPr>
      <w:r>
        <w:rPr>
          <w:rFonts w:ascii="Poppins" w:eastAsia="Poppins" w:hAnsi="Poppins" w:cs="Poppins"/>
          <w:color w:val="000000"/>
          <w:sz w:val="20"/>
          <w:szCs w:val="20"/>
        </w:rPr>
        <w:t>Une prime men</w:t>
      </w:r>
      <w:r>
        <w:rPr>
          <w:rFonts w:ascii="Poppins" w:eastAsia="Poppins" w:hAnsi="Poppins" w:cs="Poppins"/>
          <w:sz w:val="20"/>
          <w:szCs w:val="20"/>
        </w:rPr>
        <w:t>suelle logistique est attribuée aux collaborateurs éligibles de la société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 faisant partie du personnel de </w:t>
      </w:r>
      <w:proofErr w:type="gramStart"/>
      <w:r>
        <w:rPr>
          <w:rFonts w:ascii="Poppins" w:eastAsia="Poppins" w:hAnsi="Poppins" w:cs="Poppins"/>
          <w:sz w:val="20"/>
          <w:szCs w:val="20"/>
        </w:rPr>
        <w:t>production  (</w:t>
      </w:r>
      <w:proofErr w:type="gramEnd"/>
      <w:r>
        <w:rPr>
          <w:rFonts w:ascii="Poppins" w:eastAsia="Poppins" w:hAnsi="Poppins" w:cs="Poppins"/>
          <w:sz w:val="20"/>
          <w:szCs w:val="20"/>
        </w:rPr>
        <w:t>sites du Blanc-Mesnil, de Mitry-Mory, de Saint-Vulbas, de Lyon et de Beaune).</w:t>
      </w:r>
    </w:p>
    <w:p w:rsidR="00162100" w:rsidRDefault="00162100" w:rsidP="00162100">
      <w:pPr>
        <w:spacing w:after="0" w:line="360" w:lineRule="auto"/>
        <w:jc w:val="both"/>
        <w:rPr>
          <w:rFonts w:ascii="Poppins" w:eastAsia="Poppins" w:hAnsi="Poppins" w:cs="Poppins"/>
          <w:sz w:val="20"/>
          <w:szCs w:val="20"/>
        </w:rPr>
      </w:pPr>
      <w:r>
        <w:rPr>
          <w:rFonts w:ascii="Poppins" w:eastAsia="Poppins" w:hAnsi="Poppins" w:cs="Poppins"/>
          <w:sz w:val="20"/>
          <w:szCs w:val="20"/>
        </w:rPr>
        <w:t>L’accord relatif à la prime mensuelle Logistique traitera d</w:t>
      </w:r>
      <w:r>
        <w:rPr>
          <w:rFonts w:ascii="Poppins" w:eastAsia="Poppins" w:hAnsi="Poppins" w:cs="Poppins"/>
          <w:color w:val="000000"/>
          <w:sz w:val="20"/>
          <w:szCs w:val="20"/>
        </w:rPr>
        <w:t>es modalités de calcul et d’attribution</w:t>
      </w:r>
      <w:r>
        <w:rPr>
          <w:rFonts w:ascii="Poppins" w:eastAsia="Poppins" w:hAnsi="Poppins" w:cs="Poppins"/>
          <w:sz w:val="20"/>
          <w:szCs w:val="20"/>
        </w:rPr>
        <w:t xml:space="preserve"> de celle-ci et aura dans ce cadre une durée d’un an. </w:t>
      </w:r>
    </w:p>
    <w:p w:rsidR="00162100" w:rsidRDefault="00162100" w:rsidP="00162100">
      <w:pPr>
        <w:spacing w:after="0" w:line="360" w:lineRule="auto"/>
        <w:jc w:val="both"/>
        <w:rPr>
          <w:rFonts w:ascii="Poppins" w:eastAsia="Poppins" w:hAnsi="Poppins" w:cs="Poppins"/>
          <w:sz w:val="20"/>
          <w:szCs w:val="20"/>
        </w:rPr>
      </w:pPr>
    </w:p>
    <w:p w:rsidR="00162100" w:rsidRDefault="00162100" w:rsidP="00162100">
      <w:pPr>
        <w:spacing w:after="0" w:line="360" w:lineRule="auto"/>
        <w:jc w:val="both"/>
        <w:rPr>
          <w:rFonts w:ascii="Poppins" w:eastAsia="Poppins" w:hAnsi="Poppins" w:cs="Poppins"/>
          <w:color w:val="000000"/>
          <w:sz w:val="20"/>
          <w:szCs w:val="20"/>
        </w:rPr>
      </w:pPr>
      <w:r>
        <w:rPr>
          <w:rFonts w:ascii="Poppins" w:eastAsia="Poppins" w:hAnsi="Poppins" w:cs="Poppins"/>
          <w:color w:val="000000"/>
          <w:sz w:val="20"/>
          <w:szCs w:val="20"/>
        </w:rPr>
        <w:t>C’est dans ce contexte que la Direction et les organisations syndicales se sont réunies :</w:t>
      </w:r>
    </w:p>
    <w:p w:rsidR="00162100" w:rsidRDefault="00162100" w:rsidP="00162100">
      <w:pPr>
        <w:numPr>
          <w:ilvl w:val="0"/>
          <w:numId w:val="3"/>
        </w:numPr>
        <w:spacing w:after="0" w:line="360" w:lineRule="auto"/>
        <w:jc w:val="both"/>
        <w:rPr>
          <w:rFonts w:ascii="Poppins" w:eastAsia="Poppins" w:hAnsi="Poppins" w:cs="Poppins"/>
          <w:color w:val="000000"/>
        </w:rPr>
      </w:pPr>
      <w:r>
        <w:rPr>
          <w:rFonts w:ascii="Poppins" w:eastAsia="Poppins" w:hAnsi="Poppins" w:cs="Poppins"/>
          <w:color w:val="000000"/>
          <w:sz w:val="20"/>
          <w:szCs w:val="20"/>
        </w:rPr>
        <w:t xml:space="preserve">Le </w:t>
      </w:r>
      <w:r>
        <w:rPr>
          <w:rFonts w:ascii="Poppins" w:eastAsia="Poppins" w:hAnsi="Poppins" w:cs="Poppins"/>
          <w:sz w:val="20"/>
          <w:szCs w:val="20"/>
        </w:rPr>
        <w:t>11 mars 2026</w:t>
      </w:r>
    </w:p>
    <w:p w:rsidR="00162100" w:rsidRDefault="00162100" w:rsidP="00162100">
      <w:pPr>
        <w:numPr>
          <w:ilvl w:val="0"/>
          <w:numId w:val="3"/>
        </w:numPr>
        <w:spacing w:after="0" w:line="360" w:lineRule="auto"/>
        <w:jc w:val="both"/>
        <w:rPr>
          <w:rFonts w:ascii="Poppins" w:eastAsia="Poppins" w:hAnsi="Poppins" w:cs="Poppins"/>
        </w:rPr>
      </w:pPr>
      <w:r>
        <w:rPr>
          <w:rFonts w:ascii="Poppins" w:eastAsia="Poppins" w:hAnsi="Poppins" w:cs="Poppins"/>
          <w:sz w:val="20"/>
          <w:szCs w:val="20"/>
        </w:rPr>
        <w:t>Le 24 mars 2026,</w:t>
      </w:r>
    </w:p>
    <w:p w:rsidR="00162100" w:rsidRDefault="00162100" w:rsidP="00162100">
      <w:pPr>
        <w:numPr>
          <w:ilvl w:val="0"/>
          <w:numId w:val="3"/>
        </w:numPr>
        <w:spacing w:after="0" w:line="360" w:lineRule="auto"/>
        <w:jc w:val="both"/>
        <w:rPr>
          <w:rFonts w:ascii="Poppins" w:eastAsia="Poppins" w:hAnsi="Poppins" w:cs="Poppins"/>
        </w:rPr>
      </w:pPr>
      <w:r>
        <w:rPr>
          <w:rFonts w:ascii="Poppins" w:eastAsia="Poppins" w:hAnsi="Poppins" w:cs="Poppins"/>
          <w:sz w:val="20"/>
          <w:szCs w:val="20"/>
        </w:rPr>
        <w:t>Le 7 avril 2026,</w:t>
      </w:r>
    </w:p>
    <w:p w:rsidR="00162100" w:rsidRDefault="00162100" w:rsidP="00162100">
      <w:pPr>
        <w:numPr>
          <w:ilvl w:val="0"/>
          <w:numId w:val="3"/>
        </w:numPr>
        <w:spacing w:after="0" w:line="360" w:lineRule="auto"/>
        <w:jc w:val="both"/>
        <w:rPr>
          <w:rFonts w:ascii="Poppins" w:eastAsia="Poppins" w:hAnsi="Poppins" w:cs="Poppins"/>
          <w:sz w:val="20"/>
          <w:szCs w:val="20"/>
        </w:rPr>
      </w:pPr>
      <w:r>
        <w:rPr>
          <w:rFonts w:ascii="Poppins" w:eastAsia="Poppins" w:hAnsi="Poppins" w:cs="Poppins"/>
          <w:sz w:val="20"/>
          <w:szCs w:val="20"/>
        </w:rPr>
        <w:t>Le 21 avril 2026</w:t>
      </w:r>
    </w:p>
    <w:p w:rsidR="00162100" w:rsidRDefault="00162100" w:rsidP="00162100">
      <w:pPr>
        <w:spacing w:after="0" w:line="360" w:lineRule="auto"/>
        <w:ind w:left="720"/>
        <w:jc w:val="both"/>
        <w:rPr>
          <w:rFonts w:ascii="Poppins" w:eastAsia="Poppins" w:hAnsi="Poppins" w:cs="Poppins"/>
          <w:sz w:val="20"/>
          <w:szCs w:val="20"/>
        </w:rPr>
      </w:pPr>
    </w:p>
    <w:p w:rsidR="00162100" w:rsidRDefault="00162100" w:rsidP="00162100">
      <w:pPr>
        <w:spacing w:after="0" w:line="360" w:lineRule="auto"/>
        <w:jc w:val="both"/>
        <w:rPr>
          <w:rFonts w:ascii="Poppins" w:eastAsia="Poppins" w:hAnsi="Poppins" w:cs="Poppins"/>
          <w:color w:val="000000"/>
          <w:sz w:val="20"/>
          <w:szCs w:val="20"/>
        </w:rPr>
      </w:pPr>
      <w:r>
        <w:rPr>
          <w:rFonts w:ascii="Poppins" w:eastAsia="Poppins" w:hAnsi="Poppins" w:cs="Poppins"/>
          <w:color w:val="000000"/>
          <w:sz w:val="20"/>
          <w:szCs w:val="20"/>
        </w:rPr>
        <w:t>A l’issue de la dernière réunion de négociation, il a été convenu ce qui suit :</w:t>
      </w:r>
    </w:p>
    <w:p w:rsidR="00162100" w:rsidRDefault="00162100" w:rsidP="00162100">
      <w:pPr>
        <w:spacing w:after="0" w:line="360"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color w:val="E10078"/>
          <w:sz w:val="20"/>
          <w:szCs w:val="20"/>
        </w:rPr>
        <w:t>Article 1 : Les bénéficiaires de la prime mensuelle logistique</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Les bénéficiaires de la prime mensuelle logistique sont les</w:t>
      </w:r>
      <w:r>
        <w:rPr>
          <w:rFonts w:ascii="Poppins" w:eastAsia="Poppins" w:hAnsi="Poppins" w:cs="Poppins"/>
          <w:sz w:val="20"/>
          <w:szCs w:val="20"/>
        </w:rPr>
        <w:t xml:space="preserve"> </w:t>
      </w:r>
      <w:r>
        <w:rPr>
          <w:rFonts w:ascii="Poppins" w:eastAsia="Poppins" w:hAnsi="Poppins" w:cs="Poppins"/>
          <w:color w:val="000000"/>
          <w:sz w:val="20"/>
          <w:szCs w:val="20"/>
        </w:rPr>
        <w:t>collaborateurs de la société vente-</w:t>
      </w:r>
      <w:proofErr w:type="spellStart"/>
      <w:r>
        <w:rPr>
          <w:rFonts w:ascii="Poppins" w:eastAsia="Poppins" w:hAnsi="Poppins" w:cs="Poppins"/>
          <w:color w:val="000000"/>
          <w:sz w:val="20"/>
          <w:szCs w:val="20"/>
        </w:rPr>
        <w:t>privee</w:t>
      </w:r>
      <w:proofErr w:type="spellEnd"/>
      <w:r>
        <w:rPr>
          <w:rFonts w:ascii="Poppins" w:eastAsia="Poppins" w:hAnsi="Poppins" w:cs="Poppins"/>
          <w:color w:val="000000"/>
          <w:sz w:val="20"/>
          <w:szCs w:val="20"/>
        </w:rPr>
        <w:t xml:space="preserve"> Logistique, quelle que soit leur ancienneté</w:t>
      </w:r>
      <w:r>
        <w:rPr>
          <w:rFonts w:ascii="Poppins" w:eastAsia="Poppins" w:hAnsi="Poppins" w:cs="Poppins"/>
          <w:sz w:val="20"/>
          <w:szCs w:val="20"/>
        </w:rPr>
        <w:t xml:space="preserve"> faisant partie du personnel de production </w:t>
      </w:r>
      <w:r>
        <w:rPr>
          <w:rFonts w:ascii="Poppins" w:eastAsia="Poppins" w:hAnsi="Poppins" w:cs="Poppins"/>
          <w:color w:val="000000"/>
          <w:sz w:val="20"/>
          <w:szCs w:val="20"/>
        </w:rPr>
        <w:t xml:space="preserve">(sites du </w:t>
      </w:r>
      <w:r>
        <w:rPr>
          <w:rFonts w:ascii="Poppins" w:eastAsia="Poppins" w:hAnsi="Poppins" w:cs="Poppins"/>
          <w:sz w:val="20"/>
          <w:szCs w:val="20"/>
        </w:rPr>
        <w:t>Blanc-Mesnil</w:t>
      </w:r>
      <w:r>
        <w:rPr>
          <w:rFonts w:ascii="Poppins" w:eastAsia="Poppins" w:hAnsi="Poppins" w:cs="Poppins"/>
          <w:color w:val="000000"/>
          <w:sz w:val="20"/>
          <w:szCs w:val="20"/>
        </w:rPr>
        <w:t xml:space="preserve">, de </w:t>
      </w:r>
      <w:r>
        <w:rPr>
          <w:rFonts w:ascii="Poppins" w:eastAsia="Poppins" w:hAnsi="Poppins" w:cs="Poppins"/>
          <w:sz w:val="20"/>
          <w:szCs w:val="20"/>
        </w:rPr>
        <w:t>Mitry-Mory</w:t>
      </w:r>
      <w:r>
        <w:rPr>
          <w:rFonts w:ascii="Poppins" w:eastAsia="Poppins" w:hAnsi="Poppins" w:cs="Poppins"/>
          <w:color w:val="000000"/>
          <w:sz w:val="20"/>
          <w:szCs w:val="20"/>
        </w:rPr>
        <w:t xml:space="preserve">, de </w:t>
      </w:r>
      <w:r>
        <w:rPr>
          <w:rFonts w:ascii="Poppins" w:eastAsia="Poppins" w:hAnsi="Poppins" w:cs="Poppins"/>
          <w:sz w:val="20"/>
          <w:szCs w:val="20"/>
        </w:rPr>
        <w:t>Lyon 1, Lyon 2, Lyon 3,</w:t>
      </w:r>
      <w:r>
        <w:rPr>
          <w:rFonts w:ascii="Poppins" w:eastAsia="Poppins" w:hAnsi="Poppins" w:cs="Poppins"/>
          <w:color w:val="000000"/>
          <w:sz w:val="20"/>
          <w:szCs w:val="20"/>
        </w:rPr>
        <w:t xml:space="preserve"> Lyon 4 et de Beaune). </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A savoir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4"/>
        </w:numPr>
        <w:spacing w:after="0" w:line="276" w:lineRule="auto"/>
        <w:jc w:val="both"/>
        <w:rPr>
          <w:rFonts w:ascii="Poppins" w:eastAsia="Poppins" w:hAnsi="Poppins" w:cs="Poppins"/>
          <w:color w:val="000000"/>
        </w:rPr>
      </w:pPr>
      <w:r>
        <w:rPr>
          <w:rFonts w:ascii="Poppins" w:eastAsia="Poppins" w:hAnsi="Poppins" w:cs="Poppins"/>
          <w:color w:val="000000"/>
          <w:sz w:val="20"/>
          <w:szCs w:val="20"/>
        </w:rPr>
        <w:t>Les préparateurs de commandes,</w:t>
      </w:r>
      <w:r>
        <w:rPr>
          <w:rFonts w:ascii="Poppins" w:eastAsia="Poppins" w:hAnsi="Poppins" w:cs="Poppins"/>
          <w:sz w:val="20"/>
          <w:szCs w:val="20"/>
        </w:rPr>
        <w:t xml:space="preserve"> les préparateurs de commandes-caristes, </w:t>
      </w:r>
      <w:r>
        <w:rPr>
          <w:rFonts w:ascii="Poppins" w:eastAsia="Poppins" w:hAnsi="Poppins" w:cs="Poppins"/>
          <w:color w:val="000000"/>
          <w:sz w:val="20"/>
          <w:szCs w:val="20"/>
        </w:rPr>
        <w:t>les caristes</w:t>
      </w:r>
      <w:r>
        <w:rPr>
          <w:rFonts w:ascii="Poppins" w:eastAsia="Poppins" w:hAnsi="Poppins" w:cs="Poppins"/>
          <w:sz w:val="20"/>
          <w:szCs w:val="20"/>
        </w:rPr>
        <w:t xml:space="preserve"> et les assistants logistique, </w:t>
      </w:r>
    </w:p>
    <w:p w:rsidR="00162100" w:rsidRDefault="00162100" w:rsidP="00162100">
      <w:pPr>
        <w:numPr>
          <w:ilvl w:val="0"/>
          <w:numId w:val="4"/>
        </w:numPr>
        <w:spacing w:after="0" w:line="276" w:lineRule="auto"/>
        <w:jc w:val="both"/>
        <w:rPr>
          <w:rFonts w:ascii="Poppins" w:eastAsia="Poppins" w:hAnsi="Poppins" w:cs="Poppins"/>
          <w:color w:val="000000"/>
        </w:rPr>
      </w:pPr>
      <w:r>
        <w:rPr>
          <w:rFonts w:ascii="Poppins" w:eastAsia="Poppins" w:hAnsi="Poppins" w:cs="Poppins"/>
          <w:color w:val="000000"/>
          <w:sz w:val="20"/>
          <w:szCs w:val="20"/>
        </w:rPr>
        <w:t xml:space="preserve">Les préparateurs pro et les techniciens de maintenance, </w:t>
      </w:r>
    </w:p>
    <w:p w:rsidR="00162100" w:rsidRDefault="00162100" w:rsidP="00162100">
      <w:pPr>
        <w:numPr>
          <w:ilvl w:val="0"/>
          <w:numId w:val="4"/>
        </w:numPr>
        <w:spacing w:after="0" w:line="276" w:lineRule="auto"/>
        <w:jc w:val="both"/>
        <w:rPr>
          <w:rFonts w:ascii="Poppins" w:eastAsia="Poppins" w:hAnsi="Poppins" w:cs="Poppins"/>
          <w:color w:val="000000"/>
        </w:rPr>
      </w:pPr>
      <w:r>
        <w:rPr>
          <w:rFonts w:ascii="Poppins" w:eastAsia="Poppins" w:hAnsi="Poppins" w:cs="Poppins"/>
          <w:color w:val="000000"/>
          <w:sz w:val="20"/>
          <w:szCs w:val="20"/>
        </w:rPr>
        <w:t xml:space="preserve">Les chefs d’équipe logistique et les chefs d’équipe maintenance. </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color w:val="E10078"/>
          <w:sz w:val="20"/>
          <w:szCs w:val="20"/>
        </w:rPr>
        <w:t xml:space="preserve">Article 2 : Le montant de la prime mensuelle logistique </w:t>
      </w:r>
    </w:p>
    <w:p w:rsidR="00162100" w:rsidRDefault="00162100" w:rsidP="00162100">
      <w:pPr>
        <w:spacing w:after="0" w:line="276" w:lineRule="auto"/>
        <w:jc w:val="both"/>
        <w:rPr>
          <w:rFonts w:ascii="Poppins" w:eastAsia="Poppins" w:hAnsi="Poppins" w:cs="Poppins"/>
          <w:color w:val="000000"/>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Il est convenu de majorer le montant des primes mensuelles logistiques établi à l’article 2.2.3 de l’accord conclu dans le cadre des Négociations Annuelles Obligatoires 2026 en date du    6 janvier 2026, et ce à hauteur de 2%. </w:t>
      </w: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Les montants de la prime mensuelle Logistique sont désormais les suivants :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6"/>
        </w:numPr>
        <w:spacing w:after="0" w:line="276" w:lineRule="auto"/>
        <w:jc w:val="both"/>
        <w:rPr>
          <w:rFonts w:ascii="Poppins" w:eastAsia="Poppins" w:hAnsi="Poppins" w:cs="Poppins"/>
          <w:color w:val="000000"/>
        </w:rPr>
      </w:pPr>
      <w:r>
        <w:rPr>
          <w:rFonts w:ascii="Poppins" w:eastAsia="Poppins" w:hAnsi="Poppins" w:cs="Poppins"/>
          <w:sz w:val="20"/>
          <w:szCs w:val="20"/>
        </w:rPr>
        <w:t>204</w:t>
      </w:r>
      <w:r>
        <w:rPr>
          <w:rFonts w:ascii="Poppins" w:eastAsia="Poppins" w:hAnsi="Poppins" w:cs="Poppins"/>
          <w:color w:val="000000"/>
          <w:sz w:val="20"/>
          <w:szCs w:val="20"/>
        </w:rPr>
        <w:t xml:space="preserve"> euros bruts mensuels pour les préparateurs de commandes</w:t>
      </w:r>
      <w:r>
        <w:rPr>
          <w:rFonts w:ascii="Poppins" w:eastAsia="Poppins" w:hAnsi="Poppins" w:cs="Poppins"/>
          <w:sz w:val="20"/>
          <w:szCs w:val="20"/>
        </w:rPr>
        <w:t>, les préparateurs de commandes-caristes,</w:t>
      </w:r>
      <w:r>
        <w:rPr>
          <w:rFonts w:ascii="Poppins" w:eastAsia="Poppins" w:hAnsi="Poppins" w:cs="Poppins"/>
          <w:color w:val="000000"/>
          <w:sz w:val="20"/>
          <w:szCs w:val="20"/>
        </w:rPr>
        <w:t xml:space="preserve"> les caristes</w:t>
      </w:r>
      <w:r>
        <w:rPr>
          <w:rFonts w:ascii="Poppins" w:eastAsia="Poppins" w:hAnsi="Poppins" w:cs="Poppins"/>
          <w:sz w:val="20"/>
          <w:szCs w:val="20"/>
        </w:rPr>
        <w:t xml:space="preserve"> et les assistants logistiques,</w:t>
      </w:r>
    </w:p>
    <w:p w:rsidR="00162100" w:rsidRDefault="00162100" w:rsidP="00162100">
      <w:pPr>
        <w:numPr>
          <w:ilvl w:val="0"/>
          <w:numId w:val="6"/>
        </w:numPr>
        <w:spacing w:after="0" w:line="276" w:lineRule="auto"/>
        <w:jc w:val="both"/>
        <w:rPr>
          <w:rFonts w:ascii="Poppins" w:eastAsia="Poppins" w:hAnsi="Poppins" w:cs="Poppins"/>
          <w:color w:val="000000"/>
        </w:rPr>
      </w:pPr>
      <w:r>
        <w:rPr>
          <w:rFonts w:ascii="Poppins" w:eastAsia="Poppins" w:hAnsi="Poppins" w:cs="Poppins"/>
          <w:sz w:val="20"/>
          <w:szCs w:val="20"/>
        </w:rPr>
        <w:t xml:space="preserve">214,20 </w:t>
      </w:r>
      <w:r>
        <w:rPr>
          <w:rFonts w:ascii="Poppins" w:eastAsia="Poppins" w:hAnsi="Poppins" w:cs="Poppins"/>
          <w:color w:val="000000"/>
          <w:sz w:val="20"/>
          <w:szCs w:val="20"/>
        </w:rPr>
        <w:t>euros bruts mensuels pour les préparateurs pro et les techniciens de maintenance,</w:t>
      </w:r>
    </w:p>
    <w:p w:rsidR="00162100" w:rsidRDefault="00162100" w:rsidP="00162100">
      <w:pPr>
        <w:numPr>
          <w:ilvl w:val="0"/>
          <w:numId w:val="6"/>
        </w:numPr>
        <w:spacing w:after="0" w:line="276" w:lineRule="auto"/>
        <w:jc w:val="both"/>
        <w:rPr>
          <w:rFonts w:ascii="Poppins" w:eastAsia="Poppins" w:hAnsi="Poppins" w:cs="Poppins"/>
          <w:color w:val="000000"/>
        </w:rPr>
      </w:pPr>
      <w:r>
        <w:rPr>
          <w:rFonts w:ascii="Poppins" w:eastAsia="Poppins" w:hAnsi="Poppins" w:cs="Poppins"/>
          <w:sz w:val="20"/>
          <w:szCs w:val="20"/>
        </w:rPr>
        <w:t>275,40</w:t>
      </w:r>
      <w:r>
        <w:rPr>
          <w:rFonts w:ascii="Poppins" w:eastAsia="Poppins" w:hAnsi="Poppins" w:cs="Poppins"/>
          <w:color w:val="000000"/>
          <w:sz w:val="20"/>
          <w:szCs w:val="20"/>
        </w:rPr>
        <w:t xml:space="preserve"> euros bruts mensuels pour les chefs d’équipe logistique et les chefs d’équipe maintenance</w:t>
      </w:r>
      <w:r>
        <w:rPr>
          <w:rFonts w:ascii="Poppins" w:eastAsia="Poppins" w:hAnsi="Poppins" w:cs="Poppins"/>
          <w:sz w:val="20"/>
          <w:szCs w:val="20"/>
        </w:rPr>
        <w:t>.</w:t>
      </w:r>
    </w:p>
    <w:p w:rsidR="00162100" w:rsidRDefault="00162100" w:rsidP="00162100">
      <w:pPr>
        <w:spacing w:after="0" w:line="276" w:lineRule="auto"/>
        <w:ind w:left="720"/>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color w:val="E10078"/>
          <w:sz w:val="20"/>
          <w:szCs w:val="20"/>
        </w:rPr>
        <w:t xml:space="preserve">Article 3 :  </w:t>
      </w:r>
      <w:proofErr w:type="spellStart"/>
      <w:r>
        <w:rPr>
          <w:rFonts w:ascii="Poppins" w:eastAsia="Poppins" w:hAnsi="Poppins" w:cs="Poppins"/>
          <w:b/>
          <w:bCs/>
          <w:color w:val="E10078"/>
          <w:sz w:val="20"/>
          <w:szCs w:val="20"/>
        </w:rPr>
        <w:t>Proratisation</w:t>
      </w:r>
      <w:proofErr w:type="spellEnd"/>
      <w:r>
        <w:rPr>
          <w:rFonts w:ascii="Poppins" w:eastAsia="Poppins" w:hAnsi="Poppins" w:cs="Poppins"/>
          <w:b/>
          <w:bCs/>
          <w:color w:val="E10078"/>
          <w:sz w:val="20"/>
          <w:szCs w:val="20"/>
        </w:rPr>
        <w:t xml:space="preserve"> de la prime mensuelle logistique </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lastRenderedPageBreak/>
        <w:t>Le versement de la prime mensuelle logistique est conditionné à la présence effective du salarié dans l’entreprise.</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Le temps de présence est calculé en jours ouvrés.</w:t>
      </w: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 </w:t>
      </w: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Une </w:t>
      </w:r>
      <w:proofErr w:type="spellStart"/>
      <w:r>
        <w:rPr>
          <w:rFonts w:ascii="Poppins" w:eastAsia="Poppins" w:hAnsi="Poppins" w:cs="Poppins"/>
          <w:sz w:val="20"/>
          <w:szCs w:val="20"/>
        </w:rPr>
        <w:t>proratisation</w:t>
      </w:r>
      <w:proofErr w:type="spellEnd"/>
      <w:r>
        <w:rPr>
          <w:rFonts w:ascii="Poppins" w:eastAsia="Poppins" w:hAnsi="Poppins" w:cs="Poppins"/>
          <w:sz w:val="20"/>
          <w:szCs w:val="20"/>
        </w:rPr>
        <w:t xml:space="preserve"> en fonction du nombre de jours d’absence consécutifs ou non (hors absences pour congés payés,</w:t>
      </w:r>
      <w:r>
        <w:rPr>
          <w:rFonts w:ascii="Poppins" w:eastAsia="Poppins" w:hAnsi="Poppins" w:cs="Poppins"/>
          <w:color w:val="212529"/>
          <w:sz w:val="20"/>
          <w:szCs w:val="20"/>
        </w:rPr>
        <w:t xml:space="preserve"> JOFF, congés pour événements familiaux et congés de maternité, de paternité ou d’adoption) se</w:t>
      </w:r>
      <w:r>
        <w:rPr>
          <w:rFonts w:ascii="Poppins" w:eastAsia="Poppins" w:hAnsi="Poppins" w:cs="Poppins"/>
          <w:sz w:val="20"/>
          <w:szCs w:val="20"/>
        </w:rPr>
        <w:t xml:space="preserve">ra appliquée sur le montant de la prime mensuelle. </w:t>
      </w:r>
    </w:p>
    <w:p w:rsidR="00162100" w:rsidRDefault="00162100" w:rsidP="00162100">
      <w:pPr>
        <w:keepNext/>
        <w:keepLines/>
        <w:pBdr>
          <w:top w:val="nil"/>
          <w:left w:val="nil"/>
          <w:bottom w:val="nil"/>
          <w:right w:val="nil"/>
          <w:between w:val="nil"/>
        </w:pBdr>
        <w:spacing w:before="240" w:after="240" w:line="276" w:lineRule="auto"/>
        <w:jc w:val="both"/>
        <w:rPr>
          <w:rFonts w:ascii="Poppins" w:eastAsia="Poppins" w:hAnsi="Poppins" w:cs="Poppins"/>
          <w:b/>
          <w:bCs/>
          <w:color w:val="000000"/>
          <w:sz w:val="20"/>
          <w:szCs w:val="20"/>
        </w:rPr>
      </w:pPr>
      <w:bookmarkStart w:id="1" w:name="_heading=h.oc79ld42dbgh" w:colFirst="0" w:colLast="0"/>
      <w:bookmarkEnd w:id="1"/>
      <w:r>
        <w:rPr>
          <w:rFonts w:ascii="Poppins" w:eastAsia="Poppins" w:hAnsi="Poppins" w:cs="Poppins"/>
          <w:color w:val="000000"/>
          <w:sz w:val="20"/>
          <w:szCs w:val="20"/>
        </w:rPr>
        <w:t>En cas d’entrée ou de sortie du salarié d</w:t>
      </w:r>
      <w:r>
        <w:rPr>
          <w:rFonts w:ascii="Poppins" w:eastAsia="Poppins" w:hAnsi="Poppins" w:cs="Poppins"/>
          <w:sz w:val="20"/>
          <w:szCs w:val="20"/>
        </w:rPr>
        <w:t>es effectifs</w:t>
      </w:r>
      <w:r>
        <w:rPr>
          <w:rFonts w:ascii="Poppins" w:eastAsia="Poppins" w:hAnsi="Poppins" w:cs="Poppins"/>
          <w:color w:val="000000"/>
          <w:sz w:val="20"/>
          <w:szCs w:val="20"/>
        </w:rPr>
        <w:t xml:space="preserve"> en cours de mois, le montant de la prime mensuelle logistique sera proratisé</w:t>
      </w:r>
      <w:r>
        <w:rPr>
          <w:rFonts w:ascii="Poppins" w:eastAsia="Poppins" w:hAnsi="Poppins" w:cs="Poppins"/>
          <w:i/>
          <w:iCs/>
          <w:color w:val="000000"/>
          <w:sz w:val="20"/>
          <w:szCs w:val="20"/>
        </w:rPr>
        <w:t>.</w:t>
      </w: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color w:val="E10078"/>
          <w:sz w:val="20"/>
          <w:szCs w:val="20"/>
        </w:rPr>
        <w:t>Article 4 : Les modalités de calcul de la prime mensuelle logistique</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color w:val="000000"/>
          <w:sz w:val="20"/>
          <w:szCs w:val="20"/>
        </w:rPr>
        <w:t>Article 4.1 : Pour les préparateurs de commande</w:t>
      </w:r>
      <w:r>
        <w:rPr>
          <w:rFonts w:ascii="Poppins" w:eastAsia="Poppins" w:hAnsi="Poppins" w:cs="Poppins"/>
          <w:b/>
          <w:bCs/>
          <w:sz w:val="20"/>
          <w:szCs w:val="20"/>
        </w:rPr>
        <w:t>s, les préparateurs de commandes-caristes, caris</w:t>
      </w:r>
      <w:r>
        <w:rPr>
          <w:rFonts w:ascii="Poppins" w:eastAsia="Poppins" w:hAnsi="Poppins" w:cs="Poppins"/>
          <w:b/>
          <w:bCs/>
          <w:color w:val="000000"/>
          <w:sz w:val="20"/>
          <w:szCs w:val="20"/>
        </w:rPr>
        <w:t xml:space="preserve">tes et préparateurs pro </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before="40" w:after="0" w:line="276" w:lineRule="auto"/>
        <w:jc w:val="both"/>
        <w:rPr>
          <w:rFonts w:ascii="Poppins" w:eastAsia="Poppins" w:hAnsi="Poppins" w:cs="Poppins"/>
          <w:b/>
          <w:bCs/>
          <w:sz w:val="20"/>
          <w:szCs w:val="20"/>
        </w:rPr>
      </w:pPr>
      <w:r>
        <w:rPr>
          <w:rFonts w:ascii="Poppins" w:eastAsia="Poppins" w:hAnsi="Poppins" w:cs="Poppins"/>
          <w:b/>
          <w:bCs/>
          <w:color w:val="666666"/>
          <w:sz w:val="20"/>
          <w:szCs w:val="20"/>
        </w:rPr>
        <w:t>Article 4.1.1 Les critères de performances collectives (40%)</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Les critères de performances collectives reposent sur des objectifs de qualité et de productivité du site.</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La répartition entre ces deux objectifs s’effectue comme suit :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9"/>
        </w:numPr>
        <w:spacing w:after="0" w:line="276" w:lineRule="auto"/>
        <w:jc w:val="both"/>
        <w:rPr>
          <w:rFonts w:ascii="Poppins" w:eastAsia="Poppins" w:hAnsi="Poppins" w:cs="Poppins"/>
          <w:color w:val="000000"/>
        </w:rPr>
      </w:pPr>
      <w:r>
        <w:rPr>
          <w:rFonts w:ascii="Poppins" w:eastAsia="Poppins" w:hAnsi="Poppins" w:cs="Poppins"/>
          <w:color w:val="000000"/>
          <w:sz w:val="20"/>
          <w:szCs w:val="20"/>
        </w:rPr>
        <w:t>20% de la performance repose sur des objectifs de qualité, dont la communication est faite par site et par voie d’affichage.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1"/>
        </w:numPr>
        <w:spacing w:line="276" w:lineRule="auto"/>
        <w:jc w:val="both"/>
        <w:rPr>
          <w:rFonts w:ascii="Poppins" w:eastAsia="Poppins" w:hAnsi="Poppins" w:cs="Poppins"/>
          <w:color w:val="000000"/>
        </w:rPr>
      </w:pPr>
      <w:r>
        <w:rPr>
          <w:rFonts w:ascii="Poppins" w:eastAsia="Poppins" w:hAnsi="Poppins" w:cs="Poppins"/>
          <w:color w:val="000000"/>
          <w:sz w:val="20"/>
          <w:szCs w:val="20"/>
        </w:rPr>
        <w:t xml:space="preserve">20% de la performance repose sur des objectifs de productivité du site </w:t>
      </w:r>
      <w:r>
        <w:rPr>
          <w:rFonts w:ascii="Poppins" w:eastAsia="Poppins" w:hAnsi="Poppins" w:cs="Poppins"/>
          <w:sz w:val="20"/>
          <w:szCs w:val="20"/>
        </w:rPr>
        <w:t>ou de flux selon les typologies de productions</w:t>
      </w:r>
      <w:r>
        <w:rPr>
          <w:rFonts w:ascii="Poppins" w:eastAsia="Poppins" w:hAnsi="Poppins" w:cs="Poppins"/>
          <w:color w:val="000000"/>
          <w:sz w:val="20"/>
          <w:szCs w:val="20"/>
        </w:rPr>
        <w:t xml:space="preserve"> dont la communication est faite par site et par voie d’affichage. Les objectifs de productivité peuvent donc être différents d’un site à un autre. Si le mix produit est favorable ou défavorable, la Direction Logistique se réserve le droit de réajuster le montant de la prime versée.</w:t>
      </w: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Les objectifs de qualité par sites reposent sur le contrôle des colis : nombre de pièces, références, libellés et qualification des produits.</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Les colis contrôlés peuvent être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12"/>
        </w:numPr>
        <w:spacing w:after="0" w:line="276" w:lineRule="auto"/>
        <w:jc w:val="both"/>
        <w:rPr>
          <w:rFonts w:ascii="Poppins" w:eastAsia="Poppins" w:hAnsi="Poppins" w:cs="Poppins"/>
          <w:color w:val="000000"/>
        </w:rPr>
      </w:pPr>
      <w:proofErr w:type="gramStart"/>
      <w:r>
        <w:rPr>
          <w:rFonts w:ascii="Poppins" w:eastAsia="Poppins" w:hAnsi="Poppins" w:cs="Poppins"/>
          <w:color w:val="000000"/>
          <w:sz w:val="20"/>
          <w:szCs w:val="20"/>
        </w:rPr>
        <w:t>des</w:t>
      </w:r>
      <w:proofErr w:type="gramEnd"/>
      <w:r>
        <w:rPr>
          <w:rFonts w:ascii="Poppins" w:eastAsia="Poppins" w:hAnsi="Poppins" w:cs="Poppins"/>
          <w:color w:val="000000"/>
          <w:sz w:val="20"/>
          <w:szCs w:val="20"/>
        </w:rPr>
        <w:t xml:space="preserve"> colis membres contrôlés pour les sites de production : vérification des quantités, des références et des libellés, dont le taux de satisfaction doit être de 99.8%.</w:t>
      </w:r>
    </w:p>
    <w:p w:rsidR="00162100" w:rsidRDefault="00162100" w:rsidP="00162100">
      <w:pPr>
        <w:numPr>
          <w:ilvl w:val="0"/>
          <w:numId w:val="12"/>
        </w:numPr>
        <w:spacing w:after="0" w:line="276" w:lineRule="auto"/>
        <w:jc w:val="both"/>
        <w:rPr>
          <w:rFonts w:ascii="Poppins" w:eastAsia="Poppins" w:hAnsi="Poppins" w:cs="Poppins"/>
          <w:color w:val="000000"/>
        </w:rPr>
      </w:pPr>
      <w:proofErr w:type="gramStart"/>
      <w:r>
        <w:rPr>
          <w:rFonts w:ascii="Poppins" w:eastAsia="Poppins" w:hAnsi="Poppins" w:cs="Poppins"/>
          <w:color w:val="000000"/>
          <w:sz w:val="20"/>
          <w:szCs w:val="20"/>
        </w:rPr>
        <w:t>des</w:t>
      </w:r>
      <w:proofErr w:type="gramEnd"/>
      <w:r>
        <w:rPr>
          <w:rFonts w:ascii="Poppins" w:eastAsia="Poppins" w:hAnsi="Poppins" w:cs="Poppins"/>
          <w:color w:val="000000"/>
          <w:sz w:val="20"/>
          <w:szCs w:val="20"/>
        </w:rPr>
        <w:t xml:space="preserve"> colis remboursement : vérification des quantités, des références, des libellés et de la qualification des produits dont le taux de satisfaction doit être de 99.8%.</w:t>
      </w:r>
    </w:p>
    <w:p w:rsidR="00162100" w:rsidRDefault="00162100" w:rsidP="00162100">
      <w:pPr>
        <w:numPr>
          <w:ilvl w:val="0"/>
          <w:numId w:val="12"/>
        </w:numPr>
        <w:spacing w:after="0" w:line="276" w:lineRule="auto"/>
        <w:jc w:val="both"/>
        <w:rPr>
          <w:rFonts w:ascii="Poppins" w:eastAsia="Poppins" w:hAnsi="Poppins" w:cs="Poppins"/>
          <w:color w:val="000000"/>
        </w:rPr>
      </w:pPr>
      <w:proofErr w:type="gramStart"/>
      <w:r>
        <w:rPr>
          <w:rFonts w:ascii="Poppins" w:eastAsia="Poppins" w:hAnsi="Poppins" w:cs="Poppins"/>
          <w:color w:val="000000"/>
          <w:sz w:val="20"/>
          <w:szCs w:val="20"/>
        </w:rPr>
        <w:t>des</w:t>
      </w:r>
      <w:proofErr w:type="gramEnd"/>
      <w:r>
        <w:rPr>
          <w:rFonts w:ascii="Poppins" w:eastAsia="Poppins" w:hAnsi="Poppins" w:cs="Poppins"/>
          <w:color w:val="000000"/>
          <w:sz w:val="20"/>
          <w:szCs w:val="20"/>
        </w:rPr>
        <w:t xml:space="preserve"> colis envoyés à la marque pour le service retour B : vérification des quantités, des références et des libellés dont le taux de satisfaction doit être de 99.8%.</w:t>
      </w:r>
    </w:p>
    <w:p w:rsidR="00162100" w:rsidRDefault="00162100" w:rsidP="00162100">
      <w:pPr>
        <w:numPr>
          <w:ilvl w:val="0"/>
          <w:numId w:val="12"/>
        </w:numPr>
        <w:spacing w:line="276" w:lineRule="auto"/>
        <w:jc w:val="both"/>
        <w:rPr>
          <w:rFonts w:ascii="Poppins" w:eastAsia="Poppins" w:hAnsi="Poppins" w:cs="Poppins"/>
          <w:color w:val="000000"/>
        </w:rPr>
      </w:pPr>
      <w:proofErr w:type="gramStart"/>
      <w:r>
        <w:rPr>
          <w:rFonts w:ascii="Poppins" w:eastAsia="Poppins" w:hAnsi="Poppins" w:cs="Poppins"/>
          <w:color w:val="000000"/>
          <w:sz w:val="20"/>
          <w:szCs w:val="20"/>
        </w:rPr>
        <w:t>des</w:t>
      </w:r>
      <w:proofErr w:type="gramEnd"/>
      <w:r>
        <w:rPr>
          <w:rFonts w:ascii="Poppins" w:eastAsia="Poppins" w:hAnsi="Poppins" w:cs="Poppins"/>
          <w:color w:val="000000"/>
          <w:sz w:val="20"/>
          <w:szCs w:val="20"/>
        </w:rPr>
        <w:t xml:space="preserve"> colis pré-réception : vérification des quantités, des références et des libellés dont le taux de satisfaction doit être de 99.85%.</w:t>
      </w:r>
    </w:p>
    <w:p w:rsidR="00162100" w:rsidRDefault="00162100" w:rsidP="00162100">
      <w:pPr>
        <w:spacing w:before="40" w:after="0" w:line="276" w:lineRule="auto"/>
        <w:jc w:val="both"/>
        <w:rPr>
          <w:rFonts w:ascii="Poppins" w:eastAsia="Poppins" w:hAnsi="Poppins" w:cs="Poppins"/>
          <w:b/>
          <w:bCs/>
          <w:color w:val="666666"/>
          <w:sz w:val="20"/>
          <w:szCs w:val="20"/>
        </w:rPr>
      </w:pPr>
    </w:p>
    <w:p w:rsidR="00162100" w:rsidRDefault="00162100" w:rsidP="00162100">
      <w:pPr>
        <w:spacing w:before="40" w:after="0" w:line="276" w:lineRule="auto"/>
        <w:jc w:val="both"/>
        <w:rPr>
          <w:rFonts w:ascii="Poppins" w:eastAsia="Poppins" w:hAnsi="Poppins" w:cs="Poppins"/>
          <w:b/>
          <w:bCs/>
          <w:sz w:val="20"/>
          <w:szCs w:val="20"/>
        </w:rPr>
      </w:pPr>
      <w:r>
        <w:rPr>
          <w:rFonts w:ascii="Poppins" w:eastAsia="Poppins" w:hAnsi="Poppins" w:cs="Poppins"/>
          <w:b/>
          <w:bCs/>
          <w:color w:val="666666"/>
          <w:sz w:val="20"/>
          <w:szCs w:val="20"/>
        </w:rPr>
        <w:t>Article 4.1.2 : Les critères de performances individuelles (60%)</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Les critères de performances individuelles reposent sur des objectifs de productivité individuelle et des objectifs managériaux.</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lastRenderedPageBreak/>
        <w:t>La répartition entre ces deux objectifs s’effectue comme suit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5"/>
        </w:numPr>
        <w:spacing w:after="0" w:line="276" w:lineRule="auto"/>
        <w:jc w:val="both"/>
        <w:rPr>
          <w:rFonts w:ascii="Poppins" w:eastAsia="Poppins" w:hAnsi="Poppins" w:cs="Poppins"/>
          <w:color w:val="000000"/>
        </w:rPr>
      </w:pPr>
      <w:r>
        <w:rPr>
          <w:rFonts w:ascii="Poppins" w:eastAsia="Poppins" w:hAnsi="Poppins" w:cs="Poppins"/>
          <w:sz w:val="20"/>
          <w:szCs w:val="20"/>
        </w:rPr>
        <w:t>60</w:t>
      </w:r>
      <w:r>
        <w:rPr>
          <w:rFonts w:ascii="Poppins" w:eastAsia="Poppins" w:hAnsi="Poppins" w:cs="Poppins"/>
          <w:color w:val="000000"/>
          <w:sz w:val="20"/>
          <w:szCs w:val="20"/>
        </w:rPr>
        <w:t>% des performances individuelles reposent sur des objectifs de productivité individuelle. </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La productivité individuelle est calculée en fonction des objectifs du site logistique. Ces objectifs peuvent donc être différents d’un site à un autre et d’un service à un autre. </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 xml:space="preserve">Il est précisé que la productivité individuelle est évaluée sur une durée d’au moins 20% du temps de travail effectif sur la période concernée. Dans l’éventualité où la productivité individuelle ne peut être déterminée et donc évaluée sur une durée d’au moins 20% du temps de travail effectif, la productivité du service sera appliquée. </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 xml:space="preserve">En cas de cumul d’activités éligibles à la prime individuelle, </w:t>
      </w:r>
      <w:r>
        <w:rPr>
          <w:rFonts w:ascii="Poppins" w:eastAsia="Poppins" w:hAnsi="Poppins" w:cs="Poppins"/>
          <w:sz w:val="20"/>
          <w:szCs w:val="20"/>
        </w:rPr>
        <w:t xml:space="preserve">les productivités </w:t>
      </w:r>
      <w:proofErr w:type="gramStart"/>
      <w:r>
        <w:rPr>
          <w:rFonts w:ascii="Poppins" w:eastAsia="Poppins" w:hAnsi="Poppins" w:cs="Poppins"/>
          <w:sz w:val="20"/>
          <w:szCs w:val="20"/>
        </w:rPr>
        <w:t>individuelles  seront</w:t>
      </w:r>
      <w:proofErr w:type="gramEnd"/>
      <w:r>
        <w:rPr>
          <w:rFonts w:ascii="Poppins" w:eastAsia="Poppins" w:hAnsi="Poppins" w:cs="Poppins"/>
          <w:sz w:val="20"/>
          <w:szCs w:val="20"/>
        </w:rPr>
        <w:t xml:space="preserve"> additionnées.</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 xml:space="preserve">Exemple 1 : </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de travail de l'activité 1 = 10 %</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de travail de l'activité 2 = 10%</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de travail de l'activité 3 = 10 %</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total de travail éligible à la prime individuelle = 30%.</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La productivité individuelle est appliquée</w:t>
      </w:r>
    </w:p>
    <w:p w:rsidR="00162100" w:rsidRDefault="00162100" w:rsidP="00162100">
      <w:pPr>
        <w:spacing w:after="0" w:line="342" w:lineRule="auto"/>
        <w:jc w:val="both"/>
        <w:rPr>
          <w:rFonts w:ascii="Roboto" w:eastAsia="Roboto" w:hAnsi="Roboto" w:cs="Roboto"/>
          <w:color w:val="444746"/>
          <w:sz w:val="21"/>
          <w:szCs w:val="21"/>
        </w:rPr>
      </w:pP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 xml:space="preserve">Exemple 2 : </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de travail de l'activité 1 = 10%</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 xml:space="preserve">Temps de travail de l'activité 2 = 5% </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de travail de l'activité 3 = 3%</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total de travail éligible à la prime individuelle = 18%.</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La productivité du service est appliquée.</w:t>
      </w:r>
    </w:p>
    <w:p w:rsidR="00162100" w:rsidRDefault="00162100" w:rsidP="00162100">
      <w:pPr>
        <w:spacing w:after="0" w:line="342" w:lineRule="auto"/>
        <w:jc w:val="both"/>
        <w:rPr>
          <w:rFonts w:ascii="Roboto" w:eastAsia="Roboto" w:hAnsi="Roboto" w:cs="Roboto"/>
          <w:color w:val="444746"/>
          <w:sz w:val="21"/>
          <w:szCs w:val="21"/>
        </w:rPr>
      </w:pP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 xml:space="preserve">Exemple 3 : </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de travail de l'activité 1 = 20%</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Aucune autre activité individuelle sur le mois</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Temps de travail éligible à la prime individuelle = 20%</w:t>
      </w:r>
    </w:p>
    <w:p w:rsidR="00162100" w:rsidRDefault="00162100" w:rsidP="00162100">
      <w:pPr>
        <w:spacing w:after="0" w:line="342" w:lineRule="auto"/>
        <w:jc w:val="both"/>
        <w:rPr>
          <w:rFonts w:ascii="Roboto" w:eastAsia="Roboto" w:hAnsi="Roboto" w:cs="Roboto"/>
          <w:color w:val="444746"/>
          <w:sz w:val="21"/>
          <w:szCs w:val="21"/>
        </w:rPr>
      </w:pPr>
      <w:r>
        <w:rPr>
          <w:rFonts w:ascii="Roboto" w:eastAsia="Roboto" w:hAnsi="Roboto" w:cs="Roboto"/>
          <w:color w:val="444746"/>
          <w:sz w:val="21"/>
          <w:szCs w:val="21"/>
        </w:rPr>
        <w:t>La productivité individuelle est appliquée</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rPr>
          <w:rFonts w:ascii="Poppins" w:eastAsia="Poppins" w:hAnsi="Poppins" w:cs="Poppins"/>
          <w:b/>
          <w:bCs/>
          <w:sz w:val="20"/>
          <w:szCs w:val="20"/>
        </w:rPr>
      </w:pPr>
      <w:r>
        <w:rPr>
          <w:rFonts w:ascii="Poppins" w:eastAsia="Poppins" w:hAnsi="Poppins" w:cs="Poppins"/>
          <w:b/>
          <w:bCs/>
          <w:sz w:val="20"/>
          <w:szCs w:val="20"/>
        </w:rPr>
        <w:t xml:space="preserve">Article 4.2 : Pour les assistants logistiques </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before="40" w:after="0" w:line="276" w:lineRule="auto"/>
        <w:jc w:val="both"/>
        <w:rPr>
          <w:rFonts w:ascii="Poppins" w:eastAsia="Poppins" w:hAnsi="Poppins" w:cs="Poppins"/>
          <w:b/>
          <w:bCs/>
          <w:sz w:val="20"/>
          <w:szCs w:val="20"/>
        </w:rPr>
      </w:pPr>
      <w:r>
        <w:rPr>
          <w:rFonts w:ascii="Poppins" w:eastAsia="Poppins" w:hAnsi="Poppins" w:cs="Poppins"/>
          <w:b/>
          <w:bCs/>
          <w:color w:val="666666"/>
          <w:sz w:val="20"/>
          <w:szCs w:val="20"/>
        </w:rPr>
        <w:t>Article 4.2.1 Les critères de performances collectives (50%)</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Les critères de performances collectives reposent sur des objectifs de productivité du site, à hauteur de : </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numPr>
          <w:ilvl w:val="0"/>
          <w:numId w:val="1"/>
        </w:numPr>
        <w:spacing w:line="276" w:lineRule="auto"/>
        <w:jc w:val="both"/>
        <w:rPr>
          <w:rFonts w:ascii="Poppins" w:eastAsia="Poppins" w:hAnsi="Poppins" w:cs="Poppins"/>
        </w:rPr>
      </w:pPr>
      <w:r>
        <w:rPr>
          <w:rFonts w:ascii="Poppins" w:eastAsia="Poppins" w:hAnsi="Poppins" w:cs="Poppins"/>
          <w:sz w:val="20"/>
          <w:szCs w:val="20"/>
        </w:rPr>
        <w:t xml:space="preserve">50% de la performance repose sur des objectifs de productivité du site ou de flux selon les typologies de </w:t>
      </w:r>
      <w:proofErr w:type="gramStart"/>
      <w:r>
        <w:rPr>
          <w:rFonts w:ascii="Poppins" w:eastAsia="Poppins" w:hAnsi="Poppins" w:cs="Poppins"/>
          <w:sz w:val="20"/>
          <w:szCs w:val="20"/>
        </w:rPr>
        <w:t>productions  dont</w:t>
      </w:r>
      <w:proofErr w:type="gramEnd"/>
      <w:r>
        <w:rPr>
          <w:rFonts w:ascii="Poppins" w:eastAsia="Poppins" w:hAnsi="Poppins" w:cs="Poppins"/>
          <w:sz w:val="20"/>
          <w:szCs w:val="20"/>
        </w:rPr>
        <w:t xml:space="preserve"> la communication est faite par site. Les objectifs de productivité peuvent donc être différents d’un site à un autre. Si le mix produit est favorable ou défavorable, la Direction Logistique se réserve le droit de réajuster le montant de la prime.</w:t>
      </w:r>
    </w:p>
    <w:p w:rsidR="00162100" w:rsidRDefault="00162100" w:rsidP="00162100">
      <w:pPr>
        <w:spacing w:before="40" w:after="0" w:line="276" w:lineRule="auto"/>
        <w:jc w:val="both"/>
        <w:rPr>
          <w:rFonts w:ascii="Poppins" w:eastAsia="Poppins" w:hAnsi="Poppins" w:cs="Poppins"/>
          <w:b/>
          <w:bCs/>
          <w:color w:val="666666"/>
          <w:sz w:val="20"/>
          <w:szCs w:val="20"/>
        </w:rPr>
      </w:pPr>
    </w:p>
    <w:p w:rsidR="00162100" w:rsidRDefault="00162100" w:rsidP="00162100">
      <w:pPr>
        <w:spacing w:before="40" w:after="0" w:line="276" w:lineRule="auto"/>
        <w:jc w:val="both"/>
        <w:rPr>
          <w:rFonts w:ascii="Poppins" w:eastAsia="Poppins" w:hAnsi="Poppins" w:cs="Poppins"/>
          <w:b/>
          <w:bCs/>
          <w:sz w:val="20"/>
          <w:szCs w:val="20"/>
        </w:rPr>
      </w:pPr>
      <w:r>
        <w:rPr>
          <w:rFonts w:ascii="Poppins" w:eastAsia="Poppins" w:hAnsi="Poppins" w:cs="Poppins"/>
          <w:b/>
          <w:bCs/>
          <w:color w:val="666666"/>
          <w:sz w:val="20"/>
          <w:szCs w:val="20"/>
        </w:rPr>
        <w:t>Article 4.2.2 : Les critères de performances individuelles (50%)</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Les critères de performances individuelles reposent sur des objectifs managériaux à hauteur de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2"/>
        </w:numPr>
        <w:spacing w:after="0" w:line="276" w:lineRule="auto"/>
        <w:jc w:val="both"/>
        <w:rPr>
          <w:rFonts w:ascii="Poppins" w:eastAsia="Poppins" w:hAnsi="Poppins" w:cs="Poppins"/>
        </w:rPr>
      </w:pPr>
      <w:r>
        <w:rPr>
          <w:rFonts w:ascii="Poppins" w:eastAsia="Poppins" w:hAnsi="Poppins" w:cs="Poppins"/>
          <w:sz w:val="20"/>
          <w:szCs w:val="20"/>
        </w:rPr>
        <w:t xml:space="preserve">50% des performances individuelles reposent sur des objectifs de poste. Ces objectifs sont appréciés sur la base de critères présentés par les supérieurs hiérarchiques lors de l’intégration du collaborateur ou en début d’année pour les collaborateurs en poste. </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color w:val="000000"/>
          <w:sz w:val="20"/>
          <w:szCs w:val="20"/>
        </w:rPr>
        <w:t>Article 4.</w:t>
      </w:r>
      <w:r>
        <w:rPr>
          <w:rFonts w:ascii="Poppins" w:eastAsia="Poppins" w:hAnsi="Poppins" w:cs="Poppins"/>
          <w:b/>
          <w:bCs/>
          <w:sz w:val="20"/>
          <w:szCs w:val="20"/>
        </w:rPr>
        <w:t>3</w:t>
      </w:r>
      <w:r>
        <w:rPr>
          <w:rFonts w:ascii="Poppins" w:eastAsia="Poppins" w:hAnsi="Poppins" w:cs="Poppins"/>
          <w:b/>
          <w:bCs/>
          <w:color w:val="000000"/>
          <w:sz w:val="20"/>
          <w:szCs w:val="20"/>
        </w:rPr>
        <w:t xml:space="preserve"> : Pour les chefs d’équipe Logistique </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before="40" w:after="0" w:line="276" w:lineRule="auto"/>
        <w:jc w:val="both"/>
        <w:rPr>
          <w:rFonts w:ascii="Poppins" w:eastAsia="Poppins" w:hAnsi="Poppins" w:cs="Poppins"/>
          <w:b/>
          <w:bCs/>
          <w:sz w:val="20"/>
          <w:szCs w:val="20"/>
        </w:rPr>
      </w:pPr>
      <w:r>
        <w:rPr>
          <w:rFonts w:ascii="Poppins" w:eastAsia="Poppins" w:hAnsi="Poppins" w:cs="Poppins"/>
          <w:b/>
          <w:bCs/>
          <w:color w:val="666666"/>
          <w:sz w:val="20"/>
          <w:szCs w:val="20"/>
        </w:rPr>
        <w:t>Article 4.3.1 Les critères de performances collectives (40%)</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trike/>
          <w:sz w:val="20"/>
          <w:szCs w:val="20"/>
        </w:rPr>
      </w:pPr>
      <w:r>
        <w:rPr>
          <w:rFonts w:ascii="Poppins" w:eastAsia="Poppins" w:hAnsi="Poppins" w:cs="Poppins"/>
          <w:color w:val="000000"/>
          <w:sz w:val="20"/>
          <w:szCs w:val="20"/>
        </w:rPr>
        <w:t xml:space="preserve">Les critères de performances collectives reposent sur des objectifs de qualité, de productivité du site </w:t>
      </w:r>
      <w:r>
        <w:rPr>
          <w:rFonts w:ascii="Poppins" w:eastAsia="Poppins" w:hAnsi="Poppins" w:cs="Poppins"/>
          <w:color w:val="444746"/>
          <w:sz w:val="20"/>
          <w:szCs w:val="20"/>
        </w:rPr>
        <w:t>ou de flux selon les typologies de productions</w:t>
      </w:r>
      <w:r>
        <w:rPr>
          <w:rFonts w:ascii="Poppins" w:eastAsia="Poppins" w:hAnsi="Poppins" w:cs="Poppins"/>
          <w:sz w:val="20"/>
          <w:szCs w:val="20"/>
        </w:rPr>
        <w:t>.</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La répartition entre ces trois objectifs s’effectue comme suit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7"/>
        </w:numPr>
        <w:spacing w:after="0" w:line="276" w:lineRule="auto"/>
        <w:jc w:val="both"/>
        <w:rPr>
          <w:rFonts w:ascii="Poppins" w:eastAsia="Poppins" w:hAnsi="Poppins" w:cs="Poppins"/>
          <w:color w:val="000000"/>
        </w:rPr>
      </w:pPr>
      <w:r>
        <w:rPr>
          <w:rFonts w:ascii="Poppins" w:eastAsia="Poppins" w:hAnsi="Poppins" w:cs="Poppins"/>
          <w:color w:val="000000"/>
          <w:sz w:val="20"/>
          <w:szCs w:val="20"/>
        </w:rPr>
        <w:t>20% de la performance repose sur des objectifs de qualité, dont la communication est faite par site et par voie d’affichage,</w:t>
      </w:r>
    </w:p>
    <w:p w:rsidR="00162100" w:rsidRDefault="00162100" w:rsidP="00162100">
      <w:pPr>
        <w:numPr>
          <w:ilvl w:val="0"/>
          <w:numId w:val="7"/>
        </w:numPr>
        <w:spacing w:after="0" w:line="276" w:lineRule="auto"/>
        <w:jc w:val="both"/>
        <w:rPr>
          <w:rFonts w:ascii="Poppins" w:eastAsia="Poppins" w:hAnsi="Poppins" w:cs="Poppins"/>
          <w:color w:val="000000"/>
        </w:rPr>
      </w:pPr>
      <w:r>
        <w:rPr>
          <w:rFonts w:ascii="Poppins" w:eastAsia="Poppins" w:hAnsi="Poppins" w:cs="Poppins"/>
          <w:sz w:val="20"/>
          <w:szCs w:val="20"/>
        </w:rPr>
        <w:t>20</w:t>
      </w:r>
      <w:r>
        <w:rPr>
          <w:rFonts w:ascii="Poppins" w:eastAsia="Poppins" w:hAnsi="Poppins" w:cs="Poppins"/>
          <w:color w:val="000000"/>
          <w:sz w:val="20"/>
          <w:szCs w:val="20"/>
        </w:rPr>
        <w:t xml:space="preserve">% de la performance repose sur des objectifs de productivité du </w:t>
      </w:r>
      <w:proofErr w:type="gramStart"/>
      <w:r>
        <w:rPr>
          <w:rFonts w:ascii="Poppins" w:eastAsia="Poppins" w:hAnsi="Poppins" w:cs="Poppins"/>
          <w:color w:val="000000"/>
          <w:sz w:val="20"/>
          <w:szCs w:val="20"/>
        </w:rPr>
        <w:t xml:space="preserve">site </w:t>
      </w:r>
      <w:r>
        <w:rPr>
          <w:rFonts w:ascii="Poppins" w:eastAsia="Poppins" w:hAnsi="Poppins" w:cs="Poppins"/>
          <w:sz w:val="20"/>
          <w:szCs w:val="20"/>
        </w:rPr>
        <w:t xml:space="preserve"> </w:t>
      </w:r>
      <w:r>
        <w:rPr>
          <w:rFonts w:ascii="Poppins" w:eastAsia="Poppins" w:hAnsi="Poppins" w:cs="Poppins"/>
          <w:i/>
          <w:iCs/>
          <w:sz w:val="20"/>
          <w:szCs w:val="20"/>
        </w:rPr>
        <w:t>ou</w:t>
      </w:r>
      <w:proofErr w:type="gramEnd"/>
      <w:r>
        <w:rPr>
          <w:rFonts w:ascii="Poppins" w:eastAsia="Poppins" w:hAnsi="Poppins" w:cs="Poppins"/>
          <w:i/>
          <w:iCs/>
          <w:sz w:val="20"/>
          <w:szCs w:val="20"/>
        </w:rPr>
        <w:t xml:space="preserve"> de flux selon les typologies de productions</w:t>
      </w:r>
      <w:r>
        <w:rPr>
          <w:rFonts w:ascii="Poppins" w:eastAsia="Poppins" w:hAnsi="Poppins" w:cs="Poppins"/>
          <w:sz w:val="20"/>
          <w:szCs w:val="20"/>
        </w:rPr>
        <w:t xml:space="preserve"> </w:t>
      </w:r>
      <w:r>
        <w:rPr>
          <w:rFonts w:ascii="Poppins" w:eastAsia="Poppins" w:hAnsi="Poppins" w:cs="Poppins"/>
          <w:color w:val="000000"/>
          <w:sz w:val="20"/>
          <w:szCs w:val="20"/>
        </w:rPr>
        <w:t xml:space="preserve"> dont la communication est faite par site et par voie d’affichage. Les objectifs de productivité peuvent être différents d’un site à un autre,</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Les objectifs de qualité par site reposent sur le contrôle des colis : nombre de pièces, références libellés et qualification des produits). </w:t>
      </w:r>
    </w:p>
    <w:p w:rsidR="00162100" w:rsidRDefault="00162100" w:rsidP="00162100">
      <w:pPr>
        <w:spacing w:after="0" w:line="276" w:lineRule="auto"/>
        <w:jc w:val="both"/>
        <w:rPr>
          <w:rFonts w:ascii="Poppins" w:eastAsia="Poppins" w:hAnsi="Poppins" w:cs="Poppins"/>
          <w:color w:val="000000"/>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Les colis contrôlés peuvent être :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13"/>
        </w:numPr>
        <w:spacing w:after="0" w:line="276" w:lineRule="auto"/>
        <w:jc w:val="both"/>
        <w:rPr>
          <w:rFonts w:ascii="Poppins" w:eastAsia="Poppins" w:hAnsi="Poppins" w:cs="Poppins"/>
          <w:color w:val="000000"/>
        </w:rPr>
      </w:pPr>
      <w:proofErr w:type="gramStart"/>
      <w:r>
        <w:rPr>
          <w:rFonts w:ascii="Poppins" w:eastAsia="Poppins" w:hAnsi="Poppins" w:cs="Poppins"/>
          <w:color w:val="000000"/>
          <w:sz w:val="20"/>
          <w:szCs w:val="20"/>
        </w:rPr>
        <w:t>des</w:t>
      </w:r>
      <w:proofErr w:type="gramEnd"/>
      <w:r>
        <w:rPr>
          <w:rFonts w:ascii="Poppins" w:eastAsia="Poppins" w:hAnsi="Poppins" w:cs="Poppins"/>
          <w:color w:val="000000"/>
          <w:sz w:val="20"/>
          <w:szCs w:val="20"/>
        </w:rPr>
        <w:t xml:space="preserve"> colis membres contrôlés pour les sites de production : vérification des quantités, des références et des libellés, dont le taux de satisfaction doit être de 99.8%,</w:t>
      </w:r>
    </w:p>
    <w:p w:rsidR="00162100" w:rsidRDefault="00162100" w:rsidP="00162100">
      <w:pPr>
        <w:numPr>
          <w:ilvl w:val="0"/>
          <w:numId w:val="13"/>
        </w:numPr>
        <w:spacing w:after="0" w:line="276" w:lineRule="auto"/>
        <w:jc w:val="both"/>
        <w:rPr>
          <w:rFonts w:ascii="Poppins" w:eastAsia="Poppins" w:hAnsi="Poppins" w:cs="Poppins"/>
          <w:color w:val="000000"/>
        </w:rPr>
      </w:pPr>
      <w:proofErr w:type="gramStart"/>
      <w:r>
        <w:rPr>
          <w:rFonts w:ascii="Poppins" w:eastAsia="Poppins" w:hAnsi="Poppins" w:cs="Poppins"/>
          <w:color w:val="000000"/>
          <w:sz w:val="20"/>
          <w:szCs w:val="20"/>
        </w:rPr>
        <w:t>des</w:t>
      </w:r>
      <w:proofErr w:type="gramEnd"/>
      <w:r>
        <w:rPr>
          <w:rFonts w:ascii="Poppins" w:eastAsia="Poppins" w:hAnsi="Poppins" w:cs="Poppins"/>
          <w:color w:val="000000"/>
          <w:sz w:val="20"/>
          <w:szCs w:val="20"/>
        </w:rPr>
        <w:t xml:space="preserve"> colis remboursement : vérification des quantités, des références, des libellés et de la qualification des produits dont le taux de satisfaction doit être de 99.8%,</w:t>
      </w:r>
    </w:p>
    <w:p w:rsidR="00162100" w:rsidRDefault="00162100" w:rsidP="00162100">
      <w:pPr>
        <w:numPr>
          <w:ilvl w:val="0"/>
          <w:numId w:val="13"/>
        </w:numPr>
        <w:spacing w:after="0" w:line="276" w:lineRule="auto"/>
        <w:jc w:val="both"/>
        <w:rPr>
          <w:rFonts w:ascii="Poppins" w:eastAsia="Poppins" w:hAnsi="Poppins" w:cs="Poppins"/>
          <w:color w:val="000000"/>
        </w:rPr>
      </w:pPr>
      <w:proofErr w:type="gramStart"/>
      <w:r>
        <w:rPr>
          <w:rFonts w:ascii="Poppins" w:eastAsia="Poppins" w:hAnsi="Poppins" w:cs="Poppins"/>
          <w:color w:val="000000"/>
          <w:sz w:val="20"/>
          <w:szCs w:val="20"/>
        </w:rPr>
        <w:t>des</w:t>
      </w:r>
      <w:proofErr w:type="gramEnd"/>
      <w:r>
        <w:rPr>
          <w:rFonts w:ascii="Poppins" w:eastAsia="Poppins" w:hAnsi="Poppins" w:cs="Poppins"/>
          <w:color w:val="000000"/>
          <w:sz w:val="20"/>
          <w:szCs w:val="20"/>
        </w:rPr>
        <w:t xml:space="preserve"> colis envoyés à la marque pour le service retour B : vérification des quantités, des références et des libellés dont le taux de satisfaction doit être de 99.8%,</w:t>
      </w:r>
    </w:p>
    <w:p w:rsidR="00162100" w:rsidRDefault="00162100" w:rsidP="00162100">
      <w:pPr>
        <w:numPr>
          <w:ilvl w:val="0"/>
          <w:numId w:val="13"/>
        </w:numPr>
        <w:spacing w:after="0" w:line="276" w:lineRule="auto"/>
        <w:jc w:val="both"/>
        <w:rPr>
          <w:rFonts w:ascii="Poppins" w:eastAsia="Poppins" w:hAnsi="Poppins" w:cs="Poppins"/>
          <w:color w:val="000000"/>
        </w:rPr>
      </w:pPr>
      <w:proofErr w:type="gramStart"/>
      <w:r>
        <w:rPr>
          <w:rFonts w:ascii="Poppins" w:eastAsia="Poppins" w:hAnsi="Poppins" w:cs="Poppins"/>
          <w:color w:val="000000"/>
          <w:sz w:val="20"/>
          <w:szCs w:val="20"/>
        </w:rPr>
        <w:t>des</w:t>
      </w:r>
      <w:proofErr w:type="gramEnd"/>
      <w:r>
        <w:rPr>
          <w:rFonts w:ascii="Poppins" w:eastAsia="Poppins" w:hAnsi="Poppins" w:cs="Poppins"/>
          <w:color w:val="000000"/>
          <w:sz w:val="20"/>
          <w:szCs w:val="20"/>
        </w:rPr>
        <w:t xml:space="preserve"> colis pré-réception : vérification des quantités, des références et des libellés dont le taux de satisfaction doit être de 99.85%.</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before="40" w:after="0" w:line="276" w:lineRule="auto"/>
        <w:jc w:val="both"/>
        <w:rPr>
          <w:rFonts w:ascii="Poppins" w:eastAsia="Poppins" w:hAnsi="Poppins" w:cs="Poppins"/>
          <w:b/>
          <w:bCs/>
          <w:sz w:val="20"/>
          <w:szCs w:val="20"/>
        </w:rPr>
      </w:pPr>
      <w:r>
        <w:rPr>
          <w:rFonts w:ascii="Poppins" w:eastAsia="Poppins" w:hAnsi="Poppins" w:cs="Poppins"/>
          <w:b/>
          <w:bCs/>
          <w:color w:val="666666"/>
          <w:sz w:val="20"/>
          <w:szCs w:val="20"/>
        </w:rPr>
        <w:t>Article 4.3.2 Les critères de performances individuelles (60%)</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trike/>
          <w:sz w:val="20"/>
          <w:szCs w:val="20"/>
        </w:rPr>
      </w:pPr>
      <w:r>
        <w:rPr>
          <w:rFonts w:ascii="Poppins" w:eastAsia="Poppins" w:hAnsi="Poppins" w:cs="Poppins"/>
          <w:color w:val="000000"/>
          <w:sz w:val="20"/>
          <w:szCs w:val="20"/>
        </w:rPr>
        <w:t>Les critères de performances individuelles reposent sur des objectifs de productivité du service</w:t>
      </w:r>
      <w:r>
        <w:rPr>
          <w:rFonts w:ascii="Poppins" w:eastAsia="Poppins" w:hAnsi="Poppins" w:cs="Poppins"/>
          <w:sz w:val="20"/>
          <w:szCs w:val="20"/>
        </w:rPr>
        <w:t>.</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La répartition entre ces deux objectifs s’effectue comme suit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11"/>
        </w:numPr>
        <w:spacing w:after="0" w:line="276" w:lineRule="auto"/>
        <w:jc w:val="both"/>
        <w:rPr>
          <w:rFonts w:ascii="Poppins" w:eastAsia="Poppins" w:hAnsi="Poppins" w:cs="Poppins"/>
          <w:color w:val="000000"/>
        </w:rPr>
      </w:pPr>
      <w:r>
        <w:rPr>
          <w:rFonts w:ascii="Poppins" w:eastAsia="Poppins" w:hAnsi="Poppins" w:cs="Poppins"/>
          <w:sz w:val="20"/>
          <w:szCs w:val="20"/>
        </w:rPr>
        <w:t>60</w:t>
      </w:r>
      <w:r>
        <w:rPr>
          <w:rFonts w:ascii="Poppins" w:eastAsia="Poppins" w:hAnsi="Poppins" w:cs="Poppins"/>
          <w:color w:val="000000"/>
          <w:sz w:val="20"/>
          <w:szCs w:val="20"/>
        </w:rPr>
        <w:t>% de la performance repose sur des objectifs de productivité du service,</w:t>
      </w:r>
    </w:p>
    <w:p w:rsidR="00162100" w:rsidRDefault="00162100" w:rsidP="00162100">
      <w:pPr>
        <w:spacing w:after="0" w:line="276" w:lineRule="auto"/>
        <w:jc w:val="both"/>
        <w:rPr>
          <w:rFonts w:ascii="Poppins" w:eastAsia="Poppins" w:hAnsi="Poppins" w:cs="Poppins"/>
          <w:strike/>
          <w:color w:val="00000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Les objectifs de productivité sont déterminés par la direction du site. Ils sont définis en fonction des objectifs de rentabilité du site. Les collaborateurs en sont informés par voie d’affichage.</w:t>
      </w:r>
    </w:p>
    <w:p w:rsidR="00162100" w:rsidRDefault="00162100" w:rsidP="00162100">
      <w:pPr>
        <w:spacing w:after="0" w:line="276" w:lineRule="auto"/>
        <w:jc w:val="both"/>
        <w:rPr>
          <w:rFonts w:ascii="Poppins" w:eastAsia="Poppins" w:hAnsi="Poppins" w:cs="Poppins"/>
          <w:strike/>
          <w:sz w:val="20"/>
          <w:szCs w:val="20"/>
        </w:rPr>
      </w:pPr>
    </w:p>
    <w:p w:rsidR="00162100" w:rsidRDefault="00162100" w:rsidP="00162100">
      <w:pPr>
        <w:spacing w:after="0" w:line="276" w:lineRule="auto"/>
        <w:jc w:val="both"/>
        <w:rPr>
          <w:rFonts w:ascii="Poppins" w:eastAsia="Poppins" w:hAnsi="Poppins" w:cs="Poppins"/>
          <w:sz w:val="20"/>
          <w:szCs w:val="20"/>
        </w:rPr>
      </w:pPr>
      <w:r>
        <w:lastRenderedPageBreak/>
        <w:t xml:space="preserve">     </w:t>
      </w: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sz w:val="20"/>
          <w:szCs w:val="20"/>
        </w:rPr>
        <w:t>Article 4.4.  Pour les techniciens de maintenance et les chefs d’équipe maintenance</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sz w:val="20"/>
          <w:szCs w:val="20"/>
        </w:rPr>
        <w:t>4.4.1 Techniciens de maintenance</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proofErr w:type="gramStart"/>
      <w:r>
        <w:rPr>
          <w:rFonts w:ascii="Poppins" w:eastAsia="Poppins" w:hAnsi="Poppins" w:cs="Poppins"/>
          <w:b/>
          <w:bCs/>
          <w:color w:val="666666"/>
          <w:sz w:val="20"/>
          <w:szCs w:val="20"/>
        </w:rPr>
        <w:t>4.4.1.1  Les</w:t>
      </w:r>
      <w:proofErr w:type="gramEnd"/>
      <w:r>
        <w:rPr>
          <w:rFonts w:ascii="Poppins" w:eastAsia="Poppins" w:hAnsi="Poppins" w:cs="Poppins"/>
          <w:b/>
          <w:bCs/>
          <w:color w:val="666666"/>
          <w:sz w:val="20"/>
          <w:szCs w:val="20"/>
        </w:rPr>
        <w:t xml:space="preserve"> critères de performances collectives (60%)</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Les critères de performances collectives reposent sur des objectifs de productivité, à hauteur de : </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60% de la performance repose sur des objectifs de productivité du </w:t>
      </w:r>
      <w:proofErr w:type="gramStart"/>
      <w:r>
        <w:rPr>
          <w:rFonts w:ascii="Poppins" w:eastAsia="Poppins" w:hAnsi="Poppins" w:cs="Poppins"/>
          <w:sz w:val="20"/>
          <w:szCs w:val="20"/>
        </w:rPr>
        <w:t>site  ou</w:t>
      </w:r>
      <w:proofErr w:type="gramEnd"/>
      <w:r>
        <w:rPr>
          <w:rFonts w:ascii="Poppins" w:eastAsia="Poppins" w:hAnsi="Poppins" w:cs="Poppins"/>
          <w:sz w:val="20"/>
          <w:szCs w:val="20"/>
        </w:rPr>
        <w:t xml:space="preserve"> de flux selon les typologies de productions  dont la communication est faite par site et par voie d’affichage. Les objectifs de productivité peuvent donc être différents d’un site à un autre. Si le mix produit est favorable ou défavorable, la Direction Logistique se réserve le droit de réajuster le montant de la prime.</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b/>
          <w:bCs/>
          <w:color w:val="666666"/>
          <w:sz w:val="20"/>
          <w:szCs w:val="20"/>
        </w:rPr>
        <w:t>4.4.1.2 Les critères de performance individuelle (40%)</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Les critères de performances individuelles reposent sur des objectifs managériaux à hauteur de :</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numPr>
          <w:ilvl w:val="0"/>
          <w:numId w:val="10"/>
        </w:numPr>
        <w:spacing w:after="0" w:line="276" w:lineRule="auto"/>
        <w:jc w:val="both"/>
        <w:rPr>
          <w:rFonts w:ascii="Poppins" w:eastAsia="Poppins" w:hAnsi="Poppins" w:cs="Poppins"/>
          <w:sz w:val="20"/>
          <w:szCs w:val="20"/>
        </w:rPr>
      </w:pPr>
      <w:r>
        <w:rPr>
          <w:rFonts w:ascii="Poppins" w:eastAsia="Poppins" w:hAnsi="Poppins" w:cs="Poppins"/>
          <w:sz w:val="20"/>
          <w:szCs w:val="20"/>
        </w:rPr>
        <w:t>40% des performances individuelles reposent sur des objectifs de poste. Ces objectifs sont appréciés sur la base de critères présentés par les supérieurs hiérarchiques lors de l’intégration du collaborateur ou en début d’année pour les collaborateurs en poste.</w:t>
      </w:r>
    </w:p>
    <w:p w:rsidR="00162100" w:rsidRDefault="00162100" w:rsidP="00162100">
      <w:pPr>
        <w:spacing w:after="0" w:line="276" w:lineRule="auto"/>
        <w:jc w:val="both"/>
        <w:rPr>
          <w:rFonts w:ascii="Poppins" w:eastAsia="Poppins" w:hAnsi="Poppins" w:cs="Poppins"/>
          <w:b/>
          <w:bC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sz w:val="20"/>
          <w:szCs w:val="20"/>
        </w:rPr>
        <w:t xml:space="preserve">4.4.2 Les chefs d’équipe maintenance </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b/>
          <w:bCs/>
          <w:color w:val="666666"/>
          <w:sz w:val="20"/>
          <w:szCs w:val="20"/>
        </w:rPr>
        <w:t>4.4.2.1 Les critères de performance collective (60%)</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Les critères de performances collectives reposent sur des objectifs de productivité du site, à hauteur de : </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numPr>
          <w:ilvl w:val="0"/>
          <w:numId w:val="1"/>
        </w:numPr>
        <w:spacing w:line="276" w:lineRule="auto"/>
        <w:jc w:val="both"/>
        <w:rPr>
          <w:rFonts w:ascii="Poppins" w:eastAsia="Poppins" w:hAnsi="Poppins" w:cs="Poppins"/>
        </w:rPr>
      </w:pPr>
      <w:r>
        <w:rPr>
          <w:rFonts w:ascii="Poppins" w:eastAsia="Poppins" w:hAnsi="Poppins" w:cs="Poppins"/>
          <w:sz w:val="20"/>
          <w:szCs w:val="20"/>
        </w:rPr>
        <w:t>60% de la performance repose sur des objectifs de productivité du site dont la communication est faite par site et par voie d’affichage. Les objectifs de productivité peuvent donc être différents d’un site à un autre. Si le mix produit est favorable ou défavorable, la Direction Logistique se réserve le droit de réajuster le montant de la prime.</w:t>
      </w:r>
    </w:p>
    <w:p w:rsidR="00162100" w:rsidRDefault="00162100" w:rsidP="00162100">
      <w:pPr>
        <w:spacing w:line="276" w:lineRule="auto"/>
        <w:ind w:left="720"/>
        <w:jc w:val="both"/>
        <w:rPr>
          <w:rFonts w:ascii="Poppins" w:eastAsia="Poppins" w:hAnsi="Poppins" w:cs="Poppins"/>
          <w:sz w:val="20"/>
          <w:szCs w:val="20"/>
        </w:rPr>
      </w:pPr>
    </w:p>
    <w:p w:rsidR="00162100" w:rsidRDefault="00162100" w:rsidP="00162100">
      <w:pPr>
        <w:spacing w:line="276" w:lineRule="auto"/>
        <w:jc w:val="both"/>
        <w:rPr>
          <w:rFonts w:ascii="Poppins" w:eastAsia="Poppins" w:hAnsi="Poppins" w:cs="Poppins"/>
          <w:sz w:val="20"/>
          <w:szCs w:val="20"/>
        </w:rPr>
      </w:pPr>
      <w:r>
        <w:rPr>
          <w:rFonts w:ascii="Poppins" w:eastAsia="Poppins" w:hAnsi="Poppins" w:cs="Poppins"/>
          <w:b/>
          <w:bCs/>
          <w:color w:val="666666"/>
          <w:sz w:val="20"/>
          <w:szCs w:val="20"/>
        </w:rPr>
        <w:t>4.4.2.2 Les critères de performance individuelle (40%)</w:t>
      </w: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Les critères de performances individuelles reposent sur des objectifs de productivité du service et des objectifs liés au management.</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La répartition entre ces deux objectifs s’effectue comme suit :</w:t>
      </w:r>
    </w:p>
    <w:p w:rsidR="00162100" w:rsidRDefault="00162100" w:rsidP="00162100">
      <w:pPr>
        <w:spacing w:after="0" w:line="276" w:lineRule="auto"/>
        <w:rPr>
          <w:rFonts w:ascii="Poppins" w:eastAsia="Poppins" w:hAnsi="Poppins" w:cs="Poppins"/>
          <w:sz w:val="20"/>
          <w:szCs w:val="20"/>
        </w:rPr>
      </w:pPr>
    </w:p>
    <w:p w:rsidR="00162100" w:rsidRDefault="00162100" w:rsidP="00162100">
      <w:pPr>
        <w:numPr>
          <w:ilvl w:val="0"/>
          <w:numId w:val="11"/>
        </w:numPr>
        <w:spacing w:after="0" w:line="276" w:lineRule="auto"/>
        <w:jc w:val="both"/>
        <w:rPr>
          <w:rFonts w:ascii="Poppins" w:eastAsia="Poppins" w:hAnsi="Poppins" w:cs="Poppins"/>
        </w:rPr>
      </w:pPr>
      <w:r>
        <w:rPr>
          <w:rFonts w:ascii="Poppins" w:eastAsia="Poppins" w:hAnsi="Poppins" w:cs="Poppins"/>
          <w:sz w:val="20"/>
          <w:szCs w:val="20"/>
        </w:rPr>
        <w:t>40% de la performance repose sur des objectifs de productivité du service,</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Les objectifs de productivité sont déterminés par la direction du site. Ils sont définis en fonction des objectifs de rentabilité du site. Les collaborateurs en sont informés par voie d’affichage.</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b/>
          <w:bCs/>
          <w:sz w:val="20"/>
          <w:szCs w:val="20"/>
        </w:rPr>
      </w:pPr>
    </w:p>
    <w:p w:rsidR="00162100" w:rsidRDefault="00162100" w:rsidP="00162100">
      <w:pPr>
        <w:spacing w:after="0" w:line="276" w:lineRule="auto"/>
        <w:jc w:val="both"/>
        <w:rPr>
          <w:rFonts w:ascii="Poppins" w:eastAsia="Poppins" w:hAnsi="Poppins" w:cs="Poppins"/>
          <w:b/>
          <w:bC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sz w:val="20"/>
          <w:szCs w:val="20"/>
        </w:rPr>
        <w:lastRenderedPageBreak/>
        <w:t>Article 4.5 : Réévaluation des objectifs en cours d’exercice</w:t>
      </w:r>
    </w:p>
    <w:p w:rsidR="00162100" w:rsidRDefault="00162100" w:rsidP="00162100">
      <w:pPr>
        <w:spacing w:after="0" w:line="276" w:lineRule="auto"/>
        <w:jc w:val="both"/>
        <w:rPr>
          <w:rFonts w:ascii="Poppins" w:eastAsia="Poppins" w:hAnsi="Poppins" w:cs="Poppins"/>
          <w:b/>
          <w:bC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Dans le cas où les objectifs fixés seraient considérés comme inatteignables (c’est-à-dire non atteints durant les six premiers mois de la mise en application de l’accord), la Direction procédera à leur réévaluation à compter du mois suivant. </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color w:val="000000"/>
          <w:sz w:val="20"/>
          <w:szCs w:val="20"/>
        </w:rPr>
        <w:t>Article 4.</w:t>
      </w:r>
      <w:r>
        <w:rPr>
          <w:rFonts w:ascii="Poppins" w:eastAsia="Poppins" w:hAnsi="Poppins" w:cs="Poppins"/>
          <w:b/>
          <w:bCs/>
          <w:sz w:val="20"/>
          <w:szCs w:val="20"/>
        </w:rPr>
        <w:t>6</w:t>
      </w:r>
      <w:r>
        <w:rPr>
          <w:rFonts w:ascii="Poppins" w:eastAsia="Poppins" w:hAnsi="Poppins" w:cs="Poppins"/>
          <w:b/>
          <w:bCs/>
          <w:color w:val="000000"/>
          <w:sz w:val="20"/>
          <w:szCs w:val="20"/>
        </w:rPr>
        <w:t> : Les paliers de versement</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color w:val="000000"/>
          <w:sz w:val="20"/>
          <w:szCs w:val="20"/>
        </w:rPr>
      </w:pPr>
      <w:r>
        <w:rPr>
          <w:rFonts w:ascii="Poppins" w:eastAsia="Poppins" w:hAnsi="Poppins" w:cs="Poppins"/>
          <w:color w:val="000000"/>
          <w:sz w:val="20"/>
          <w:szCs w:val="20"/>
        </w:rPr>
        <w:t>Les parties sont convenues de mettre en place des paliers de versement ci-dessous pour le versement de la prime à l’ensemble des collaborateurs éligibles.</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 versement de la part liée à l’objectif de productivité du site de la partie collective de la prime mensuelle est fixé comme suit :</w:t>
      </w:r>
    </w:p>
    <w:p w:rsidR="00162100" w:rsidRDefault="00162100" w:rsidP="00162100">
      <w:pPr>
        <w:spacing w:after="0" w:line="276" w:lineRule="auto"/>
        <w:rPr>
          <w:rFonts w:ascii="Poppins" w:eastAsia="Poppins" w:hAnsi="Poppins" w:cs="Poppins"/>
          <w:sz w:val="20"/>
          <w:szCs w:val="20"/>
        </w:rPr>
      </w:pPr>
    </w:p>
    <w:tbl>
      <w:tblPr>
        <w:tblW w:w="9480" w:type="dxa"/>
        <w:tblInd w:w="-100" w:type="dxa"/>
        <w:tblLayout w:type="fixed"/>
        <w:tblLook w:val="0400" w:firstRow="0" w:lastRow="0" w:firstColumn="0" w:lastColumn="0" w:noHBand="0" w:noVBand="1"/>
      </w:tblPr>
      <w:tblGrid>
        <w:gridCol w:w="4695"/>
        <w:gridCol w:w="4785"/>
      </w:tblGrid>
      <w:tr w:rsidR="00162100" w:rsidTr="00C94679">
        <w:tc>
          <w:tcPr>
            <w:tcW w:w="4695" w:type="dxa"/>
            <w:tcBorders>
              <w:top w:val="single" w:sz="8" w:space="0" w:color="000000"/>
              <w:left w:val="single" w:sz="8" w:space="0" w:color="000000"/>
              <w:bottom w:val="single" w:sz="8" w:space="0" w:color="000000"/>
              <w:right w:val="single" w:sz="8" w:space="0" w:color="000000"/>
            </w:tcBorders>
            <w:shd w:val="clear" w:color="auto" w:fill="E10078"/>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FFFFFF"/>
                <w:sz w:val="20"/>
                <w:szCs w:val="20"/>
              </w:rPr>
            </w:pPr>
            <w:r>
              <w:rPr>
                <w:rFonts w:ascii="Poppins" w:eastAsia="Poppins" w:hAnsi="Poppins" w:cs="Poppins"/>
                <w:b/>
                <w:bCs/>
                <w:color w:val="FFFFFF"/>
                <w:sz w:val="20"/>
                <w:szCs w:val="20"/>
              </w:rPr>
              <w:t>Taux d’atteinte de l’objectif</w:t>
            </w:r>
          </w:p>
        </w:tc>
        <w:tc>
          <w:tcPr>
            <w:tcW w:w="4785" w:type="dxa"/>
            <w:tcBorders>
              <w:top w:val="single" w:sz="8" w:space="0" w:color="000000"/>
              <w:left w:val="single" w:sz="8" w:space="0" w:color="000000"/>
              <w:bottom w:val="single" w:sz="8" w:space="0" w:color="000000"/>
              <w:right w:val="single" w:sz="8" w:space="0" w:color="000000"/>
            </w:tcBorders>
            <w:shd w:val="clear" w:color="auto" w:fill="E10078"/>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FFFFFF"/>
                <w:sz w:val="20"/>
                <w:szCs w:val="20"/>
              </w:rPr>
            </w:pPr>
            <w:r>
              <w:rPr>
                <w:rFonts w:ascii="Poppins" w:eastAsia="Poppins" w:hAnsi="Poppins" w:cs="Poppins"/>
                <w:b/>
                <w:bCs/>
                <w:color w:val="FFFFFF"/>
                <w:sz w:val="20"/>
                <w:szCs w:val="20"/>
              </w:rPr>
              <w:t>Taux de versement de la prime</w:t>
            </w:r>
          </w:p>
        </w:tc>
      </w:tr>
      <w:tr w:rsidR="00162100" w:rsidTr="00C94679">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99,5% à 100%</w:t>
            </w:r>
          </w:p>
        </w:tc>
        <w:tc>
          <w:tcPr>
            <w:tcW w:w="4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100%</w:t>
            </w:r>
          </w:p>
        </w:tc>
      </w:tr>
      <w:tr w:rsidR="00162100" w:rsidTr="00C94679">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95% à 99,49%</w:t>
            </w:r>
          </w:p>
        </w:tc>
        <w:tc>
          <w:tcPr>
            <w:tcW w:w="4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95%</w:t>
            </w:r>
          </w:p>
        </w:tc>
      </w:tr>
      <w:tr w:rsidR="00162100" w:rsidTr="00C94679">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90% à 94,99%</w:t>
            </w:r>
          </w:p>
        </w:tc>
        <w:tc>
          <w:tcPr>
            <w:tcW w:w="4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80%</w:t>
            </w:r>
          </w:p>
        </w:tc>
      </w:tr>
      <w:tr w:rsidR="00162100" w:rsidTr="00C94679">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80% à 89,99%</w:t>
            </w:r>
          </w:p>
        </w:tc>
        <w:tc>
          <w:tcPr>
            <w:tcW w:w="4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70%</w:t>
            </w:r>
          </w:p>
        </w:tc>
      </w:tr>
      <w:tr w:rsidR="00162100" w:rsidTr="00C94679">
        <w:tc>
          <w:tcPr>
            <w:tcW w:w="4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sz w:val="20"/>
                <w:szCs w:val="20"/>
              </w:rPr>
              <w:t>I</w:t>
            </w:r>
            <w:r>
              <w:rPr>
                <w:rFonts w:ascii="Poppins" w:eastAsia="Poppins" w:hAnsi="Poppins" w:cs="Poppins"/>
                <w:color w:val="000000"/>
                <w:sz w:val="20"/>
                <w:szCs w:val="20"/>
              </w:rPr>
              <w:t>nférieur à 80%</w:t>
            </w:r>
          </w:p>
        </w:tc>
        <w:tc>
          <w:tcPr>
            <w:tcW w:w="47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0%</w:t>
            </w:r>
          </w:p>
        </w:tc>
      </w:tr>
    </w:tbl>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Le versement de la part liée à l’objectif qualité de service de la partie collective de la prime mensuelle est fixé comme suit :</w:t>
      </w:r>
    </w:p>
    <w:p w:rsidR="00162100" w:rsidRDefault="00162100" w:rsidP="00162100">
      <w:pPr>
        <w:spacing w:after="0" w:line="276" w:lineRule="auto"/>
        <w:rPr>
          <w:rFonts w:ascii="Poppins" w:eastAsia="Poppins" w:hAnsi="Poppins" w:cs="Poppins"/>
          <w:sz w:val="20"/>
          <w:szCs w:val="20"/>
        </w:rPr>
      </w:pPr>
    </w:p>
    <w:tbl>
      <w:tblPr>
        <w:tblW w:w="9480" w:type="dxa"/>
        <w:tblInd w:w="-100" w:type="dxa"/>
        <w:tblLayout w:type="fixed"/>
        <w:tblLook w:val="0400" w:firstRow="0" w:lastRow="0" w:firstColumn="0" w:lastColumn="0" w:noHBand="0" w:noVBand="1"/>
      </w:tblPr>
      <w:tblGrid>
        <w:gridCol w:w="4710"/>
        <w:gridCol w:w="4770"/>
      </w:tblGrid>
      <w:tr w:rsidR="00162100" w:rsidTr="00C94679">
        <w:tc>
          <w:tcPr>
            <w:tcW w:w="4710" w:type="dxa"/>
            <w:tcBorders>
              <w:top w:val="single" w:sz="8" w:space="0" w:color="000000"/>
              <w:left w:val="single" w:sz="8" w:space="0" w:color="000000"/>
              <w:bottom w:val="single" w:sz="8" w:space="0" w:color="000000"/>
              <w:right w:val="single" w:sz="8" w:space="0" w:color="000000"/>
            </w:tcBorders>
            <w:shd w:val="clear" w:color="auto" w:fill="E10078"/>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FFFFFF"/>
                <w:sz w:val="20"/>
                <w:szCs w:val="20"/>
              </w:rPr>
            </w:pPr>
            <w:r>
              <w:rPr>
                <w:rFonts w:ascii="Poppins" w:eastAsia="Poppins" w:hAnsi="Poppins" w:cs="Poppins"/>
                <w:b/>
                <w:bCs/>
                <w:color w:val="FFFFFF"/>
                <w:sz w:val="20"/>
                <w:szCs w:val="20"/>
              </w:rPr>
              <w:t>Taux d’atteinte de l’objectif</w:t>
            </w:r>
          </w:p>
        </w:tc>
        <w:tc>
          <w:tcPr>
            <w:tcW w:w="4770" w:type="dxa"/>
            <w:tcBorders>
              <w:top w:val="single" w:sz="8" w:space="0" w:color="000000"/>
              <w:left w:val="single" w:sz="8" w:space="0" w:color="000000"/>
              <w:bottom w:val="single" w:sz="8" w:space="0" w:color="000000"/>
              <w:right w:val="single" w:sz="8" w:space="0" w:color="000000"/>
            </w:tcBorders>
            <w:shd w:val="clear" w:color="auto" w:fill="E10078"/>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FFFFFF"/>
                <w:sz w:val="20"/>
                <w:szCs w:val="20"/>
              </w:rPr>
            </w:pPr>
            <w:r>
              <w:rPr>
                <w:rFonts w:ascii="Poppins" w:eastAsia="Poppins" w:hAnsi="Poppins" w:cs="Poppins"/>
                <w:b/>
                <w:bCs/>
                <w:color w:val="FFFFFF"/>
                <w:sz w:val="20"/>
                <w:szCs w:val="20"/>
              </w:rPr>
              <w:t>Taux de versement de la prime</w:t>
            </w:r>
          </w:p>
        </w:tc>
      </w:tr>
      <w:tr w:rsidR="00162100" w:rsidTr="00C94679">
        <w:tc>
          <w:tcPr>
            <w:tcW w:w="4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100%</w:t>
            </w:r>
          </w:p>
        </w:tc>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100%</w:t>
            </w:r>
          </w:p>
        </w:tc>
      </w:tr>
      <w:tr w:rsidR="00162100" w:rsidTr="00C94679">
        <w:tc>
          <w:tcPr>
            <w:tcW w:w="4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000000"/>
                <w:sz w:val="20"/>
                <w:szCs w:val="20"/>
              </w:rPr>
            </w:pPr>
            <w:r>
              <w:rPr>
                <w:rFonts w:ascii="Poppins" w:eastAsia="Poppins" w:hAnsi="Poppins" w:cs="Poppins"/>
                <w:color w:val="000000"/>
                <w:sz w:val="20"/>
                <w:szCs w:val="20"/>
              </w:rPr>
              <w:t>99% à 99,99%</w:t>
            </w:r>
          </w:p>
        </w:tc>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000000"/>
                <w:sz w:val="20"/>
                <w:szCs w:val="20"/>
              </w:rPr>
            </w:pPr>
            <w:r>
              <w:rPr>
                <w:rFonts w:ascii="Poppins" w:eastAsia="Poppins" w:hAnsi="Poppins" w:cs="Poppins"/>
                <w:color w:val="000000"/>
                <w:sz w:val="20"/>
                <w:szCs w:val="20"/>
              </w:rPr>
              <w:t>90%</w:t>
            </w:r>
          </w:p>
        </w:tc>
      </w:tr>
      <w:tr w:rsidR="00162100" w:rsidTr="00C94679">
        <w:tc>
          <w:tcPr>
            <w:tcW w:w="4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95% à 99%</w:t>
            </w:r>
          </w:p>
        </w:tc>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85%</w:t>
            </w:r>
          </w:p>
        </w:tc>
      </w:tr>
      <w:tr w:rsidR="00162100" w:rsidTr="00C94679">
        <w:tc>
          <w:tcPr>
            <w:tcW w:w="4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Inférieur à 95%</w:t>
            </w:r>
          </w:p>
        </w:tc>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0%</w:t>
            </w:r>
          </w:p>
        </w:tc>
      </w:tr>
    </w:tbl>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color w:val="000000"/>
        </w:rPr>
      </w:pPr>
      <w:r>
        <w:rPr>
          <w:rFonts w:ascii="Poppins" w:eastAsia="Poppins" w:hAnsi="Poppins" w:cs="Poppins"/>
          <w:color w:val="000000"/>
          <w:sz w:val="20"/>
          <w:szCs w:val="20"/>
        </w:rPr>
        <w:t>Le versement de la part liée à l’objectif de la performance individuelle de la prime mensuelle est fixé comme suit :</w:t>
      </w:r>
    </w:p>
    <w:p w:rsidR="00162100" w:rsidRDefault="00162100" w:rsidP="00162100">
      <w:pPr>
        <w:spacing w:after="0" w:line="276" w:lineRule="auto"/>
        <w:rPr>
          <w:rFonts w:ascii="Poppins" w:eastAsia="Poppins" w:hAnsi="Poppins" w:cs="Poppins"/>
          <w:sz w:val="20"/>
          <w:szCs w:val="20"/>
        </w:rPr>
      </w:pPr>
    </w:p>
    <w:tbl>
      <w:tblPr>
        <w:tblW w:w="9495" w:type="dxa"/>
        <w:tblInd w:w="-100" w:type="dxa"/>
        <w:tblLayout w:type="fixed"/>
        <w:tblLook w:val="0400" w:firstRow="0" w:lastRow="0" w:firstColumn="0" w:lastColumn="0" w:noHBand="0" w:noVBand="1"/>
      </w:tblPr>
      <w:tblGrid>
        <w:gridCol w:w="4725"/>
        <w:gridCol w:w="4770"/>
      </w:tblGrid>
      <w:tr w:rsidR="00162100" w:rsidTr="00C94679">
        <w:tc>
          <w:tcPr>
            <w:tcW w:w="4725" w:type="dxa"/>
            <w:tcBorders>
              <w:top w:val="single" w:sz="8" w:space="0" w:color="000000"/>
              <w:left w:val="single" w:sz="8" w:space="0" w:color="000000"/>
              <w:bottom w:val="single" w:sz="8" w:space="0" w:color="000000"/>
              <w:right w:val="single" w:sz="8" w:space="0" w:color="000000"/>
            </w:tcBorders>
            <w:shd w:val="clear" w:color="auto" w:fill="E10078"/>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FFFFFF"/>
                <w:sz w:val="20"/>
                <w:szCs w:val="20"/>
              </w:rPr>
            </w:pPr>
            <w:r>
              <w:rPr>
                <w:rFonts w:ascii="Poppins" w:eastAsia="Poppins" w:hAnsi="Poppins" w:cs="Poppins"/>
                <w:b/>
                <w:bCs/>
                <w:color w:val="FFFFFF"/>
                <w:sz w:val="20"/>
                <w:szCs w:val="20"/>
              </w:rPr>
              <w:t>Taux d’atteinte de l’objectif</w:t>
            </w:r>
          </w:p>
        </w:tc>
        <w:tc>
          <w:tcPr>
            <w:tcW w:w="4770" w:type="dxa"/>
            <w:tcBorders>
              <w:top w:val="single" w:sz="8" w:space="0" w:color="000000"/>
              <w:left w:val="single" w:sz="8" w:space="0" w:color="000000"/>
              <w:bottom w:val="single" w:sz="8" w:space="0" w:color="000000"/>
              <w:right w:val="single" w:sz="8" w:space="0" w:color="000000"/>
            </w:tcBorders>
            <w:shd w:val="clear" w:color="auto" w:fill="E10078"/>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FFFFFF"/>
                <w:sz w:val="20"/>
                <w:szCs w:val="20"/>
              </w:rPr>
            </w:pPr>
            <w:r>
              <w:rPr>
                <w:rFonts w:ascii="Poppins" w:eastAsia="Poppins" w:hAnsi="Poppins" w:cs="Poppins"/>
                <w:b/>
                <w:bCs/>
                <w:color w:val="FFFFFF"/>
                <w:sz w:val="20"/>
                <w:szCs w:val="20"/>
              </w:rPr>
              <w:t>Taux de versement de la prime</w:t>
            </w:r>
          </w:p>
        </w:tc>
      </w:tr>
      <w:tr w:rsidR="00162100" w:rsidTr="00C94679">
        <w:tc>
          <w:tcPr>
            <w:tcW w:w="4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90% à 100%</w:t>
            </w:r>
          </w:p>
        </w:tc>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Prorata</w:t>
            </w:r>
          </w:p>
        </w:tc>
      </w:tr>
      <w:tr w:rsidR="00162100" w:rsidTr="00C94679">
        <w:tc>
          <w:tcPr>
            <w:tcW w:w="4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80% à 89,99%</w:t>
            </w:r>
          </w:p>
        </w:tc>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75%</w:t>
            </w:r>
          </w:p>
        </w:tc>
      </w:tr>
      <w:tr w:rsidR="00162100" w:rsidTr="00C94679">
        <w:tc>
          <w:tcPr>
            <w:tcW w:w="4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lastRenderedPageBreak/>
              <w:t>70% à 79,99%</w:t>
            </w:r>
          </w:p>
        </w:tc>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50%</w:t>
            </w:r>
          </w:p>
        </w:tc>
      </w:tr>
      <w:tr w:rsidR="00162100" w:rsidTr="00C94679">
        <w:tc>
          <w:tcPr>
            <w:tcW w:w="4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sz w:val="20"/>
                <w:szCs w:val="20"/>
              </w:rPr>
              <w:t>Inférieur</w:t>
            </w:r>
            <w:r>
              <w:rPr>
                <w:rFonts w:ascii="Poppins" w:eastAsia="Poppins" w:hAnsi="Poppins" w:cs="Poppins"/>
                <w:color w:val="000000"/>
                <w:sz w:val="20"/>
                <w:szCs w:val="20"/>
              </w:rPr>
              <w:t xml:space="preserve"> à 70%</w:t>
            </w:r>
          </w:p>
        </w:tc>
        <w:tc>
          <w:tcPr>
            <w:tcW w:w="47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0%</w:t>
            </w:r>
          </w:p>
        </w:tc>
      </w:tr>
    </w:tbl>
    <w:p w:rsidR="00162100" w:rsidRDefault="00162100" w:rsidP="00162100">
      <w:pPr>
        <w:spacing w:after="0" w:line="276" w:lineRule="auto"/>
        <w:jc w:val="both"/>
        <w:rPr>
          <w:rFonts w:ascii="Poppins" w:eastAsia="Poppins" w:hAnsi="Poppins" w:cs="Poppins"/>
          <w:b/>
          <w:bCs/>
          <w:color w:val="E10078"/>
          <w:sz w:val="20"/>
          <w:szCs w:val="20"/>
        </w:rPr>
      </w:pPr>
    </w:p>
    <w:p w:rsidR="00162100" w:rsidRDefault="00162100" w:rsidP="00162100">
      <w:pPr>
        <w:spacing w:after="0" w:line="276" w:lineRule="auto"/>
        <w:jc w:val="both"/>
        <w:rPr>
          <w:rFonts w:ascii="Poppins" w:eastAsia="Poppins" w:hAnsi="Poppins" w:cs="Poppins"/>
          <w:b/>
          <w:bCs/>
          <w:sz w:val="20"/>
          <w:szCs w:val="20"/>
        </w:rPr>
      </w:pPr>
      <w:r>
        <w:rPr>
          <w:rFonts w:ascii="Poppins" w:eastAsia="Poppins" w:hAnsi="Poppins" w:cs="Poppins"/>
          <w:b/>
          <w:bCs/>
          <w:sz w:val="20"/>
          <w:szCs w:val="20"/>
        </w:rPr>
        <w:t>Article 4.7 : Les critères de surperformance</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line="276" w:lineRule="auto"/>
        <w:jc w:val="both"/>
        <w:rPr>
          <w:rFonts w:ascii="Poppins" w:eastAsia="Poppins" w:hAnsi="Poppins" w:cs="Poppins"/>
          <w:sz w:val="20"/>
          <w:szCs w:val="20"/>
        </w:rPr>
      </w:pPr>
      <w:r>
        <w:rPr>
          <w:rFonts w:ascii="Poppins" w:eastAsia="Poppins" w:hAnsi="Poppins" w:cs="Poppins"/>
          <w:color w:val="000000"/>
          <w:sz w:val="20"/>
          <w:szCs w:val="20"/>
        </w:rPr>
        <w:t xml:space="preserve">Il a été convenu de reconduire le critère de surperformance (au-delà de 100% des objectifs atteints individuellement </w:t>
      </w:r>
      <w:r>
        <w:rPr>
          <w:rFonts w:ascii="Poppins" w:eastAsia="Poppins" w:hAnsi="Poppins" w:cs="Poppins"/>
          <w:sz w:val="20"/>
          <w:szCs w:val="20"/>
        </w:rPr>
        <w:t xml:space="preserve">et collectivement </w:t>
      </w:r>
      <w:r>
        <w:rPr>
          <w:rFonts w:ascii="Poppins" w:eastAsia="Poppins" w:hAnsi="Poppins" w:cs="Poppins"/>
          <w:color w:val="000000"/>
          <w:sz w:val="20"/>
          <w:szCs w:val="20"/>
        </w:rPr>
        <w:t>et sur chaque critère) qui conduira à la majoration de la prime mensuelle selon les conditions ci-après, une fois le franchissement de chaque palier constaté. Il est à noter que chaque critère est mesuré individuellement.</w:t>
      </w:r>
    </w:p>
    <w:tbl>
      <w:tblPr>
        <w:tblW w:w="9495" w:type="dxa"/>
        <w:tblInd w:w="-100" w:type="dxa"/>
        <w:tblLayout w:type="fixed"/>
        <w:tblLook w:val="0400" w:firstRow="0" w:lastRow="0" w:firstColumn="0" w:lastColumn="0" w:noHBand="0" w:noVBand="1"/>
      </w:tblPr>
      <w:tblGrid>
        <w:gridCol w:w="4740"/>
        <w:gridCol w:w="4755"/>
      </w:tblGrid>
      <w:tr w:rsidR="00162100" w:rsidTr="00C94679">
        <w:trPr>
          <w:trHeight w:val="465"/>
        </w:trPr>
        <w:tc>
          <w:tcPr>
            <w:tcW w:w="4740" w:type="dxa"/>
            <w:tcBorders>
              <w:top w:val="single" w:sz="8" w:space="0" w:color="000000"/>
              <w:left w:val="single" w:sz="8" w:space="0" w:color="000000"/>
              <w:bottom w:val="single" w:sz="8" w:space="0" w:color="000000"/>
              <w:right w:val="single" w:sz="8" w:space="0" w:color="000000"/>
            </w:tcBorders>
            <w:shd w:val="clear" w:color="auto" w:fill="E10078"/>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FFFFFF"/>
                <w:sz w:val="20"/>
                <w:szCs w:val="20"/>
              </w:rPr>
            </w:pPr>
            <w:r>
              <w:rPr>
                <w:rFonts w:ascii="Poppins" w:eastAsia="Poppins" w:hAnsi="Poppins" w:cs="Poppins"/>
                <w:b/>
                <w:bCs/>
                <w:color w:val="FFFFFF"/>
                <w:sz w:val="20"/>
                <w:szCs w:val="20"/>
              </w:rPr>
              <w:t>Taux de surperformance </w:t>
            </w:r>
          </w:p>
        </w:tc>
        <w:tc>
          <w:tcPr>
            <w:tcW w:w="4755" w:type="dxa"/>
            <w:tcBorders>
              <w:top w:val="single" w:sz="8" w:space="0" w:color="000000"/>
              <w:left w:val="single" w:sz="8" w:space="0" w:color="000000"/>
              <w:bottom w:val="single" w:sz="8" w:space="0" w:color="000000"/>
              <w:right w:val="single" w:sz="8" w:space="0" w:color="000000"/>
            </w:tcBorders>
            <w:shd w:val="clear" w:color="auto" w:fill="E10078"/>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FFFFFF"/>
                <w:sz w:val="20"/>
                <w:szCs w:val="20"/>
              </w:rPr>
            </w:pPr>
            <w:r>
              <w:rPr>
                <w:rFonts w:ascii="Poppins" w:eastAsia="Poppins" w:hAnsi="Poppins" w:cs="Poppins"/>
                <w:b/>
                <w:bCs/>
                <w:color w:val="FFFFFF"/>
                <w:sz w:val="20"/>
                <w:szCs w:val="20"/>
              </w:rPr>
              <w:t>Taux d’augmentation</w:t>
            </w:r>
          </w:p>
        </w:tc>
      </w:tr>
      <w:tr w:rsidR="00162100" w:rsidTr="00C94679">
        <w:tc>
          <w:tcPr>
            <w:tcW w:w="47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5%</w:t>
            </w:r>
          </w:p>
        </w:tc>
        <w:tc>
          <w:tcPr>
            <w:tcW w:w="47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5</w:t>
            </w:r>
            <w:r>
              <w:rPr>
                <w:rFonts w:ascii="Poppins" w:eastAsia="Poppins" w:hAnsi="Poppins" w:cs="Poppins"/>
                <w:sz w:val="20"/>
                <w:szCs w:val="20"/>
              </w:rPr>
              <w:t>%</w:t>
            </w:r>
          </w:p>
        </w:tc>
      </w:tr>
      <w:tr w:rsidR="00162100" w:rsidTr="00C94679">
        <w:tc>
          <w:tcPr>
            <w:tcW w:w="47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sz w:val="20"/>
                <w:szCs w:val="20"/>
              </w:rPr>
              <w:t>1</w:t>
            </w:r>
            <w:r>
              <w:rPr>
                <w:rFonts w:ascii="Poppins" w:eastAsia="Poppins" w:hAnsi="Poppins" w:cs="Poppins"/>
                <w:color w:val="000000"/>
                <w:sz w:val="20"/>
                <w:szCs w:val="20"/>
              </w:rPr>
              <w:t>0%</w:t>
            </w:r>
          </w:p>
        </w:tc>
        <w:tc>
          <w:tcPr>
            <w:tcW w:w="47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10%</w:t>
            </w:r>
          </w:p>
        </w:tc>
      </w:tr>
      <w:tr w:rsidR="00162100" w:rsidTr="00C94679">
        <w:tc>
          <w:tcPr>
            <w:tcW w:w="47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sz w:val="20"/>
                <w:szCs w:val="20"/>
              </w:rPr>
              <w:t>15</w:t>
            </w:r>
            <w:r>
              <w:rPr>
                <w:rFonts w:ascii="Poppins" w:eastAsia="Poppins" w:hAnsi="Poppins" w:cs="Poppins"/>
                <w:color w:val="000000"/>
                <w:sz w:val="20"/>
                <w:szCs w:val="20"/>
              </w:rPr>
              <w:t>%</w:t>
            </w:r>
          </w:p>
        </w:tc>
        <w:tc>
          <w:tcPr>
            <w:tcW w:w="47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15%</w:t>
            </w:r>
          </w:p>
        </w:tc>
      </w:tr>
      <w:tr w:rsidR="00162100" w:rsidTr="00C94679">
        <w:tc>
          <w:tcPr>
            <w:tcW w:w="47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sz w:val="20"/>
                <w:szCs w:val="20"/>
              </w:rPr>
              <w:t>2</w:t>
            </w:r>
            <w:r>
              <w:rPr>
                <w:rFonts w:ascii="Poppins" w:eastAsia="Poppins" w:hAnsi="Poppins" w:cs="Poppins"/>
                <w:color w:val="000000"/>
                <w:sz w:val="20"/>
                <w:szCs w:val="20"/>
              </w:rPr>
              <w:t>0%</w:t>
            </w:r>
          </w:p>
        </w:tc>
        <w:tc>
          <w:tcPr>
            <w:tcW w:w="47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20%</w:t>
            </w:r>
          </w:p>
        </w:tc>
      </w:tr>
      <w:tr w:rsidR="00162100" w:rsidTr="00C94679">
        <w:tc>
          <w:tcPr>
            <w:tcW w:w="47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sz w:val="20"/>
                <w:szCs w:val="20"/>
              </w:rPr>
              <w:t>25</w:t>
            </w:r>
            <w:r>
              <w:rPr>
                <w:rFonts w:ascii="Poppins" w:eastAsia="Poppins" w:hAnsi="Poppins" w:cs="Poppins"/>
                <w:color w:val="000000"/>
                <w:sz w:val="20"/>
                <w:szCs w:val="20"/>
              </w:rPr>
              <w:t>%</w:t>
            </w:r>
          </w:p>
        </w:tc>
        <w:tc>
          <w:tcPr>
            <w:tcW w:w="47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color w:val="000000"/>
                <w:sz w:val="20"/>
                <w:szCs w:val="20"/>
              </w:rPr>
              <w:t>25%</w:t>
            </w:r>
          </w:p>
        </w:tc>
      </w:tr>
      <w:tr w:rsidR="00162100" w:rsidTr="00C94679">
        <w:tc>
          <w:tcPr>
            <w:tcW w:w="47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sz w:val="20"/>
                <w:szCs w:val="20"/>
              </w:rPr>
            </w:pPr>
            <w:r>
              <w:rPr>
                <w:rFonts w:ascii="Poppins" w:eastAsia="Poppins" w:hAnsi="Poppins" w:cs="Poppins"/>
                <w:sz w:val="20"/>
                <w:szCs w:val="20"/>
              </w:rPr>
              <w:t>30%</w:t>
            </w:r>
          </w:p>
        </w:tc>
        <w:tc>
          <w:tcPr>
            <w:tcW w:w="47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2100" w:rsidRDefault="00162100" w:rsidP="00C94679">
            <w:pPr>
              <w:spacing w:after="0" w:line="276" w:lineRule="auto"/>
              <w:jc w:val="center"/>
              <w:rPr>
                <w:rFonts w:ascii="Poppins" w:eastAsia="Poppins" w:hAnsi="Poppins" w:cs="Poppins"/>
                <w:color w:val="000000"/>
                <w:sz w:val="20"/>
                <w:szCs w:val="20"/>
              </w:rPr>
            </w:pPr>
            <w:r>
              <w:rPr>
                <w:rFonts w:ascii="Poppins" w:eastAsia="Poppins" w:hAnsi="Poppins" w:cs="Poppins"/>
                <w:sz w:val="20"/>
                <w:szCs w:val="20"/>
              </w:rPr>
              <w:t>30%</w:t>
            </w:r>
          </w:p>
        </w:tc>
      </w:tr>
    </w:tbl>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rPr>
          <w:rFonts w:ascii="Poppins" w:eastAsia="Poppins" w:hAnsi="Poppins" w:cs="Poppins"/>
          <w:b/>
          <w:bCs/>
          <w:color w:val="E10078"/>
          <w:sz w:val="20"/>
          <w:szCs w:val="20"/>
        </w:rPr>
      </w:pPr>
      <w:r>
        <w:rPr>
          <w:rFonts w:ascii="Poppins" w:eastAsia="Poppins" w:hAnsi="Poppins" w:cs="Poppins"/>
          <w:b/>
          <w:bCs/>
          <w:color w:val="E10078"/>
          <w:sz w:val="20"/>
          <w:szCs w:val="20"/>
        </w:rPr>
        <w:t xml:space="preserve">Article 5 : Les mécanismes de majoration de la prime </w:t>
      </w:r>
    </w:p>
    <w:p w:rsidR="00162100" w:rsidRDefault="00162100" w:rsidP="00162100">
      <w:pPr>
        <w:spacing w:after="0" w:line="276" w:lineRule="auto"/>
        <w:rPr>
          <w:rFonts w:ascii="Poppins" w:eastAsia="Poppins" w:hAnsi="Poppins" w:cs="Poppins"/>
          <w:b/>
          <w:bC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Conscients des enjeux liés à l'absentéisme et à l’impact que celui-ci peut avoir sur l’organisation des équipes et l’activité de l’entreprise, les parties au présent accord sont convenues de mettre en place un dispositif de majoration de la prime visant à réduire l'absentéisme et valoriser le présentéisme.</w:t>
      </w:r>
    </w:p>
    <w:p w:rsidR="00162100" w:rsidRDefault="00162100" w:rsidP="00162100">
      <w:pPr>
        <w:spacing w:after="0" w:line="276" w:lineRule="auto"/>
        <w:rPr>
          <w:rFonts w:ascii="Poppins" w:eastAsia="Poppins" w:hAnsi="Poppins" w:cs="Poppins"/>
          <w:b/>
          <w:bCs/>
          <w:sz w:val="20"/>
          <w:szCs w:val="20"/>
        </w:rPr>
      </w:pPr>
    </w:p>
    <w:p w:rsidR="00162100" w:rsidRDefault="00162100" w:rsidP="00162100">
      <w:pPr>
        <w:spacing w:after="0" w:line="276" w:lineRule="auto"/>
        <w:rPr>
          <w:rFonts w:ascii="Poppins" w:eastAsia="Poppins" w:hAnsi="Poppins" w:cs="Poppins"/>
          <w:b/>
          <w:bCs/>
          <w:sz w:val="20"/>
          <w:szCs w:val="20"/>
        </w:rPr>
      </w:pPr>
      <w:r>
        <w:rPr>
          <w:rFonts w:ascii="Poppins" w:eastAsia="Poppins" w:hAnsi="Poppins" w:cs="Poppins"/>
          <w:b/>
          <w:bCs/>
          <w:sz w:val="20"/>
          <w:szCs w:val="20"/>
        </w:rPr>
        <w:t>5.1. Le mécanisme de majoration individuelle de la prime (</w:t>
      </w:r>
      <w:proofErr w:type="spellStart"/>
      <w:r>
        <w:rPr>
          <w:rFonts w:ascii="Poppins" w:eastAsia="Poppins" w:hAnsi="Poppins" w:cs="Poppins"/>
          <w:b/>
          <w:bCs/>
          <w:sz w:val="20"/>
          <w:szCs w:val="20"/>
        </w:rPr>
        <w:t>superbonus</w:t>
      </w:r>
      <w:proofErr w:type="spellEnd"/>
      <w:r>
        <w:rPr>
          <w:rFonts w:ascii="Poppins" w:eastAsia="Poppins" w:hAnsi="Poppins" w:cs="Poppins"/>
          <w:b/>
          <w:bCs/>
          <w:sz w:val="20"/>
          <w:szCs w:val="20"/>
        </w:rPr>
        <w:t xml:space="preserve"> individuel)</w:t>
      </w:r>
    </w:p>
    <w:p w:rsidR="00162100" w:rsidRDefault="00162100" w:rsidP="00162100">
      <w:pPr>
        <w:spacing w:before="240" w:after="240" w:line="276" w:lineRule="auto"/>
        <w:jc w:val="both"/>
        <w:rPr>
          <w:rFonts w:ascii="Poppins" w:eastAsia="Poppins" w:hAnsi="Poppins" w:cs="Poppins"/>
          <w:sz w:val="20"/>
          <w:szCs w:val="20"/>
        </w:rPr>
      </w:pPr>
      <w:r>
        <w:rPr>
          <w:rFonts w:ascii="Poppins" w:eastAsia="Poppins" w:hAnsi="Poppins" w:cs="Poppins"/>
          <w:sz w:val="20"/>
          <w:szCs w:val="20"/>
        </w:rPr>
        <w:t>Le salarié ne comptabilisant aucune absence (hors absences pour congés exposés dans l’article 3.1) sur l’intégralité du mois précédent le versement de la prime bénéficiera d’une prime mensuelle logistique majorée d’un montant de 15 euros bruts mensuels.</w:t>
      </w:r>
    </w:p>
    <w:p w:rsidR="00162100" w:rsidRDefault="00162100" w:rsidP="00162100">
      <w:pPr>
        <w:keepNext/>
        <w:keepLines/>
        <w:pBdr>
          <w:top w:val="nil"/>
          <w:left w:val="nil"/>
          <w:bottom w:val="nil"/>
          <w:right w:val="nil"/>
          <w:between w:val="nil"/>
        </w:pBdr>
        <w:spacing w:before="240" w:after="240" w:line="276" w:lineRule="auto"/>
        <w:jc w:val="both"/>
        <w:rPr>
          <w:rFonts w:ascii="Poppins" w:eastAsia="Poppins" w:hAnsi="Poppins" w:cs="Poppins"/>
          <w:sz w:val="20"/>
          <w:szCs w:val="20"/>
        </w:rPr>
      </w:pPr>
      <w:bookmarkStart w:id="2" w:name="_heading=h.88krpi8e7kh0" w:colFirst="0" w:colLast="0"/>
      <w:bookmarkEnd w:id="2"/>
      <w:r>
        <w:rPr>
          <w:rFonts w:ascii="Poppins" w:eastAsia="Poppins" w:hAnsi="Poppins" w:cs="Poppins"/>
          <w:color w:val="000000"/>
          <w:sz w:val="20"/>
          <w:szCs w:val="20"/>
        </w:rPr>
        <w:t>En cas d’entrée ou sortie des effectifs du salarié en cours de mois le salarié n’est pas éligible au mécanisme de majoration individuelle car celui-ci est conditionné à la réalisation d’un mois complet au sein de l’entreprise.</w:t>
      </w:r>
    </w:p>
    <w:p w:rsidR="00162100" w:rsidRDefault="00162100" w:rsidP="00162100">
      <w:pPr>
        <w:spacing w:after="0" w:line="276" w:lineRule="auto"/>
        <w:rPr>
          <w:rFonts w:ascii="Poppins" w:eastAsia="Poppins" w:hAnsi="Poppins" w:cs="Poppins"/>
          <w:b/>
          <w:bCs/>
          <w:sz w:val="20"/>
          <w:szCs w:val="20"/>
        </w:rPr>
      </w:pPr>
      <w:r>
        <w:rPr>
          <w:rFonts w:ascii="Poppins" w:eastAsia="Poppins" w:hAnsi="Poppins" w:cs="Poppins"/>
          <w:b/>
          <w:bCs/>
          <w:sz w:val="20"/>
          <w:szCs w:val="20"/>
        </w:rPr>
        <w:t>5.2. Le mécanisme de majoration collective de la prime (</w:t>
      </w:r>
      <w:proofErr w:type="spellStart"/>
      <w:r>
        <w:rPr>
          <w:rFonts w:ascii="Poppins" w:eastAsia="Poppins" w:hAnsi="Poppins" w:cs="Poppins"/>
          <w:b/>
          <w:bCs/>
          <w:sz w:val="20"/>
          <w:szCs w:val="20"/>
        </w:rPr>
        <w:t>superbonus</w:t>
      </w:r>
      <w:proofErr w:type="spellEnd"/>
      <w:r>
        <w:rPr>
          <w:rFonts w:ascii="Poppins" w:eastAsia="Poppins" w:hAnsi="Poppins" w:cs="Poppins"/>
          <w:b/>
          <w:bCs/>
          <w:sz w:val="20"/>
          <w:szCs w:val="20"/>
        </w:rPr>
        <w:t xml:space="preserve"> collectif)</w:t>
      </w:r>
    </w:p>
    <w:p w:rsidR="00162100" w:rsidRDefault="00162100" w:rsidP="00162100">
      <w:pPr>
        <w:spacing w:after="0" w:line="276" w:lineRule="auto"/>
        <w:rPr>
          <w:rFonts w:ascii="Poppins" w:eastAsia="Poppins" w:hAnsi="Poppins" w:cs="Poppins"/>
          <w:b/>
          <w:bCs/>
          <w:sz w:val="20"/>
          <w:szCs w:val="20"/>
        </w:rPr>
      </w:pPr>
    </w:p>
    <w:p w:rsidR="00162100" w:rsidRDefault="00162100" w:rsidP="00162100">
      <w:pPr>
        <w:spacing w:after="240" w:line="276" w:lineRule="auto"/>
        <w:jc w:val="both"/>
        <w:rPr>
          <w:rFonts w:ascii="Poppins" w:eastAsia="Poppins" w:hAnsi="Poppins" w:cs="Poppins"/>
          <w:color w:val="212529"/>
          <w:sz w:val="20"/>
          <w:szCs w:val="20"/>
        </w:rPr>
      </w:pPr>
      <w:r>
        <w:rPr>
          <w:rFonts w:ascii="Poppins" w:eastAsia="Poppins" w:hAnsi="Poppins" w:cs="Poppins"/>
          <w:sz w:val="20"/>
          <w:szCs w:val="20"/>
        </w:rPr>
        <w:t>Les parties ont décidé de mettre en place un outil de majoration supplémentaire de la prime mensuelle logistique basé sur des critè</w:t>
      </w:r>
      <w:r>
        <w:rPr>
          <w:rFonts w:ascii="Poppins" w:eastAsia="Poppins" w:hAnsi="Poppins" w:cs="Poppins"/>
          <w:color w:val="212529"/>
          <w:sz w:val="20"/>
          <w:szCs w:val="20"/>
        </w:rPr>
        <w:t>res collectifs liés à l'absentéisme et récompensant la performance de chaque site en la matière.</w:t>
      </w:r>
    </w:p>
    <w:p w:rsidR="00162100" w:rsidRDefault="00162100" w:rsidP="00162100">
      <w:pPr>
        <w:spacing w:after="240" w:line="276" w:lineRule="auto"/>
        <w:jc w:val="both"/>
        <w:rPr>
          <w:rFonts w:ascii="Poppins" w:eastAsia="Poppins" w:hAnsi="Poppins" w:cs="Poppins"/>
          <w:sz w:val="20"/>
          <w:szCs w:val="20"/>
        </w:rPr>
      </w:pPr>
      <w:r>
        <w:rPr>
          <w:rFonts w:ascii="Poppins" w:eastAsia="Poppins" w:hAnsi="Poppins" w:cs="Poppins"/>
          <w:sz w:val="20"/>
          <w:szCs w:val="20"/>
        </w:rPr>
        <w:t>Cet objectif collectif sera évalué au niveau de chaque établissement (à savoir Blanc-Mesnil, de Mitry-Mory, de Lyon 1, Lyon 2, Lyon 3, Lyon 4 et de Beaune). </w:t>
      </w:r>
    </w:p>
    <w:p w:rsidR="00162100" w:rsidRDefault="00162100" w:rsidP="00162100">
      <w:pPr>
        <w:spacing w:after="240" w:line="276" w:lineRule="auto"/>
        <w:jc w:val="both"/>
        <w:rPr>
          <w:rFonts w:ascii="Poppins" w:eastAsia="Poppins" w:hAnsi="Poppins" w:cs="Poppins"/>
          <w:sz w:val="20"/>
          <w:szCs w:val="20"/>
        </w:rPr>
      </w:pPr>
      <w:r>
        <w:rPr>
          <w:rFonts w:ascii="Poppins" w:eastAsia="Poppins" w:hAnsi="Poppins" w:cs="Poppins"/>
          <w:sz w:val="20"/>
          <w:szCs w:val="20"/>
        </w:rPr>
        <w:lastRenderedPageBreak/>
        <w:t xml:space="preserve">Ainsi, pour chacun de ces établissements, dès lors que le taux mensuel d'absentéisme est inférieur ou égal à 9% d'absentéisme, la prime mensuelle logistique sera augmentée de </w:t>
      </w:r>
      <w:proofErr w:type="gramStart"/>
      <w:r>
        <w:rPr>
          <w:rFonts w:ascii="Poppins" w:eastAsia="Poppins" w:hAnsi="Poppins" w:cs="Poppins"/>
          <w:sz w:val="20"/>
          <w:szCs w:val="20"/>
        </w:rPr>
        <w:t>10  euros</w:t>
      </w:r>
      <w:proofErr w:type="gramEnd"/>
      <w:r>
        <w:rPr>
          <w:rFonts w:ascii="Poppins" w:eastAsia="Poppins" w:hAnsi="Poppins" w:cs="Poppins"/>
          <w:sz w:val="20"/>
          <w:szCs w:val="20"/>
        </w:rPr>
        <w:t xml:space="preserve"> bruts mensuels supplémentaires pour tous les salariés présents sur l’intégralité du mois.</w:t>
      </w:r>
    </w:p>
    <w:p w:rsidR="00162100" w:rsidRDefault="00162100" w:rsidP="00162100">
      <w:pPr>
        <w:spacing w:after="240" w:line="276" w:lineRule="auto"/>
        <w:jc w:val="both"/>
        <w:rPr>
          <w:rFonts w:ascii="Poppins" w:eastAsia="Poppins" w:hAnsi="Poppins" w:cs="Poppins"/>
          <w:sz w:val="20"/>
          <w:szCs w:val="20"/>
        </w:rPr>
      </w:pPr>
      <w:r>
        <w:rPr>
          <w:rFonts w:ascii="Poppins" w:eastAsia="Poppins" w:hAnsi="Poppins" w:cs="Poppins"/>
          <w:color w:val="000000"/>
          <w:sz w:val="20"/>
          <w:szCs w:val="20"/>
        </w:rPr>
        <w:t>En cas d’entrée ou sortie des effectifs du salarié en cours de mois le salarié n’est pas éligible au mécanisme de majoration collectif car celui-ci est conditionné à la réalisation d’un mois complet au sein de l’entreprise.</w:t>
      </w:r>
    </w:p>
    <w:p w:rsidR="00162100" w:rsidRDefault="00162100" w:rsidP="00162100">
      <w:pPr>
        <w:spacing w:before="240" w:after="0" w:line="276" w:lineRule="auto"/>
        <w:jc w:val="both"/>
        <w:rPr>
          <w:rFonts w:ascii="Poppins" w:eastAsia="Poppins" w:hAnsi="Poppins" w:cs="Poppins"/>
          <w:b/>
          <w:bCs/>
          <w:sz w:val="20"/>
          <w:szCs w:val="20"/>
        </w:rPr>
      </w:pPr>
      <w:r>
        <w:rPr>
          <w:rFonts w:ascii="Poppins" w:eastAsia="Poppins" w:hAnsi="Poppins" w:cs="Poppins"/>
          <w:b/>
          <w:bCs/>
          <w:color w:val="E10078"/>
          <w:sz w:val="20"/>
          <w:szCs w:val="20"/>
        </w:rPr>
        <w:t>Article 6 : Durée, dénonciation, révision</w:t>
      </w:r>
    </w:p>
    <w:p w:rsidR="00162100" w:rsidRDefault="00162100" w:rsidP="00162100">
      <w:pPr>
        <w:spacing w:after="0" w:line="276" w:lineRule="auto"/>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color w:val="000000"/>
          <w:sz w:val="20"/>
          <w:szCs w:val="20"/>
        </w:rPr>
      </w:pPr>
      <w:r>
        <w:rPr>
          <w:rFonts w:ascii="Poppins" w:eastAsia="Poppins" w:hAnsi="Poppins" w:cs="Poppins"/>
          <w:color w:val="000000"/>
          <w:sz w:val="20"/>
          <w:szCs w:val="20"/>
        </w:rPr>
        <w:t>Le présent accord est conclu pour une durée déterminée d</w:t>
      </w:r>
      <w:r>
        <w:rPr>
          <w:rFonts w:ascii="Poppins" w:eastAsia="Poppins" w:hAnsi="Poppins" w:cs="Poppins"/>
          <w:sz w:val="20"/>
          <w:szCs w:val="20"/>
        </w:rPr>
        <w:t>’un an</w:t>
      </w:r>
      <w:r>
        <w:rPr>
          <w:rFonts w:ascii="Poppins" w:eastAsia="Poppins" w:hAnsi="Poppins" w:cs="Poppins"/>
          <w:color w:val="000000"/>
          <w:sz w:val="20"/>
          <w:szCs w:val="20"/>
        </w:rPr>
        <w:t>.</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Au terme de ce</w:t>
      </w:r>
      <w:r>
        <w:rPr>
          <w:rFonts w:ascii="Poppins" w:eastAsia="Poppins" w:hAnsi="Poppins" w:cs="Poppins"/>
          <w:sz w:val="20"/>
          <w:szCs w:val="20"/>
        </w:rPr>
        <w:t>tte année</w:t>
      </w:r>
      <w:r>
        <w:rPr>
          <w:rFonts w:ascii="Poppins" w:eastAsia="Poppins" w:hAnsi="Poppins" w:cs="Poppins"/>
          <w:color w:val="000000"/>
          <w:sz w:val="20"/>
          <w:szCs w:val="20"/>
        </w:rPr>
        <w:t>, il prendra fin automatiquement, sans se transformer en accord à durée indéterminée.</w:t>
      </w:r>
      <w:r>
        <w:rPr>
          <w:rFonts w:ascii="Poppins" w:eastAsia="Poppins" w:hAnsi="Poppins" w:cs="Poppins"/>
          <w:sz w:val="20"/>
          <w:szCs w:val="20"/>
        </w:rPr>
        <w:t xml:space="preserve"> </w:t>
      </w:r>
      <w:r>
        <w:rPr>
          <w:rFonts w:ascii="Poppins" w:eastAsia="Poppins" w:hAnsi="Poppins" w:cs="Poppins"/>
          <w:color w:val="000000"/>
          <w:sz w:val="20"/>
          <w:szCs w:val="20"/>
        </w:rPr>
        <w:t>Il entre en vigueur à partir du</w:t>
      </w:r>
      <w:r>
        <w:rPr>
          <w:rFonts w:ascii="Poppins" w:eastAsia="Poppins" w:hAnsi="Poppins" w:cs="Poppins"/>
          <w:sz w:val="20"/>
          <w:szCs w:val="20"/>
        </w:rPr>
        <w:t xml:space="preserve"> 1er mai 2026.</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Étant conclu pour une durée déterminée, l'accord ne peut être dénoncé. Il ne peut faire l'objet d'une modification par avenant sans que l'une ou l'autre des parties ne soit tenue de négocier un tel avenant.</w:t>
      </w:r>
    </w:p>
    <w:p w:rsidR="00162100" w:rsidRDefault="00162100" w:rsidP="00162100">
      <w:pPr>
        <w:spacing w:before="240" w:after="200" w:line="276" w:lineRule="auto"/>
        <w:jc w:val="both"/>
        <w:rPr>
          <w:rFonts w:ascii="Poppins" w:eastAsia="Poppins" w:hAnsi="Poppins" w:cs="Poppins"/>
          <w:sz w:val="20"/>
          <w:szCs w:val="20"/>
        </w:rPr>
      </w:pPr>
      <w:r>
        <w:rPr>
          <w:rFonts w:ascii="Poppins" w:eastAsia="Poppins" w:hAnsi="Poppins" w:cs="Poppins"/>
          <w:b/>
          <w:bCs/>
          <w:color w:val="E10078"/>
          <w:sz w:val="20"/>
          <w:szCs w:val="20"/>
        </w:rPr>
        <w:t>Article 7 : Publicité</w:t>
      </w: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Le présent accord sera déposé par voie électronique, via la plateforme </w:t>
      </w:r>
      <w:proofErr w:type="spellStart"/>
      <w:r>
        <w:rPr>
          <w:rFonts w:ascii="Poppins" w:eastAsia="Poppins" w:hAnsi="Poppins" w:cs="Poppins"/>
          <w:sz w:val="20"/>
          <w:szCs w:val="20"/>
        </w:rPr>
        <w:t>TéléAccords</w:t>
      </w:r>
      <w:proofErr w:type="spellEnd"/>
      <w:r>
        <w:rPr>
          <w:rFonts w:ascii="Poppins" w:eastAsia="Poppins" w:hAnsi="Poppins" w:cs="Poppins"/>
          <w:sz w:val="20"/>
          <w:szCs w:val="20"/>
        </w:rPr>
        <w:t xml:space="preserve"> (https://www.teleaccords.travail-emploi.gouv.fr), à la DRIEETS dont relève le siège social de la société.   </w:t>
      </w: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sz w:val="20"/>
          <w:szCs w:val="20"/>
        </w:rPr>
        <w:t>Un exemplaire devra également être déposé au greffe du conseil de prud'hommes du lieu de conclusion de l’accord dans les 15 jours suivant sa date limite de conclusion.</w:t>
      </w:r>
    </w:p>
    <w:p w:rsidR="00162100" w:rsidRDefault="00162100" w:rsidP="00162100">
      <w:pPr>
        <w:spacing w:after="0" w:line="276" w:lineRule="auto"/>
        <w:jc w:val="both"/>
        <w:rPr>
          <w:rFonts w:ascii="Poppins" w:eastAsia="Poppins" w:hAnsi="Poppins" w:cs="Poppins"/>
          <w:sz w:val="20"/>
          <w:szCs w:val="20"/>
        </w:rPr>
      </w:pPr>
    </w:p>
    <w:p w:rsidR="00162100" w:rsidRDefault="00162100" w:rsidP="00162100">
      <w:pPr>
        <w:spacing w:after="0" w:line="276" w:lineRule="auto"/>
        <w:jc w:val="both"/>
        <w:rPr>
          <w:rFonts w:ascii="Poppins" w:eastAsia="Poppins" w:hAnsi="Poppins" w:cs="Poppins"/>
          <w:sz w:val="20"/>
          <w:szCs w:val="20"/>
        </w:rPr>
      </w:pPr>
      <w:r>
        <w:rPr>
          <w:rFonts w:ascii="Poppins" w:eastAsia="Poppins" w:hAnsi="Poppins" w:cs="Poppins"/>
          <w:color w:val="000000"/>
          <w:sz w:val="20"/>
          <w:szCs w:val="20"/>
        </w:rPr>
        <w:t xml:space="preserve">Fait en 6 exemplaires à </w:t>
      </w:r>
      <w:r>
        <w:rPr>
          <w:rFonts w:ascii="Poppins" w:eastAsia="Poppins" w:hAnsi="Poppins" w:cs="Poppins"/>
          <w:sz w:val="20"/>
          <w:szCs w:val="20"/>
        </w:rPr>
        <w:t>Saint-Vulbas</w:t>
      </w:r>
      <w:r>
        <w:rPr>
          <w:rFonts w:ascii="Poppins" w:eastAsia="Poppins" w:hAnsi="Poppins" w:cs="Poppins"/>
          <w:color w:val="000000"/>
          <w:sz w:val="20"/>
          <w:szCs w:val="20"/>
        </w:rPr>
        <w:t>, le</w:t>
      </w:r>
      <w:r>
        <w:rPr>
          <w:rFonts w:ascii="Poppins" w:eastAsia="Poppins" w:hAnsi="Poppins" w:cs="Poppins"/>
          <w:sz w:val="20"/>
          <w:szCs w:val="20"/>
        </w:rPr>
        <w:t xml:space="preserve"> 21 avril 2026. </w:t>
      </w:r>
    </w:p>
    <w:tbl>
      <w:tblPr>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70"/>
        <w:gridCol w:w="4590"/>
      </w:tblGrid>
      <w:tr w:rsidR="00162100" w:rsidTr="00C94679">
        <w:tc>
          <w:tcPr>
            <w:tcW w:w="477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162100" w:rsidRDefault="00162100" w:rsidP="00C94679">
            <w:pPr>
              <w:spacing w:after="0" w:line="276" w:lineRule="auto"/>
              <w:jc w:val="both"/>
              <w:rPr>
                <w:rFonts w:ascii="Poppins" w:eastAsia="Poppins" w:hAnsi="Poppins" w:cs="Poppins"/>
                <w:sz w:val="20"/>
                <w:szCs w:val="20"/>
              </w:rPr>
            </w:pPr>
            <w:r>
              <w:rPr>
                <w:rFonts w:ascii="Poppins" w:eastAsia="Poppins" w:hAnsi="Poppins" w:cs="Poppins"/>
                <w:b/>
                <w:bCs/>
                <w:sz w:val="20"/>
                <w:szCs w:val="20"/>
              </w:rPr>
              <w:t>Pour la société vente-privée logistique</w:t>
            </w:r>
            <w:r>
              <w:rPr>
                <w:rFonts w:ascii="Poppins" w:eastAsia="Poppins" w:hAnsi="Poppins" w:cs="Poppins"/>
                <w:b/>
                <w:bCs/>
                <w:sz w:val="20"/>
                <w:szCs w:val="20"/>
              </w:rPr>
              <w:tab/>
            </w:r>
          </w:p>
          <w:p w:rsidR="00162100" w:rsidRDefault="00162100" w:rsidP="00C94679">
            <w:pPr>
              <w:spacing w:after="0" w:line="276" w:lineRule="auto"/>
              <w:jc w:val="both"/>
              <w:rPr>
                <w:rFonts w:ascii="Poppins" w:eastAsia="Poppins" w:hAnsi="Poppins" w:cs="Poppins"/>
                <w:sz w:val="20"/>
                <w:szCs w:val="20"/>
              </w:rPr>
            </w:pPr>
            <w:r>
              <w:rPr>
                <w:rFonts w:ascii="Poppins" w:eastAsia="Poppins" w:hAnsi="Poppins" w:cs="Poppins"/>
                <w:sz w:val="20"/>
                <w:szCs w:val="20"/>
              </w:rPr>
              <w:t>Monsieur XXX</w:t>
            </w:r>
          </w:p>
          <w:p w:rsidR="00162100" w:rsidRDefault="00162100" w:rsidP="00C94679">
            <w:pPr>
              <w:spacing w:after="0" w:line="276" w:lineRule="auto"/>
              <w:jc w:val="both"/>
              <w:rPr>
                <w:rFonts w:ascii="Poppins" w:eastAsia="Poppins" w:hAnsi="Poppins" w:cs="Poppins"/>
                <w:sz w:val="20"/>
                <w:szCs w:val="20"/>
              </w:rPr>
            </w:pPr>
            <w:r>
              <w:rPr>
                <w:rFonts w:ascii="Poppins" w:eastAsia="Poppins" w:hAnsi="Poppins" w:cs="Poppins"/>
                <w:sz w:val="20"/>
                <w:szCs w:val="20"/>
              </w:rPr>
              <w:t xml:space="preserve">Directeur Général </w:t>
            </w:r>
          </w:p>
        </w:tc>
        <w:tc>
          <w:tcPr>
            <w:tcW w:w="459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162100" w:rsidRDefault="00162100" w:rsidP="00C94679">
            <w:pPr>
              <w:spacing w:after="0" w:line="276" w:lineRule="auto"/>
              <w:jc w:val="both"/>
              <w:rPr>
                <w:rFonts w:ascii="Poppins" w:eastAsia="Poppins" w:hAnsi="Poppins" w:cs="Poppins"/>
                <w:sz w:val="20"/>
                <w:szCs w:val="20"/>
              </w:rPr>
            </w:pPr>
            <w:r>
              <w:rPr>
                <w:rFonts w:ascii="Poppins" w:eastAsia="Poppins" w:hAnsi="Poppins" w:cs="Poppins"/>
                <w:b/>
                <w:bCs/>
                <w:sz w:val="20"/>
                <w:szCs w:val="20"/>
              </w:rPr>
              <w:t>Pour les organisations syndicales</w:t>
            </w:r>
          </w:p>
          <w:p w:rsidR="00162100" w:rsidRDefault="00162100" w:rsidP="00C94679">
            <w:pPr>
              <w:spacing w:after="0" w:line="276" w:lineRule="auto"/>
              <w:jc w:val="both"/>
              <w:rPr>
                <w:rFonts w:ascii="Poppins" w:eastAsia="Poppins" w:hAnsi="Poppins" w:cs="Poppins"/>
                <w:sz w:val="20"/>
                <w:szCs w:val="20"/>
              </w:rPr>
            </w:pPr>
            <w:r>
              <w:rPr>
                <w:rFonts w:ascii="Poppins" w:eastAsia="Poppins" w:hAnsi="Poppins" w:cs="Poppins"/>
                <w:sz w:val="20"/>
                <w:szCs w:val="20"/>
              </w:rPr>
              <w:t>Pour la CGT, Madame XXX, Madame XXX et Monsieur XXX, délégués syndicaux d’établissement au sein de l’UES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w:t>
            </w:r>
          </w:p>
          <w:p w:rsidR="00162100" w:rsidRDefault="00162100" w:rsidP="00C94679">
            <w:pPr>
              <w:spacing w:after="0" w:line="276" w:lineRule="auto"/>
              <w:jc w:val="both"/>
              <w:rPr>
                <w:rFonts w:ascii="Poppins" w:eastAsia="Poppins" w:hAnsi="Poppins" w:cs="Poppins"/>
                <w:sz w:val="20"/>
                <w:szCs w:val="20"/>
              </w:rPr>
            </w:pPr>
          </w:p>
          <w:p w:rsidR="00162100" w:rsidRDefault="00162100" w:rsidP="00C94679">
            <w:pPr>
              <w:spacing w:after="0" w:line="276" w:lineRule="auto"/>
              <w:jc w:val="both"/>
              <w:rPr>
                <w:rFonts w:ascii="Poppins" w:eastAsia="Poppins" w:hAnsi="Poppins" w:cs="Poppins"/>
                <w:sz w:val="20"/>
                <w:szCs w:val="20"/>
              </w:rPr>
            </w:pPr>
          </w:p>
          <w:p w:rsidR="00162100" w:rsidRDefault="00162100" w:rsidP="00C94679">
            <w:pPr>
              <w:spacing w:after="0" w:line="276" w:lineRule="auto"/>
              <w:jc w:val="both"/>
              <w:rPr>
                <w:rFonts w:ascii="Poppins" w:eastAsia="Poppins" w:hAnsi="Poppins" w:cs="Poppins"/>
                <w:sz w:val="20"/>
                <w:szCs w:val="20"/>
              </w:rPr>
            </w:pPr>
            <w:r>
              <w:rPr>
                <w:rFonts w:ascii="Poppins" w:eastAsia="Poppins" w:hAnsi="Poppins" w:cs="Poppins"/>
                <w:sz w:val="20"/>
                <w:szCs w:val="20"/>
              </w:rPr>
              <w:t>Pour la CFE-CGC, Monsieur XXX et Monsieur XXX, délégués syndicaux d’établissement au sein de l’UES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w:t>
            </w:r>
          </w:p>
          <w:p w:rsidR="00162100" w:rsidRDefault="00162100" w:rsidP="00C94679">
            <w:pPr>
              <w:spacing w:after="0" w:line="276" w:lineRule="auto"/>
              <w:jc w:val="both"/>
              <w:rPr>
                <w:rFonts w:ascii="Poppins" w:eastAsia="Poppins" w:hAnsi="Poppins" w:cs="Poppins"/>
                <w:sz w:val="20"/>
                <w:szCs w:val="20"/>
              </w:rPr>
            </w:pPr>
          </w:p>
          <w:p w:rsidR="00162100" w:rsidRDefault="00162100" w:rsidP="00C94679">
            <w:pPr>
              <w:spacing w:after="0" w:line="276" w:lineRule="auto"/>
              <w:jc w:val="both"/>
              <w:rPr>
                <w:rFonts w:ascii="Poppins" w:eastAsia="Poppins" w:hAnsi="Poppins" w:cs="Poppins"/>
                <w:sz w:val="20"/>
                <w:szCs w:val="20"/>
              </w:rPr>
            </w:pPr>
          </w:p>
          <w:p w:rsidR="00162100" w:rsidRDefault="00162100" w:rsidP="00C94679">
            <w:pPr>
              <w:spacing w:after="0" w:line="276" w:lineRule="auto"/>
              <w:jc w:val="both"/>
              <w:rPr>
                <w:rFonts w:ascii="Poppins" w:eastAsia="Poppins" w:hAnsi="Poppins" w:cs="Poppins"/>
                <w:sz w:val="20"/>
                <w:szCs w:val="20"/>
              </w:rPr>
            </w:pPr>
            <w:r>
              <w:rPr>
                <w:rFonts w:ascii="Poppins" w:eastAsia="Poppins" w:hAnsi="Poppins" w:cs="Poppins"/>
                <w:sz w:val="20"/>
                <w:szCs w:val="20"/>
              </w:rPr>
              <w:t>Pour la SECI-UNSA, Madame XXX et Monsieur XXX, délégués syndicaux d’établissement au sein de l’UES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w:t>
            </w:r>
          </w:p>
          <w:p w:rsidR="00162100" w:rsidRDefault="00162100" w:rsidP="00C94679">
            <w:pPr>
              <w:spacing w:after="0" w:line="276" w:lineRule="auto"/>
              <w:jc w:val="both"/>
              <w:rPr>
                <w:rFonts w:ascii="Poppins" w:eastAsia="Poppins" w:hAnsi="Poppins" w:cs="Poppins"/>
                <w:sz w:val="20"/>
                <w:szCs w:val="20"/>
              </w:rPr>
            </w:pPr>
          </w:p>
          <w:p w:rsidR="00162100" w:rsidRDefault="00162100" w:rsidP="00C94679">
            <w:pPr>
              <w:spacing w:after="0" w:line="276" w:lineRule="auto"/>
              <w:jc w:val="both"/>
              <w:rPr>
                <w:rFonts w:ascii="Poppins" w:eastAsia="Poppins" w:hAnsi="Poppins" w:cs="Poppins"/>
                <w:sz w:val="20"/>
                <w:szCs w:val="20"/>
              </w:rPr>
            </w:pPr>
          </w:p>
          <w:p w:rsidR="00162100" w:rsidRDefault="00162100" w:rsidP="00C94679">
            <w:pPr>
              <w:spacing w:after="0" w:line="276" w:lineRule="auto"/>
              <w:jc w:val="both"/>
              <w:rPr>
                <w:rFonts w:ascii="Poppins" w:eastAsia="Poppins" w:hAnsi="Poppins" w:cs="Poppins"/>
                <w:sz w:val="20"/>
                <w:szCs w:val="20"/>
              </w:rPr>
            </w:pPr>
            <w:r>
              <w:rPr>
                <w:rFonts w:ascii="Poppins" w:eastAsia="Poppins" w:hAnsi="Poppins" w:cs="Poppins"/>
                <w:sz w:val="20"/>
                <w:szCs w:val="20"/>
              </w:rPr>
              <w:t>Pour la CFDT, Monsieur XXX et Monsieur XXX, délégués syndicaux d’établissement au sein de l’UES vente-</w:t>
            </w:r>
            <w:proofErr w:type="spellStart"/>
            <w:r>
              <w:rPr>
                <w:rFonts w:ascii="Poppins" w:eastAsia="Poppins" w:hAnsi="Poppins" w:cs="Poppins"/>
                <w:sz w:val="20"/>
                <w:szCs w:val="20"/>
              </w:rPr>
              <w:t>privee</w:t>
            </w:r>
            <w:proofErr w:type="spellEnd"/>
            <w:r>
              <w:rPr>
                <w:rFonts w:ascii="Poppins" w:eastAsia="Poppins" w:hAnsi="Poppins" w:cs="Poppins"/>
                <w:sz w:val="20"/>
                <w:szCs w:val="20"/>
              </w:rPr>
              <w:t xml:space="preserve"> Logistique.</w:t>
            </w:r>
          </w:p>
          <w:p w:rsidR="00162100" w:rsidRDefault="00162100" w:rsidP="00C94679">
            <w:pPr>
              <w:spacing w:after="0" w:line="276" w:lineRule="auto"/>
              <w:jc w:val="both"/>
              <w:rPr>
                <w:rFonts w:ascii="Poppins" w:eastAsia="Poppins" w:hAnsi="Poppins" w:cs="Poppins"/>
                <w:sz w:val="20"/>
                <w:szCs w:val="20"/>
              </w:rPr>
            </w:pPr>
          </w:p>
          <w:p w:rsidR="00162100" w:rsidRDefault="00162100" w:rsidP="00C94679">
            <w:pPr>
              <w:spacing w:after="0" w:line="276" w:lineRule="auto"/>
              <w:jc w:val="both"/>
              <w:rPr>
                <w:rFonts w:ascii="Poppins" w:eastAsia="Poppins" w:hAnsi="Poppins" w:cs="Poppins"/>
                <w:sz w:val="20"/>
                <w:szCs w:val="20"/>
              </w:rPr>
            </w:pPr>
          </w:p>
        </w:tc>
      </w:tr>
    </w:tbl>
    <w:p w:rsidR="00162100" w:rsidRDefault="00162100" w:rsidP="00162100">
      <w:pPr>
        <w:spacing w:line="276" w:lineRule="auto"/>
        <w:rPr>
          <w:rFonts w:ascii="Poppins" w:eastAsia="Poppins" w:hAnsi="Poppins" w:cs="Poppins"/>
          <w:color w:val="000000"/>
          <w:sz w:val="20"/>
          <w:szCs w:val="20"/>
        </w:rPr>
      </w:pPr>
    </w:p>
    <w:p w:rsidR="000173A5" w:rsidRPr="00162100" w:rsidRDefault="00162100" w:rsidP="00162100"/>
    <w:sectPr w:rsidR="000173A5" w:rsidRPr="00162100">
      <w:headerReference w:type="default" r:id="rId5"/>
      <w:footerReference w:type="default" r:id="rId6"/>
      <w:footerReference w:type="first" r:id="rId7"/>
      <w:pgSz w:w="12240" w:h="15840"/>
      <w:pgMar w:top="1417" w:right="1440" w:bottom="1218" w:left="1440" w:header="708" w:footer="70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oppins">
    <w:altName w:val="Times New Roman"/>
    <w:charset w:val="00"/>
    <w:family w:val="auto"/>
    <w:pitch w:val="default"/>
  </w:font>
  <w:font w:name="Roboto">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51" w:rsidRDefault="00162100">
    <w:r>
      <w:fldChar w:fldCharType="begin"/>
    </w:r>
    <w:r>
      <w:instrText>PAGE</w:instrText>
    </w:r>
    <w:r>
      <w:fldChar w:fldCharType="separate"/>
    </w:r>
    <w:r>
      <w:rPr>
        <w:noProof/>
      </w:rPr>
      <w:t>9</w:t>
    </w:r>
    <w:r>
      <w:fldChar w:fldCharType="end"/>
    </w:r>
    <w:r>
      <w:t>/</w:t>
    </w:r>
    <w:r>
      <w:fldChar w:fldCharType="begin"/>
    </w:r>
    <w:r>
      <w:instrText>NUMPAGES</w:instrText>
    </w:r>
    <w:r>
      <w:fldChar w:fldCharType="separate"/>
    </w:r>
    <w:r>
      <w:rPr>
        <w:noProof/>
      </w:rPr>
      <w:t>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51" w:rsidRDefault="00162100">
    <w:pPr>
      <w:jc w:val="right"/>
    </w:pPr>
    <w:r>
      <w:fldChar w:fldCharType="begin"/>
    </w:r>
    <w:r>
      <w:instrText>PAGE</w:instrText>
    </w:r>
    <w:r>
      <w:fldChar w:fldCharType="separate"/>
    </w:r>
    <w:r>
      <w:rPr>
        <w:noProof/>
      </w:rPr>
      <w:t>1</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251" w:rsidRDefault="001621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3A92"/>
    <w:multiLevelType w:val="multilevel"/>
    <w:tmpl w:val="823A73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35D2AB0"/>
    <w:multiLevelType w:val="multilevel"/>
    <w:tmpl w:val="D23AA5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3841DA1"/>
    <w:multiLevelType w:val="multilevel"/>
    <w:tmpl w:val="A3CE9D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E6A20AC"/>
    <w:multiLevelType w:val="multilevel"/>
    <w:tmpl w:val="5C7ED5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3CA6508"/>
    <w:multiLevelType w:val="multilevel"/>
    <w:tmpl w:val="45E03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4857330"/>
    <w:multiLevelType w:val="multilevel"/>
    <w:tmpl w:val="B1824D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6A11D03"/>
    <w:multiLevelType w:val="multilevel"/>
    <w:tmpl w:val="4B5098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3C141D9F"/>
    <w:multiLevelType w:val="multilevel"/>
    <w:tmpl w:val="0A6EA0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495F0FCC"/>
    <w:multiLevelType w:val="multilevel"/>
    <w:tmpl w:val="645812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52F558E2"/>
    <w:multiLevelType w:val="multilevel"/>
    <w:tmpl w:val="2CE808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5DF00A5E"/>
    <w:multiLevelType w:val="multilevel"/>
    <w:tmpl w:val="DCC4F4D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5EE24F29"/>
    <w:multiLevelType w:val="multilevel"/>
    <w:tmpl w:val="3B6897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739B46FF"/>
    <w:multiLevelType w:val="multilevel"/>
    <w:tmpl w:val="D8B2C37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0"/>
  </w:num>
  <w:num w:numId="3">
    <w:abstractNumId w:val="10"/>
  </w:num>
  <w:num w:numId="4">
    <w:abstractNumId w:val="1"/>
  </w:num>
  <w:num w:numId="5">
    <w:abstractNumId w:val="9"/>
  </w:num>
  <w:num w:numId="6">
    <w:abstractNumId w:val="11"/>
  </w:num>
  <w:num w:numId="7">
    <w:abstractNumId w:val="8"/>
  </w:num>
  <w:num w:numId="8">
    <w:abstractNumId w:val="12"/>
  </w:num>
  <w:num w:numId="9">
    <w:abstractNumId w:val="7"/>
  </w:num>
  <w:num w:numId="10">
    <w:abstractNumId w:val="4"/>
  </w:num>
  <w:num w:numId="11">
    <w:abstractNumId w:val="6"/>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100"/>
    <w:rsid w:val="00162100"/>
    <w:rsid w:val="00802606"/>
    <w:rsid w:val="00BE2F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11E4D"/>
  <w15:chartTrackingRefBased/>
  <w15:docId w15:val="{1DA58A0B-738A-414B-A1D3-688ED875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2702</Words>
  <Characters>14862</Characters>
  <Application>Microsoft Office Word</Application>
  <DocSecurity>0</DocSecurity>
  <Lines>123</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BALLANT</dc:creator>
  <cp:keywords/>
  <dc:description/>
  <cp:lastModifiedBy>David BALLANT</cp:lastModifiedBy>
  <cp:revision>1</cp:revision>
  <dcterms:created xsi:type="dcterms:W3CDTF">2026-05-04T10:20:00Z</dcterms:created>
  <dcterms:modified xsi:type="dcterms:W3CDTF">2026-05-04T10:23:00Z</dcterms:modified>
</cp:coreProperties>
</file>