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95744" w14:textId="7C1C944D" w:rsidR="00A1121B" w:rsidRDefault="00A1121B" w:rsidP="00A1121B">
      <w:pPr>
        <w:pStyle w:val="Titre1"/>
        <w:jc w:val="center"/>
      </w:pPr>
      <w:r>
        <w:t>ACCORD D’ENTREPRISE</w:t>
      </w:r>
    </w:p>
    <w:p w14:paraId="1B270720" w14:textId="057DF414" w:rsidR="00A1121B" w:rsidRDefault="00A1121B" w:rsidP="00A1121B">
      <w:pPr>
        <w:pStyle w:val="Titre1"/>
        <w:jc w:val="center"/>
      </w:pPr>
      <w:r>
        <w:rPr>
          <w:rStyle w:val="lev"/>
        </w:rPr>
        <w:t>Relatif à l’aménagement du temps de travail en forfait jours</w:t>
      </w:r>
    </w:p>
    <w:p w14:paraId="434913D7" w14:textId="47261CA8" w:rsidR="00A1121B" w:rsidRDefault="00A1121B" w:rsidP="00A1121B"/>
    <w:p w14:paraId="658B084E" w14:textId="77777777" w:rsidR="00A1121B" w:rsidRDefault="00A1121B" w:rsidP="00A1121B">
      <w:pPr>
        <w:pStyle w:val="Titre2"/>
      </w:pPr>
      <w:r>
        <w:t>Préambule</w:t>
      </w:r>
    </w:p>
    <w:p w14:paraId="21CA7314" w14:textId="0D032003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La société</w:t>
      </w:r>
      <w:r w:rsidRPr="00A1121B">
        <w:rPr>
          <w:rStyle w:val="lev"/>
          <w:rFonts w:ascii="Calibri" w:eastAsiaTheme="majorEastAsia" w:hAnsi="Calibri" w:cs="Calibri"/>
        </w:rPr>
        <w:t xml:space="preserve"> MAÅGM</w:t>
      </w:r>
      <w:r w:rsidRPr="00A1121B">
        <w:rPr>
          <w:rFonts w:ascii="Calibri" w:hAnsi="Calibri" w:cs="Calibri"/>
        </w:rPr>
        <w:t>, relevant de la Convention Collective Nationale de la Métallurgie, souhaite adapter l’organisation du temps de travail des salariés cadres en forfait annuel en jours afin de :</w:t>
      </w:r>
    </w:p>
    <w:p w14:paraId="6EAD7877" w14:textId="5E4D68C3" w:rsidR="00A1121B" w:rsidRPr="00A1121B" w:rsidRDefault="00A1121B" w:rsidP="00A1121B">
      <w:pPr>
        <w:pStyle w:val="NormalWeb"/>
        <w:numPr>
          <w:ilvl w:val="0"/>
          <w:numId w:val="1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Tenir compte des spécificités de son activité ;</w:t>
      </w:r>
    </w:p>
    <w:p w14:paraId="0FF361E6" w14:textId="5A5E646F" w:rsidR="00A1121B" w:rsidRPr="00A1121B" w:rsidRDefault="00A1121B" w:rsidP="00A1121B">
      <w:pPr>
        <w:pStyle w:val="NormalWeb"/>
        <w:numPr>
          <w:ilvl w:val="0"/>
          <w:numId w:val="1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Favoriser l’équilibre entre vie professionnelle et vie personnelle ;</w:t>
      </w:r>
    </w:p>
    <w:p w14:paraId="06FF60FE" w14:textId="7063311B" w:rsidR="00A1121B" w:rsidRPr="00A1121B" w:rsidRDefault="00A1121B" w:rsidP="00A1121B">
      <w:pPr>
        <w:pStyle w:val="NormalWeb"/>
        <w:numPr>
          <w:ilvl w:val="0"/>
          <w:numId w:val="1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Sécuriser juridiquement le recours au forfait jours ;</w:t>
      </w:r>
    </w:p>
    <w:p w14:paraId="0E3898BD" w14:textId="644570A0" w:rsidR="00A1121B" w:rsidRPr="00A1121B" w:rsidRDefault="00A1121B" w:rsidP="00A1121B">
      <w:pPr>
        <w:pStyle w:val="NormalWeb"/>
        <w:numPr>
          <w:ilvl w:val="0"/>
          <w:numId w:val="1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Améliorer la soutenabilité de la charge de travail.</w:t>
      </w:r>
    </w:p>
    <w:p w14:paraId="6B0310B2" w14:textId="28EED0A5" w:rsidR="00A1121B" w:rsidRPr="00A1121B" w:rsidRDefault="00A1121B" w:rsidP="00A1121B">
      <w:pPr>
        <w:pStyle w:val="NormalWeb"/>
      </w:pPr>
      <w:r w:rsidRPr="00A1121B">
        <w:rPr>
          <w:rFonts w:ascii="Calibri" w:hAnsi="Calibri" w:cs="Calibri"/>
        </w:rPr>
        <w:t xml:space="preserve">Le présent accord est conclu en application des articles </w:t>
      </w:r>
      <w:r w:rsidRPr="00A1121B">
        <w:rPr>
          <w:rStyle w:val="lev"/>
          <w:rFonts w:ascii="Calibri" w:eastAsiaTheme="majorEastAsia" w:hAnsi="Calibri" w:cs="Calibri"/>
        </w:rPr>
        <w:t>L.3121-53 et suivants du Code du travail</w:t>
      </w:r>
      <w:r w:rsidRPr="00A1121B">
        <w:rPr>
          <w:rFonts w:ascii="Calibri" w:hAnsi="Calibri" w:cs="Calibri"/>
        </w:rPr>
        <w:t xml:space="preserve"> et des dispositions de la </w:t>
      </w:r>
      <w:r w:rsidRPr="00A1121B">
        <w:rPr>
          <w:rStyle w:val="lev"/>
          <w:rFonts w:ascii="Calibri" w:eastAsiaTheme="majorEastAsia" w:hAnsi="Calibri" w:cs="Calibri"/>
        </w:rPr>
        <w:t>Convention Collective Nationale de la Métallurgie</w:t>
      </w:r>
      <w:r w:rsidRPr="00A1121B">
        <w:rPr>
          <w:rFonts w:ascii="Calibri" w:hAnsi="Calibri" w:cs="Calibri"/>
        </w:rPr>
        <w:t xml:space="preserve"> (IDCC 3248)</w:t>
      </w:r>
      <w:r w:rsidR="0081770E">
        <w:rPr>
          <w:rFonts w:ascii="Calibri" w:hAnsi="Calibri" w:cs="Calibri"/>
        </w:rPr>
        <w:t>.</w:t>
      </w:r>
    </w:p>
    <w:p w14:paraId="6FA4608A" w14:textId="007786D1" w:rsidR="00A1121B" w:rsidRDefault="00A1121B" w:rsidP="00A1121B">
      <w:pPr>
        <w:pStyle w:val="Titre2"/>
      </w:pPr>
      <w:r>
        <w:t>Article 1 – Champ d’application</w:t>
      </w:r>
    </w:p>
    <w:p w14:paraId="10189349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Le présent accord s’applique :</w:t>
      </w:r>
    </w:p>
    <w:p w14:paraId="19D70275" w14:textId="32FCFDC5" w:rsidR="00A1121B" w:rsidRPr="00A1121B" w:rsidRDefault="00A1121B" w:rsidP="00A1121B">
      <w:pPr>
        <w:pStyle w:val="NormalWeb"/>
        <w:numPr>
          <w:ilvl w:val="0"/>
          <w:numId w:val="2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Aux </w:t>
      </w:r>
      <w:r w:rsidRPr="00A1121B">
        <w:rPr>
          <w:rStyle w:val="lev"/>
          <w:rFonts w:ascii="Calibri" w:eastAsiaTheme="majorEastAsia" w:hAnsi="Calibri" w:cs="Calibri"/>
        </w:rPr>
        <w:t>salariés cadres autonomes</w:t>
      </w:r>
      <w:r w:rsidRPr="00A1121B">
        <w:rPr>
          <w:rFonts w:ascii="Calibri" w:hAnsi="Calibri" w:cs="Calibri"/>
        </w:rPr>
        <w:t xml:space="preserve"> de l’entreprise</w:t>
      </w:r>
      <w:r>
        <w:rPr>
          <w:rFonts w:ascii="Calibri" w:hAnsi="Calibri" w:cs="Calibri"/>
        </w:rPr>
        <w:t> ;</w:t>
      </w:r>
    </w:p>
    <w:p w14:paraId="6885F90D" w14:textId="2821E551" w:rsidR="00A1121B" w:rsidRPr="00A1121B" w:rsidRDefault="00A1121B" w:rsidP="00A1121B">
      <w:pPr>
        <w:pStyle w:val="NormalWeb"/>
        <w:numPr>
          <w:ilvl w:val="0"/>
          <w:numId w:val="2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Dont la nature des fonctions ne permet pas de prédéterminer l’horaire de travail</w:t>
      </w:r>
      <w:r>
        <w:rPr>
          <w:rFonts w:ascii="Calibri" w:hAnsi="Calibri" w:cs="Calibri"/>
        </w:rPr>
        <w:t> ;</w:t>
      </w:r>
    </w:p>
    <w:p w14:paraId="6428F377" w14:textId="6768CBBD" w:rsidR="00A1121B" w:rsidRPr="00A1121B" w:rsidRDefault="00A1121B" w:rsidP="00A1121B">
      <w:pPr>
        <w:pStyle w:val="NormalWeb"/>
        <w:numPr>
          <w:ilvl w:val="0"/>
          <w:numId w:val="2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Et qui relèvent d’une </w:t>
      </w:r>
      <w:r w:rsidRPr="00A1121B">
        <w:rPr>
          <w:rStyle w:val="lev"/>
          <w:rFonts w:ascii="Calibri" w:eastAsiaTheme="majorEastAsia" w:hAnsi="Calibri" w:cs="Calibri"/>
        </w:rPr>
        <w:t>convention individuelle de forfait annuel en jours</w:t>
      </w:r>
      <w:r w:rsidRPr="00A1121B">
        <w:rPr>
          <w:rFonts w:ascii="Calibri" w:hAnsi="Calibri" w:cs="Calibri"/>
        </w:rPr>
        <w:t xml:space="preserve"> formalisée par écrit</w:t>
      </w:r>
      <w:r>
        <w:rPr>
          <w:rFonts w:ascii="Calibri" w:hAnsi="Calibri" w:cs="Calibri"/>
        </w:rPr>
        <w:t xml:space="preserve"> (contrat de travail).</w:t>
      </w:r>
    </w:p>
    <w:p w14:paraId="1210F9D2" w14:textId="77777777" w:rsidR="00A1121B" w:rsidRDefault="00A1121B" w:rsidP="00A1121B">
      <w:pPr>
        <w:pStyle w:val="Titre2"/>
      </w:pPr>
      <w:r>
        <w:t>Article 2 – Nombre de jours travaillés dans l’année</w:t>
      </w:r>
    </w:p>
    <w:p w14:paraId="304C9BBF" w14:textId="77777777" w:rsidR="00A1121B" w:rsidRDefault="00A1121B" w:rsidP="00A1121B">
      <w:pPr>
        <w:pStyle w:val="NormalWeb"/>
      </w:pPr>
      <w:r>
        <w:t>Par dérogation aux dispositions de la convention collective de branche, le nombre de jours travaillés dans le cadre d’un forfait annuel à temps plein est fixé à :</w:t>
      </w:r>
    </w:p>
    <w:p w14:paraId="05FFB98B" w14:textId="77777777" w:rsidR="00A1121B" w:rsidRDefault="00A1121B" w:rsidP="00A1121B">
      <w:pPr>
        <w:pStyle w:val="NormalWeb"/>
        <w:jc w:val="center"/>
      </w:pPr>
      <w:r>
        <w:rPr>
          <w:rStyle w:val="lev"/>
          <w:rFonts w:eastAsiaTheme="majorEastAsia"/>
        </w:rPr>
        <w:t>206 jours par année civile</w:t>
      </w:r>
    </w:p>
    <w:p w14:paraId="3E7DC417" w14:textId="77777777" w:rsidR="00A1121B" w:rsidRDefault="00A1121B" w:rsidP="00A1121B">
      <w:pPr>
        <w:pStyle w:val="NormalWeb"/>
      </w:pPr>
      <w:r>
        <w:t xml:space="preserve">Ce plafond s’entend </w:t>
      </w:r>
      <w:r>
        <w:rPr>
          <w:rStyle w:val="lev"/>
          <w:rFonts w:eastAsiaTheme="majorEastAsia"/>
        </w:rPr>
        <w:t>journées effectivement travaillées</w:t>
      </w:r>
      <w:r>
        <w:t>, hors :</w:t>
      </w:r>
    </w:p>
    <w:p w14:paraId="79D881D7" w14:textId="7E07CABE" w:rsidR="00A1121B" w:rsidRDefault="00A1121B" w:rsidP="00A1121B">
      <w:pPr>
        <w:pStyle w:val="NormalWeb"/>
        <w:numPr>
          <w:ilvl w:val="0"/>
          <w:numId w:val="3"/>
        </w:numPr>
      </w:pPr>
      <w:r>
        <w:t>Congés payés légaux et conventionnels ;</w:t>
      </w:r>
    </w:p>
    <w:p w14:paraId="01FA0CFF" w14:textId="1D5722C9" w:rsidR="00A1121B" w:rsidRDefault="00A1121B" w:rsidP="00A1121B">
      <w:pPr>
        <w:pStyle w:val="NormalWeb"/>
        <w:numPr>
          <w:ilvl w:val="0"/>
          <w:numId w:val="3"/>
        </w:numPr>
      </w:pPr>
      <w:r>
        <w:t>Jours fériés chômés ;</w:t>
      </w:r>
    </w:p>
    <w:p w14:paraId="70D137B9" w14:textId="25EEFC11" w:rsidR="00A1121B" w:rsidRDefault="00A1121B" w:rsidP="00A1121B">
      <w:pPr>
        <w:pStyle w:val="NormalWeb"/>
        <w:numPr>
          <w:ilvl w:val="0"/>
          <w:numId w:val="3"/>
        </w:numPr>
      </w:pPr>
      <w:r>
        <w:t>Jours de repos liés au forfait jours ;</w:t>
      </w:r>
    </w:p>
    <w:p w14:paraId="2553B10B" w14:textId="211DFE98" w:rsidR="00A1121B" w:rsidRDefault="00A1121B" w:rsidP="00A1121B">
      <w:pPr>
        <w:pStyle w:val="NormalWeb"/>
        <w:numPr>
          <w:ilvl w:val="0"/>
          <w:numId w:val="3"/>
        </w:numPr>
      </w:pPr>
      <w:r>
        <w:t>Absences autorisées ou assimilées.</w:t>
      </w:r>
    </w:p>
    <w:p w14:paraId="16BBAE91" w14:textId="06DB9EBF" w:rsidR="00A1121B" w:rsidRDefault="00A1121B" w:rsidP="00A1121B"/>
    <w:p w14:paraId="3924B3AA" w14:textId="77777777" w:rsidR="00A1121B" w:rsidRDefault="00A1121B" w:rsidP="00A1121B">
      <w:pPr>
        <w:pStyle w:val="Titre2"/>
      </w:pPr>
      <w:r>
        <w:lastRenderedPageBreak/>
        <w:t>Article 3 – Convention individuelle de forfait jours</w:t>
      </w:r>
    </w:p>
    <w:p w14:paraId="500D4312" w14:textId="4C6D0183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Le recours au forfait annuel en jours est subordonné à la signature d’une </w:t>
      </w:r>
      <w:r w:rsidRPr="00A1121B">
        <w:rPr>
          <w:rStyle w:val="lev"/>
          <w:rFonts w:ascii="Calibri" w:eastAsiaTheme="majorEastAsia" w:hAnsi="Calibri" w:cs="Calibri"/>
        </w:rPr>
        <w:t>convention individuelle écrite</w:t>
      </w:r>
      <w:r w:rsidRPr="00A1121B">
        <w:rPr>
          <w:rFonts w:ascii="Calibri" w:hAnsi="Calibri" w:cs="Calibri"/>
        </w:rPr>
        <w:t xml:space="preserve"> entre l’employeur et le salarié, formalisé par le contrat de travail.</w:t>
      </w:r>
    </w:p>
    <w:p w14:paraId="27D2D9DD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Cette convention précise notamment :</w:t>
      </w:r>
    </w:p>
    <w:p w14:paraId="5EFCC255" w14:textId="1AE829B3" w:rsidR="00A1121B" w:rsidRPr="00A1121B" w:rsidRDefault="00A1121B" w:rsidP="00A1121B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Le nombre annuel de jours travaillés </w:t>
      </w:r>
      <w:proofErr w:type="gramStart"/>
      <w:r w:rsidRPr="00A1121B">
        <w:rPr>
          <w:rFonts w:ascii="Calibri" w:hAnsi="Calibri" w:cs="Calibri"/>
        </w:rPr>
        <w:t>fixé</w:t>
      </w:r>
      <w:proofErr w:type="gramEnd"/>
      <w:r w:rsidRPr="00A1121B">
        <w:rPr>
          <w:rFonts w:ascii="Calibri" w:hAnsi="Calibri" w:cs="Calibri"/>
        </w:rPr>
        <w:t xml:space="preserve"> à 206 ;</w:t>
      </w:r>
    </w:p>
    <w:p w14:paraId="21B828EC" w14:textId="2DA25062" w:rsidR="00A1121B" w:rsidRPr="00A1121B" w:rsidRDefault="00A1121B" w:rsidP="00A1121B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La rémunération correspondante ;</w:t>
      </w:r>
    </w:p>
    <w:p w14:paraId="3106AABF" w14:textId="32275EEA" w:rsidR="00A1121B" w:rsidRDefault="00A1121B" w:rsidP="00A1121B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Les modalités de suivi de la charge de travail.</w:t>
      </w:r>
    </w:p>
    <w:p w14:paraId="19344699" w14:textId="67646807" w:rsidR="003C5B36" w:rsidRPr="003C5B36" w:rsidRDefault="003C5B36" w:rsidP="003C5B36">
      <w:pPr>
        <w:pStyle w:val="NormalWeb"/>
        <w:rPr>
          <w:rFonts w:ascii="Calibri" w:hAnsi="Calibri" w:cs="Calibri"/>
        </w:rPr>
      </w:pPr>
      <w:r w:rsidRPr="003C5B36">
        <w:rPr>
          <w:rFonts w:ascii="Calibri" w:hAnsi="Calibri" w:cs="Calibri"/>
        </w:rPr>
        <w:t>Le recours au forfait annuel en jours est subordonné à la signature d’une convention individuelle écrite entre l’employeur et le salarié, formalisée dans le contrat de travail (ou par avenant).</w:t>
      </w:r>
    </w:p>
    <w:p w14:paraId="05851176" w14:textId="77777777" w:rsidR="003C5B36" w:rsidRPr="003C5B36" w:rsidRDefault="003C5B36" w:rsidP="003C5B36">
      <w:pPr>
        <w:pStyle w:val="NormalWeb"/>
        <w:rPr>
          <w:rFonts w:ascii="Calibri" w:hAnsi="Calibri" w:cs="Calibri"/>
        </w:rPr>
      </w:pPr>
      <w:r w:rsidRPr="003C5B36">
        <w:rPr>
          <w:rFonts w:ascii="Calibri" w:hAnsi="Calibri" w:cs="Calibri"/>
        </w:rPr>
        <w:t>Cette convention précise notamment :</w:t>
      </w:r>
    </w:p>
    <w:p w14:paraId="5CFB7FFB" w14:textId="44B039DD" w:rsidR="003C5B36" w:rsidRP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Le nombre annuel de jours travaillés, fixé à 206 jours ;</w:t>
      </w:r>
    </w:p>
    <w:p w14:paraId="3769AF27" w14:textId="5F707A7D" w:rsidR="003C5B36" w:rsidRP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La rémunération correspondante ;</w:t>
      </w:r>
    </w:p>
    <w:p w14:paraId="6C714561" w14:textId="2A30F8D2" w:rsidR="003C5B36" w:rsidRP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Les modalités de suivi de la charge de travail ;</w:t>
      </w:r>
    </w:p>
    <w:p w14:paraId="507F8EC0" w14:textId="5D4CCC62" w:rsidR="003C5B36" w:rsidRP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La gestion des dépassements du forfait :</w:t>
      </w:r>
    </w:p>
    <w:p w14:paraId="549897DB" w14:textId="77777777" w:rsidR="003C5B36" w:rsidRDefault="003C5B36" w:rsidP="003C5B36">
      <w:pPr>
        <w:pStyle w:val="NormalWeb"/>
        <w:rPr>
          <w:rFonts w:ascii="Calibri" w:hAnsi="Calibri" w:cs="Calibri"/>
        </w:rPr>
      </w:pPr>
      <w:r w:rsidRPr="003C5B36">
        <w:rPr>
          <w:rFonts w:ascii="Calibri" w:hAnsi="Calibri" w:cs="Calibri"/>
          <w:b/>
          <w:bCs/>
        </w:rPr>
        <w:t>Principe :</w:t>
      </w:r>
      <w:r w:rsidRPr="003C5B36">
        <w:rPr>
          <w:rFonts w:ascii="Calibri" w:hAnsi="Calibri" w:cs="Calibri"/>
        </w:rPr>
        <w:t xml:space="preserve"> tout dépassement du forfait est interdit ; aucun jour travaillé au-delà de 206 jours ne peut être imposé ou planifié.</w:t>
      </w:r>
    </w:p>
    <w:p w14:paraId="7B739585" w14:textId="66931704" w:rsidR="003C5B36" w:rsidRPr="003C5B36" w:rsidRDefault="003C5B36" w:rsidP="003C5B36">
      <w:pPr>
        <w:pStyle w:val="NormalWeb"/>
        <w:rPr>
          <w:rFonts w:ascii="Calibri" w:hAnsi="Calibri" w:cs="Calibri"/>
        </w:rPr>
      </w:pPr>
      <w:r>
        <w:rPr>
          <w:rFonts w:ascii="Calibri" w:hAnsi="Calibri" w:cs="Calibri"/>
        </w:rPr>
        <w:t>La d</w:t>
      </w:r>
      <w:r w:rsidRPr="003C5B36">
        <w:rPr>
          <w:rFonts w:ascii="Calibri" w:hAnsi="Calibri" w:cs="Calibri"/>
        </w:rPr>
        <w:t>érogation</w:t>
      </w:r>
      <w:r>
        <w:rPr>
          <w:rFonts w:ascii="Calibri" w:hAnsi="Calibri" w:cs="Calibri"/>
        </w:rPr>
        <w:t xml:space="preserve"> à ce principe est</w:t>
      </w:r>
      <w:r w:rsidRPr="003C5B36">
        <w:rPr>
          <w:rFonts w:ascii="Calibri" w:hAnsi="Calibri" w:cs="Calibri"/>
        </w:rPr>
        <w:t xml:space="preserve"> strictement encadrée : uniquement à la demande </w:t>
      </w:r>
      <w:r w:rsidRPr="003C5B36">
        <w:rPr>
          <w:rFonts w:ascii="Calibri" w:hAnsi="Calibri" w:cs="Calibri"/>
          <w:b/>
          <w:bCs/>
        </w:rPr>
        <w:t>expresse et écrite</w:t>
      </w:r>
      <w:r w:rsidRPr="003C5B36">
        <w:rPr>
          <w:rFonts w:ascii="Calibri" w:hAnsi="Calibri" w:cs="Calibri"/>
        </w:rPr>
        <w:t xml:space="preserve"> du salarié, celui-ci peut renoncer à une partie de ses jours de repos dans les conditions suivantes :</w:t>
      </w:r>
    </w:p>
    <w:p w14:paraId="682B5629" w14:textId="21F25867" w:rsid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Conclusion d’un avenant écrit à la convention de forfait, valable pour l’année en cours et non reconductible tacitement ;</w:t>
      </w:r>
    </w:p>
    <w:p w14:paraId="5AFAE0B3" w14:textId="5BE93268" w:rsid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>Fixation dans l’avenant du taux de majoration des jours travaillés supplémentaires, au moins égal à 10 % ;</w:t>
      </w:r>
    </w:p>
    <w:p w14:paraId="2B09DD74" w14:textId="4EA79DED" w:rsidR="003C5B36" w:rsidRPr="003C5B36" w:rsidRDefault="003C5B36" w:rsidP="003C5B36">
      <w:pPr>
        <w:pStyle w:val="NormalWeb"/>
        <w:numPr>
          <w:ilvl w:val="0"/>
          <w:numId w:val="4"/>
        </w:numPr>
        <w:rPr>
          <w:rFonts w:ascii="Calibri" w:hAnsi="Calibri" w:cs="Calibri"/>
        </w:rPr>
      </w:pPr>
      <w:r w:rsidRPr="003C5B36">
        <w:rPr>
          <w:rFonts w:ascii="Calibri" w:hAnsi="Calibri" w:cs="Calibri"/>
        </w:rPr>
        <w:t xml:space="preserve">Respect d’un plafond annuel maximal de jours travaillés </w:t>
      </w:r>
      <w:proofErr w:type="gramStart"/>
      <w:r w:rsidRPr="003C5B36">
        <w:rPr>
          <w:rFonts w:ascii="Calibri" w:hAnsi="Calibri" w:cs="Calibri"/>
        </w:rPr>
        <w:t>fixé</w:t>
      </w:r>
      <w:proofErr w:type="gramEnd"/>
      <w:r w:rsidRPr="003C5B36">
        <w:rPr>
          <w:rFonts w:ascii="Calibri" w:hAnsi="Calibri" w:cs="Calibri"/>
        </w:rPr>
        <w:t xml:space="preserve"> à 218 jours (soit 12 jours au plus au-delà de 206), sans préjudice du plafond légal applicable à défaut de précision.</w:t>
      </w:r>
    </w:p>
    <w:p w14:paraId="4EC24FAF" w14:textId="59420943" w:rsidR="003C5B36" w:rsidRPr="00A1121B" w:rsidRDefault="003C5B36" w:rsidP="003C5B36">
      <w:pPr>
        <w:pStyle w:val="NormalWeb"/>
        <w:rPr>
          <w:rFonts w:ascii="Calibri" w:hAnsi="Calibri" w:cs="Calibri"/>
        </w:rPr>
      </w:pPr>
      <w:r w:rsidRPr="003C5B36">
        <w:rPr>
          <w:rFonts w:ascii="Calibri" w:hAnsi="Calibri" w:cs="Calibri"/>
        </w:rPr>
        <w:t>Dans tous les cas, ces modalités ne peuvent conduire à méconnaître les garanties en matière de repos et congés.</w:t>
      </w:r>
    </w:p>
    <w:p w14:paraId="4643B91A" w14:textId="77777777" w:rsidR="00A1121B" w:rsidRDefault="00A1121B" w:rsidP="00A1121B">
      <w:pPr>
        <w:pStyle w:val="Titre2"/>
      </w:pPr>
      <w:r>
        <w:t>Article 4 – Suivi de la charge de travail</w:t>
      </w:r>
    </w:p>
    <w:p w14:paraId="2F20FA21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Afin de garantir le respect de la santé et de la sécurité des salariés, l’entreprise met en place un dispositif de suivi effectif de la charge de travail comprenant :</w:t>
      </w:r>
    </w:p>
    <w:p w14:paraId="1F289C1B" w14:textId="2BD31009" w:rsidR="00A1121B" w:rsidRPr="00A1121B" w:rsidRDefault="00A1121B" w:rsidP="00A1121B">
      <w:pPr>
        <w:pStyle w:val="NormalWeb"/>
        <w:numPr>
          <w:ilvl w:val="0"/>
          <w:numId w:val="5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Un </w:t>
      </w:r>
      <w:r w:rsidRPr="00A1121B">
        <w:rPr>
          <w:rStyle w:val="lev"/>
          <w:rFonts w:ascii="Calibri" w:eastAsiaTheme="majorEastAsia" w:hAnsi="Calibri" w:cs="Calibri"/>
        </w:rPr>
        <w:t>outil de suivi déclaratif</w:t>
      </w:r>
      <w:r w:rsidRPr="00A1121B">
        <w:rPr>
          <w:rFonts w:ascii="Calibri" w:hAnsi="Calibri" w:cs="Calibri"/>
        </w:rPr>
        <w:t xml:space="preserve"> des journées et demi-journées travaillées</w:t>
      </w:r>
      <w:r>
        <w:rPr>
          <w:rFonts w:ascii="Calibri" w:hAnsi="Calibri" w:cs="Calibri"/>
        </w:rPr>
        <w:t> ;</w:t>
      </w:r>
    </w:p>
    <w:p w14:paraId="73F982A9" w14:textId="58E3F7DE" w:rsidR="00A1121B" w:rsidRPr="00A1121B" w:rsidRDefault="00A1121B" w:rsidP="00A1121B">
      <w:pPr>
        <w:pStyle w:val="NormalWeb"/>
        <w:numPr>
          <w:ilvl w:val="0"/>
          <w:numId w:val="5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Un </w:t>
      </w:r>
      <w:r w:rsidRPr="00A1121B">
        <w:rPr>
          <w:rStyle w:val="lev"/>
          <w:rFonts w:ascii="Calibri" w:eastAsiaTheme="majorEastAsia" w:hAnsi="Calibri" w:cs="Calibri"/>
        </w:rPr>
        <w:t>suivi régulier par le manager</w:t>
      </w:r>
      <w:r w:rsidRPr="00A1121B">
        <w:rPr>
          <w:rFonts w:ascii="Calibri" w:hAnsi="Calibri" w:cs="Calibri"/>
        </w:rPr>
        <w:t xml:space="preserve"> de la charge, de l’amplitude et de l’organisation du travail</w:t>
      </w:r>
      <w:r>
        <w:rPr>
          <w:rFonts w:ascii="Calibri" w:hAnsi="Calibri" w:cs="Calibri"/>
        </w:rPr>
        <w:t> ;</w:t>
      </w:r>
    </w:p>
    <w:p w14:paraId="461678D7" w14:textId="2AF9CEB9" w:rsidR="00A1121B" w:rsidRPr="00A1121B" w:rsidRDefault="00A1121B" w:rsidP="00A1121B">
      <w:pPr>
        <w:pStyle w:val="NormalWeb"/>
        <w:numPr>
          <w:ilvl w:val="0"/>
          <w:numId w:val="5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Un </w:t>
      </w:r>
      <w:r w:rsidRPr="00A1121B">
        <w:rPr>
          <w:rStyle w:val="lev"/>
          <w:rFonts w:ascii="Calibri" w:eastAsiaTheme="majorEastAsia" w:hAnsi="Calibri" w:cs="Calibri"/>
        </w:rPr>
        <w:t>entretien individuel annuel spécifique</w:t>
      </w:r>
      <w:r w:rsidRPr="00A1121B">
        <w:rPr>
          <w:rFonts w:ascii="Calibri" w:hAnsi="Calibri" w:cs="Calibri"/>
        </w:rPr>
        <w:t xml:space="preserve"> portant sur :</w:t>
      </w:r>
    </w:p>
    <w:p w14:paraId="6726BC13" w14:textId="3EBA6ACE" w:rsidR="00A1121B" w:rsidRPr="00A1121B" w:rsidRDefault="00A1121B" w:rsidP="00A1121B">
      <w:pPr>
        <w:pStyle w:val="NormalWeb"/>
        <w:numPr>
          <w:ilvl w:val="1"/>
          <w:numId w:val="5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La charge de travail</w:t>
      </w:r>
      <w:r>
        <w:rPr>
          <w:rFonts w:ascii="Calibri" w:hAnsi="Calibri" w:cs="Calibri"/>
        </w:rPr>
        <w:t> ;</w:t>
      </w:r>
    </w:p>
    <w:p w14:paraId="540A1B4A" w14:textId="6E4E0CA3" w:rsidR="00A1121B" w:rsidRPr="00A1121B" w:rsidRDefault="00A1121B" w:rsidP="00A1121B">
      <w:pPr>
        <w:pStyle w:val="NormalWeb"/>
        <w:numPr>
          <w:ilvl w:val="1"/>
          <w:numId w:val="5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L’organisation du travail</w:t>
      </w:r>
      <w:r>
        <w:rPr>
          <w:rFonts w:ascii="Calibri" w:hAnsi="Calibri" w:cs="Calibri"/>
        </w:rPr>
        <w:t> ;</w:t>
      </w:r>
    </w:p>
    <w:p w14:paraId="22C5BF6D" w14:textId="32ADEF23" w:rsidR="00A1121B" w:rsidRPr="00A1121B" w:rsidRDefault="00A1121B" w:rsidP="00A1121B">
      <w:pPr>
        <w:pStyle w:val="NormalWeb"/>
        <w:numPr>
          <w:ilvl w:val="1"/>
          <w:numId w:val="5"/>
        </w:numPr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L</w:t>
      </w:r>
      <w:r w:rsidRPr="00A1121B">
        <w:rPr>
          <w:rFonts w:ascii="Calibri" w:hAnsi="Calibri" w:cs="Calibri"/>
        </w:rPr>
        <w:t>’articulation entre vie professionnelle et vie personnelle</w:t>
      </w:r>
      <w:r>
        <w:rPr>
          <w:rFonts w:ascii="Calibri" w:hAnsi="Calibri" w:cs="Calibri"/>
        </w:rPr>
        <w:t> ;</w:t>
      </w:r>
    </w:p>
    <w:p w14:paraId="174D6E66" w14:textId="25A19440" w:rsidR="00A1121B" w:rsidRPr="00A1121B" w:rsidRDefault="00A1121B" w:rsidP="00A1121B">
      <w:pPr>
        <w:pStyle w:val="NormalWeb"/>
        <w:numPr>
          <w:ilvl w:val="1"/>
          <w:numId w:val="5"/>
        </w:numPr>
        <w:rPr>
          <w:rFonts w:ascii="Calibri" w:hAnsi="Calibri" w:cs="Calibri"/>
        </w:rPr>
      </w:pPr>
      <w:r>
        <w:rPr>
          <w:rFonts w:ascii="Calibri" w:hAnsi="Calibri" w:cs="Calibri"/>
        </w:rPr>
        <w:t>L</w:t>
      </w:r>
      <w:r w:rsidRPr="00A1121B">
        <w:rPr>
          <w:rFonts w:ascii="Calibri" w:hAnsi="Calibri" w:cs="Calibri"/>
        </w:rPr>
        <w:t>a rémunération.</w:t>
      </w:r>
    </w:p>
    <w:p w14:paraId="2505E642" w14:textId="77777777" w:rsidR="00A1121B" w:rsidRDefault="00A1121B" w:rsidP="00A1121B">
      <w:pPr>
        <w:pStyle w:val="Titre2"/>
      </w:pPr>
      <w:r>
        <w:t>Article 5 – Respect des temps de repos</w:t>
      </w:r>
    </w:p>
    <w:p w14:paraId="6E5F43A5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L’entreprise veille au respect :</w:t>
      </w:r>
    </w:p>
    <w:p w14:paraId="57B310B1" w14:textId="7369B69E" w:rsidR="00A1121B" w:rsidRPr="00A1121B" w:rsidRDefault="00A1121B" w:rsidP="00A1121B">
      <w:pPr>
        <w:pStyle w:val="NormalWeb"/>
        <w:numPr>
          <w:ilvl w:val="0"/>
          <w:numId w:val="6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Du </w:t>
      </w:r>
      <w:r w:rsidRPr="00A1121B">
        <w:rPr>
          <w:rStyle w:val="lev"/>
          <w:rFonts w:ascii="Calibri" w:eastAsiaTheme="majorEastAsia" w:hAnsi="Calibri" w:cs="Calibri"/>
        </w:rPr>
        <w:t>repos quotidien minimum de 11 heures consécutives</w:t>
      </w:r>
      <w:r w:rsidRPr="00A1121B">
        <w:rPr>
          <w:rFonts w:ascii="Calibri" w:hAnsi="Calibri" w:cs="Calibri"/>
        </w:rPr>
        <w:t>,</w:t>
      </w:r>
    </w:p>
    <w:p w14:paraId="0B944AF8" w14:textId="5B2F73F4" w:rsidR="00A1121B" w:rsidRPr="00A1121B" w:rsidRDefault="00A1121B" w:rsidP="00A1121B">
      <w:pPr>
        <w:pStyle w:val="NormalWeb"/>
        <w:numPr>
          <w:ilvl w:val="0"/>
          <w:numId w:val="6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Du </w:t>
      </w:r>
      <w:r w:rsidRPr="00A1121B">
        <w:rPr>
          <w:rStyle w:val="lev"/>
          <w:rFonts w:ascii="Calibri" w:eastAsiaTheme="majorEastAsia" w:hAnsi="Calibri" w:cs="Calibri"/>
        </w:rPr>
        <w:t>repos hebdomadaire minimum de 35 heures consécutives</w:t>
      </w:r>
      <w:r w:rsidRPr="00A1121B">
        <w:rPr>
          <w:rFonts w:ascii="Calibri" w:hAnsi="Calibri" w:cs="Calibri"/>
        </w:rPr>
        <w:t>.</w:t>
      </w:r>
    </w:p>
    <w:p w14:paraId="2A0D0200" w14:textId="181C022C" w:rsidR="00A1121B" w:rsidRPr="00512ECB" w:rsidRDefault="00A1121B" w:rsidP="00512EC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Les salariés en forfait jours bénéficient également du droit à des temps de récupération adaptés en cas de surcharge ponctuelle.</w:t>
      </w:r>
    </w:p>
    <w:p w14:paraId="501274E5" w14:textId="77777777" w:rsidR="00A1121B" w:rsidRDefault="00A1121B" w:rsidP="00A1121B">
      <w:pPr>
        <w:pStyle w:val="Titre2"/>
      </w:pPr>
      <w:r>
        <w:t>Article 6 – Droit à la déconnexion</w:t>
      </w:r>
    </w:p>
    <w:p w14:paraId="6F1B4630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Dans un souci de protection de la santé et du respect des temps de repos, l’entreprise rappelle le </w:t>
      </w:r>
      <w:r w:rsidRPr="00A1121B">
        <w:rPr>
          <w:rStyle w:val="lev"/>
          <w:rFonts w:ascii="Calibri" w:eastAsiaTheme="majorEastAsia" w:hAnsi="Calibri" w:cs="Calibri"/>
        </w:rPr>
        <w:t>droit à la déconnexion</w:t>
      </w:r>
      <w:r w:rsidRPr="00A1121B">
        <w:rPr>
          <w:rFonts w:ascii="Calibri" w:hAnsi="Calibri" w:cs="Calibri"/>
        </w:rPr>
        <w:t xml:space="preserve"> des salariés en forfait jours.</w:t>
      </w:r>
    </w:p>
    <w:p w14:paraId="046086D8" w14:textId="77777777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>À ce titre :</w:t>
      </w:r>
    </w:p>
    <w:p w14:paraId="0621B310" w14:textId="0281C0D5" w:rsidR="00A1121B" w:rsidRPr="00A1121B" w:rsidRDefault="00A1121B" w:rsidP="00A1121B">
      <w:pPr>
        <w:pStyle w:val="NormalWeb"/>
        <w:numPr>
          <w:ilvl w:val="0"/>
          <w:numId w:val="7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Aucune obligation de répondre aux sollicitations professionnelles en dehors des temps habituels de travail</w:t>
      </w:r>
      <w:r>
        <w:rPr>
          <w:rFonts w:ascii="Calibri" w:hAnsi="Calibri" w:cs="Calibri"/>
        </w:rPr>
        <w:t> ;</w:t>
      </w:r>
    </w:p>
    <w:p w14:paraId="55DF0ED4" w14:textId="634F6429" w:rsidR="00A1121B" w:rsidRPr="00A1121B" w:rsidRDefault="00A1121B" w:rsidP="00A1121B">
      <w:pPr>
        <w:pStyle w:val="NormalWeb"/>
        <w:numPr>
          <w:ilvl w:val="0"/>
          <w:numId w:val="7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Aucune sanction ne pourra être fondée sur l’absence de réponse hors temps de repos</w:t>
      </w:r>
      <w:r>
        <w:rPr>
          <w:rFonts w:ascii="Calibri" w:hAnsi="Calibri" w:cs="Calibri"/>
        </w:rPr>
        <w:t> ;</w:t>
      </w:r>
    </w:p>
    <w:p w14:paraId="27FB2874" w14:textId="0D709E6B" w:rsidR="00A1121B" w:rsidRPr="00A1121B" w:rsidRDefault="00A1121B" w:rsidP="00A1121B">
      <w:pPr>
        <w:pStyle w:val="NormalWeb"/>
        <w:numPr>
          <w:ilvl w:val="0"/>
          <w:numId w:val="7"/>
        </w:numPr>
        <w:rPr>
          <w:rFonts w:ascii="Calibri" w:hAnsi="Calibri" w:cs="Calibri"/>
        </w:rPr>
      </w:pPr>
      <w:r w:rsidRPr="00A1121B">
        <w:rPr>
          <w:rFonts w:ascii="Calibri" w:hAnsi="Calibri" w:cs="Calibri"/>
        </w:rPr>
        <w:t>Les managers sont formés et sensibilisés à ce principe.</w:t>
      </w:r>
    </w:p>
    <w:p w14:paraId="694BADCC" w14:textId="77777777" w:rsidR="00A1121B" w:rsidRDefault="00A1121B" w:rsidP="00A1121B">
      <w:pPr>
        <w:pStyle w:val="Titre2"/>
      </w:pPr>
      <w:r>
        <w:t>Article 7 – Rémunération</w:t>
      </w:r>
    </w:p>
    <w:p w14:paraId="7837E496" w14:textId="77777777" w:rsidR="00297E22" w:rsidRDefault="00297E22" w:rsidP="00297E22">
      <w:pPr>
        <w:pStyle w:val="NormalWeb"/>
        <w:rPr>
          <w:rFonts w:ascii="Calibri" w:hAnsi="Calibri" w:cs="Calibri"/>
        </w:rPr>
      </w:pPr>
      <w:r w:rsidRPr="00297E22">
        <w:rPr>
          <w:rFonts w:ascii="Calibri" w:hAnsi="Calibri" w:cs="Calibri"/>
        </w:rPr>
        <w:t>La rémunération des salariés en forfait jours tient compte :</w:t>
      </w:r>
    </w:p>
    <w:p w14:paraId="3A146483" w14:textId="6B0B71BC" w:rsidR="00297E22" w:rsidRDefault="00297E22" w:rsidP="00297E22">
      <w:pPr>
        <w:pStyle w:val="NormalWeb"/>
        <w:numPr>
          <w:ilvl w:val="0"/>
          <w:numId w:val="11"/>
        </w:numPr>
        <w:rPr>
          <w:rFonts w:ascii="Calibri" w:hAnsi="Calibri" w:cs="Calibri"/>
        </w:rPr>
      </w:pPr>
      <w:r w:rsidRPr="00297E22">
        <w:rPr>
          <w:rFonts w:ascii="Calibri" w:hAnsi="Calibri" w:cs="Calibri"/>
        </w:rPr>
        <w:t xml:space="preserve">Du nombre de jours travaillés </w:t>
      </w:r>
      <w:proofErr w:type="gramStart"/>
      <w:r w:rsidRPr="00297E22">
        <w:rPr>
          <w:rFonts w:ascii="Calibri" w:hAnsi="Calibri" w:cs="Calibri"/>
        </w:rPr>
        <w:t>fixé</w:t>
      </w:r>
      <w:proofErr w:type="gramEnd"/>
      <w:r w:rsidRPr="00297E22">
        <w:rPr>
          <w:rFonts w:ascii="Calibri" w:hAnsi="Calibri" w:cs="Calibri"/>
        </w:rPr>
        <w:t xml:space="preserve"> à 206 ;</w:t>
      </w:r>
    </w:p>
    <w:p w14:paraId="04180FBD" w14:textId="77777777" w:rsidR="00297E22" w:rsidRDefault="00297E22" w:rsidP="00297E22">
      <w:pPr>
        <w:pStyle w:val="NormalWeb"/>
        <w:numPr>
          <w:ilvl w:val="0"/>
          <w:numId w:val="11"/>
        </w:numPr>
        <w:rPr>
          <w:rFonts w:ascii="Calibri" w:hAnsi="Calibri" w:cs="Calibri"/>
        </w:rPr>
      </w:pPr>
      <w:r w:rsidRPr="00297E22">
        <w:rPr>
          <w:rFonts w:ascii="Calibri" w:hAnsi="Calibri" w:cs="Calibri"/>
        </w:rPr>
        <w:t>Du niveau de responsabilités ;</w:t>
      </w:r>
    </w:p>
    <w:p w14:paraId="724FB5C6" w14:textId="1FFE9147" w:rsidR="00297E22" w:rsidRPr="00297E22" w:rsidRDefault="00297E22" w:rsidP="00297E22">
      <w:pPr>
        <w:pStyle w:val="NormalWeb"/>
        <w:numPr>
          <w:ilvl w:val="0"/>
          <w:numId w:val="11"/>
        </w:numPr>
        <w:rPr>
          <w:rFonts w:ascii="Calibri" w:hAnsi="Calibri" w:cs="Calibri"/>
        </w:rPr>
      </w:pPr>
      <w:r w:rsidRPr="00297E22">
        <w:rPr>
          <w:rFonts w:ascii="Calibri" w:hAnsi="Calibri" w:cs="Calibri"/>
        </w:rPr>
        <w:t>De l’autonomie confiée.</w:t>
      </w:r>
    </w:p>
    <w:p w14:paraId="38672152" w14:textId="77777777" w:rsidR="00297E22" w:rsidRDefault="00297E22" w:rsidP="00297E22">
      <w:pPr>
        <w:pStyle w:val="NormalWeb"/>
        <w:rPr>
          <w:rFonts w:ascii="Calibri" w:hAnsi="Calibri" w:cs="Calibri"/>
          <w:b/>
          <w:bCs/>
        </w:rPr>
      </w:pPr>
      <w:r w:rsidRPr="00297E22">
        <w:rPr>
          <w:rFonts w:ascii="Calibri" w:hAnsi="Calibri" w:cs="Calibri"/>
        </w:rPr>
        <w:t>Le minimum conventionnel applicable aux salariés au forfait annuel en jours sur 206 jours est déterminé par proratisation à partir du barème conventionnel prévu pour 218 jours, selon la formule suivante :</w:t>
      </w:r>
      <w:r w:rsidRPr="00297E22">
        <w:rPr>
          <w:rFonts w:ascii="Calibri" w:hAnsi="Calibri" w:cs="Calibri"/>
        </w:rPr>
        <w:br/>
      </w:r>
    </w:p>
    <w:p w14:paraId="76FD5A52" w14:textId="2A2068F4" w:rsidR="00297E22" w:rsidRPr="00297E22" w:rsidRDefault="00297E22" w:rsidP="00297E22">
      <w:pPr>
        <w:pStyle w:val="NormalWeb"/>
        <w:rPr>
          <w:rFonts w:ascii="Calibri" w:hAnsi="Calibri" w:cs="Calibri"/>
        </w:rPr>
      </w:pPr>
      <w:r w:rsidRPr="00297E22">
        <w:rPr>
          <w:rFonts w:ascii="Calibri" w:hAnsi="Calibri" w:cs="Calibri"/>
          <w:b/>
          <w:bCs/>
        </w:rPr>
        <w:t>Minimum 206 jours = Minimum 218 jours × (206 / 218)</w:t>
      </w:r>
      <w:r w:rsidRPr="00297E22">
        <w:rPr>
          <w:rFonts w:ascii="Calibri" w:hAnsi="Calibri" w:cs="Calibri"/>
        </w:rPr>
        <w:t>.</w:t>
      </w:r>
    </w:p>
    <w:p w14:paraId="707F037B" w14:textId="77777777" w:rsidR="00297E22" w:rsidRPr="00297E22" w:rsidRDefault="00297E22" w:rsidP="00297E22">
      <w:pPr>
        <w:pStyle w:val="NormalWeb"/>
        <w:rPr>
          <w:rFonts w:ascii="Calibri" w:hAnsi="Calibri" w:cs="Calibri"/>
        </w:rPr>
      </w:pPr>
      <w:r w:rsidRPr="00297E22">
        <w:rPr>
          <w:rFonts w:ascii="Calibri" w:hAnsi="Calibri" w:cs="Calibri"/>
        </w:rPr>
        <w:t>Toute évolution significative des fonctions ou de la charge de travail donnera lieu à un réexamen de la rémunération.</w:t>
      </w:r>
    </w:p>
    <w:p w14:paraId="7BC00040" w14:textId="77777777" w:rsidR="00297E22" w:rsidRDefault="00297E22" w:rsidP="00A1121B">
      <w:pPr>
        <w:pStyle w:val="Titre2"/>
      </w:pPr>
    </w:p>
    <w:p w14:paraId="4501C4C2" w14:textId="766780AA" w:rsidR="00A1121B" w:rsidRDefault="00A1121B" w:rsidP="00A1121B">
      <w:pPr>
        <w:pStyle w:val="Titre2"/>
      </w:pPr>
      <w:r>
        <w:t>Article 8 – Durée de l’accord</w:t>
      </w:r>
    </w:p>
    <w:p w14:paraId="6FE6191F" w14:textId="6B5C66E0" w:rsidR="00A1121B" w:rsidRPr="00A1121B" w:rsidRDefault="00A1121B" w:rsidP="00A1121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Le présent accord est conclu pour une </w:t>
      </w:r>
      <w:r w:rsidRPr="00A1121B">
        <w:rPr>
          <w:rStyle w:val="lev"/>
          <w:rFonts w:ascii="Calibri" w:eastAsiaTheme="majorEastAsia" w:hAnsi="Calibri" w:cs="Calibri"/>
        </w:rPr>
        <w:t>durée indéterminée</w:t>
      </w:r>
      <w:r w:rsidRPr="00A1121B">
        <w:rPr>
          <w:rFonts w:ascii="Calibri" w:hAnsi="Calibri" w:cs="Calibri"/>
        </w:rPr>
        <w:t>.</w:t>
      </w:r>
    </w:p>
    <w:p w14:paraId="6E6703F7" w14:textId="058C1859" w:rsidR="00A1121B" w:rsidRPr="00512ECB" w:rsidRDefault="00A1121B" w:rsidP="00512ECB">
      <w:pPr>
        <w:pStyle w:val="NormalWeb"/>
        <w:rPr>
          <w:rFonts w:ascii="Calibri" w:hAnsi="Calibri" w:cs="Calibri"/>
        </w:rPr>
      </w:pPr>
      <w:r w:rsidRPr="00A1121B">
        <w:rPr>
          <w:rFonts w:ascii="Calibri" w:hAnsi="Calibri" w:cs="Calibri"/>
        </w:rPr>
        <w:t xml:space="preserve">Il pourra être révisé ou dénoncé dans les conditions prévues aux articles </w:t>
      </w:r>
      <w:r w:rsidRPr="00A1121B">
        <w:rPr>
          <w:rStyle w:val="lev"/>
          <w:rFonts w:ascii="Calibri" w:eastAsiaTheme="majorEastAsia" w:hAnsi="Calibri" w:cs="Calibri"/>
        </w:rPr>
        <w:t>L.2261-7 et suivants du Code du travail</w:t>
      </w:r>
      <w:r w:rsidRPr="00A1121B">
        <w:rPr>
          <w:rFonts w:ascii="Calibri" w:hAnsi="Calibri" w:cs="Calibri"/>
        </w:rPr>
        <w:t>.</w:t>
      </w:r>
    </w:p>
    <w:p w14:paraId="011011B9" w14:textId="53BF8E73" w:rsidR="00A1121B" w:rsidRDefault="00A1121B" w:rsidP="00A1121B">
      <w:pPr>
        <w:pStyle w:val="Titre2"/>
      </w:pPr>
      <w:r>
        <w:t>Article 9 – Entrée en vigueur</w:t>
      </w:r>
    </w:p>
    <w:p w14:paraId="56D844FA" w14:textId="412B24AD" w:rsidR="00A1121B" w:rsidRDefault="00A1121B" w:rsidP="00512ECB">
      <w:pPr>
        <w:pStyle w:val="NormalWeb"/>
      </w:pPr>
      <w:r>
        <w:t xml:space="preserve">Le présent accord entre en vigueur le </w:t>
      </w:r>
      <w:r>
        <w:rPr>
          <w:rStyle w:val="lev"/>
          <w:rFonts w:eastAsiaTheme="majorEastAsia"/>
        </w:rPr>
        <w:t xml:space="preserve">01 </w:t>
      </w:r>
      <w:r w:rsidR="00AF6CBF">
        <w:rPr>
          <w:rStyle w:val="lev"/>
          <w:rFonts w:eastAsiaTheme="majorEastAsia"/>
        </w:rPr>
        <w:t>Septembre</w:t>
      </w:r>
      <w:r>
        <w:rPr>
          <w:rStyle w:val="lev"/>
          <w:rFonts w:eastAsiaTheme="majorEastAsia"/>
        </w:rPr>
        <w:t xml:space="preserve"> 202</w:t>
      </w:r>
      <w:r w:rsidR="00AF6CBF">
        <w:rPr>
          <w:rStyle w:val="lev"/>
          <w:rFonts w:eastAsiaTheme="majorEastAsia"/>
        </w:rPr>
        <w:t>5</w:t>
      </w:r>
      <w:r>
        <w:t>, sous réserve de son dépôt auprès des services compétents.</w:t>
      </w:r>
    </w:p>
    <w:p w14:paraId="41DAFCCB" w14:textId="220B8D66" w:rsidR="00A1121B" w:rsidRDefault="00A1121B" w:rsidP="00A1121B">
      <w:pPr>
        <w:pStyle w:val="Titre2"/>
      </w:pPr>
      <w:r>
        <w:t>Article 10 – Dépôt et publicité</w:t>
      </w:r>
    </w:p>
    <w:p w14:paraId="0920C6A6" w14:textId="08527635" w:rsidR="00A1121B" w:rsidRPr="00825F3C" w:rsidRDefault="00A1121B" w:rsidP="00A1121B">
      <w:pPr>
        <w:pStyle w:val="NormalWeb"/>
        <w:rPr>
          <w:rFonts w:ascii="Calibri" w:hAnsi="Calibri" w:cs="Calibri"/>
        </w:rPr>
      </w:pPr>
      <w:r w:rsidRPr="00825F3C">
        <w:rPr>
          <w:rFonts w:ascii="Calibri" w:hAnsi="Calibri" w:cs="Calibri"/>
        </w:rPr>
        <w:t>Le présent accord fera l’objet :</w:t>
      </w:r>
    </w:p>
    <w:p w14:paraId="49718C0C" w14:textId="0A5C7CC6" w:rsidR="00A1121B" w:rsidRPr="00825F3C" w:rsidRDefault="00A1121B" w:rsidP="00A1121B">
      <w:pPr>
        <w:pStyle w:val="NormalWeb"/>
        <w:numPr>
          <w:ilvl w:val="0"/>
          <w:numId w:val="9"/>
        </w:numPr>
        <w:rPr>
          <w:rFonts w:ascii="Calibri" w:hAnsi="Calibri" w:cs="Calibri"/>
        </w:rPr>
      </w:pPr>
      <w:r w:rsidRPr="00825F3C">
        <w:rPr>
          <w:rFonts w:ascii="Calibri" w:hAnsi="Calibri" w:cs="Calibri"/>
        </w:rPr>
        <w:t xml:space="preserve">D’un dépôt sur la plateforme </w:t>
      </w:r>
      <w:proofErr w:type="spellStart"/>
      <w:r w:rsidRPr="00825F3C">
        <w:rPr>
          <w:rStyle w:val="lev"/>
          <w:rFonts w:ascii="Calibri" w:eastAsiaTheme="majorEastAsia" w:hAnsi="Calibri" w:cs="Calibri"/>
        </w:rPr>
        <w:t>TéléAccords</w:t>
      </w:r>
      <w:proofErr w:type="spellEnd"/>
      <w:r w:rsidR="00825F3C">
        <w:rPr>
          <w:rStyle w:val="lev"/>
          <w:rFonts w:ascii="Calibri" w:eastAsiaTheme="majorEastAsia" w:hAnsi="Calibri" w:cs="Calibri"/>
        </w:rPr>
        <w:t> </w:t>
      </w:r>
      <w:r w:rsidR="00825F3C">
        <w:rPr>
          <w:rFonts w:ascii="Calibri" w:hAnsi="Calibri" w:cs="Calibri"/>
        </w:rPr>
        <w:t>;</w:t>
      </w:r>
    </w:p>
    <w:p w14:paraId="0CAAC5EE" w14:textId="6BE38C6F" w:rsidR="00A1121B" w:rsidRPr="00825F3C" w:rsidRDefault="00A1121B" w:rsidP="00A1121B">
      <w:pPr>
        <w:pStyle w:val="NormalWeb"/>
        <w:numPr>
          <w:ilvl w:val="0"/>
          <w:numId w:val="9"/>
        </w:numPr>
        <w:rPr>
          <w:rFonts w:ascii="Calibri" w:hAnsi="Calibri" w:cs="Calibri"/>
        </w:rPr>
      </w:pPr>
      <w:r w:rsidRPr="00825F3C">
        <w:rPr>
          <w:rFonts w:ascii="Calibri" w:hAnsi="Calibri" w:cs="Calibri"/>
        </w:rPr>
        <w:t>D’une information auprès des salariés concernés.</w:t>
      </w:r>
    </w:p>
    <w:p w14:paraId="0E77F04A" w14:textId="0A740520" w:rsidR="00A1121B" w:rsidRDefault="00A1121B" w:rsidP="00A1121B"/>
    <w:sectPr w:rsidR="00A1121B" w:rsidSect="00A1121B">
      <w:headerReference w:type="default" r:id="rId12"/>
      <w:footerReference w:type="default" r:id="rId13"/>
      <w:pgSz w:w="11906" w:h="16838"/>
      <w:pgMar w:top="720" w:right="720" w:bottom="720" w:left="720" w:header="1417" w:footer="70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58C0CB" w14:textId="77777777" w:rsidR="00F53438" w:rsidRDefault="00F53438">
      <w:pPr>
        <w:spacing w:after="0" w:line="240" w:lineRule="auto"/>
      </w:pPr>
      <w:r>
        <w:separator/>
      </w:r>
    </w:p>
  </w:endnote>
  <w:endnote w:type="continuationSeparator" w:id="0">
    <w:p w14:paraId="58AAC71F" w14:textId="77777777" w:rsidR="00F53438" w:rsidRDefault="00F534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656C46-AC4A-41E3-BDB3-05AEA4FD9067}"/>
    <w:embedBold r:id="rId2" w:fontKey="{930AEA2C-84E2-4FCF-8410-372B7AE6DAF0}"/>
    <w:embedItalic r:id="rId3" w:fontKey="{78CB2A98-52ED-4B7C-A0E9-2261273CE8A3}"/>
  </w:font>
  <w:font w:name="Play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8D8AB87F-0134-404A-A501-A694D0B39B0A}"/>
  </w:font>
  <w:font w:name="Minion Pro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7EB42E6-2437-4B78-8905-5FAEBAC34E79}"/>
    <w:embedBold r:id="rId6" w:fontKey="{74101E1B-8A16-41DF-84F6-9948964547F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2B08DD43-4F8D-4D39-A956-EEE5A76E87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190A3" w14:textId="069034C2" w:rsidR="0079076C" w:rsidRDefault="00EA5E54" w:rsidP="0079076C">
    <w:pPr>
      <w:spacing w:after="0" w:line="288" w:lineRule="auto"/>
      <w:jc w:val="center"/>
      <w:textDirection w:val="btLr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19DE4105" wp14:editId="51083BE9">
          <wp:simplePos x="0" y="0"/>
          <wp:positionH relativeFrom="column">
            <wp:posOffset>6729207</wp:posOffset>
          </wp:positionH>
          <wp:positionV relativeFrom="paragraph">
            <wp:posOffset>-763077</wp:posOffset>
          </wp:positionV>
          <wp:extent cx="598805" cy="1582420"/>
          <wp:effectExtent l="0" t="0" r="0" b="5080"/>
          <wp:wrapNone/>
          <wp:docPr id="1666285357" name="image2.png" descr="Une image contenant ligne, capture d’écran, bleu, Parallèle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Une image contenant ligne, capture d’écran, bleu, Parallèle&#10;&#10;Description générée automatiquemen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8805" cy="15824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79076C" w:rsidRPr="0079076C">
      <w:rPr>
        <w:rFonts w:ascii="Verdana" w:eastAsia="Verdana" w:hAnsi="Verdana" w:cs="Verdana"/>
        <w:color w:val="21A0E7"/>
        <w:sz w:val="12"/>
      </w:rPr>
      <w:t xml:space="preserve"> </w:t>
    </w:r>
    <w:r w:rsidR="0079076C">
      <w:rPr>
        <w:rFonts w:ascii="Verdana" w:eastAsia="Verdana" w:hAnsi="Verdana" w:cs="Verdana"/>
        <w:color w:val="21A0E7"/>
        <w:sz w:val="12"/>
      </w:rPr>
      <w:t xml:space="preserve">MAAGM SAS 57, bd </w:t>
    </w:r>
    <w:proofErr w:type="spellStart"/>
    <w:r w:rsidR="0079076C">
      <w:rPr>
        <w:rFonts w:ascii="Verdana" w:eastAsia="Verdana" w:hAnsi="Verdana" w:cs="Verdana"/>
        <w:color w:val="21A0E7"/>
        <w:sz w:val="12"/>
      </w:rPr>
      <w:t>Demorieux</w:t>
    </w:r>
    <w:proofErr w:type="spellEnd"/>
    <w:r w:rsidR="0079076C">
      <w:rPr>
        <w:rFonts w:ascii="Verdana" w:eastAsia="Verdana" w:hAnsi="Verdana" w:cs="Verdana"/>
        <w:color w:val="21A0E7"/>
        <w:sz w:val="12"/>
      </w:rPr>
      <w:t xml:space="preserve"> | F72100, Le Mans France | tel : +33 6 64 30 39 94 | www.MAAGM.com</w:t>
    </w:r>
  </w:p>
  <w:p w14:paraId="4D86F9B0" w14:textId="3149E2AE" w:rsidR="008C56B9" w:rsidRDefault="0079076C" w:rsidP="0079076C">
    <w:pPr>
      <w:spacing w:after="0" w:line="288" w:lineRule="auto"/>
      <w:textDirection w:val="btLr"/>
      <w:rPr>
        <w:color w:val="000000"/>
      </w:rPr>
    </w:pPr>
    <w:r>
      <w:rPr>
        <w:rFonts w:ascii="Verdana" w:eastAsia="Verdana" w:hAnsi="Verdana" w:cs="Verdana"/>
        <w:color w:val="21A0E7"/>
        <w:sz w:val="12"/>
      </w:rPr>
      <w:t xml:space="preserve">SIRET 928 126 531 00013 | RCS Le Mans 928126531 | 1ere </w:t>
    </w:r>
    <w:proofErr w:type="gramStart"/>
    <w:r>
      <w:rPr>
        <w:rFonts w:ascii="Verdana" w:eastAsia="Verdana" w:hAnsi="Verdana" w:cs="Verdana"/>
        <w:color w:val="21A0E7"/>
        <w:sz w:val="12"/>
      </w:rPr>
      <w:t>immatriculation  le</w:t>
    </w:r>
    <w:proofErr w:type="gramEnd"/>
    <w:r>
      <w:rPr>
        <w:rFonts w:ascii="Verdana" w:eastAsia="Verdana" w:hAnsi="Verdana" w:cs="Verdana"/>
        <w:color w:val="21A0E7"/>
        <w:sz w:val="12"/>
      </w:rPr>
      <w:t xml:space="preserve"> 25 / 04 / 2024 | Code NAF 2651B | TVAI FR37928126531 | capital de 60 000 €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6A48A" w14:textId="77777777" w:rsidR="00F53438" w:rsidRDefault="00F53438">
      <w:pPr>
        <w:spacing w:after="0" w:line="240" w:lineRule="auto"/>
      </w:pPr>
      <w:r>
        <w:separator/>
      </w:r>
    </w:p>
  </w:footnote>
  <w:footnote w:type="continuationSeparator" w:id="0">
    <w:p w14:paraId="0229A350" w14:textId="77777777" w:rsidR="00F53438" w:rsidRDefault="00F534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117FC" w14:textId="77777777" w:rsidR="008C56B9" w:rsidRDefault="00EA5E5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23869F7F" wp14:editId="2F13864F">
          <wp:simplePos x="0" y="0"/>
          <wp:positionH relativeFrom="margin">
            <wp:posOffset>-452525</wp:posOffset>
          </wp:positionH>
          <wp:positionV relativeFrom="page">
            <wp:posOffset>0</wp:posOffset>
          </wp:positionV>
          <wp:extent cx="1203960" cy="1579880"/>
          <wp:effectExtent l="0" t="0" r="2540" b="0"/>
          <wp:wrapNone/>
          <wp:docPr id="915676596" name="image1.png" descr="Une image contenant Police, capture d’écran, texte, Graphique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e image contenant Police, capture d’écran, texte, Graphique&#10;&#10;Description générée automatiquemen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03960" cy="15798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396801"/>
    <w:multiLevelType w:val="hybridMultilevel"/>
    <w:tmpl w:val="58005E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466EA2"/>
    <w:multiLevelType w:val="multilevel"/>
    <w:tmpl w:val="FBF2F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0346E0"/>
    <w:multiLevelType w:val="multilevel"/>
    <w:tmpl w:val="73F04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214CC0"/>
    <w:multiLevelType w:val="multilevel"/>
    <w:tmpl w:val="5838E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85D191F"/>
    <w:multiLevelType w:val="multilevel"/>
    <w:tmpl w:val="053AE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F0F2722"/>
    <w:multiLevelType w:val="multilevel"/>
    <w:tmpl w:val="D4D45C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5A10F57"/>
    <w:multiLevelType w:val="multilevel"/>
    <w:tmpl w:val="7452E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9D37F23"/>
    <w:multiLevelType w:val="hybridMultilevel"/>
    <w:tmpl w:val="51326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2851D6"/>
    <w:multiLevelType w:val="multilevel"/>
    <w:tmpl w:val="9050D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BB106F2"/>
    <w:multiLevelType w:val="multilevel"/>
    <w:tmpl w:val="51FC8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D186133"/>
    <w:multiLevelType w:val="multilevel"/>
    <w:tmpl w:val="4D4A9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49432486">
    <w:abstractNumId w:val="8"/>
  </w:num>
  <w:num w:numId="2" w16cid:durableId="1323776149">
    <w:abstractNumId w:val="5"/>
  </w:num>
  <w:num w:numId="3" w16cid:durableId="1724911622">
    <w:abstractNumId w:val="10"/>
  </w:num>
  <w:num w:numId="4" w16cid:durableId="305358245">
    <w:abstractNumId w:val="6"/>
  </w:num>
  <w:num w:numId="5" w16cid:durableId="1698042878">
    <w:abstractNumId w:val="2"/>
  </w:num>
  <w:num w:numId="6" w16cid:durableId="1042553279">
    <w:abstractNumId w:val="1"/>
  </w:num>
  <w:num w:numId="7" w16cid:durableId="1464157980">
    <w:abstractNumId w:val="9"/>
  </w:num>
  <w:num w:numId="8" w16cid:durableId="616569338">
    <w:abstractNumId w:val="4"/>
  </w:num>
  <w:num w:numId="9" w16cid:durableId="1350836337">
    <w:abstractNumId w:val="3"/>
  </w:num>
  <w:num w:numId="10" w16cid:durableId="1656563243">
    <w:abstractNumId w:val="7"/>
  </w:num>
  <w:num w:numId="11" w16cid:durableId="18931563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56B9"/>
    <w:rsid w:val="000B5CC2"/>
    <w:rsid w:val="001B21C6"/>
    <w:rsid w:val="001B4AF2"/>
    <w:rsid w:val="00297E22"/>
    <w:rsid w:val="003900BA"/>
    <w:rsid w:val="003C5B36"/>
    <w:rsid w:val="0041136C"/>
    <w:rsid w:val="004A427A"/>
    <w:rsid w:val="004B3FEF"/>
    <w:rsid w:val="004B64EE"/>
    <w:rsid w:val="0050021C"/>
    <w:rsid w:val="00512ECB"/>
    <w:rsid w:val="0060750B"/>
    <w:rsid w:val="00635E2E"/>
    <w:rsid w:val="00710F14"/>
    <w:rsid w:val="0079076C"/>
    <w:rsid w:val="0081770E"/>
    <w:rsid w:val="00820D71"/>
    <w:rsid w:val="00825F3C"/>
    <w:rsid w:val="00881ADB"/>
    <w:rsid w:val="008A393F"/>
    <w:rsid w:val="008C56B9"/>
    <w:rsid w:val="00924A39"/>
    <w:rsid w:val="00A1121B"/>
    <w:rsid w:val="00A4457A"/>
    <w:rsid w:val="00A77FCD"/>
    <w:rsid w:val="00AF0639"/>
    <w:rsid w:val="00AF3874"/>
    <w:rsid w:val="00AF6CBF"/>
    <w:rsid w:val="00BC38FC"/>
    <w:rsid w:val="00C224BC"/>
    <w:rsid w:val="00C300CE"/>
    <w:rsid w:val="00CB40DF"/>
    <w:rsid w:val="00CD62CA"/>
    <w:rsid w:val="00D8470A"/>
    <w:rsid w:val="00E433D9"/>
    <w:rsid w:val="00E771D5"/>
    <w:rsid w:val="00EA5E54"/>
    <w:rsid w:val="00EE278B"/>
    <w:rsid w:val="00F249F7"/>
    <w:rsid w:val="00F53438"/>
    <w:rsid w:val="00F91D89"/>
    <w:rsid w:val="00F9476D"/>
    <w:rsid w:val="00FD41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D263A1"/>
  <w15:docId w15:val="{8C92D601-8DFE-E54B-BE0F-A4144775E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441D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441D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441D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itre1Car">
    <w:name w:val="Titre 1 Car"/>
    <w:basedOn w:val="Policepardfaut"/>
    <w:uiPriority w:val="9"/>
    <w:rsid w:val="00441D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uiPriority w:val="9"/>
    <w:semiHidden/>
    <w:rsid w:val="00441D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uiPriority w:val="9"/>
    <w:semiHidden/>
    <w:rsid w:val="00441D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uiPriority w:val="9"/>
    <w:semiHidden/>
    <w:rsid w:val="00441DD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uiPriority w:val="9"/>
    <w:semiHidden/>
    <w:rsid w:val="00441DD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uiPriority w:val="9"/>
    <w:semiHidden/>
    <w:rsid w:val="00441DD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441DD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441DD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441DD0"/>
    <w:rPr>
      <w:rFonts w:eastAsiaTheme="majorEastAsia" w:cstheme="majorBidi"/>
      <w:color w:val="272727" w:themeColor="text1" w:themeTint="D8"/>
    </w:rPr>
  </w:style>
  <w:style w:type="character" w:customStyle="1" w:styleId="TitreCar">
    <w:name w:val="Titre Car"/>
    <w:basedOn w:val="Policepardfaut"/>
    <w:uiPriority w:val="10"/>
    <w:rsid w:val="00441D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ous-titreCar">
    <w:name w:val="Sous-titre Car"/>
    <w:basedOn w:val="Policepardfaut"/>
    <w:uiPriority w:val="11"/>
    <w:rsid w:val="00441D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441D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441DD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441DD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441DD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441D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441DD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441DD0"/>
    <w:rPr>
      <w:b/>
      <w:bCs/>
      <w:smallCaps/>
      <w:color w:val="0F4761" w:themeColor="accent1" w:themeShade="BF"/>
      <w:spacing w:val="5"/>
    </w:rPr>
  </w:style>
  <w:style w:type="paragraph" w:customStyle="1" w:styleId="Paragraphestandard">
    <w:name w:val="[Paragraphe standard]"/>
    <w:basedOn w:val="Normal"/>
    <w:uiPriority w:val="99"/>
    <w:rsid w:val="00A25A00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705692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05692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uiPriority w:val="99"/>
    <w:unhideWhenUsed/>
    <w:rsid w:val="00E360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36066"/>
  </w:style>
  <w:style w:type="paragraph" w:styleId="Pieddepage">
    <w:name w:val="footer"/>
    <w:basedOn w:val="Normal"/>
    <w:link w:val="PieddepageCar"/>
    <w:uiPriority w:val="99"/>
    <w:unhideWhenUsed/>
    <w:rsid w:val="00E360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36066"/>
  </w:style>
  <w:style w:type="paragraph" w:styleId="Sous-titr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character" w:styleId="Lienhypertextesuivivisit">
    <w:name w:val="FollowedHyperlink"/>
    <w:basedOn w:val="Policepardfaut"/>
    <w:uiPriority w:val="99"/>
    <w:semiHidden/>
    <w:unhideWhenUsed/>
    <w:rsid w:val="00A1121B"/>
    <w:rPr>
      <w:color w:val="96607D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A112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/>
    </w:rPr>
  </w:style>
  <w:style w:type="character" w:styleId="lev">
    <w:name w:val="Strong"/>
    <w:basedOn w:val="Policepardfaut"/>
    <w:uiPriority w:val="22"/>
    <w:qFormat/>
    <w:rsid w:val="00A1121B"/>
    <w:rPr>
      <w:b/>
      <w:bCs/>
    </w:rPr>
  </w:style>
  <w:style w:type="character" w:styleId="Marquedecommentaire">
    <w:name w:val="annotation reference"/>
    <w:basedOn w:val="Policepardfaut"/>
    <w:uiPriority w:val="99"/>
    <w:semiHidden/>
    <w:unhideWhenUsed/>
    <w:rsid w:val="004B64E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4B64E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4B64E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B64E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B64E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2RAY9B9ii1bMDm82DCxA8vUimA==">CgMxLjA4AHIhMTlJM0RoeW9nczkyZ3N0aUVfZEh5bkN3RUhXY1R2RWEz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75E3564255044BBF66926274FD3587" ma:contentTypeVersion="19" ma:contentTypeDescription="Create a new document." ma:contentTypeScope="" ma:versionID="fb03b9c4255e37aa45e1ce5494453212">
  <xsd:schema xmlns:xsd="http://www.w3.org/2001/XMLSchema" xmlns:xs="http://www.w3.org/2001/XMLSchema" xmlns:p="http://schemas.microsoft.com/office/2006/metadata/properties" xmlns:ns2="e99445e9-d3e8-4185-869a-4de67ac78296" xmlns:ns3="b2ee2416-224c-42e1-8b8f-cedf5f749cf2" targetNamespace="http://schemas.microsoft.com/office/2006/metadata/properties" ma:root="true" ma:fieldsID="f4f3cdcc2376d393d6c6ff049a01492f" ns2:_="" ns3:_="">
    <xsd:import namespace="e99445e9-d3e8-4185-869a-4de67ac78296"/>
    <xsd:import namespace="b2ee2416-224c-42e1-8b8f-cedf5f749cf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Responsable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9445e9-d3e8-4185-869a-4de67ac7829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b3d6101-fe72-4d90-989f-f49326ae4f2f}" ma:internalName="TaxCatchAll" ma:showField="CatchAllData" ma:web="e99445e9-d3e8-4185-869a-4de67ac7829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ee2416-224c-42e1-8b8f-cedf5f749cf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Responsable" ma:index="12" nillable="true" ma:displayName="Responsable" ma:list="UserInfo" ma:SharePointGroup="0" ma:internalName="Responsabl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f7caa1c0-203b-4137-a729-4fff900b4b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2ee2416-224c-42e1-8b8f-cedf5f749cf2">
      <Terms xmlns="http://schemas.microsoft.com/office/infopath/2007/PartnerControls"/>
    </lcf76f155ced4ddcb4097134ff3c332f>
    <TaxCatchAll xmlns="e99445e9-d3e8-4185-869a-4de67ac78296" xsi:nil="true"/>
    <Responsable xmlns="b2ee2416-224c-42e1-8b8f-cedf5f749cf2">
      <UserInfo>
        <DisplayName/>
        <AccountId xsi:nil="true"/>
        <AccountType/>
      </UserInfo>
    </Responsable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41217ED-68F5-4B0C-B524-0D381958F4B7}"/>
</file>

<file path=customXml/itemProps3.xml><?xml version="1.0" encoding="utf-8"?>
<ds:datastoreItem xmlns:ds="http://schemas.openxmlformats.org/officeDocument/2006/customXml" ds:itemID="{EA7FAC82-54FB-4DC7-8BC3-A7534EB1449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2FD86B7-DA3F-4C1C-BF0E-53F047E1FB30}">
  <ds:schemaRefs>
    <ds:schemaRef ds:uri="http://schemas.microsoft.com/office/2006/metadata/properties"/>
    <ds:schemaRef ds:uri="http://schemas.microsoft.com/office/infopath/2007/PartnerControls"/>
    <ds:schemaRef ds:uri="b2ee2416-224c-42e1-8b8f-cedf5f749cf2"/>
    <ds:schemaRef ds:uri="e99445e9-d3e8-4185-869a-4de67ac78296"/>
  </ds:schemaRefs>
</ds:datastoreItem>
</file>

<file path=customXml/itemProps5.xml><?xml version="1.0" encoding="utf-8"?>
<ds:datastoreItem xmlns:ds="http://schemas.openxmlformats.org/officeDocument/2006/customXml" ds:itemID="{070123CC-8D9C-4537-B91B-F3C140526A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845</Words>
  <Characters>4653</Characters>
  <Application>Microsoft Office Word</Application>
  <DocSecurity>4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lionel baillon</dc:creator>
  <cp:lastModifiedBy>David RICHARD</cp:lastModifiedBy>
  <cp:revision>2</cp:revision>
  <cp:lastPrinted>2026-03-02T16:00:00Z</cp:lastPrinted>
  <dcterms:created xsi:type="dcterms:W3CDTF">2026-03-02T16:01:00Z</dcterms:created>
  <dcterms:modified xsi:type="dcterms:W3CDTF">2026-03-02T16:01:00Z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0x010100E675E3564255044BBF66926274FD3587</vt:lpwstr>
  </property>
</Properties>
</file>