
<file path=[Content_Types].xml><?xml version="1.0" encoding="utf-8"?>
<Types xmlns="http://schemas.openxmlformats.org/package/2006/content-types">
  <Default Extension="fntdata" ContentType="application/x-fontdata"/>
  <Default Extension="jpeg" ContentType="image/jpeg"/>
  <Default Extension="png" ContentType="image/png"/>
  <Default Extension="rels" ContentType="application/vnd.openxmlformats-package.relationships+xml"/>
  <Default Extension="xml" ContentType="application/xml"/>
  <Override PartName="/word/header3.xml" ContentType="application/vnd.openxmlformats-officedocument.wordprocessingml.header+xml"/>
  <Override PartName="/word/styles.xml" ContentType="application/vnd.openxmlformats-officedocument.wordprocessingml.styles+xml"/>
  <Override PartName="/word/footer1.xml" ContentType="application/vnd.openxmlformats-officedocument.wordprocessingml.footer+xml"/>
  <Override PartName="/word/fonts/font45.odttf" ContentType="application/vnd.openxmlformats-officedocument.obfuscatedFont"/>
  <Override PartName="/word/fonts/font1.odttf" ContentType="application/vnd.openxmlformats-officedocument.obfuscatedFont"/>
  <Override PartName="/word/fonts/font46.odttf" ContentType="application/vnd.openxmlformats-officedocument.obfuscatedFont"/>
  <Override PartName="/word/fonts/font39.odttf" ContentType="application/vnd.openxmlformats-officedocument.obfuscatedFont"/>
  <Override PartName="/word/fonts/font2.odttf" ContentType="application/vnd.openxmlformats-officedocument.obfuscatedFont"/>
  <Override PartName="/word/fonts/font38.odttf" ContentType="application/vnd.openxmlformats-officedocument.obfuscatedFont"/>
  <Override PartName="/word/fonts/font3.odttf" ContentType="application/vnd.openxmlformats-officedocument.obfuscatedFont"/>
  <Override PartName="/word/fonts/font40.odttf" ContentType="application/vnd.openxmlformats-officedocument.obfuscatedFont"/>
  <Override PartName="/word/fonts/font4.odttf" ContentType="application/vnd.openxmlformats-officedocument.obfuscatedFont"/>
  <Override PartName="/word/fonts/font41.odttf" ContentType="application/vnd.openxmlformats-officedocument.obfuscatedFont"/>
  <Override PartName="/word/fonts/font5.odttf" ContentType="application/vnd.openxmlformats-officedocument.obfuscatedFont"/>
  <Override PartName="/word/fonts/font42.odttf" ContentType="application/vnd.openxmlformats-officedocument.obfuscatedFont"/>
  <Override PartName="/word/fonts/font6.odttf" ContentType="application/vnd.openxmlformats-officedocument.obfuscatedFont"/>
  <Override PartName="/word/fonts/font43.odttf" ContentType="application/vnd.openxmlformats-officedocument.obfuscatedFont"/>
  <Override PartName="/word/fonts/font7.odttf" ContentType="application/vnd.openxmlformats-officedocument.obfuscatedFont"/>
  <Override PartName="/word/fonts/font33.odttf" ContentType="application/vnd.openxmlformats-officedocument.obfuscatedFont"/>
  <Override PartName="/word/fonts/font8.odttf" ContentType="application/vnd.openxmlformats-officedocument.obfuscatedFont"/>
  <Override PartName="/word/fonts/font32.odttf" ContentType="application/vnd.openxmlformats-officedocument.obfuscatedFont"/>
  <Override PartName="/word/fonts/font9.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29.odttf" ContentType="application/vnd.openxmlformats-officedocument.obfuscatedFont"/>
  <Override PartName="/word/fonts/font12.odttf" ContentType="application/vnd.openxmlformats-officedocument.obfuscatedFont"/>
  <Override PartName="/word/fonts/font28.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23.odttf" ContentType="application/vnd.openxmlformats-officedocument.obfuscatedFont"/>
  <Override PartName="/word/fonts/font18.odttf" ContentType="application/vnd.openxmlformats-officedocument.obfuscatedFont"/>
  <Override PartName="/word/fonts/font22.odttf" ContentType="application/vnd.openxmlformats-officedocument.obfuscatedFont"/>
  <Override PartName="/word/fonts/font19.odttf" ContentType="application/vnd.openxmlformats-officedocument.obfuscatedFont"/>
  <Override PartName="/word/fonts/font20.odttf" ContentType="application/vnd.openxmlformats-officedocument.obfuscatedFont"/>
  <Override PartName="/word/fonts/font21.odttf" ContentType="application/vnd.openxmlformats-officedocument.obfuscatedFont"/>
  <Override PartName="/word/fonts/font24.odttf" ContentType="application/vnd.openxmlformats-officedocument.obfuscatedFont"/>
  <Override PartName="/word/fonts/font25.odttf" ContentType="application/vnd.openxmlformats-officedocument.obfuscatedFont"/>
  <Override PartName="/word/fonts/font26.odttf" ContentType="application/vnd.openxmlformats-officedocument.obfuscatedFont"/>
  <Override PartName="/word/fonts/font27.odttf" ContentType="application/vnd.openxmlformats-officedocument.obfuscatedFont"/>
  <Override PartName="/word/fonts/font30.odttf" ContentType="application/vnd.openxmlformats-officedocument.obfuscatedFont"/>
  <Override PartName="/word/fonts/font31.odttf" ContentType="application/vnd.openxmlformats-officedocument.obfuscatedFont"/>
  <Override PartName="/word/fonts/font34.odttf" ContentType="application/vnd.openxmlformats-officedocument.obfuscatedFont"/>
  <Override PartName="/word/fonts/font35.odttf" ContentType="application/vnd.openxmlformats-officedocument.obfuscatedFont"/>
  <Override PartName="/word/fonts/font36.odttf" ContentType="application/vnd.openxmlformats-officedocument.obfuscatedFont"/>
  <Override PartName="/word/fonts/font37.odttf" ContentType="application/vnd.openxmlformats-officedocument.obfuscatedFont"/>
  <Override PartName="/word/fonts/font44.odttf" ContentType="application/vnd.openxmlformats-officedocument.obfuscatedFont"/>
  <Override PartName="/word/document.xml" ContentType="application/vnd.openxmlformats-officedocument.wordprocessingml.document.main+xml"/>
  <Override PartName="/word/header1.xml" ContentType="application/vnd.openxmlformats-officedocument.wordprocessingml.header+xml"/>
  <Override PartName="/word/footer3.xml" ContentType="application/vnd.openxmlformats-officedocument.wordprocessingml.footer+xml"/>
  <Override PartName="/word/numbering.xml" ContentType="application/vnd.openxmlformats-officedocument.wordprocessingml.numbering+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1"/>
        <w:jc w:val="center"/>
        <w:rPr>
          <w:sz w:val="22"/>
          <w:szCs w:val="22"/>
        </w:rPr>
      </w:pPr>
      <w:r>
        <w:rPr>
          <w:b/>
          <w:bCs/>
          <w:sz w:val="22"/>
          <w:szCs w:val="22"/>
        </w:rPr>
        <w:t>NÉGOCIATION ANNUELLE OBLIGATOIRE 2026</w:t>
      </w:r>
    </w:p>
    <w:p>
      <w:pPr>
        <w:pStyle w:val="normal1"/>
        <w:jc w:val="center"/>
        <w:rPr>
          <w:sz w:val="22"/>
          <w:szCs w:val="22"/>
        </w:rPr>
      </w:pPr>
      <w:r>
        <w:rPr>
          <w:b/>
          <w:bCs/>
          <w:sz w:val="22"/>
          <w:szCs w:val="22"/>
        </w:rPr>
        <w:t xml:space="preserve">Société NETRA </w:t>
      </w:r>
    </w:p>
    <w:p>
      <w:pPr>
        <w:pStyle w:val="normal1"/>
        <w:rPr>
          <w:sz w:val="22"/>
          <w:szCs w:val="22"/>
        </w:rPr>
      </w:pPr>
      <w:r>
        <w:rPr>
          <w:sz w:val="22"/>
          <w:szCs w:val="22"/>
        </w:rPr>
      </w:r>
    </w:p>
    <w:p>
      <w:pPr>
        <w:pStyle w:val="normal1"/>
        <w:jc w:val="center"/>
        <w:rPr>
          <w:sz w:val="22"/>
          <w:szCs w:val="22"/>
        </w:rPr>
      </w:pPr>
      <w:r>
        <w:rPr>
          <w:b/>
          <w:bCs/>
          <w:sz w:val="22"/>
          <w:szCs w:val="22"/>
        </w:rPr>
        <w:t>PROCÈS VERBAL D’ACCORD</w:t>
      </w:r>
    </w:p>
    <w:p>
      <w:pPr>
        <w:pStyle w:val="normal1"/>
        <w:rPr>
          <w:sz w:val="22"/>
          <w:szCs w:val="22"/>
        </w:rPr>
      </w:pPr>
      <w:r>
        <w:rPr>
          <w:sz w:val="22"/>
          <w:szCs w:val="22"/>
        </w:rPr>
      </w:r>
    </w:p>
    <w:p>
      <w:pPr>
        <w:pStyle w:val="normal1"/>
        <w:jc w:val="both"/>
        <w:rPr>
          <w:sz w:val="22"/>
          <w:szCs w:val="22"/>
        </w:rPr>
      </w:pPr>
      <w:r>
        <w:rPr>
          <w:sz w:val="22"/>
          <w:szCs w:val="22"/>
        </w:rPr>
      </w:r>
    </w:p>
    <w:p>
      <w:pPr>
        <w:pStyle w:val="normal1"/>
        <w:jc w:val="both"/>
        <w:rPr>
          <w:sz w:val="22"/>
          <w:szCs w:val="22"/>
        </w:rPr>
      </w:pPr>
      <w:r>
        <w:rPr>
          <w:sz w:val="22"/>
          <w:szCs w:val="22"/>
        </w:rPr>
      </w:r>
    </w:p>
    <w:p>
      <w:pPr>
        <w:pStyle w:val="normal1"/>
        <w:jc w:val="both"/>
        <w:rPr>
          <w:sz w:val="22"/>
          <w:szCs w:val="22"/>
        </w:rPr>
      </w:pPr>
      <w:r>
        <w:rPr>
          <w:sz w:val="22"/>
          <w:szCs w:val="22"/>
        </w:rPr>
      </w:r>
    </w:p>
    <w:p>
      <w:pPr>
        <w:pStyle w:val="normal1"/>
        <w:jc w:val="both"/>
        <w:rPr>
          <w:sz w:val="22"/>
          <w:szCs w:val="22"/>
        </w:rPr>
      </w:pPr>
      <w:r>
        <w:rPr>
          <w:sz w:val="22"/>
          <w:szCs w:val="22"/>
        </w:rPr>
        <w:t>Entre les soussignés :</w:t>
      </w:r>
    </w:p>
    <w:p>
      <w:pPr>
        <w:pStyle w:val="normal1"/>
        <w:jc w:val="both"/>
        <w:rPr>
          <w:sz w:val="22"/>
          <w:szCs w:val="22"/>
        </w:rPr>
      </w:pPr>
      <w:r>
        <w:rPr>
          <w:sz w:val="22"/>
          <w:szCs w:val="22"/>
        </w:rPr>
      </w:r>
    </w:p>
    <w:p>
      <w:pPr>
        <w:pStyle w:val="normal1"/>
        <w:jc w:val="both"/>
        <w:rPr>
          <w:sz w:val="22"/>
          <w:szCs w:val="22"/>
        </w:rPr>
      </w:pPr>
      <w:r>
        <w:rPr>
          <w:sz w:val="22"/>
          <w:szCs w:val="22"/>
        </w:rPr>
        <w:t xml:space="preserve">Le syndicat CFDT représenté par X, Délégué Syndical </w:t>
      </w:r>
    </w:p>
    <w:p>
      <w:pPr>
        <w:pStyle w:val="normal1"/>
        <w:jc w:val="both"/>
        <w:rPr>
          <w:sz w:val="22"/>
          <w:szCs w:val="22"/>
        </w:rPr>
      </w:pPr>
      <w:r>
        <w:rPr>
          <w:sz w:val="22"/>
          <w:szCs w:val="22"/>
        </w:rPr>
      </w:r>
    </w:p>
    <w:p>
      <w:pPr>
        <w:pStyle w:val="normal1"/>
        <w:jc w:val="both"/>
        <w:rPr>
          <w:sz w:val="22"/>
          <w:szCs w:val="22"/>
        </w:rPr>
      </w:pPr>
      <w:r>
        <w:rPr>
          <w:sz w:val="22"/>
          <w:szCs w:val="22"/>
        </w:rPr>
        <w:t>D’une part,</w:t>
      </w:r>
    </w:p>
    <w:p>
      <w:pPr>
        <w:pStyle w:val="normal1"/>
        <w:jc w:val="both"/>
        <w:rPr>
          <w:sz w:val="22"/>
          <w:szCs w:val="22"/>
        </w:rPr>
      </w:pPr>
      <w:r>
        <w:rPr>
          <w:sz w:val="22"/>
          <w:szCs w:val="22"/>
        </w:rPr>
      </w:r>
    </w:p>
    <w:p>
      <w:pPr>
        <w:pStyle w:val="normal1"/>
        <w:jc w:val="both"/>
        <w:rPr>
          <w:sz w:val="22"/>
          <w:szCs w:val="22"/>
        </w:rPr>
      </w:pPr>
      <w:r>
        <w:rPr>
          <w:sz w:val="22"/>
          <w:szCs w:val="22"/>
        </w:rPr>
        <w:t>Et la société NETRA, représentée par X, Directeur de Pôle</w:t>
      </w:r>
    </w:p>
    <w:p>
      <w:pPr>
        <w:pStyle w:val="normal1"/>
        <w:jc w:val="both"/>
        <w:rPr>
          <w:sz w:val="22"/>
          <w:szCs w:val="22"/>
        </w:rPr>
      </w:pPr>
      <w:r>
        <w:rPr>
          <w:sz w:val="22"/>
          <w:szCs w:val="22"/>
        </w:rPr>
        <w:t>D’autre part,</w:t>
      </w:r>
    </w:p>
    <w:p>
      <w:pPr>
        <w:pStyle w:val="normal1"/>
        <w:jc w:val="both"/>
        <w:rPr>
          <w:sz w:val="22"/>
          <w:szCs w:val="22"/>
        </w:rPr>
      </w:pPr>
      <w:r>
        <w:rPr>
          <w:sz w:val="22"/>
          <w:szCs w:val="22"/>
        </w:rPr>
      </w:r>
    </w:p>
    <w:p>
      <w:pPr>
        <w:pStyle w:val="normal1"/>
        <w:jc w:val="both"/>
        <w:rPr>
          <w:sz w:val="22"/>
          <w:szCs w:val="22"/>
        </w:rPr>
      </w:pPr>
      <w:r>
        <w:rPr>
          <w:sz w:val="22"/>
          <w:szCs w:val="22"/>
        </w:rPr>
        <w:t xml:space="preserve">Vu les articles L.2242-1 et suivants du code du travail il est établi le présent accord d’entreprise : </w:t>
      </w:r>
    </w:p>
    <w:p>
      <w:pPr>
        <w:pStyle w:val="normal1"/>
        <w:jc w:val="both"/>
        <w:rPr>
          <w:sz w:val="22"/>
          <w:szCs w:val="22"/>
        </w:rPr>
      </w:pPr>
      <w:r>
        <w:rPr>
          <w:sz w:val="22"/>
          <w:szCs w:val="22"/>
        </w:rPr>
      </w:r>
    </w:p>
    <w:p>
      <w:pPr>
        <w:pStyle w:val="normal1"/>
        <w:jc w:val="both"/>
        <w:rPr>
          <w:sz w:val="22"/>
          <w:szCs w:val="22"/>
          <w:u w:val="single"/>
        </w:rPr>
      </w:pPr>
      <w:r>
        <w:rPr>
          <w:b/>
          <w:bCs/>
          <w:sz w:val="22"/>
          <w:szCs w:val="22"/>
          <w:u w:val="single"/>
        </w:rPr>
        <w:t>Préambule</w:t>
      </w:r>
    </w:p>
    <w:p>
      <w:pPr>
        <w:pStyle w:val="normal1"/>
        <w:jc w:val="both"/>
        <w:rPr>
          <w:sz w:val="22"/>
          <w:szCs w:val="22"/>
        </w:rPr>
      </w:pPr>
      <w:r>
        <w:rPr>
          <w:sz w:val="22"/>
          <w:szCs w:val="22"/>
        </w:rPr>
      </w:r>
    </w:p>
    <w:p>
      <w:pPr>
        <w:pStyle w:val="normal1"/>
        <w:jc w:val="both"/>
        <w:rPr>
          <w:sz w:val="22"/>
          <w:szCs w:val="22"/>
        </w:rPr>
      </w:pPr>
      <w:r>
        <w:rPr>
          <w:sz w:val="22"/>
          <w:szCs w:val="22"/>
        </w:rPr>
        <w:t>Les parties se sont rencontrées dans le cadre de la négociation annuelle obligatoire, les 27 février et  6 mars 2026.</w:t>
      </w:r>
    </w:p>
    <w:p>
      <w:pPr>
        <w:pStyle w:val="normal1"/>
        <w:jc w:val="both"/>
        <w:rPr>
          <w:sz w:val="22"/>
          <w:szCs w:val="22"/>
        </w:rPr>
      </w:pPr>
      <w:r>
        <w:rPr>
          <w:sz w:val="22"/>
          <w:szCs w:val="22"/>
        </w:rPr>
      </w:r>
    </w:p>
    <w:p>
      <w:pPr>
        <w:pStyle w:val="normal1"/>
        <w:jc w:val="both"/>
        <w:rPr>
          <w:sz w:val="22"/>
          <w:szCs w:val="22"/>
        </w:rPr>
      </w:pPr>
      <w:r>
        <w:rPr>
          <w:sz w:val="22"/>
          <w:szCs w:val="22"/>
        </w:rPr>
        <w:t>Les informations portant sur les effectifs, l’organisation du travail et la rémunération ont été remises par la Direction à l’organisation syndicale conformément à la législation en vigueur.</w:t>
      </w:r>
    </w:p>
    <w:p>
      <w:pPr>
        <w:pStyle w:val="normal1"/>
        <w:jc w:val="both"/>
        <w:rPr>
          <w:sz w:val="22"/>
          <w:szCs w:val="22"/>
        </w:rPr>
      </w:pPr>
      <w:r>
        <w:rPr>
          <w:sz w:val="22"/>
          <w:szCs w:val="22"/>
        </w:rPr>
      </w:r>
    </w:p>
    <w:p>
      <w:pPr>
        <w:pStyle w:val="normal1"/>
        <w:jc w:val="both"/>
        <w:rPr>
          <w:sz w:val="22"/>
          <w:szCs w:val="22"/>
        </w:rPr>
      </w:pPr>
      <w:r>
        <w:rPr>
          <w:sz w:val="22"/>
          <w:szCs w:val="22"/>
        </w:rPr>
        <w:t>A l’occasion de ces réunions, les échanges entre partenaires sociaux se sont organisés notamment selon les thématiques suivantes, conformément aux dispositions légales :</w:t>
      </w:r>
    </w:p>
    <w:p>
      <w:pPr>
        <w:pStyle w:val="normal1"/>
        <w:numPr>
          <w:ilvl w:val="0"/>
          <w:numId w:val="1"/>
        </w:numPr>
        <w:ind w:hanging="360" w:start="720"/>
        <w:jc w:val="both"/>
        <w:rPr>
          <w:rFonts w:ascii="Arial" w:hAnsi="Arial" w:eastAsia="Arial" w:cs="Arial"/>
          <w:sz w:val="22"/>
          <w:szCs w:val="22"/>
        </w:rPr>
      </w:pPr>
      <w:r>
        <w:rPr>
          <w:sz w:val="22"/>
          <w:szCs w:val="22"/>
        </w:rPr>
        <w:t>la rémunération, le temps de travail et le partage de la valeur ajoutée ;</w:t>
      </w:r>
    </w:p>
    <w:p>
      <w:pPr>
        <w:pStyle w:val="normal1"/>
        <w:numPr>
          <w:ilvl w:val="0"/>
          <w:numId w:val="1"/>
        </w:numPr>
        <w:ind w:hanging="360" w:start="720"/>
        <w:jc w:val="both"/>
        <w:rPr>
          <w:rFonts w:ascii="Arial" w:hAnsi="Arial" w:eastAsia="Arial" w:cs="Arial"/>
          <w:sz w:val="22"/>
          <w:szCs w:val="22"/>
        </w:rPr>
      </w:pPr>
      <w:r>
        <w:rPr>
          <w:sz w:val="22"/>
          <w:szCs w:val="22"/>
        </w:rPr>
        <w:t>l'égalité professionnelle entre les femmes et les hommes et la qualité de vie au  travail;</w:t>
      </w:r>
    </w:p>
    <w:p>
      <w:pPr>
        <w:pStyle w:val="normal1"/>
        <w:numPr>
          <w:ilvl w:val="0"/>
          <w:numId w:val="1"/>
        </w:numPr>
        <w:ind w:hanging="360" w:start="720"/>
        <w:jc w:val="both"/>
        <w:rPr>
          <w:rFonts w:ascii="Arial" w:hAnsi="Arial" w:eastAsia="Arial" w:cs="Arial"/>
          <w:sz w:val="22"/>
          <w:szCs w:val="22"/>
        </w:rPr>
      </w:pPr>
      <w:r>
        <w:rPr>
          <w:sz w:val="22"/>
          <w:szCs w:val="22"/>
        </w:rPr>
        <w:t>la gestion des emplois et des parcours professionnels.</w:t>
      </w:r>
    </w:p>
    <w:p>
      <w:pPr>
        <w:pStyle w:val="normal1"/>
        <w:jc w:val="both"/>
        <w:rPr>
          <w:sz w:val="22"/>
          <w:szCs w:val="22"/>
        </w:rPr>
      </w:pPr>
      <w:r>
        <w:rPr>
          <w:sz w:val="22"/>
          <w:szCs w:val="22"/>
        </w:rPr>
        <w:t xml:space="preserve">  </w:t>
      </w:r>
    </w:p>
    <w:p>
      <w:pPr>
        <w:pStyle w:val="normal1"/>
        <w:jc w:val="both"/>
        <w:rPr>
          <w:sz w:val="22"/>
          <w:szCs w:val="22"/>
        </w:rPr>
      </w:pPr>
      <w:r>
        <w:rPr>
          <w:sz w:val="22"/>
          <w:szCs w:val="22"/>
        </w:rPr>
        <w:t>La dernière réunion de négociation, le 6 mars 2026, a finalisé les différentes discussions qui ont porté sur les demandes de l’organisation syndicale et les propositions que la Direction a faites suite à ces demandes.</w:t>
      </w:r>
    </w:p>
    <w:p>
      <w:pPr>
        <w:pStyle w:val="normal1"/>
        <w:jc w:val="both"/>
        <w:rPr>
          <w:sz w:val="22"/>
          <w:szCs w:val="22"/>
        </w:rPr>
      </w:pPr>
      <w:r>
        <w:rPr>
          <w:sz w:val="22"/>
          <w:szCs w:val="22"/>
        </w:rPr>
      </w:r>
    </w:p>
    <w:p>
      <w:pPr>
        <w:pStyle w:val="normal1"/>
        <w:jc w:val="both"/>
        <w:rPr>
          <w:u w:val="single"/>
        </w:rPr>
      </w:pPr>
      <w:r>
        <w:rPr>
          <w:sz w:val="22"/>
          <w:szCs w:val="22"/>
        </w:rPr>
        <w:t xml:space="preserve">Les parties signataires s’accordent sur les articles suivants : </w:t>
      </w:r>
    </w:p>
    <w:p>
      <w:pPr>
        <w:pStyle w:val="normal1"/>
        <w:keepNext w:val="false"/>
        <w:keepLines w:val="false"/>
        <w:pageBreakBefore w:val="false"/>
        <w:widowControl/>
        <w:pBdr/>
        <w:shd w:val="clear" w:fill="auto"/>
        <w:spacing w:lineRule="auto" w:line="240" w:before="0" w:after="0"/>
        <w:ind w:hanging="0" w:start="0" w:end="0"/>
        <w:jc w:val="start"/>
        <w:rPr>
          <w:sz w:val="18"/>
          <w:szCs w:val="18"/>
        </w:rPr>
      </w:pPr>
      <w:r>
        <w:rPr>
          <w:sz w:val="18"/>
          <w:szCs w:val="18"/>
        </w:rPr>
      </w:r>
    </w:p>
    <w:p>
      <w:pPr>
        <w:pStyle w:val="normal1"/>
        <w:jc w:val="both"/>
        <w:rPr>
          <w:b/>
          <w:bCs/>
          <w:color w:val="0000FF"/>
          <w:sz w:val="22"/>
          <w:szCs w:val="22"/>
          <w:u w:val="single"/>
        </w:rPr>
      </w:pPr>
      <w:r>
        <w:rPr>
          <w:b/>
          <w:bCs/>
          <w:color w:val="0000FF"/>
          <w:sz w:val="22"/>
          <w:szCs w:val="22"/>
          <w:u w:val="single"/>
        </w:rPr>
      </w:r>
    </w:p>
    <w:p>
      <w:pPr>
        <w:pStyle w:val="normal1"/>
        <w:jc w:val="both"/>
        <w:rPr>
          <w:b/>
          <w:bCs/>
          <w:color w:val="0000FF"/>
          <w:sz w:val="22"/>
          <w:szCs w:val="22"/>
          <w:u w:val="single"/>
        </w:rPr>
      </w:pPr>
      <w:r>
        <w:rPr>
          <w:b/>
          <w:bCs/>
          <w:color w:val="0000FF"/>
          <w:sz w:val="22"/>
          <w:szCs w:val="22"/>
          <w:u w:val="single"/>
        </w:rPr>
      </w:r>
    </w:p>
    <w:p>
      <w:pPr>
        <w:pStyle w:val="normal1"/>
        <w:jc w:val="both"/>
        <w:rPr>
          <w:b/>
          <w:bCs/>
          <w:color w:val="0000FF"/>
          <w:sz w:val="22"/>
          <w:szCs w:val="22"/>
          <w:u w:val="single"/>
        </w:rPr>
      </w:pPr>
      <w:r>
        <w:rPr>
          <w:b/>
          <w:bCs/>
          <w:color w:val="0000FF"/>
          <w:sz w:val="22"/>
          <w:szCs w:val="22"/>
          <w:u w:val="single"/>
        </w:rPr>
        <w:t>Temps de travail, rémunération, répartition de la valeur ajoutée</w:t>
      </w:r>
    </w:p>
    <w:p>
      <w:pPr>
        <w:pStyle w:val="normal1"/>
        <w:jc w:val="both"/>
        <w:rPr>
          <w:u w:val="single"/>
        </w:rPr>
      </w:pPr>
      <w:r>
        <w:rPr>
          <w:u w:val="single"/>
        </w:rPr>
      </w:r>
    </w:p>
    <w:p>
      <w:pPr>
        <w:pStyle w:val="normal1"/>
        <w:jc w:val="both"/>
        <w:rPr>
          <w:sz w:val="22"/>
          <w:szCs w:val="22"/>
          <w:u w:val="single"/>
        </w:rPr>
      </w:pPr>
      <w:r>
        <w:rPr>
          <w:b/>
          <w:bCs/>
          <w:sz w:val="22"/>
          <w:szCs w:val="22"/>
          <w:u w:val="single"/>
        </w:rPr>
        <w:t>Article 1 – Rémunération</w:t>
      </w:r>
    </w:p>
    <w:p>
      <w:pPr>
        <w:pStyle w:val="normal1"/>
        <w:jc w:val="both"/>
        <w:rPr>
          <w:sz w:val="22"/>
          <w:szCs w:val="22"/>
        </w:rPr>
      </w:pPr>
      <w:r>
        <w:rPr>
          <w:sz w:val="22"/>
          <w:szCs w:val="22"/>
        </w:rPr>
      </w:r>
    </w:p>
    <w:p>
      <w:pPr>
        <w:pStyle w:val="normal1"/>
        <w:jc w:val="both"/>
        <w:rPr>
          <w:sz w:val="22"/>
          <w:szCs w:val="22"/>
        </w:rPr>
      </w:pPr>
      <w:r>
        <w:rPr>
          <w:sz w:val="22"/>
          <w:szCs w:val="22"/>
        </w:rPr>
        <w:t xml:space="preserve">Pour l’ensemble du personnel non-cadre, non forfaitisé, il est décidé d’augmenter la valeur du point entreprise NETRA de 1,23% soit de passer la valeur du point à 19.03 € à effet du 01/01/2026. </w:t>
      </w:r>
    </w:p>
    <w:p>
      <w:pPr>
        <w:pStyle w:val="normal1"/>
        <w:jc w:val="both"/>
        <w:rPr>
          <w:sz w:val="22"/>
          <w:szCs w:val="22"/>
        </w:rPr>
      </w:pPr>
      <w:r>
        <w:rPr>
          <w:sz w:val="22"/>
          <w:szCs w:val="22"/>
        </w:rPr>
      </w:r>
    </w:p>
    <w:p>
      <w:pPr>
        <w:pStyle w:val="normal1"/>
        <w:jc w:val="both"/>
        <w:rPr>
          <w:sz w:val="22"/>
          <w:szCs w:val="22"/>
        </w:rPr>
      </w:pPr>
      <w:r>
        <w:rPr>
          <w:sz w:val="22"/>
          <w:szCs w:val="22"/>
        </w:rPr>
        <w:t>Les primes attachées aux variations des augmentations générales définies par l’entreprise suivront cette évolution.</w:t>
      </w:r>
    </w:p>
    <w:p>
      <w:pPr>
        <w:pStyle w:val="normal1"/>
        <w:jc w:val="both"/>
        <w:rPr>
          <w:sz w:val="22"/>
          <w:szCs w:val="22"/>
        </w:rPr>
      </w:pPr>
      <w:r>
        <w:rPr>
          <w:sz w:val="22"/>
          <w:szCs w:val="22"/>
        </w:rPr>
      </w:r>
    </w:p>
    <w:p>
      <w:pPr>
        <w:pStyle w:val="normal1"/>
        <w:jc w:val="both"/>
        <w:rPr>
          <w:sz w:val="22"/>
          <w:szCs w:val="22"/>
        </w:rPr>
      </w:pPr>
      <w:r>
        <w:rPr>
          <w:sz w:val="22"/>
          <w:szCs w:val="22"/>
        </w:rPr>
        <w:t>Une analyse des tableaux de bord concernant les hommes et les femmes sur des fonctions similaires a été réalisée par catégorie socioprofessionnelle. Il apparaît qu’il n’existe pas de discrimination notamment en matière de rémunération, que les hommes et les femmes bénéficient des mêmes coefficients sur les mêmes fonctions et ont donc le même salaire en rapport.</w:t>
      </w:r>
    </w:p>
    <w:p>
      <w:pPr>
        <w:pStyle w:val="normal1"/>
        <w:jc w:val="both"/>
        <w:rPr>
          <w:sz w:val="22"/>
          <w:szCs w:val="22"/>
        </w:rPr>
      </w:pPr>
      <w:r>
        <w:rPr>
          <w:sz w:val="22"/>
          <w:szCs w:val="22"/>
        </w:rPr>
      </w:r>
    </w:p>
    <w:p>
      <w:pPr>
        <w:pStyle w:val="normal1"/>
        <w:jc w:val="both"/>
        <w:rPr>
          <w:sz w:val="22"/>
          <w:szCs w:val="22"/>
        </w:rPr>
      </w:pPr>
      <w:r>
        <w:rPr>
          <w:sz w:val="22"/>
          <w:szCs w:val="22"/>
        </w:rPr>
        <w:t>Les partenaires s’accordent pour reconnaître que cette augmentation générale de la valeur du point entreprise NETRA de  18,80 € à 19.03 € complétée des revalorisations précisées ci après, répond au double enjeu de ces NAO 2026 : soutenir le pouvoir d’achat des salariés dans un contexte inflationniste, et maîtriser les coûts salariaux pour ne pas mettre en risque la compétitivité de l'entreprise, dans un contexte de forte concurrence.</w:t>
      </w:r>
    </w:p>
    <w:p>
      <w:pPr>
        <w:pStyle w:val="normal1"/>
        <w:jc w:val="both"/>
        <w:rPr>
          <w:sz w:val="22"/>
          <w:szCs w:val="22"/>
        </w:rPr>
      </w:pPr>
      <w:r>
        <w:rPr>
          <w:sz w:val="22"/>
          <w:szCs w:val="22"/>
        </w:rPr>
      </w:r>
    </w:p>
    <w:p>
      <w:pPr>
        <w:pStyle w:val="normal1"/>
        <w:jc w:val="both"/>
        <w:rPr>
          <w:sz w:val="22"/>
          <w:szCs w:val="22"/>
          <w:u w:val="single"/>
        </w:rPr>
      </w:pPr>
      <w:r>
        <w:rPr>
          <w:sz w:val="22"/>
          <w:szCs w:val="22"/>
          <w:u w:val="single"/>
        </w:rPr>
      </w:r>
    </w:p>
    <w:p>
      <w:pPr>
        <w:pStyle w:val="normal1"/>
        <w:rPr>
          <w:color w:val="222222"/>
          <w:sz w:val="22"/>
          <w:szCs w:val="22"/>
          <w:u w:val="single"/>
        </w:rPr>
      </w:pPr>
      <w:r>
        <w:rPr>
          <w:b/>
          <w:bCs/>
          <w:color w:val="222222"/>
          <w:sz w:val="22"/>
          <w:szCs w:val="22"/>
          <w:u w:val="single"/>
        </w:rPr>
        <w:t xml:space="preserve">Article 2 – Revalorisation de la valeur du Ticket Restaurant </w:t>
      </w:r>
    </w:p>
    <w:p>
      <w:pPr>
        <w:pStyle w:val="normal1"/>
        <w:jc w:val="both"/>
        <w:rPr>
          <w:color w:val="222222"/>
          <w:sz w:val="22"/>
          <w:szCs w:val="22"/>
        </w:rPr>
      </w:pPr>
      <w:r>
        <w:rPr>
          <w:color w:val="222222"/>
          <w:sz w:val="22"/>
          <w:szCs w:val="22"/>
        </w:rPr>
      </w:r>
    </w:p>
    <w:p>
      <w:pPr>
        <w:pStyle w:val="normal1"/>
        <w:jc w:val="both"/>
        <w:rPr>
          <w:color w:val="222222"/>
          <w:sz w:val="22"/>
          <w:szCs w:val="22"/>
        </w:rPr>
      </w:pPr>
      <w:r>
        <w:rPr>
          <w:color w:val="222222"/>
          <w:sz w:val="22"/>
          <w:szCs w:val="22"/>
        </w:rPr>
        <w:t>La Direction propose de faire évoluer les montants de la façon suivante :</w:t>
      </w:r>
    </w:p>
    <w:p>
      <w:pPr>
        <w:pStyle w:val="normal1"/>
        <w:jc w:val="both"/>
        <w:rPr>
          <w:color w:val="222222"/>
          <w:sz w:val="22"/>
          <w:szCs w:val="22"/>
        </w:rPr>
      </w:pPr>
      <w:r>
        <w:rPr>
          <w:color w:val="222222"/>
          <w:sz w:val="22"/>
          <w:szCs w:val="22"/>
        </w:rPr>
      </w:r>
    </w:p>
    <w:p>
      <w:pPr>
        <w:pStyle w:val="normal1"/>
        <w:numPr>
          <w:ilvl w:val="0"/>
          <w:numId w:val="2"/>
        </w:numPr>
        <w:ind w:hanging="360" w:start="720"/>
        <w:jc w:val="both"/>
        <w:rPr>
          <w:color w:val="222222"/>
          <w:sz w:val="22"/>
          <w:szCs w:val="22"/>
        </w:rPr>
      </w:pPr>
      <w:r>
        <w:rPr>
          <w:color w:val="222222"/>
          <w:sz w:val="22"/>
          <w:szCs w:val="22"/>
        </w:rPr>
        <w:t xml:space="preserve">la valeur du ticket restaurant passera de 8€ à 8,50€ à compter du </w:t>
      </w:r>
      <w:r>
        <w:rPr>
          <w:color w:val="222222"/>
          <w:sz w:val="22"/>
          <w:szCs w:val="22"/>
          <w:highlight w:val="white"/>
        </w:rPr>
        <w:t>01/04/2026</w:t>
      </w:r>
      <w:r>
        <w:rPr>
          <w:color w:val="222222"/>
          <w:sz w:val="22"/>
          <w:szCs w:val="22"/>
        </w:rPr>
        <w:t xml:space="preserve"> (EVP d’avril, paie de mai), la part patronale passe donc à 5,10€.</w:t>
      </w:r>
    </w:p>
    <w:p>
      <w:pPr>
        <w:pStyle w:val="normal1"/>
        <w:ind w:hanging="0" w:start="720"/>
        <w:jc w:val="both"/>
        <w:rPr>
          <w:color w:val="222222"/>
          <w:sz w:val="22"/>
          <w:szCs w:val="22"/>
        </w:rPr>
      </w:pPr>
      <w:r>
        <w:rPr>
          <w:color w:val="222222"/>
          <w:sz w:val="22"/>
          <w:szCs w:val="22"/>
        </w:rPr>
      </w:r>
    </w:p>
    <w:p>
      <w:pPr>
        <w:pStyle w:val="normal1"/>
        <w:rPr>
          <w:b/>
          <w:bCs/>
          <w:color w:val="222222"/>
          <w:sz w:val="22"/>
          <w:szCs w:val="22"/>
          <w:u w:val="single"/>
        </w:rPr>
      </w:pPr>
      <w:r>
        <w:rPr>
          <w:b/>
          <w:bCs/>
          <w:color w:val="222222"/>
          <w:sz w:val="22"/>
          <w:szCs w:val="22"/>
          <w:u w:val="single"/>
        </w:rPr>
      </w:r>
    </w:p>
    <w:p>
      <w:pPr>
        <w:pStyle w:val="normal1"/>
        <w:rPr>
          <w:sz w:val="22"/>
          <w:szCs w:val="22"/>
          <w:u w:val="single"/>
        </w:rPr>
      </w:pPr>
      <w:r>
        <w:rPr>
          <w:b/>
          <w:bCs/>
          <w:sz w:val="22"/>
          <w:szCs w:val="22"/>
          <w:u w:val="single"/>
        </w:rPr>
        <w:t>Article 3  – Régime de prévoyance et de garantie des frais de santé</w:t>
      </w:r>
    </w:p>
    <w:p>
      <w:pPr>
        <w:pStyle w:val="normal1"/>
        <w:jc w:val="both"/>
        <w:rPr>
          <w:color w:val="222222"/>
          <w:sz w:val="22"/>
          <w:szCs w:val="22"/>
        </w:rPr>
      </w:pPr>
      <w:r>
        <w:rPr>
          <w:color w:val="222222"/>
          <w:sz w:val="22"/>
          <w:szCs w:val="22"/>
        </w:rPr>
      </w:r>
    </w:p>
    <w:p>
      <w:pPr>
        <w:pStyle w:val="normal1"/>
        <w:widowControl w:val="false"/>
        <w:spacing w:lineRule="auto" w:line="209" w:before="256" w:after="0"/>
        <w:ind w:hanging="0" w:start="0" w:end="238"/>
        <w:jc w:val="both"/>
        <w:rPr>
          <w:sz w:val="24"/>
          <w:szCs w:val="24"/>
        </w:rPr>
      </w:pPr>
      <w:r>
        <w:rPr>
          <w:sz w:val="21"/>
          <w:szCs w:val="21"/>
        </w:rPr>
        <w:t xml:space="preserve">Il </w:t>
      </w:r>
      <w:r>
        <w:rPr>
          <w:sz w:val="19"/>
          <w:szCs w:val="19"/>
        </w:rPr>
        <w:t xml:space="preserve">est </w:t>
      </w:r>
      <w:r>
        <w:rPr>
          <w:sz w:val="22"/>
          <w:szCs w:val="22"/>
        </w:rPr>
        <w:t xml:space="preserve">rappelé que les </w:t>
      </w:r>
      <w:r>
        <w:rPr>
          <w:sz w:val="23"/>
          <w:szCs w:val="23"/>
        </w:rPr>
        <w:t xml:space="preserve">régimes </w:t>
      </w:r>
      <w:r>
        <w:rPr>
          <w:sz w:val="22"/>
          <w:szCs w:val="22"/>
        </w:rPr>
        <w:t xml:space="preserve">de </w:t>
      </w:r>
      <w:r>
        <w:rPr>
          <w:sz w:val="23"/>
          <w:szCs w:val="23"/>
        </w:rPr>
        <w:t xml:space="preserve">prévoyance </w:t>
      </w:r>
      <w:r>
        <w:rPr>
          <w:sz w:val="20"/>
          <w:szCs w:val="20"/>
        </w:rPr>
        <w:t xml:space="preserve">et </w:t>
      </w:r>
      <w:r>
        <w:rPr>
          <w:sz w:val="22"/>
          <w:szCs w:val="22"/>
        </w:rPr>
        <w:t xml:space="preserve">de garantie des </w:t>
      </w:r>
      <w:r>
        <w:rPr>
          <w:sz w:val="23"/>
          <w:szCs w:val="23"/>
        </w:rPr>
        <w:t xml:space="preserve">frais </w:t>
      </w:r>
      <w:r>
        <w:rPr>
          <w:sz w:val="22"/>
          <w:szCs w:val="22"/>
        </w:rPr>
        <w:t xml:space="preserve">de santé, mis en place dans </w:t>
      </w:r>
      <w:r>
        <w:rPr>
          <w:sz w:val="23"/>
          <w:szCs w:val="23"/>
        </w:rPr>
        <w:t xml:space="preserve">l'entreprise </w:t>
      </w:r>
      <w:r>
        <w:rPr>
          <w:sz w:val="20"/>
          <w:szCs w:val="20"/>
        </w:rPr>
        <w:t xml:space="preserve">sont </w:t>
      </w:r>
      <w:r>
        <w:rPr>
          <w:sz w:val="23"/>
          <w:szCs w:val="23"/>
        </w:rPr>
        <w:t xml:space="preserve">communs </w:t>
      </w:r>
      <w:r>
        <w:rPr>
          <w:sz w:val="21"/>
          <w:szCs w:val="21"/>
        </w:rPr>
        <w:t xml:space="preserve">à </w:t>
      </w:r>
      <w:r>
        <w:rPr>
          <w:sz w:val="23"/>
          <w:szCs w:val="23"/>
        </w:rPr>
        <w:t xml:space="preserve">l'ensemble </w:t>
      </w:r>
      <w:r>
        <w:rPr>
          <w:sz w:val="22"/>
          <w:szCs w:val="22"/>
        </w:rPr>
        <w:t xml:space="preserve">des </w:t>
      </w:r>
      <w:r>
        <w:rPr>
          <w:sz w:val="23"/>
          <w:szCs w:val="23"/>
        </w:rPr>
        <w:t xml:space="preserve">salariés </w:t>
      </w:r>
      <w:r>
        <w:rPr>
          <w:sz w:val="22"/>
          <w:szCs w:val="22"/>
        </w:rPr>
        <w:t xml:space="preserve">du </w:t>
      </w:r>
      <w:r>
        <w:rPr>
          <w:sz w:val="23"/>
          <w:szCs w:val="23"/>
        </w:rPr>
        <w:t xml:space="preserve">groupe. </w:t>
      </w:r>
      <w:r>
        <w:rPr>
          <w:sz w:val="22"/>
          <w:szCs w:val="22"/>
        </w:rPr>
        <w:t xml:space="preserve">Une commission </w:t>
      </w:r>
      <w:r>
        <w:rPr>
          <w:sz w:val="23"/>
          <w:szCs w:val="23"/>
        </w:rPr>
        <w:t xml:space="preserve">mutuelle </w:t>
      </w:r>
      <w:r>
        <w:rPr>
          <w:sz w:val="22"/>
          <w:szCs w:val="22"/>
        </w:rPr>
        <w:t>Non</w:t>
      </w:r>
      <w:r>
        <w:rPr>
          <w:sz w:val="23"/>
          <w:szCs w:val="23"/>
        </w:rPr>
        <w:t xml:space="preserve">-cadre </w:t>
      </w:r>
      <w:r>
        <w:rPr>
          <w:sz w:val="22"/>
          <w:szCs w:val="22"/>
        </w:rPr>
        <w:t xml:space="preserve">existe </w:t>
      </w:r>
      <w:r>
        <w:rPr>
          <w:sz w:val="20"/>
          <w:szCs w:val="20"/>
        </w:rPr>
        <w:t xml:space="preserve">et </w:t>
      </w:r>
      <w:r>
        <w:rPr>
          <w:sz w:val="22"/>
          <w:szCs w:val="22"/>
        </w:rPr>
        <w:t xml:space="preserve">des </w:t>
      </w:r>
      <w:r>
        <w:rPr>
          <w:sz w:val="23"/>
          <w:szCs w:val="23"/>
        </w:rPr>
        <w:t>réunions sont</w:t>
      </w:r>
      <w:r>
        <w:rPr>
          <w:sz w:val="20"/>
          <w:szCs w:val="20"/>
        </w:rPr>
        <w:t xml:space="preserve"> </w:t>
      </w:r>
      <w:r>
        <w:rPr>
          <w:sz w:val="23"/>
          <w:szCs w:val="23"/>
        </w:rPr>
        <w:t xml:space="preserve">d'ailleurs </w:t>
      </w:r>
      <w:r>
        <w:rPr>
          <w:sz w:val="20"/>
          <w:szCs w:val="20"/>
        </w:rPr>
        <w:t xml:space="preserve">tenues </w:t>
      </w:r>
      <w:r>
        <w:rPr>
          <w:sz w:val="22"/>
          <w:szCs w:val="22"/>
        </w:rPr>
        <w:t xml:space="preserve">régulièrement, au niveau de </w:t>
      </w:r>
      <w:r>
        <w:rPr>
          <w:sz w:val="24"/>
          <w:szCs w:val="24"/>
        </w:rPr>
        <w:t xml:space="preserve">l'instance </w:t>
      </w:r>
      <w:r>
        <w:rPr>
          <w:sz w:val="22"/>
          <w:szCs w:val="22"/>
        </w:rPr>
        <w:t xml:space="preserve">de dialogue social du </w:t>
      </w:r>
      <w:r>
        <w:rPr>
          <w:sz w:val="24"/>
          <w:szCs w:val="24"/>
        </w:rPr>
        <w:t xml:space="preserve">groupe. </w:t>
      </w:r>
    </w:p>
    <w:p>
      <w:pPr>
        <w:pStyle w:val="normal1"/>
        <w:jc w:val="both"/>
        <w:rPr>
          <w:sz w:val="20"/>
          <w:szCs w:val="20"/>
        </w:rPr>
      </w:pPr>
      <w:r>
        <w:rPr>
          <w:sz w:val="20"/>
          <w:szCs w:val="20"/>
        </w:rPr>
      </w:r>
    </w:p>
    <w:p>
      <w:pPr>
        <w:pStyle w:val="normal1"/>
        <w:jc w:val="both"/>
        <w:rPr>
          <w:sz w:val="20"/>
          <w:szCs w:val="20"/>
        </w:rPr>
      </w:pPr>
      <w:r>
        <w:rPr>
          <w:sz w:val="20"/>
          <w:szCs w:val="20"/>
        </w:rPr>
      </w:r>
    </w:p>
    <w:p>
      <w:pPr>
        <w:pStyle w:val="normal1"/>
        <w:jc w:val="both"/>
        <w:rPr>
          <w:b/>
          <w:bCs/>
          <w:sz w:val="22"/>
          <w:szCs w:val="22"/>
          <w:u w:val="single"/>
        </w:rPr>
      </w:pPr>
      <w:r>
        <w:rPr>
          <w:b/>
          <w:bCs/>
          <w:sz w:val="22"/>
          <w:szCs w:val="22"/>
          <w:u w:val="single"/>
        </w:rPr>
        <w:t>Article 4  – Epargne salariale</w:t>
      </w:r>
    </w:p>
    <w:p>
      <w:pPr>
        <w:pStyle w:val="normal1"/>
        <w:jc w:val="both"/>
        <w:rPr>
          <w:b/>
          <w:bCs/>
          <w:sz w:val="22"/>
          <w:szCs w:val="22"/>
        </w:rPr>
      </w:pPr>
      <w:r>
        <w:rPr>
          <w:b/>
          <w:bCs/>
          <w:sz w:val="22"/>
          <w:szCs w:val="22"/>
        </w:rPr>
      </w:r>
    </w:p>
    <w:p>
      <w:pPr>
        <w:pStyle w:val="normal1"/>
        <w:jc w:val="both"/>
        <w:rPr>
          <w:sz w:val="22"/>
          <w:szCs w:val="22"/>
          <w:highlight w:val="white"/>
        </w:rPr>
      </w:pPr>
      <w:r>
        <w:rPr>
          <w:b/>
          <w:bCs/>
          <w:sz w:val="22"/>
          <w:szCs w:val="22"/>
          <w:highlight w:val="white"/>
        </w:rPr>
        <w:t>Intéressement :</w:t>
      </w:r>
    </w:p>
    <w:p>
      <w:pPr>
        <w:pStyle w:val="normal1"/>
        <w:keepNext w:val="false"/>
        <w:keepLines w:val="false"/>
        <w:pageBreakBefore w:val="false"/>
        <w:widowControl w:val="false"/>
        <w:pBdr/>
        <w:shd w:val="clear" w:fill="auto"/>
        <w:spacing w:lineRule="auto" w:line="209" w:before="256" w:after="0"/>
        <w:ind w:hanging="0" w:start="0" w:end="238"/>
        <w:jc w:val="both"/>
        <w:rPr>
          <w:sz w:val="23"/>
          <w:szCs w:val="23"/>
        </w:rPr>
      </w:pPr>
      <w:r>
        <w:rPr>
          <w:sz w:val="23"/>
          <w:szCs w:val="23"/>
        </w:rPr>
        <w:t>La Direction propose, ce qu’acceptent les représentants du personnel, d'effectuer un versement complémentaire exceptionnel ("supplément d'intéressement") de 85 euros bruts par collaborateur (pour une présence à 100 % sur l'année 2025) dans les mêmes conditions définies dans l'accord d'intéressement de la société NETRA.</w:t>
      </w:r>
    </w:p>
    <w:p>
      <w:pPr>
        <w:pStyle w:val="normal1"/>
        <w:jc w:val="both"/>
        <w:rPr>
          <w:sz w:val="22"/>
          <w:szCs w:val="22"/>
          <w:highlight w:val="white"/>
        </w:rPr>
      </w:pPr>
      <w:r>
        <w:rPr>
          <w:sz w:val="22"/>
          <w:szCs w:val="22"/>
          <w:highlight w:val="white"/>
        </w:rPr>
      </w:r>
    </w:p>
    <w:p>
      <w:pPr>
        <w:pStyle w:val="normal1"/>
        <w:jc w:val="both"/>
        <w:rPr>
          <w:sz w:val="22"/>
          <w:szCs w:val="22"/>
          <w:highlight w:val="white"/>
        </w:rPr>
      </w:pPr>
      <w:r>
        <w:rPr>
          <w:sz w:val="22"/>
          <w:szCs w:val="22"/>
          <w:highlight w:val="white"/>
        </w:rPr>
        <w:t xml:space="preserve">L’accord d’intéressement de la société NETRA est à renouveler pour les années 2026, 2027 et 2028, il est d‘ores et déjà décidé de revaloriser l’enveloppe globale de 200€. En contrepartie, il est décidé de négocier des critères de productivité permettant d’améliorer la performance opérationnelle de la société NETRA (“gagnant - gagnant”). </w:t>
      </w:r>
    </w:p>
    <w:p>
      <w:pPr>
        <w:pStyle w:val="normal1"/>
        <w:jc w:val="both"/>
        <w:rPr>
          <w:sz w:val="22"/>
          <w:szCs w:val="22"/>
          <w:highlight w:val="white"/>
        </w:rPr>
      </w:pPr>
      <w:r>
        <w:rPr>
          <w:sz w:val="22"/>
          <w:szCs w:val="22"/>
          <w:highlight w:val="white"/>
        </w:rPr>
      </w:r>
    </w:p>
    <w:p>
      <w:pPr>
        <w:pStyle w:val="normal1"/>
        <w:jc w:val="both"/>
        <w:rPr>
          <w:sz w:val="22"/>
          <w:szCs w:val="22"/>
          <w:highlight w:val="white"/>
        </w:rPr>
      </w:pPr>
      <w:r>
        <w:rPr>
          <w:sz w:val="22"/>
          <w:szCs w:val="22"/>
          <w:highlight w:val="white"/>
        </w:rPr>
        <w:t xml:space="preserve">L’accord précédent prévoyait une enveloppe globale maximale de 1100€, répartie en 3 enveloppes : une enveloppe économique (pour 200€), une sécurité (pour 600€) et une enveloppe liée à un critère de performance opérationnelle et environnementale (de 300€) . </w:t>
      </w:r>
    </w:p>
    <w:p>
      <w:pPr>
        <w:pStyle w:val="normal1"/>
        <w:jc w:val="both"/>
        <w:rPr>
          <w:sz w:val="22"/>
          <w:szCs w:val="22"/>
          <w:highlight w:val="white"/>
        </w:rPr>
      </w:pPr>
      <w:r>
        <w:rPr>
          <w:sz w:val="22"/>
          <w:szCs w:val="22"/>
          <w:highlight w:val="white"/>
        </w:rPr>
      </w:r>
    </w:p>
    <w:p>
      <w:pPr>
        <w:pStyle w:val="normal1"/>
        <w:jc w:val="both"/>
        <w:rPr>
          <w:sz w:val="22"/>
          <w:szCs w:val="22"/>
          <w:highlight w:val="white"/>
        </w:rPr>
      </w:pPr>
      <w:r>
        <w:rPr>
          <w:sz w:val="22"/>
          <w:szCs w:val="22"/>
          <w:highlight w:val="white"/>
        </w:rPr>
      </w:r>
    </w:p>
    <w:p>
      <w:pPr>
        <w:pStyle w:val="normal1"/>
        <w:jc w:val="both"/>
        <w:rPr>
          <w:sz w:val="22"/>
          <w:szCs w:val="22"/>
          <w:highlight w:val="white"/>
        </w:rPr>
      </w:pPr>
      <w:r>
        <w:rPr>
          <w:sz w:val="22"/>
          <w:szCs w:val="22"/>
          <w:highlight w:val="white"/>
        </w:rPr>
      </w:r>
    </w:p>
    <w:p>
      <w:pPr>
        <w:pStyle w:val="normal1"/>
        <w:jc w:val="both"/>
        <w:rPr>
          <w:sz w:val="22"/>
          <w:szCs w:val="22"/>
          <w:highlight w:val="white"/>
        </w:rPr>
      </w:pPr>
      <w:r>
        <w:rPr>
          <w:sz w:val="22"/>
          <w:szCs w:val="22"/>
          <w:highlight w:val="white"/>
        </w:rPr>
      </w:r>
    </w:p>
    <w:p>
      <w:pPr>
        <w:pStyle w:val="normal1"/>
        <w:jc w:val="both"/>
        <w:rPr>
          <w:sz w:val="22"/>
          <w:szCs w:val="22"/>
          <w:highlight w:val="white"/>
        </w:rPr>
      </w:pPr>
      <w:r>
        <w:rPr>
          <w:sz w:val="22"/>
          <w:szCs w:val="22"/>
          <w:highlight w:val="white"/>
        </w:rPr>
      </w:r>
    </w:p>
    <w:p>
      <w:pPr>
        <w:pStyle w:val="normal1"/>
        <w:jc w:val="both"/>
        <w:rPr>
          <w:sz w:val="22"/>
          <w:szCs w:val="22"/>
          <w:highlight w:val="white"/>
        </w:rPr>
      </w:pPr>
      <w:r>
        <w:rPr>
          <w:sz w:val="22"/>
          <w:szCs w:val="22"/>
          <w:highlight w:val="white"/>
        </w:rPr>
      </w:r>
    </w:p>
    <w:p>
      <w:pPr>
        <w:pStyle w:val="normal1"/>
        <w:jc w:val="both"/>
        <w:rPr>
          <w:sz w:val="22"/>
          <w:szCs w:val="22"/>
          <w:highlight w:val="white"/>
        </w:rPr>
      </w:pPr>
      <w:r>
        <w:rPr>
          <w:sz w:val="22"/>
          <w:szCs w:val="22"/>
          <w:highlight w:val="white"/>
        </w:rPr>
      </w:r>
    </w:p>
    <w:p>
      <w:pPr>
        <w:pStyle w:val="normal1"/>
        <w:jc w:val="both"/>
        <w:rPr>
          <w:sz w:val="22"/>
          <w:szCs w:val="22"/>
          <w:highlight w:val="white"/>
        </w:rPr>
      </w:pPr>
      <w:r>
        <w:rPr>
          <w:sz w:val="22"/>
          <w:szCs w:val="22"/>
          <w:highlight w:val="white"/>
        </w:rPr>
        <w:t xml:space="preserve">Au titre de l’année 2025, le montant de l’intéressement à verser est de :  </w:t>
      </w:r>
    </w:p>
    <w:p>
      <w:pPr>
        <w:pStyle w:val="normal1"/>
        <w:numPr>
          <w:ilvl w:val="0"/>
          <w:numId w:val="3"/>
        </w:numPr>
        <w:ind w:hanging="360" w:start="720"/>
        <w:jc w:val="both"/>
        <w:rPr>
          <w:sz w:val="22"/>
          <w:szCs w:val="22"/>
          <w:highlight w:val="white"/>
        </w:rPr>
      </w:pPr>
      <w:r>
        <w:rPr>
          <w:sz w:val="22"/>
          <w:szCs w:val="22"/>
          <w:highlight w:val="white"/>
        </w:rPr>
        <w:t>200€ pour le critère financier</w:t>
      </w:r>
    </w:p>
    <w:p>
      <w:pPr>
        <w:pStyle w:val="normal1"/>
        <w:numPr>
          <w:ilvl w:val="0"/>
          <w:numId w:val="3"/>
        </w:numPr>
        <w:ind w:hanging="360" w:start="720"/>
        <w:jc w:val="both"/>
        <w:rPr>
          <w:sz w:val="22"/>
          <w:szCs w:val="22"/>
          <w:highlight w:val="white"/>
        </w:rPr>
      </w:pPr>
      <w:r>
        <w:rPr>
          <w:sz w:val="22"/>
          <w:szCs w:val="22"/>
          <w:highlight w:val="white"/>
        </w:rPr>
        <w:t xml:space="preserve">600€ pour le critère sécurité </w:t>
      </w:r>
    </w:p>
    <w:p>
      <w:pPr>
        <w:pStyle w:val="normal1"/>
        <w:numPr>
          <w:ilvl w:val="0"/>
          <w:numId w:val="3"/>
        </w:numPr>
        <w:ind w:hanging="360" w:start="720"/>
        <w:jc w:val="both"/>
        <w:rPr>
          <w:sz w:val="22"/>
          <w:szCs w:val="22"/>
          <w:highlight w:val="white"/>
        </w:rPr>
      </w:pPr>
      <w:r>
        <w:rPr>
          <w:sz w:val="22"/>
          <w:szCs w:val="22"/>
          <w:highlight w:val="white"/>
        </w:rPr>
        <w:t xml:space="preserve"> </w:t>
      </w:r>
      <w:r>
        <w:rPr>
          <w:sz w:val="22"/>
          <w:szCs w:val="22"/>
          <w:highlight w:val="white"/>
        </w:rPr>
        <w:t xml:space="preserve">Critère de performance opérationnelle et environnementale : </w:t>
      </w:r>
    </w:p>
    <w:p>
      <w:pPr>
        <w:pStyle w:val="normal1"/>
        <w:numPr>
          <w:ilvl w:val="1"/>
          <w:numId w:val="3"/>
        </w:numPr>
        <w:ind w:hanging="360" w:start="1440"/>
        <w:jc w:val="both"/>
        <w:rPr>
          <w:sz w:val="26"/>
          <w:szCs w:val="26"/>
          <w:highlight w:val="white"/>
        </w:rPr>
      </w:pPr>
      <w:r>
        <w:rPr>
          <w:color w:val="1F1F1F"/>
          <w:highlight w:val="white"/>
        </w:rPr>
        <w:t>DSE - Saint Grégoire et services supports : 300€</w:t>
      </w:r>
    </w:p>
    <w:p>
      <w:pPr>
        <w:pStyle w:val="normal1"/>
        <w:numPr>
          <w:ilvl w:val="1"/>
          <w:numId w:val="3"/>
        </w:numPr>
        <w:ind w:hanging="360" w:start="1440"/>
        <w:jc w:val="both"/>
        <w:rPr>
          <w:color w:val="1F1F1F"/>
          <w:highlight w:val="white"/>
        </w:rPr>
      </w:pPr>
      <w:r>
        <w:rPr>
          <w:color w:val="1F1F1F"/>
          <w:highlight w:val="white"/>
        </w:rPr>
        <w:t>DSE - Ploufragan - unité de travail Collecte et services supports : 228€</w:t>
      </w:r>
    </w:p>
    <w:p>
      <w:pPr>
        <w:pStyle w:val="normal1"/>
        <w:numPr>
          <w:ilvl w:val="1"/>
          <w:numId w:val="3"/>
        </w:numPr>
        <w:ind w:hanging="360" w:start="1440"/>
        <w:jc w:val="both"/>
        <w:rPr>
          <w:color w:val="1F1F1F"/>
          <w:highlight w:val="white"/>
        </w:rPr>
      </w:pPr>
      <w:r>
        <w:rPr>
          <w:color w:val="1F1F1F"/>
          <w:highlight w:val="white"/>
        </w:rPr>
        <w:t>DSE - Cesson - Sévigné - Barre Thomas - Ploufragan unité de travail centre de tri transfert : 300€</w:t>
      </w:r>
    </w:p>
    <w:p>
      <w:pPr>
        <w:pStyle w:val="normal1"/>
        <w:numPr>
          <w:ilvl w:val="1"/>
          <w:numId w:val="3"/>
        </w:numPr>
        <w:ind w:hanging="360" w:start="1440"/>
        <w:jc w:val="both"/>
        <w:rPr>
          <w:color w:val="1F1F1F"/>
          <w:highlight w:val="white"/>
        </w:rPr>
      </w:pPr>
      <w:r>
        <w:rPr>
          <w:color w:val="1F1F1F"/>
          <w:highlight w:val="white"/>
        </w:rPr>
        <w:t>DSC - St Grégoire - Unité de travail de pré-collecte : 300€</w:t>
      </w:r>
    </w:p>
    <w:p>
      <w:pPr>
        <w:pStyle w:val="normal1"/>
        <w:numPr>
          <w:ilvl w:val="1"/>
          <w:numId w:val="3"/>
        </w:numPr>
        <w:ind w:hanging="360" w:start="1440"/>
        <w:jc w:val="both"/>
        <w:rPr>
          <w:color w:val="1F1F1F"/>
          <w:highlight w:val="white"/>
        </w:rPr>
      </w:pPr>
      <w:r>
        <w:rPr>
          <w:color w:val="1F1F1F"/>
          <w:highlight w:val="white"/>
        </w:rPr>
        <w:t>DSC - St Grégoire - Unité de travail nettoiement : 300€</w:t>
      </w:r>
    </w:p>
    <w:p>
      <w:pPr>
        <w:pStyle w:val="normal1"/>
        <w:jc w:val="both"/>
        <w:rPr>
          <w:b/>
          <w:bCs/>
          <w:sz w:val="22"/>
          <w:szCs w:val="22"/>
        </w:rPr>
      </w:pPr>
      <w:r>
        <w:rPr>
          <w:b/>
          <w:bCs/>
          <w:sz w:val="22"/>
          <w:szCs w:val="22"/>
        </w:rPr>
      </w:r>
    </w:p>
    <w:p>
      <w:pPr>
        <w:pStyle w:val="normal1"/>
        <w:widowControl w:val="false"/>
        <w:ind w:hanging="0" w:start="-142" w:end="-436"/>
        <w:rPr>
          <w:color w:val="111111"/>
          <w:sz w:val="22"/>
          <w:szCs w:val="22"/>
        </w:rPr>
      </w:pPr>
      <w:r>
        <w:rPr>
          <w:color w:val="111111"/>
          <w:sz w:val="22"/>
          <w:szCs w:val="22"/>
        </w:rPr>
        <w:t>Il est rappelé que la participation, le PEG et le PERCO relèvent des accords groupe en vigueur.</w:t>
      </w:r>
    </w:p>
    <w:p>
      <w:pPr>
        <w:pStyle w:val="normal1"/>
        <w:widowControl w:val="false"/>
        <w:spacing w:lineRule="auto" w:line="238"/>
        <w:ind w:hanging="0" w:start="-142" w:end="-153"/>
        <w:jc w:val="both"/>
        <w:rPr>
          <w:color w:val="111111"/>
          <w:sz w:val="22"/>
          <w:szCs w:val="22"/>
        </w:rPr>
      </w:pPr>
      <w:r>
        <w:rPr>
          <w:color w:val="111111"/>
          <w:sz w:val="22"/>
          <w:szCs w:val="22"/>
        </w:rPr>
      </w:r>
    </w:p>
    <w:p>
      <w:pPr>
        <w:pStyle w:val="normal1"/>
        <w:widowControl w:val="false"/>
        <w:spacing w:lineRule="auto" w:line="238"/>
        <w:ind w:hanging="0" w:start="-142" w:end="-153"/>
        <w:jc w:val="both"/>
        <w:rPr>
          <w:color w:val="111111"/>
          <w:sz w:val="22"/>
          <w:szCs w:val="22"/>
        </w:rPr>
      </w:pPr>
      <w:r>
        <w:rPr>
          <w:color w:val="111111"/>
          <w:sz w:val="22"/>
          <w:szCs w:val="22"/>
        </w:rPr>
      </w:r>
    </w:p>
    <w:p>
      <w:pPr>
        <w:pStyle w:val="normal1"/>
        <w:widowControl w:val="false"/>
        <w:spacing w:lineRule="auto" w:line="238"/>
        <w:ind w:hanging="0" w:start="-142" w:end="-153"/>
        <w:jc w:val="both"/>
        <w:rPr>
          <w:color w:val="111111"/>
          <w:sz w:val="22"/>
          <w:szCs w:val="22"/>
          <w:u w:val="single"/>
        </w:rPr>
      </w:pPr>
      <w:r>
        <w:rPr>
          <w:color w:val="111111"/>
          <w:sz w:val="22"/>
          <w:szCs w:val="22"/>
          <w:u w:val="single"/>
        </w:rPr>
        <w:t>Offre SEQUOIA 2026 : deux abondements : jusqu’à 300€ pour le SEQUOIA 2026, et jusqu’à 200€ pour le PEG / PERCO 2026 :</w:t>
      </w:r>
    </w:p>
    <w:p>
      <w:pPr>
        <w:pStyle w:val="normal1"/>
        <w:widowControl w:val="false"/>
        <w:spacing w:lineRule="auto" w:line="238"/>
        <w:ind w:hanging="0" w:start="-142" w:end="-153"/>
        <w:jc w:val="both"/>
        <w:rPr>
          <w:color w:val="111111"/>
          <w:sz w:val="22"/>
          <w:szCs w:val="22"/>
        </w:rPr>
      </w:pPr>
      <w:r>
        <w:rPr>
          <w:color w:val="111111"/>
          <w:sz w:val="22"/>
          <w:szCs w:val="22"/>
        </w:rPr>
      </w:r>
    </w:p>
    <w:p>
      <w:pPr>
        <w:pStyle w:val="normal1"/>
        <w:widowControl w:val="false"/>
        <w:spacing w:lineRule="auto" w:line="238"/>
        <w:ind w:hanging="0" w:start="-142" w:end="-153"/>
        <w:jc w:val="both"/>
        <w:rPr>
          <w:color w:val="111111"/>
          <w:sz w:val="22"/>
          <w:szCs w:val="22"/>
        </w:rPr>
      </w:pPr>
      <w:r>
        <w:rPr>
          <w:color w:val="111111"/>
          <w:sz w:val="22"/>
          <w:szCs w:val="22"/>
        </w:rPr>
        <w:t>L’offre SEQUOIA 2026 propose une composante sécurisée, à effet de levier, avec un abondement jusqu’à 300€.</w:t>
      </w:r>
    </w:p>
    <w:p>
      <w:pPr>
        <w:pStyle w:val="normal1"/>
        <w:widowControl w:val="false"/>
        <w:spacing w:lineRule="auto" w:line="238"/>
        <w:ind w:hanging="0" w:start="-142" w:end="-153"/>
        <w:jc w:val="both"/>
        <w:rPr>
          <w:color w:val="111111"/>
          <w:sz w:val="22"/>
          <w:szCs w:val="22"/>
        </w:rPr>
      </w:pPr>
      <w:r>
        <w:rPr>
          <w:color w:val="111111"/>
          <w:sz w:val="22"/>
          <w:szCs w:val="22"/>
        </w:rPr>
      </w:r>
    </w:p>
    <w:p>
      <w:pPr>
        <w:pStyle w:val="normal1"/>
        <w:widowControl w:val="false"/>
        <w:spacing w:lineRule="auto" w:line="238"/>
        <w:ind w:end="-153"/>
        <w:jc w:val="both"/>
        <w:rPr>
          <w:color w:val="111111"/>
          <w:sz w:val="22"/>
          <w:szCs w:val="22"/>
        </w:rPr>
      </w:pPr>
      <w:r>
        <w:rPr>
          <w:color w:val="111111"/>
          <w:sz w:val="22"/>
          <w:szCs w:val="22"/>
        </w:rPr>
        <w:t>Soit 500€ maximum d’abondement pour l’année 2026.</w:t>
      </w:r>
    </w:p>
    <w:p>
      <w:pPr>
        <w:pStyle w:val="normal1"/>
        <w:jc w:val="both"/>
        <w:rPr>
          <w:b/>
          <w:bCs/>
          <w:sz w:val="22"/>
          <w:szCs w:val="22"/>
        </w:rPr>
      </w:pPr>
      <w:r>
        <w:rPr>
          <w:b/>
          <w:bCs/>
          <w:sz w:val="22"/>
          <w:szCs w:val="22"/>
        </w:rPr>
      </w:r>
    </w:p>
    <w:p>
      <w:pPr>
        <w:pStyle w:val="normal1"/>
        <w:jc w:val="both"/>
        <w:rPr>
          <w:b/>
          <w:bCs/>
          <w:color w:val="0000FF"/>
          <w:sz w:val="24"/>
          <w:szCs w:val="24"/>
          <w:u w:val="single"/>
        </w:rPr>
      </w:pPr>
      <w:r>
        <w:rPr>
          <w:b/>
          <w:bCs/>
          <w:color w:val="0000FF"/>
          <w:sz w:val="24"/>
          <w:szCs w:val="24"/>
          <w:u w:val="single"/>
        </w:rPr>
      </w:r>
    </w:p>
    <w:p>
      <w:pPr>
        <w:pStyle w:val="normal1"/>
        <w:jc w:val="both"/>
        <w:rPr>
          <w:b/>
          <w:bCs/>
          <w:color w:val="0000FF"/>
          <w:sz w:val="24"/>
          <w:szCs w:val="24"/>
          <w:u w:val="single"/>
        </w:rPr>
      </w:pPr>
      <w:r>
        <w:rPr>
          <w:b/>
          <w:bCs/>
          <w:color w:val="0000FF"/>
          <w:sz w:val="24"/>
          <w:szCs w:val="24"/>
          <w:u w:val="single"/>
        </w:rPr>
        <w:t>Égalité professionnelle-qualité de vie et des conditions de travail</w:t>
      </w:r>
    </w:p>
    <w:p>
      <w:pPr>
        <w:pStyle w:val="normal1"/>
        <w:tabs>
          <w:tab w:val="clear" w:pos="720"/>
          <w:tab w:val="center" w:pos="4536" w:leader="none"/>
          <w:tab w:val="right" w:pos="9072" w:leader="none"/>
        </w:tabs>
        <w:jc w:val="both"/>
        <w:rPr>
          <w:color w:val="808080"/>
          <w:sz w:val="16"/>
          <w:szCs w:val="16"/>
        </w:rPr>
      </w:pPr>
      <w:r>
        <w:rPr>
          <w:color w:val="808080"/>
          <w:sz w:val="16"/>
          <w:szCs w:val="16"/>
        </w:rPr>
      </w:r>
    </w:p>
    <w:p>
      <w:pPr>
        <w:pStyle w:val="normal1"/>
        <w:jc w:val="both"/>
        <w:rPr>
          <w:b/>
          <w:bCs/>
          <w:sz w:val="22"/>
          <w:szCs w:val="22"/>
        </w:rPr>
      </w:pPr>
      <w:r>
        <w:rPr>
          <w:b/>
          <w:bCs/>
          <w:sz w:val="22"/>
          <w:szCs w:val="22"/>
        </w:rPr>
      </w:r>
    </w:p>
    <w:p>
      <w:pPr>
        <w:pStyle w:val="normal1"/>
        <w:jc w:val="both"/>
        <w:rPr>
          <w:sz w:val="22"/>
          <w:szCs w:val="22"/>
          <w:u w:val="single"/>
        </w:rPr>
      </w:pPr>
      <w:r>
        <w:rPr>
          <w:b/>
          <w:bCs/>
          <w:sz w:val="22"/>
          <w:szCs w:val="22"/>
          <w:u w:val="single"/>
        </w:rPr>
        <w:t>Article 5  - Accord en faveur de l’égalité professionnelle entre les femmes et les hommes.</w:t>
      </w:r>
    </w:p>
    <w:p>
      <w:pPr>
        <w:pStyle w:val="normal1"/>
        <w:tabs>
          <w:tab w:val="clear" w:pos="720"/>
          <w:tab w:val="center" w:pos="4536" w:leader="none"/>
          <w:tab w:val="right" w:pos="9072" w:leader="none"/>
        </w:tabs>
        <w:jc w:val="both"/>
        <w:rPr>
          <w:sz w:val="22"/>
          <w:szCs w:val="22"/>
        </w:rPr>
      </w:pPr>
      <w:r>
        <w:rPr>
          <w:sz w:val="22"/>
          <w:szCs w:val="22"/>
        </w:rPr>
      </w:r>
    </w:p>
    <w:p>
      <w:pPr>
        <w:pStyle w:val="normal1"/>
        <w:jc w:val="both"/>
        <w:rPr>
          <w:sz w:val="22"/>
          <w:szCs w:val="22"/>
        </w:rPr>
      </w:pPr>
      <w:r>
        <w:rPr>
          <w:sz w:val="22"/>
          <w:szCs w:val="22"/>
        </w:rPr>
        <w:t>Un accord d’entreprise en faveur de l’égalité professionnelle entre les femmes et les hommes, a été signé le 12 juin 2024, pour une application de ses dispositions jusqu’au 31 décembre  2027.</w:t>
      </w:r>
    </w:p>
    <w:p>
      <w:pPr>
        <w:pStyle w:val="normal1"/>
        <w:jc w:val="both"/>
        <w:rPr>
          <w:sz w:val="22"/>
          <w:szCs w:val="22"/>
        </w:rPr>
      </w:pPr>
      <w:r>
        <w:rPr>
          <w:sz w:val="22"/>
          <w:szCs w:val="22"/>
        </w:rPr>
      </w:r>
    </w:p>
    <w:p>
      <w:pPr>
        <w:pStyle w:val="normal1"/>
        <w:jc w:val="both"/>
        <w:rPr>
          <w:sz w:val="22"/>
          <w:szCs w:val="22"/>
        </w:rPr>
      </w:pPr>
      <w:r>
        <w:rPr>
          <w:sz w:val="22"/>
          <w:szCs w:val="22"/>
        </w:rPr>
      </w:r>
    </w:p>
    <w:p>
      <w:pPr>
        <w:pStyle w:val="normal1"/>
        <w:jc w:val="both"/>
        <w:rPr>
          <w:sz w:val="22"/>
          <w:szCs w:val="22"/>
          <w:u w:val="single"/>
        </w:rPr>
      </w:pPr>
      <w:r>
        <w:rPr>
          <w:b/>
          <w:bCs/>
          <w:sz w:val="22"/>
          <w:szCs w:val="22"/>
          <w:u w:val="single"/>
        </w:rPr>
        <w:t>Article 6 - Accord sur le droit à la déconnexion.</w:t>
      </w:r>
    </w:p>
    <w:p>
      <w:pPr>
        <w:pStyle w:val="normal1"/>
        <w:jc w:val="both"/>
        <w:rPr>
          <w:sz w:val="22"/>
          <w:szCs w:val="22"/>
        </w:rPr>
      </w:pPr>
      <w:r>
        <w:rPr>
          <w:sz w:val="22"/>
          <w:szCs w:val="22"/>
        </w:rPr>
      </w:r>
    </w:p>
    <w:p>
      <w:pPr>
        <w:pStyle w:val="normal1"/>
        <w:jc w:val="both"/>
        <w:rPr>
          <w:color w:val="FF0000"/>
          <w:sz w:val="22"/>
          <w:szCs w:val="22"/>
        </w:rPr>
      </w:pPr>
      <w:r>
        <w:rPr>
          <w:sz w:val="22"/>
          <w:szCs w:val="22"/>
        </w:rPr>
        <w:t>Les dispositions de l’accord signé le 2/11/2020 pour une durée indéterminée.</w:t>
      </w:r>
    </w:p>
    <w:p>
      <w:pPr>
        <w:pStyle w:val="normal1"/>
        <w:jc w:val="both"/>
        <w:rPr>
          <w:color w:val="FF0000"/>
          <w:sz w:val="22"/>
          <w:szCs w:val="22"/>
        </w:rPr>
      </w:pPr>
      <w:r>
        <w:rPr>
          <w:color w:val="FF0000"/>
          <w:sz w:val="22"/>
          <w:szCs w:val="22"/>
        </w:rPr>
      </w:r>
    </w:p>
    <w:p>
      <w:pPr>
        <w:pStyle w:val="normal1"/>
        <w:jc w:val="both"/>
        <w:rPr>
          <w:color w:val="FF0000"/>
          <w:sz w:val="22"/>
          <w:szCs w:val="22"/>
        </w:rPr>
      </w:pPr>
      <w:r>
        <w:rPr>
          <w:color w:val="FF0000"/>
          <w:sz w:val="22"/>
          <w:szCs w:val="22"/>
        </w:rPr>
      </w:r>
    </w:p>
    <w:p>
      <w:pPr>
        <w:pStyle w:val="normal1"/>
        <w:jc w:val="both"/>
        <w:rPr>
          <w:b/>
          <w:bCs/>
          <w:sz w:val="22"/>
          <w:szCs w:val="22"/>
          <w:u w:val="single"/>
        </w:rPr>
      </w:pPr>
      <w:r>
        <w:rPr>
          <w:b/>
          <w:bCs/>
          <w:sz w:val="22"/>
          <w:szCs w:val="22"/>
          <w:u w:val="single"/>
        </w:rPr>
        <w:t>Article 7   - Accord télétravail.</w:t>
      </w:r>
    </w:p>
    <w:p>
      <w:pPr>
        <w:pStyle w:val="normal1"/>
        <w:jc w:val="both"/>
        <w:rPr>
          <w:b/>
          <w:bCs/>
          <w:sz w:val="22"/>
          <w:szCs w:val="22"/>
        </w:rPr>
      </w:pPr>
      <w:r>
        <w:rPr>
          <w:b/>
          <w:bCs/>
          <w:sz w:val="22"/>
          <w:szCs w:val="22"/>
        </w:rPr>
      </w:r>
    </w:p>
    <w:p>
      <w:pPr>
        <w:pStyle w:val="normal1"/>
        <w:keepNext w:val="false"/>
        <w:keepLines w:val="false"/>
        <w:pageBreakBefore w:val="false"/>
        <w:widowControl/>
        <w:pBdr/>
        <w:shd w:val="clear" w:fill="auto"/>
        <w:spacing w:lineRule="auto" w:line="240" w:before="0" w:after="0"/>
        <w:ind w:hanging="0" w:start="0" w:end="0"/>
        <w:jc w:val="both"/>
        <w:rPr>
          <w:sz w:val="22"/>
          <w:szCs w:val="22"/>
        </w:rPr>
      </w:pPr>
      <w:r>
        <w:rPr>
          <w:sz w:val="22"/>
          <w:szCs w:val="22"/>
        </w:rPr>
        <w:t xml:space="preserve">Un accord Groupe RVD a été signé le 24 décembre 2021 qui fixe les modalités pratiques de mise en place du télétravail en période normale. Cet accord s’applique à l’ensemble des sociétés (toutes régions ou filiales confondues) de Recyclage et Valorisation des Déchets </w:t>
      </w:r>
    </w:p>
    <w:p>
      <w:pPr>
        <w:pStyle w:val="normal1"/>
        <w:keepNext w:val="false"/>
        <w:keepLines w:val="false"/>
        <w:pageBreakBefore w:val="false"/>
        <w:widowControl/>
        <w:pBdr/>
        <w:shd w:val="clear" w:fill="auto"/>
        <w:spacing w:lineRule="auto" w:line="240" w:before="0" w:after="0"/>
        <w:ind w:hanging="0" w:start="0" w:end="0"/>
        <w:jc w:val="both"/>
        <w:rPr>
          <w:sz w:val="22"/>
          <w:szCs w:val="22"/>
        </w:rPr>
      </w:pPr>
      <w:r>
        <w:rPr>
          <w:sz w:val="22"/>
          <w:szCs w:val="22"/>
        </w:rPr>
      </w:r>
    </w:p>
    <w:p>
      <w:pPr>
        <w:pStyle w:val="normal1"/>
        <w:keepNext w:val="false"/>
        <w:keepLines w:val="false"/>
        <w:pageBreakBefore w:val="false"/>
        <w:widowControl/>
        <w:pBdr/>
        <w:shd w:val="clear" w:fill="auto"/>
        <w:spacing w:lineRule="auto" w:line="240" w:before="0" w:after="0"/>
        <w:ind w:hanging="0" w:start="0" w:end="0"/>
        <w:jc w:val="both"/>
        <w:rPr>
          <w:sz w:val="22"/>
          <w:szCs w:val="22"/>
        </w:rPr>
      </w:pPr>
      <w:r>
        <w:rPr>
          <w:sz w:val="22"/>
          <w:szCs w:val="22"/>
        </w:rPr>
        <w:t>(RVD) et des salariés qui composent ces sociétés. Il prévoit la possibilité d'aller jusqu'à deux jours de télétravail par semaine (avec une réserve pour les temps partiels).</w:t>
      </w:r>
    </w:p>
    <w:p>
      <w:pPr>
        <w:pStyle w:val="normal1"/>
        <w:keepNext w:val="false"/>
        <w:keepLines w:val="false"/>
        <w:pageBreakBefore w:val="false"/>
        <w:widowControl/>
        <w:pBdr/>
        <w:shd w:val="clear" w:fill="auto"/>
        <w:spacing w:lineRule="auto" w:line="240" w:before="0" w:after="0"/>
        <w:ind w:hanging="0" w:start="0" w:end="0"/>
        <w:jc w:val="both"/>
        <w:rPr>
          <w:sz w:val="22"/>
          <w:szCs w:val="22"/>
        </w:rPr>
      </w:pPr>
      <w:r>
        <w:rPr>
          <w:sz w:val="22"/>
          <w:szCs w:val="22"/>
        </w:rPr>
      </w:r>
    </w:p>
    <w:p>
      <w:pPr>
        <w:pStyle w:val="normal1"/>
        <w:keepNext w:val="false"/>
        <w:keepLines w:val="false"/>
        <w:pageBreakBefore w:val="false"/>
        <w:widowControl/>
        <w:pBdr/>
        <w:shd w:val="clear" w:fill="auto"/>
        <w:spacing w:lineRule="auto" w:line="240" w:before="0" w:after="0"/>
        <w:ind w:hanging="0" w:start="0" w:end="0"/>
        <w:jc w:val="both"/>
        <w:rPr>
          <w:sz w:val="22"/>
          <w:szCs w:val="22"/>
        </w:rPr>
      </w:pPr>
      <w:r>
        <w:rPr>
          <w:sz w:val="22"/>
          <w:szCs w:val="22"/>
        </w:rPr>
      </w:r>
    </w:p>
    <w:p>
      <w:pPr>
        <w:pStyle w:val="normal1"/>
        <w:keepNext w:val="false"/>
        <w:keepLines w:val="false"/>
        <w:pageBreakBefore w:val="false"/>
        <w:widowControl/>
        <w:pBdr/>
        <w:shd w:val="clear" w:fill="auto"/>
        <w:spacing w:lineRule="auto" w:line="240" w:before="0" w:after="0"/>
        <w:ind w:hanging="0" w:start="0" w:end="0"/>
        <w:jc w:val="both"/>
        <w:rPr>
          <w:b/>
          <w:bCs/>
          <w:sz w:val="22"/>
          <w:szCs w:val="22"/>
          <w:u w:val="single"/>
        </w:rPr>
      </w:pPr>
      <w:r>
        <w:rPr>
          <w:b/>
          <w:bCs/>
          <w:sz w:val="22"/>
          <w:szCs w:val="22"/>
          <w:u w:val="single"/>
        </w:rPr>
      </w:r>
    </w:p>
    <w:p>
      <w:pPr>
        <w:pStyle w:val="normal1"/>
        <w:keepNext w:val="false"/>
        <w:keepLines w:val="false"/>
        <w:pageBreakBefore w:val="false"/>
        <w:widowControl/>
        <w:pBdr/>
        <w:shd w:val="clear" w:fill="auto"/>
        <w:spacing w:lineRule="auto" w:line="240" w:before="0" w:after="0"/>
        <w:ind w:hanging="0" w:start="0" w:end="0"/>
        <w:jc w:val="both"/>
        <w:rPr>
          <w:b/>
          <w:bCs/>
          <w:sz w:val="22"/>
          <w:szCs w:val="22"/>
          <w:u w:val="single"/>
        </w:rPr>
      </w:pPr>
      <w:r>
        <w:rPr>
          <w:b/>
          <w:bCs/>
          <w:sz w:val="22"/>
          <w:szCs w:val="22"/>
          <w:u w:val="single"/>
        </w:rPr>
      </w:r>
    </w:p>
    <w:p>
      <w:pPr>
        <w:pStyle w:val="normal1"/>
        <w:keepNext w:val="false"/>
        <w:keepLines w:val="false"/>
        <w:pageBreakBefore w:val="false"/>
        <w:widowControl/>
        <w:pBdr/>
        <w:shd w:val="clear" w:fill="auto"/>
        <w:spacing w:lineRule="auto" w:line="240" w:before="0" w:after="0"/>
        <w:ind w:hanging="0" w:start="0" w:end="0"/>
        <w:jc w:val="both"/>
        <w:rPr>
          <w:b/>
          <w:bCs/>
          <w:sz w:val="22"/>
          <w:szCs w:val="22"/>
          <w:u w:val="single"/>
        </w:rPr>
      </w:pPr>
      <w:r>
        <w:rPr>
          <w:b/>
          <w:bCs/>
          <w:sz w:val="22"/>
          <w:szCs w:val="22"/>
          <w:u w:val="single"/>
        </w:rPr>
      </w:r>
    </w:p>
    <w:p>
      <w:pPr>
        <w:pStyle w:val="normal1"/>
        <w:keepNext w:val="false"/>
        <w:keepLines w:val="false"/>
        <w:pageBreakBefore w:val="false"/>
        <w:widowControl/>
        <w:pBdr/>
        <w:shd w:val="clear" w:fill="auto"/>
        <w:spacing w:lineRule="auto" w:line="240" w:before="0" w:after="0"/>
        <w:ind w:hanging="0" w:start="0" w:end="0"/>
        <w:jc w:val="both"/>
        <w:rPr>
          <w:b/>
          <w:bCs/>
          <w:sz w:val="22"/>
          <w:szCs w:val="22"/>
          <w:u w:val="single"/>
        </w:rPr>
      </w:pPr>
      <w:r>
        <w:rPr>
          <w:b/>
          <w:bCs/>
          <w:sz w:val="22"/>
          <w:szCs w:val="22"/>
          <w:u w:val="single"/>
        </w:rPr>
      </w:r>
    </w:p>
    <w:p>
      <w:pPr>
        <w:pStyle w:val="normal1"/>
        <w:keepNext w:val="false"/>
        <w:keepLines w:val="false"/>
        <w:pageBreakBefore w:val="false"/>
        <w:widowControl/>
        <w:pBdr/>
        <w:shd w:val="clear" w:fill="auto"/>
        <w:spacing w:lineRule="auto" w:line="240" w:before="0" w:after="0"/>
        <w:ind w:hanging="0" w:start="0" w:end="0"/>
        <w:jc w:val="both"/>
        <w:rPr>
          <w:b/>
          <w:bCs/>
          <w:sz w:val="22"/>
          <w:szCs w:val="22"/>
          <w:u w:val="single"/>
        </w:rPr>
      </w:pPr>
      <w:r>
        <w:rPr>
          <w:b/>
          <w:bCs/>
          <w:sz w:val="22"/>
          <w:szCs w:val="22"/>
          <w:u w:val="single"/>
        </w:rPr>
      </w:r>
    </w:p>
    <w:p>
      <w:pPr>
        <w:pStyle w:val="normal1"/>
        <w:keepNext w:val="false"/>
        <w:keepLines w:val="false"/>
        <w:pageBreakBefore w:val="false"/>
        <w:widowControl/>
        <w:pBdr/>
        <w:shd w:val="clear" w:fill="auto"/>
        <w:spacing w:lineRule="auto" w:line="240" w:before="0" w:after="0"/>
        <w:ind w:hanging="0" w:start="0" w:end="0"/>
        <w:jc w:val="both"/>
        <w:rPr>
          <w:b/>
          <w:bCs/>
          <w:sz w:val="22"/>
          <w:szCs w:val="22"/>
          <w:u w:val="single"/>
        </w:rPr>
      </w:pPr>
      <w:r>
        <w:rPr>
          <w:b/>
          <w:bCs/>
          <w:sz w:val="22"/>
          <w:szCs w:val="22"/>
          <w:u w:val="single"/>
        </w:rPr>
      </w:r>
    </w:p>
    <w:p>
      <w:pPr>
        <w:pStyle w:val="normal1"/>
        <w:keepNext w:val="false"/>
        <w:keepLines w:val="false"/>
        <w:pageBreakBefore w:val="false"/>
        <w:widowControl/>
        <w:pBdr/>
        <w:shd w:val="clear" w:fill="auto"/>
        <w:spacing w:lineRule="auto" w:line="240" w:before="0" w:after="0"/>
        <w:ind w:hanging="0" w:start="0" w:end="0"/>
        <w:jc w:val="both"/>
        <w:rPr>
          <w:b/>
          <w:bCs/>
          <w:sz w:val="22"/>
          <w:szCs w:val="22"/>
          <w:u w:val="single"/>
        </w:rPr>
      </w:pPr>
      <w:r>
        <w:rPr>
          <w:b/>
          <w:bCs/>
          <w:sz w:val="22"/>
          <w:szCs w:val="22"/>
          <w:u w:val="single"/>
        </w:rPr>
      </w:r>
    </w:p>
    <w:p>
      <w:pPr>
        <w:pStyle w:val="normal1"/>
        <w:keepNext w:val="false"/>
        <w:keepLines w:val="false"/>
        <w:pageBreakBefore w:val="false"/>
        <w:widowControl/>
        <w:pBdr/>
        <w:shd w:val="clear" w:fill="auto"/>
        <w:spacing w:lineRule="auto" w:line="240" w:before="0" w:after="0"/>
        <w:ind w:hanging="0" w:start="0" w:end="0"/>
        <w:jc w:val="both"/>
        <w:rPr>
          <w:b/>
          <w:bCs/>
          <w:sz w:val="22"/>
          <w:szCs w:val="22"/>
          <w:u w:val="single"/>
        </w:rPr>
      </w:pPr>
      <w:r>
        <w:rPr>
          <w:b/>
          <w:bCs/>
          <w:sz w:val="22"/>
          <w:szCs w:val="22"/>
          <w:u w:val="single"/>
        </w:rPr>
        <w:t>Article 8  - Lutte contre les troubles musculo-squelettiques .</w:t>
      </w:r>
    </w:p>
    <w:p>
      <w:pPr>
        <w:pStyle w:val="normal1"/>
        <w:keepNext w:val="false"/>
        <w:keepLines w:val="false"/>
        <w:pageBreakBefore w:val="false"/>
        <w:widowControl/>
        <w:pBdr/>
        <w:shd w:val="clear" w:fill="auto"/>
        <w:spacing w:lineRule="auto" w:line="240" w:before="0" w:after="0"/>
        <w:ind w:hanging="0" w:start="0" w:end="0"/>
        <w:jc w:val="both"/>
        <w:rPr>
          <w:sz w:val="22"/>
          <w:szCs w:val="22"/>
        </w:rPr>
      </w:pPr>
      <w:r>
        <w:rPr>
          <w:sz w:val="22"/>
          <w:szCs w:val="22"/>
        </w:rPr>
      </w:r>
    </w:p>
    <w:p>
      <w:pPr>
        <w:pStyle w:val="normal1"/>
        <w:keepNext w:val="false"/>
        <w:keepLines w:val="false"/>
        <w:pageBreakBefore w:val="false"/>
        <w:widowControl/>
        <w:pBdr/>
        <w:shd w:val="clear" w:fill="auto"/>
        <w:spacing w:lineRule="auto" w:line="240" w:before="0" w:after="0"/>
        <w:ind w:hanging="0" w:start="0" w:end="0"/>
        <w:jc w:val="both"/>
        <w:rPr>
          <w:sz w:val="22"/>
          <w:szCs w:val="22"/>
        </w:rPr>
      </w:pPr>
      <w:r>
        <w:rPr>
          <w:sz w:val="22"/>
          <w:szCs w:val="22"/>
        </w:rPr>
        <w:t>Dans le cadre de sa politique de prévention, la direction en collaboration avec les membres du CSE a déployé un programme santé en entreprise, afin de lutter contre les risques sur les troubles musculo squelettiques au poste de travail.</w:t>
      </w:r>
    </w:p>
    <w:p>
      <w:pPr>
        <w:pStyle w:val="normal1"/>
        <w:keepNext w:val="false"/>
        <w:keepLines w:val="false"/>
        <w:pageBreakBefore w:val="false"/>
        <w:widowControl/>
        <w:pBdr/>
        <w:shd w:val="clear" w:fill="auto"/>
        <w:spacing w:lineRule="auto" w:line="240" w:before="0" w:after="0"/>
        <w:ind w:hanging="0" w:start="0" w:end="0"/>
        <w:jc w:val="both"/>
        <w:rPr>
          <w:sz w:val="22"/>
          <w:szCs w:val="22"/>
        </w:rPr>
      </w:pPr>
      <w:r>
        <w:rPr>
          <w:sz w:val="22"/>
          <w:szCs w:val="22"/>
        </w:rPr>
      </w:r>
    </w:p>
    <w:p>
      <w:pPr>
        <w:pStyle w:val="normal1"/>
        <w:keepNext w:val="false"/>
        <w:keepLines w:val="false"/>
        <w:pageBreakBefore w:val="false"/>
        <w:widowControl/>
        <w:pBdr/>
        <w:shd w:val="clear" w:fill="auto"/>
        <w:spacing w:lineRule="auto" w:line="240" w:before="0" w:after="0"/>
        <w:ind w:hanging="0" w:start="0" w:end="0"/>
        <w:jc w:val="both"/>
        <w:rPr>
          <w:sz w:val="22"/>
          <w:szCs w:val="22"/>
        </w:rPr>
      </w:pPr>
      <w:r>
        <w:rPr>
          <w:sz w:val="22"/>
          <w:szCs w:val="22"/>
        </w:rPr>
        <w:t>A ce titre, elle s'est adjoint les services de la Sté BETTER pour accompagner et sensibiliser l'ensemble des collaborateurs sur l'intégralité des sites du pôle.</w:t>
      </w:r>
    </w:p>
    <w:p>
      <w:pPr>
        <w:pStyle w:val="normal1"/>
        <w:keepNext w:val="false"/>
        <w:keepLines w:val="false"/>
        <w:pageBreakBefore w:val="false"/>
        <w:widowControl/>
        <w:pBdr/>
        <w:shd w:val="clear" w:fill="auto"/>
        <w:spacing w:lineRule="auto" w:line="240" w:before="0" w:after="0"/>
        <w:ind w:hanging="0" w:start="0" w:end="0"/>
        <w:jc w:val="both"/>
        <w:rPr>
          <w:sz w:val="22"/>
          <w:szCs w:val="22"/>
        </w:rPr>
      </w:pPr>
      <w:r>
        <w:rPr>
          <w:sz w:val="22"/>
          <w:szCs w:val="22"/>
        </w:rPr>
      </w:r>
    </w:p>
    <w:p>
      <w:pPr>
        <w:pStyle w:val="normal1"/>
        <w:keepNext w:val="false"/>
        <w:keepLines w:val="false"/>
        <w:pageBreakBefore w:val="false"/>
        <w:widowControl/>
        <w:pBdr/>
        <w:shd w:val="clear" w:fill="auto"/>
        <w:spacing w:lineRule="auto" w:line="240" w:before="0" w:after="0"/>
        <w:ind w:hanging="0" w:start="0" w:end="0"/>
        <w:jc w:val="both"/>
        <w:rPr>
          <w:sz w:val="22"/>
          <w:szCs w:val="22"/>
        </w:rPr>
      </w:pPr>
      <w:r>
        <w:rPr>
          <w:sz w:val="22"/>
          <w:szCs w:val="22"/>
        </w:rPr>
        <w:t>Sur le long terme, les collaborateurs, en prenant conscience de leur corps, adoptent une meilleure hygiène de vie et refont du sport. Ils envisagent le travail sous un angle plus positif.Les échauffements musculaires permettent de se préparer à une longue période de sollicitation du corps et sont une forme de prévention des troubles musculo-squelettiques (TMS).</w:t>
      </w:r>
    </w:p>
    <w:p>
      <w:pPr>
        <w:pStyle w:val="normal1"/>
        <w:keepNext w:val="false"/>
        <w:keepLines w:val="false"/>
        <w:pageBreakBefore w:val="false"/>
        <w:widowControl/>
        <w:pBdr/>
        <w:shd w:val="clear" w:fill="auto"/>
        <w:spacing w:lineRule="auto" w:line="240" w:before="0" w:after="0"/>
        <w:ind w:hanging="0" w:start="0" w:end="0"/>
        <w:jc w:val="both"/>
        <w:rPr>
          <w:sz w:val="22"/>
          <w:szCs w:val="22"/>
        </w:rPr>
      </w:pPr>
      <w:r>
        <w:rPr>
          <w:sz w:val="22"/>
          <w:szCs w:val="22"/>
        </w:rPr>
      </w:r>
    </w:p>
    <w:p>
      <w:pPr>
        <w:pStyle w:val="normal1"/>
        <w:keepNext w:val="false"/>
        <w:keepLines w:val="false"/>
        <w:pageBreakBefore w:val="false"/>
        <w:widowControl/>
        <w:pBdr/>
        <w:shd w:val="clear" w:fill="auto"/>
        <w:spacing w:lineRule="auto" w:line="240" w:before="0" w:after="0"/>
        <w:ind w:hanging="0" w:start="0" w:end="0"/>
        <w:jc w:val="both"/>
        <w:rPr>
          <w:sz w:val="22"/>
          <w:szCs w:val="22"/>
        </w:rPr>
      </w:pPr>
      <w:r>
        <w:rPr>
          <w:sz w:val="22"/>
          <w:szCs w:val="22"/>
        </w:rPr>
        <w:t>La Sté BETTER intervient à un rythme régulier sur chaque site afin de faire des points d'étapes et déployer auprès des managers, des référents sur les échauffements au poste de travail, différentes vidéos qui ont été conçues spécialement pour les équipes VEOLIA.</w:t>
      </w:r>
    </w:p>
    <w:p>
      <w:pPr>
        <w:pStyle w:val="normal1"/>
        <w:keepNext w:val="false"/>
        <w:keepLines w:val="false"/>
        <w:pageBreakBefore w:val="false"/>
        <w:widowControl/>
        <w:pBdr/>
        <w:shd w:val="clear" w:fill="auto"/>
        <w:spacing w:lineRule="auto" w:line="240" w:before="0" w:after="0"/>
        <w:ind w:hanging="0" w:start="0" w:end="0"/>
        <w:jc w:val="both"/>
        <w:rPr>
          <w:sz w:val="22"/>
          <w:szCs w:val="22"/>
        </w:rPr>
      </w:pPr>
      <w:r>
        <w:rPr>
          <w:sz w:val="22"/>
          <w:szCs w:val="22"/>
        </w:rPr>
      </w:r>
    </w:p>
    <w:p>
      <w:pPr>
        <w:pStyle w:val="normal1"/>
        <w:keepNext w:val="false"/>
        <w:keepLines w:val="false"/>
        <w:pageBreakBefore w:val="false"/>
        <w:widowControl/>
        <w:pBdr/>
        <w:shd w:val="clear" w:fill="auto"/>
        <w:spacing w:lineRule="auto" w:line="240" w:before="0" w:after="0"/>
        <w:ind w:hanging="0" w:start="0" w:end="0"/>
        <w:jc w:val="both"/>
        <w:rPr>
          <w:sz w:val="22"/>
          <w:szCs w:val="22"/>
        </w:rPr>
      </w:pPr>
      <w:r>
        <w:rPr>
          <w:sz w:val="22"/>
          <w:szCs w:val="22"/>
        </w:rPr>
        <w:t>En complément il a également proposé une séance sportive chaque semaine sur le site de Saint-Grégoire à destination du personnel administratif et atelier. Cette séance est encadrée par la Sté BETTER ou par un intervenant extérieur.</w:t>
      </w:r>
    </w:p>
    <w:p>
      <w:pPr>
        <w:pStyle w:val="normal1"/>
        <w:keepNext w:val="false"/>
        <w:keepLines w:val="false"/>
        <w:pageBreakBefore w:val="false"/>
        <w:widowControl/>
        <w:pBdr/>
        <w:shd w:val="clear" w:fill="auto"/>
        <w:spacing w:lineRule="auto" w:line="240" w:before="0" w:after="0"/>
        <w:ind w:hanging="0" w:start="0" w:end="0"/>
        <w:jc w:val="both"/>
        <w:rPr>
          <w:sz w:val="22"/>
          <w:szCs w:val="22"/>
        </w:rPr>
      </w:pPr>
      <w:r>
        <w:rPr>
          <w:sz w:val="22"/>
          <w:szCs w:val="22"/>
        </w:rPr>
      </w:r>
    </w:p>
    <w:p>
      <w:pPr>
        <w:pStyle w:val="normal1"/>
        <w:keepNext w:val="false"/>
        <w:keepLines w:val="false"/>
        <w:pageBreakBefore w:val="false"/>
        <w:widowControl/>
        <w:pBdr/>
        <w:shd w:val="clear" w:fill="auto"/>
        <w:spacing w:lineRule="auto" w:line="240" w:before="0" w:after="0"/>
        <w:ind w:hanging="0" w:start="0" w:end="0"/>
        <w:jc w:val="start"/>
        <w:rPr>
          <w:sz w:val="18"/>
          <w:szCs w:val="18"/>
        </w:rPr>
      </w:pPr>
      <w:r>
        <w:rPr>
          <w:sz w:val="18"/>
          <w:szCs w:val="18"/>
        </w:rPr>
      </w:r>
    </w:p>
    <w:p>
      <w:pPr>
        <w:pStyle w:val="normal1"/>
        <w:jc w:val="both"/>
        <w:rPr>
          <w:b/>
          <w:bCs/>
          <w:color w:val="0000FF"/>
          <w:sz w:val="24"/>
          <w:szCs w:val="24"/>
          <w:u w:val="single"/>
        </w:rPr>
      </w:pPr>
      <w:r>
        <w:rPr>
          <w:b/>
          <w:bCs/>
          <w:sz w:val="22"/>
          <w:szCs w:val="22"/>
          <w:u w:val="single"/>
        </w:rPr>
        <w:t>Article 9  - Lutte et prévention des risques psychosociaux.</w:t>
      </w:r>
    </w:p>
    <w:p>
      <w:pPr>
        <w:pStyle w:val="normal1"/>
        <w:jc w:val="both"/>
        <w:rPr>
          <w:b/>
          <w:bCs/>
          <w:color w:val="0000FF"/>
          <w:sz w:val="24"/>
          <w:szCs w:val="24"/>
          <w:u w:val="single"/>
        </w:rPr>
      </w:pPr>
      <w:r>
        <w:rPr>
          <w:b/>
          <w:bCs/>
          <w:color w:val="0000FF"/>
          <w:sz w:val="24"/>
          <w:szCs w:val="24"/>
          <w:u w:val="single"/>
        </w:rPr>
      </w:r>
    </w:p>
    <w:p>
      <w:pPr>
        <w:pStyle w:val="normal1"/>
        <w:jc w:val="both"/>
        <w:rPr>
          <w:sz w:val="22"/>
          <w:szCs w:val="22"/>
        </w:rPr>
      </w:pPr>
      <w:r>
        <w:rPr>
          <w:sz w:val="22"/>
          <w:szCs w:val="22"/>
        </w:rPr>
        <w:t>La direction en collaboration avec les membres du CSE a déployé un programme afin de donner à tous les collaborateurs les outils pour prendre soin d'eux-mêmes, qu'ils aillent bien ou qu'ils soient en souffrance.</w:t>
      </w:r>
    </w:p>
    <w:p>
      <w:pPr>
        <w:pStyle w:val="normal1"/>
        <w:jc w:val="both"/>
        <w:rPr>
          <w:sz w:val="22"/>
          <w:szCs w:val="22"/>
        </w:rPr>
      </w:pPr>
      <w:r>
        <w:rPr>
          <w:sz w:val="22"/>
          <w:szCs w:val="22"/>
        </w:rPr>
      </w:r>
    </w:p>
    <w:p>
      <w:pPr>
        <w:pStyle w:val="normal1"/>
        <w:jc w:val="both"/>
        <w:rPr>
          <w:sz w:val="22"/>
          <w:szCs w:val="22"/>
        </w:rPr>
      </w:pPr>
      <w:r>
        <w:rPr>
          <w:sz w:val="22"/>
          <w:szCs w:val="22"/>
        </w:rPr>
        <w:t>A ce titre, elle s'est adjoint les services de la Sté HOLIVIA pour accompagner et sensibiliser l'ensemble des collaborateurs sur l'intégralité des sites du pôle.</w:t>
      </w:r>
    </w:p>
    <w:p>
      <w:pPr>
        <w:pStyle w:val="normal1"/>
        <w:jc w:val="both"/>
        <w:rPr>
          <w:sz w:val="22"/>
          <w:szCs w:val="22"/>
        </w:rPr>
      </w:pPr>
      <w:r>
        <w:rPr>
          <w:sz w:val="22"/>
          <w:szCs w:val="22"/>
        </w:rPr>
      </w:r>
    </w:p>
    <w:p>
      <w:pPr>
        <w:pStyle w:val="normal1"/>
        <w:jc w:val="both"/>
        <w:rPr>
          <w:sz w:val="22"/>
          <w:szCs w:val="22"/>
        </w:rPr>
      </w:pPr>
      <w:r>
        <w:rPr>
          <w:sz w:val="22"/>
          <w:szCs w:val="22"/>
        </w:rPr>
        <w:t>Les collaborateurs pourront ainsi être accompagnés dans plusieurs situations, personnelles et/ou professionnelles plus tôt et en profondeur, et faire de la santé mentale un levier de valeur dans l’entreprise.</w:t>
      </w:r>
    </w:p>
    <w:p>
      <w:pPr>
        <w:pStyle w:val="normal1"/>
        <w:jc w:val="both"/>
        <w:rPr>
          <w:sz w:val="22"/>
          <w:szCs w:val="22"/>
        </w:rPr>
      </w:pPr>
      <w:r>
        <w:rPr>
          <w:sz w:val="22"/>
          <w:szCs w:val="22"/>
        </w:rPr>
      </w:r>
    </w:p>
    <w:p>
      <w:pPr>
        <w:pStyle w:val="normal1"/>
        <w:jc w:val="both"/>
        <w:rPr>
          <w:sz w:val="22"/>
          <w:szCs w:val="22"/>
        </w:rPr>
      </w:pPr>
      <w:r>
        <w:rPr>
          <w:sz w:val="22"/>
          <w:szCs w:val="22"/>
        </w:rPr>
        <w:t xml:space="preserve">La Sté HOLIVIA intervient en donnant accès à une plateforme à chaque collaborateur et ainsi bénéficier d’une approche ciblée avec un accompagnement hybride par des experts : sessions avec des psychologues et outils d’ancrage. </w:t>
      </w:r>
    </w:p>
    <w:p>
      <w:pPr>
        <w:pStyle w:val="normal1"/>
        <w:jc w:val="both"/>
        <w:rPr>
          <w:b/>
          <w:bCs/>
          <w:color w:val="0000FF"/>
          <w:sz w:val="24"/>
          <w:szCs w:val="24"/>
          <w:u w:val="single"/>
        </w:rPr>
      </w:pPr>
      <w:r>
        <w:rPr>
          <w:b/>
          <w:bCs/>
          <w:color w:val="0000FF"/>
          <w:sz w:val="24"/>
          <w:szCs w:val="24"/>
          <w:u w:val="single"/>
        </w:rPr>
      </w:r>
    </w:p>
    <w:p>
      <w:pPr>
        <w:pStyle w:val="normal1"/>
        <w:jc w:val="both"/>
        <w:rPr>
          <w:b/>
          <w:bCs/>
          <w:color w:val="0000FF"/>
          <w:sz w:val="24"/>
          <w:szCs w:val="24"/>
          <w:u w:val="single"/>
        </w:rPr>
      </w:pPr>
      <w:r>
        <w:rPr>
          <w:b/>
          <w:bCs/>
          <w:color w:val="0000FF"/>
          <w:sz w:val="24"/>
          <w:szCs w:val="24"/>
          <w:u w:val="single"/>
        </w:rPr>
      </w:r>
    </w:p>
    <w:p>
      <w:pPr>
        <w:pStyle w:val="normal1"/>
        <w:jc w:val="both"/>
        <w:rPr>
          <w:b/>
          <w:bCs/>
          <w:color w:val="0000FF"/>
          <w:sz w:val="24"/>
          <w:szCs w:val="24"/>
          <w:u w:val="single"/>
        </w:rPr>
      </w:pPr>
      <w:r>
        <w:rPr>
          <w:b/>
          <w:bCs/>
          <w:color w:val="0000FF"/>
          <w:sz w:val="24"/>
          <w:szCs w:val="24"/>
          <w:u w:val="single"/>
        </w:rPr>
        <w:t>Gestion des emplois et des parcours professionnels</w:t>
      </w:r>
    </w:p>
    <w:p>
      <w:pPr>
        <w:pStyle w:val="normal1"/>
        <w:jc w:val="both"/>
        <w:rPr>
          <w:b/>
          <w:bCs/>
          <w:sz w:val="24"/>
          <w:szCs w:val="24"/>
        </w:rPr>
      </w:pPr>
      <w:r>
        <w:rPr>
          <w:b/>
          <w:bCs/>
          <w:sz w:val="24"/>
          <w:szCs w:val="24"/>
        </w:rPr>
      </w:r>
    </w:p>
    <w:p>
      <w:pPr>
        <w:pStyle w:val="normal1"/>
        <w:jc w:val="both"/>
        <w:rPr>
          <w:b/>
          <w:bCs/>
          <w:sz w:val="22"/>
          <w:szCs w:val="22"/>
        </w:rPr>
      </w:pPr>
      <w:r>
        <w:rPr>
          <w:b/>
          <w:bCs/>
          <w:sz w:val="22"/>
          <w:szCs w:val="22"/>
        </w:rPr>
      </w:r>
    </w:p>
    <w:p>
      <w:pPr>
        <w:pStyle w:val="normal1"/>
        <w:jc w:val="both"/>
        <w:rPr>
          <w:b/>
          <w:bCs/>
          <w:sz w:val="22"/>
          <w:szCs w:val="22"/>
          <w:u w:val="single"/>
        </w:rPr>
      </w:pPr>
      <w:r>
        <w:rPr>
          <w:b/>
          <w:bCs/>
          <w:sz w:val="22"/>
          <w:szCs w:val="22"/>
          <w:u w:val="single"/>
        </w:rPr>
        <w:t xml:space="preserve">Article 10   – </w:t>
      </w:r>
      <w:r>
        <w:rPr>
          <w:b/>
          <w:bCs/>
          <w:sz w:val="23"/>
          <w:szCs w:val="23"/>
          <w:u w:val="single"/>
        </w:rPr>
        <w:t xml:space="preserve">Gestion </w:t>
      </w:r>
      <w:r>
        <w:rPr>
          <w:b/>
          <w:bCs/>
          <w:sz w:val="22"/>
          <w:szCs w:val="22"/>
          <w:u w:val="single"/>
        </w:rPr>
        <w:t xml:space="preserve">des </w:t>
      </w:r>
      <w:r>
        <w:rPr>
          <w:b/>
          <w:bCs/>
          <w:sz w:val="23"/>
          <w:szCs w:val="23"/>
          <w:u w:val="single"/>
        </w:rPr>
        <w:t xml:space="preserve">fins </w:t>
      </w:r>
      <w:r>
        <w:rPr>
          <w:b/>
          <w:bCs/>
          <w:sz w:val="21"/>
          <w:szCs w:val="21"/>
          <w:u w:val="single"/>
        </w:rPr>
        <w:t xml:space="preserve">de </w:t>
      </w:r>
      <w:r>
        <w:rPr>
          <w:b/>
          <w:bCs/>
          <w:sz w:val="22"/>
          <w:szCs w:val="22"/>
          <w:u w:val="single"/>
        </w:rPr>
        <w:t xml:space="preserve">carrière </w:t>
      </w:r>
      <w:r>
        <w:rPr>
          <w:b/>
          <w:bCs/>
          <w:sz w:val="20"/>
          <w:szCs w:val="20"/>
          <w:u w:val="single"/>
        </w:rPr>
        <w:t xml:space="preserve">et </w:t>
      </w:r>
      <w:r>
        <w:rPr>
          <w:b/>
          <w:bCs/>
          <w:sz w:val="22"/>
          <w:szCs w:val="22"/>
          <w:u w:val="single"/>
        </w:rPr>
        <w:t>QVCT</w:t>
      </w:r>
    </w:p>
    <w:p>
      <w:pPr>
        <w:pStyle w:val="normal1"/>
        <w:widowControl w:val="false"/>
        <w:spacing w:lineRule="auto" w:line="240" w:before="160" w:after="0"/>
        <w:ind w:hanging="0" w:start="0" w:end="448"/>
        <w:rPr>
          <w:sz w:val="22"/>
          <w:szCs w:val="22"/>
        </w:rPr>
      </w:pPr>
      <w:r>
        <w:rPr>
          <w:sz w:val="21"/>
          <w:szCs w:val="21"/>
        </w:rPr>
        <w:t xml:space="preserve">Un </w:t>
      </w:r>
      <w:r>
        <w:rPr>
          <w:sz w:val="22"/>
          <w:szCs w:val="22"/>
        </w:rPr>
        <w:t xml:space="preserve">accord national RVD </w:t>
      </w:r>
      <w:r>
        <w:rPr>
          <w:sz w:val="21"/>
          <w:szCs w:val="21"/>
        </w:rPr>
        <w:t xml:space="preserve">a </w:t>
      </w:r>
      <w:r>
        <w:rPr>
          <w:sz w:val="22"/>
          <w:szCs w:val="22"/>
        </w:rPr>
        <w:t xml:space="preserve">été signé unanimement en 2024 </w:t>
      </w:r>
      <w:r>
        <w:rPr>
          <w:sz w:val="24"/>
          <w:szCs w:val="24"/>
        </w:rPr>
        <w:t xml:space="preserve">sur </w:t>
      </w:r>
      <w:r>
        <w:rPr>
          <w:sz w:val="22"/>
          <w:szCs w:val="22"/>
        </w:rPr>
        <w:t xml:space="preserve">la gestion des fins </w:t>
      </w:r>
      <w:r>
        <w:rPr>
          <w:sz w:val="21"/>
          <w:szCs w:val="21"/>
        </w:rPr>
        <w:t xml:space="preserve">de </w:t>
      </w:r>
      <w:r>
        <w:rPr>
          <w:sz w:val="23"/>
          <w:szCs w:val="23"/>
        </w:rPr>
        <w:t>carrières.</w:t>
      </w:r>
    </w:p>
    <w:p>
      <w:pPr>
        <w:pStyle w:val="normal1"/>
        <w:widowControl w:val="false"/>
        <w:spacing w:lineRule="auto" w:line="240" w:before="160" w:after="0"/>
        <w:ind w:hanging="0" w:start="0"/>
        <w:rPr>
          <w:b/>
          <w:bCs/>
          <w:sz w:val="22"/>
          <w:szCs w:val="22"/>
        </w:rPr>
      </w:pPr>
      <w:r>
        <w:rPr>
          <w:b/>
          <w:bCs/>
          <w:sz w:val="22"/>
          <w:szCs w:val="22"/>
        </w:rPr>
      </w:r>
    </w:p>
    <w:p>
      <w:pPr>
        <w:pStyle w:val="normal1"/>
        <w:jc w:val="both"/>
        <w:rPr>
          <w:b/>
          <w:bCs/>
          <w:sz w:val="22"/>
          <w:szCs w:val="22"/>
          <w:u w:val="single"/>
        </w:rPr>
      </w:pPr>
      <w:r>
        <w:rPr>
          <w:b/>
          <w:bCs/>
          <w:sz w:val="22"/>
          <w:szCs w:val="22"/>
          <w:u w:val="single"/>
        </w:rPr>
      </w:r>
    </w:p>
    <w:p>
      <w:pPr>
        <w:pStyle w:val="normal1"/>
        <w:jc w:val="both"/>
        <w:rPr>
          <w:b/>
          <w:bCs/>
          <w:sz w:val="22"/>
          <w:szCs w:val="22"/>
          <w:u w:val="single"/>
        </w:rPr>
      </w:pPr>
      <w:r>
        <w:rPr>
          <w:b/>
          <w:bCs/>
          <w:sz w:val="22"/>
          <w:szCs w:val="22"/>
          <w:u w:val="single"/>
        </w:rPr>
      </w:r>
    </w:p>
    <w:p>
      <w:pPr>
        <w:pStyle w:val="normal1"/>
        <w:jc w:val="both"/>
        <w:rPr>
          <w:b/>
          <w:bCs/>
          <w:sz w:val="22"/>
          <w:szCs w:val="22"/>
          <w:u w:val="single"/>
        </w:rPr>
      </w:pPr>
      <w:r>
        <w:rPr>
          <w:b/>
          <w:bCs/>
          <w:sz w:val="22"/>
          <w:szCs w:val="22"/>
          <w:u w:val="single"/>
        </w:rPr>
      </w:r>
    </w:p>
    <w:p>
      <w:pPr>
        <w:pStyle w:val="normal1"/>
        <w:jc w:val="both"/>
        <w:rPr>
          <w:b/>
          <w:bCs/>
          <w:sz w:val="22"/>
          <w:szCs w:val="22"/>
          <w:u w:val="single"/>
        </w:rPr>
      </w:pPr>
      <w:r>
        <w:rPr>
          <w:b/>
          <w:bCs/>
          <w:sz w:val="22"/>
          <w:szCs w:val="22"/>
          <w:u w:val="single"/>
        </w:rPr>
      </w:r>
    </w:p>
    <w:p>
      <w:pPr>
        <w:pStyle w:val="normal1"/>
        <w:jc w:val="both"/>
        <w:rPr>
          <w:b/>
          <w:bCs/>
          <w:sz w:val="22"/>
          <w:szCs w:val="22"/>
          <w:u w:val="single"/>
        </w:rPr>
      </w:pPr>
      <w:r>
        <w:rPr>
          <w:b/>
          <w:bCs/>
          <w:sz w:val="22"/>
          <w:szCs w:val="22"/>
          <w:u w:val="single"/>
        </w:rPr>
      </w:r>
    </w:p>
    <w:p>
      <w:pPr>
        <w:pStyle w:val="normal1"/>
        <w:jc w:val="both"/>
        <w:rPr>
          <w:b/>
          <w:bCs/>
          <w:sz w:val="22"/>
          <w:szCs w:val="22"/>
          <w:u w:val="single"/>
        </w:rPr>
      </w:pPr>
      <w:r>
        <w:rPr>
          <w:b/>
          <w:bCs/>
          <w:sz w:val="22"/>
          <w:szCs w:val="22"/>
          <w:u w:val="single"/>
        </w:rPr>
      </w:r>
    </w:p>
    <w:p>
      <w:pPr>
        <w:pStyle w:val="normal1"/>
        <w:jc w:val="both"/>
        <w:rPr>
          <w:b/>
          <w:bCs/>
          <w:sz w:val="22"/>
          <w:szCs w:val="22"/>
          <w:u w:val="single"/>
        </w:rPr>
      </w:pPr>
      <w:r>
        <w:rPr>
          <w:b/>
          <w:bCs/>
          <w:sz w:val="22"/>
          <w:szCs w:val="22"/>
          <w:u w:val="single"/>
        </w:rPr>
      </w:r>
    </w:p>
    <w:p>
      <w:pPr>
        <w:pStyle w:val="normal1"/>
        <w:keepNext w:val="false"/>
        <w:keepLines w:val="false"/>
        <w:pageBreakBefore w:val="false"/>
        <w:widowControl/>
        <w:pBdr/>
        <w:shd w:val="clear" w:fill="auto"/>
        <w:spacing w:lineRule="auto" w:line="240" w:before="0" w:after="0"/>
        <w:ind w:hanging="0" w:start="0" w:end="0"/>
        <w:jc w:val="both"/>
        <w:rPr>
          <w:b/>
          <w:bCs/>
          <w:sz w:val="22"/>
          <w:szCs w:val="22"/>
          <w:u w:val="single"/>
        </w:rPr>
      </w:pPr>
      <w:r>
        <w:rPr>
          <w:b/>
          <w:bCs/>
          <w:sz w:val="22"/>
          <w:szCs w:val="22"/>
          <w:u w:val="single"/>
        </w:rPr>
        <w:t>Article 11.  Blocs de négociations annuelles</w:t>
      </w:r>
    </w:p>
    <w:p>
      <w:pPr>
        <w:pStyle w:val="normal1"/>
        <w:keepNext w:val="false"/>
        <w:keepLines w:val="false"/>
        <w:pageBreakBefore w:val="false"/>
        <w:widowControl/>
        <w:pBdr/>
        <w:shd w:val="clear" w:fill="auto"/>
        <w:spacing w:lineRule="auto" w:line="240" w:before="0" w:after="0"/>
        <w:ind w:hanging="0" w:start="0" w:end="0"/>
        <w:jc w:val="both"/>
        <w:rPr>
          <w:b/>
          <w:bCs/>
          <w:sz w:val="22"/>
          <w:szCs w:val="22"/>
          <w:u w:val="single"/>
        </w:rPr>
      </w:pPr>
      <w:r>
        <w:rPr>
          <w:b/>
          <w:bCs/>
          <w:sz w:val="22"/>
          <w:szCs w:val="22"/>
          <w:u w:val="single"/>
        </w:rPr>
        <w:t xml:space="preserve"> </w:t>
      </w:r>
    </w:p>
    <w:p>
      <w:pPr>
        <w:pStyle w:val="normal1"/>
        <w:jc w:val="both"/>
        <w:rPr>
          <w:sz w:val="22"/>
          <w:szCs w:val="22"/>
        </w:rPr>
      </w:pPr>
      <w:r>
        <w:rPr>
          <w:sz w:val="22"/>
          <w:szCs w:val="22"/>
        </w:rPr>
        <w:t>Conformément aux dispositions légales, la direction a présenté les informations nécessaires à la situation comparée des rémunérations des hommes et des femmes. Les parties conviennent que le présent accord, vaut procès-verbal de négociation au titre de l'égalité professionnelle, au sens de l’article L 1242-15 et sera déposé à ce titre auprès de l’autorité administrative.</w:t>
      </w:r>
    </w:p>
    <w:p>
      <w:pPr>
        <w:pStyle w:val="normal1"/>
        <w:jc w:val="both"/>
        <w:rPr>
          <w:sz w:val="22"/>
          <w:szCs w:val="22"/>
        </w:rPr>
      </w:pPr>
      <w:r>
        <w:rPr>
          <w:sz w:val="22"/>
          <w:szCs w:val="22"/>
        </w:rPr>
        <w:t xml:space="preserve"> </w:t>
      </w:r>
    </w:p>
    <w:p>
      <w:pPr>
        <w:pStyle w:val="normal1"/>
        <w:jc w:val="both"/>
        <w:rPr>
          <w:sz w:val="22"/>
          <w:szCs w:val="22"/>
        </w:rPr>
      </w:pPr>
      <w:r>
        <w:rPr>
          <w:sz w:val="22"/>
          <w:szCs w:val="22"/>
        </w:rPr>
        <w:t>Il est rappelé par les présentes que l’ensemble des thèmes des 3 blocs de négociations, la rémunération, le temps de travail et le partage de la valeur ajoutée, l’égalité professionnelle entre les femmes et les hommes et la qualité de vie au travail, la gestion prévisionnelle des emplois et des compétences (GPEC) et la mobilité durable ont pu être librement abordés. A défaut de précisions dans les présentes ou d’accord spécifiques dédiés, cela vaut PV de désaccord sur les autres thèmes.</w:t>
      </w:r>
    </w:p>
    <w:p>
      <w:pPr>
        <w:pStyle w:val="normal1"/>
        <w:jc w:val="both"/>
        <w:rPr>
          <w:sz w:val="22"/>
          <w:szCs w:val="22"/>
        </w:rPr>
      </w:pPr>
      <w:r>
        <w:rPr>
          <w:sz w:val="22"/>
          <w:szCs w:val="22"/>
        </w:rPr>
      </w:r>
    </w:p>
    <w:p>
      <w:pPr>
        <w:pStyle w:val="normal1"/>
        <w:jc w:val="both"/>
        <w:rPr>
          <w:b/>
          <w:bCs/>
          <w:sz w:val="22"/>
          <w:szCs w:val="22"/>
          <w:u w:val="single"/>
        </w:rPr>
      </w:pPr>
      <w:r>
        <w:rPr>
          <w:b/>
          <w:bCs/>
          <w:sz w:val="22"/>
          <w:szCs w:val="22"/>
          <w:u w:val="single"/>
        </w:rPr>
      </w:r>
    </w:p>
    <w:p>
      <w:pPr>
        <w:pStyle w:val="normal1"/>
        <w:jc w:val="both"/>
        <w:rPr>
          <w:sz w:val="22"/>
          <w:szCs w:val="22"/>
          <w:u w:val="single"/>
        </w:rPr>
      </w:pPr>
      <w:r>
        <w:rPr>
          <w:b/>
          <w:bCs/>
          <w:sz w:val="22"/>
          <w:szCs w:val="22"/>
          <w:u w:val="single"/>
        </w:rPr>
        <w:t>Article 12  – Formalités de dépôt</w:t>
      </w:r>
    </w:p>
    <w:p>
      <w:pPr>
        <w:pStyle w:val="normal1"/>
        <w:jc w:val="both"/>
        <w:rPr>
          <w:sz w:val="22"/>
          <w:szCs w:val="22"/>
        </w:rPr>
      </w:pPr>
      <w:r>
        <w:rPr>
          <w:sz w:val="22"/>
          <w:szCs w:val="22"/>
        </w:rPr>
      </w:r>
    </w:p>
    <w:p>
      <w:pPr>
        <w:pStyle w:val="normal1"/>
        <w:jc w:val="both"/>
        <w:rPr>
          <w:sz w:val="22"/>
          <w:szCs w:val="22"/>
        </w:rPr>
      </w:pPr>
      <w:r>
        <w:rPr>
          <w:sz w:val="22"/>
          <w:szCs w:val="22"/>
        </w:rPr>
        <w:t>Le présent accord donnera lieu à dépôt dans les conditions prévues aux articles L 2231-5 et D 2231-2 et suivants du Code du travail, à savoir dépôt sur la plateforme de téléprocédure du ministère du travail et en un exemplaire auprès du greffe du Conseil de prud'hommes de compétent.</w:t>
      </w:r>
    </w:p>
    <w:p>
      <w:pPr>
        <w:pStyle w:val="normal1"/>
        <w:jc w:val="both"/>
        <w:rPr>
          <w:sz w:val="22"/>
          <w:szCs w:val="22"/>
        </w:rPr>
      </w:pPr>
      <w:r>
        <w:rPr>
          <w:sz w:val="22"/>
          <w:szCs w:val="22"/>
        </w:rPr>
      </w:r>
    </w:p>
    <w:p>
      <w:pPr>
        <w:pStyle w:val="normal1"/>
        <w:jc w:val="both"/>
        <w:rPr>
          <w:sz w:val="22"/>
          <w:szCs w:val="22"/>
        </w:rPr>
      </w:pPr>
      <w:r>
        <w:rPr>
          <w:sz w:val="22"/>
          <w:szCs w:val="22"/>
        </w:rPr>
        <w:t>Conformément au décret n° 2017-752 du 3 mai 2017 relatif à la publicité des accords collectifs, une version de l’accord rendue anonyme (noms et prénoms des négociateurs et des signataires) sera déposée en même temps que l'accord et les pièces mentionnées aux articles D 2231-2 et suivants du Code du travail.</w:t>
      </w:r>
    </w:p>
    <w:p>
      <w:pPr>
        <w:pStyle w:val="normal1"/>
        <w:jc w:val="both"/>
        <w:rPr>
          <w:sz w:val="22"/>
          <w:szCs w:val="22"/>
        </w:rPr>
      </w:pPr>
      <w:r>
        <w:rPr>
          <w:sz w:val="22"/>
          <w:szCs w:val="22"/>
        </w:rPr>
      </w:r>
    </w:p>
    <w:p>
      <w:pPr>
        <w:pStyle w:val="normal1"/>
        <w:jc w:val="both"/>
        <w:rPr>
          <w:b/>
          <w:bCs/>
          <w:sz w:val="22"/>
          <w:szCs w:val="22"/>
          <w:u w:val="single"/>
        </w:rPr>
      </w:pPr>
      <w:r>
        <w:rPr>
          <w:b/>
          <w:bCs/>
          <w:sz w:val="22"/>
          <w:szCs w:val="22"/>
          <w:u w:val="single"/>
        </w:rPr>
      </w:r>
    </w:p>
    <w:p>
      <w:pPr>
        <w:pStyle w:val="normal1"/>
        <w:jc w:val="both"/>
        <w:rPr>
          <w:sz w:val="22"/>
          <w:szCs w:val="22"/>
          <w:u w:val="single"/>
        </w:rPr>
      </w:pPr>
      <w:r>
        <w:rPr>
          <w:b/>
          <w:bCs/>
          <w:sz w:val="22"/>
          <w:szCs w:val="22"/>
          <w:u w:val="single"/>
        </w:rPr>
        <w:t>Article 12  – Durée de l’accord</w:t>
      </w:r>
    </w:p>
    <w:p>
      <w:pPr>
        <w:pStyle w:val="normal1"/>
        <w:jc w:val="both"/>
        <w:rPr>
          <w:sz w:val="22"/>
          <w:szCs w:val="22"/>
        </w:rPr>
      </w:pPr>
      <w:r>
        <w:rPr>
          <w:sz w:val="22"/>
          <w:szCs w:val="22"/>
        </w:rPr>
      </w:r>
    </w:p>
    <w:p>
      <w:pPr>
        <w:pStyle w:val="normal1"/>
        <w:jc w:val="both"/>
        <w:rPr>
          <w:sz w:val="22"/>
          <w:szCs w:val="22"/>
        </w:rPr>
      </w:pPr>
      <w:r>
        <w:rPr>
          <w:sz w:val="22"/>
          <w:szCs w:val="22"/>
        </w:rPr>
      </w:r>
    </w:p>
    <w:p>
      <w:pPr>
        <w:pStyle w:val="normal1"/>
        <w:jc w:val="both"/>
        <w:rPr>
          <w:sz w:val="22"/>
          <w:szCs w:val="22"/>
        </w:rPr>
      </w:pPr>
      <w:r>
        <w:rPr>
          <w:sz w:val="22"/>
          <w:szCs w:val="22"/>
        </w:rPr>
      </w:r>
    </w:p>
    <w:p>
      <w:pPr>
        <w:pStyle w:val="normal1"/>
        <w:jc w:val="both"/>
        <w:rPr>
          <w:sz w:val="22"/>
          <w:szCs w:val="22"/>
        </w:rPr>
      </w:pPr>
      <w:r>
        <w:rPr>
          <w:sz w:val="22"/>
          <w:szCs w:val="22"/>
        </w:rPr>
        <w:t>Cet accord est conclu pour les NAO de l’année 2026.</w:t>
      </w:r>
    </w:p>
    <w:p>
      <w:pPr>
        <w:pStyle w:val="normal1"/>
        <w:jc w:val="both"/>
        <w:rPr>
          <w:sz w:val="22"/>
          <w:szCs w:val="22"/>
          <w:highlight w:val="white"/>
        </w:rPr>
      </w:pPr>
      <w:r>
        <w:rPr>
          <w:sz w:val="22"/>
          <w:szCs w:val="22"/>
          <w:highlight w:val="white"/>
        </w:rPr>
      </w:r>
    </w:p>
    <w:p>
      <w:pPr>
        <w:pStyle w:val="normal1"/>
        <w:jc w:val="both"/>
        <w:rPr>
          <w:sz w:val="22"/>
          <w:szCs w:val="22"/>
          <w:highlight w:val="white"/>
        </w:rPr>
      </w:pPr>
      <w:r>
        <w:rPr>
          <w:sz w:val="22"/>
          <w:szCs w:val="22"/>
          <w:highlight w:val="white"/>
        </w:rPr>
      </w:r>
    </w:p>
    <w:p>
      <w:pPr>
        <w:pStyle w:val="normal1"/>
        <w:jc w:val="both"/>
        <w:rPr>
          <w:sz w:val="22"/>
          <w:szCs w:val="22"/>
          <w:highlight w:val="white"/>
        </w:rPr>
      </w:pPr>
      <w:r>
        <w:rPr>
          <w:sz w:val="22"/>
          <w:szCs w:val="22"/>
          <w:highlight w:val="white"/>
        </w:rPr>
        <w:t>Fait à Saint Grégoire en 3 exemplaires originaux, le 12 mars 2026</w:t>
      </w:r>
    </w:p>
    <w:p>
      <w:pPr>
        <w:pStyle w:val="normal1"/>
        <w:jc w:val="both"/>
        <w:rPr>
          <w:sz w:val="22"/>
          <w:szCs w:val="22"/>
        </w:rPr>
      </w:pPr>
      <w:r>
        <w:rPr>
          <w:sz w:val="22"/>
          <w:szCs w:val="22"/>
        </w:rPr>
      </w:r>
    </w:p>
    <w:p>
      <w:pPr>
        <w:pStyle w:val="normal1"/>
        <w:jc w:val="both"/>
        <w:rPr>
          <w:sz w:val="22"/>
          <w:szCs w:val="22"/>
        </w:rPr>
      </w:pPr>
      <w:r>
        <w:rPr>
          <w:sz w:val="22"/>
          <w:szCs w:val="22"/>
        </w:rPr>
      </w:r>
    </w:p>
    <w:p>
      <w:pPr>
        <w:pStyle w:val="normal1"/>
        <w:jc w:val="both"/>
        <w:rPr>
          <w:sz w:val="22"/>
          <w:szCs w:val="22"/>
        </w:rPr>
      </w:pPr>
      <w:r>
        <w:rPr>
          <w:sz w:val="22"/>
          <w:szCs w:val="22"/>
        </w:rPr>
      </w:r>
    </w:p>
    <w:p>
      <w:pPr>
        <w:pStyle w:val="normal1"/>
        <w:jc w:val="both"/>
        <w:rPr>
          <w:sz w:val="22"/>
          <w:szCs w:val="22"/>
        </w:rPr>
      </w:pPr>
      <w:r>
        <w:rPr>
          <w:sz w:val="22"/>
          <w:szCs w:val="22"/>
        </w:rPr>
        <w:t>Pour la Direction, X,</w:t>
      </w:r>
    </w:p>
    <w:p>
      <w:pPr>
        <w:pStyle w:val="normal1"/>
        <w:jc w:val="both"/>
        <w:rPr>
          <w:sz w:val="22"/>
          <w:szCs w:val="22"/>
        </w:rPr>
      </w:pPr>
      <w:r>
        <w:rPr>
          <w:sz w:val="22"/>
          <w:szCs w:val="22"/>
        </w:rPr>
      </w:r>
    </w:p>
    <w:p>
      <w:pPr>
        <w:pStyle w:val="normal1"/>
        <w:jc w:val="both"/>
        <w:rPr>
          <w:sz w:val="22"/>
          <w:szCs w:val="22"/>
        </w:rPr>
      </w:pPr>
      <w:r>
        <w:rPr>
          <w:sz w:val="22"/>
          <w:szCs w:val="22"/>
        </w:rPr>
      </w:r>
    </w:p>
    <w:p>
      <w:pPr>
        <w:pStyle w:val="normal1"/>
        <w:jc w:val="both"/>
        <w:rPr>
          <w:sz w:val="22"/>
          <w:szCs w:val="22"/>
        </w:rPr>
      </w:pPr>
      <w:r>
        <w:rPr>
          <w:sz w:val="22"/>
          <w:szCs w:val="22"/>
        </w:rPr>
      </w:r>
    </w:p>
    <w:p>
      <w:pPr>
        <w:pStyle w:val="normal1"/>
        <w:jc w:val="both"/>
        <w:rPr>
          <w:sz w:val="22"/>
          <w:szCs w:val="22"/>
        </w:rPr>
      </w:pPr>
      <w:r>
        <w:rPr>
          <w:sz w:val="22"/>
          <w:szCs w:val="22"/>
        </w:rPr>
      </w:r>
    </w:p>
    <w:p>
      <w:pPr>
        <w:pStyle w:val="normal1"/>
        <w:jc w:val="both"/>
        <w:rPr>
          <w:sz w:val="18"/>
          <w:szCs w:val="18"/>
        </w:rPr>
      </w:pPr>
      <w:r>
        <w:rPr>
          <w:sz w:val="22"/>
          <w:szCs w:val="22"/>
        </w:rPr>
        <w:t>Pour la CFDT, X</w:t>
      </w:r>
    </w:p>
    <w:p>
      <w:pPr>
        <w:pStyle w:val="normal1"/>
        <w:rPr>
          <w:color w:val="263238"/>
          <w:sz w:val="18"/>
          <w:szCs w:val="18"/>
        </w:rPr>
      </w:pPr>
      <w:r>
        <w:rPr>
          <w:color w:val="263238"/>
          <w:sz w:val="18"/>
          <w:szCs w:val="18"/>
        </w:rPr>
        <mc:AlternateContent>
          <mc:Choice Requires="wps">
            <w:drawing>
              <wp:anchor behindDoc="0" distT="0" distB="0" distL="0" distR="0" simplePos="0" locked="0" layoutInCell="1" allowOverlap="1" relativeHeight="13">
                <wp:simplePos x="0" y="0"/>
                <wp:positionH relativeFrom="column">
                  <wp:posOffset>6200775</wp:posOffset>
                </wp:positionH>
                <wp:positionV relativeFrom="paragraph">
                  <wp:posOffset>51435</wp:posOffset>
                </wp:positionV>
                <wp:extent cx="3524250" cy="2491740"/>
                <wp:effectExtent l="0" t="0" r="0" b="0"/>
                <wp:wrapNone/>
                <wp:docPr id="1" name="Shape 2"/>
                <a:graphic xmlns:a="http://schemas.openxmlformats.org/drawingml/2006/main">
                  <a:graphicData uri="http://schemas.microsoft.com/office/word/2010/wordprocessingShape">
                    <wps:wsp>
                      <wps:cNvSpPr/>
                      <wps:spPr>
                        <a:xfrm>
                          <a:off x="0" y="0"/>
                          <a:ext cx="3524400" cy="2491920"/>
                        </a:xfrm>
                        <a:prstGeom prst="rect">
                          <a:avLst/>
                        </a:prstGeom>
                        <a:noFill/>
                        <a:ln w="0">
                          <a:noFill/>
                        </a:ln>
                      </wps:spPr>
                      <wps:style>
                        <a:lnRef idx="0"/>
                        <a:fillRef idx="0"/>
                        <a:effectRef idx="0"/>
                        <a:fontRef idx="minor"/>
                      </wps:style>
                      <wps:bodyPr/>
                    </wps:wsp>
                  </a:graphicData>
                </a:graphic>
              </wp:anchor>
            </w:drawing>
          </mc:Choice>
          <mc:Fallback>
            <w:pict>
              <v:rect id="shape_0" stroked="f" o:allowincell="f" style="position:absolute;margin-left:488.25pt;margin-top:4.05pt;width:277.45pt;height:196.15pt;mso-wrap-style:none;v-text-anchor:middle">
                <v:fill o:detectmouseclick="t" on="false"/>
                <v:stroke color="#3465a4" joinstyle="round" endcap="flat"/>
                <w10:wrap type="none"/>
              </v:rect>
            </w:pict>
          </mc:Fallback>
        </mc:AlternateContent>
      </w:r>
    </w:p>
    <w:p>
      <w:pPr>
        <w:pStyle w:val="normal1"/>
        <w:rPr>
          <w:color w:val="263238"/>
          <w:sz w:val="18"/>
          <w:szCs w:val="18"/>
        </w:rPr>
      </w:pPr>
      <w:r>
        <w:rPr>
          <w:color w:val="263238"/>
          <w:sz w:val="18"/>
          <w:szCs w:val="18"/>
        </w:rPr>
      </w:r>
    </w:p>
    <w:p>
      <w:pPr>
        <w:pStyle w:val="normal1"/>
        <w:rPr>
          <w:color w:val="263238"/>
          <w:sz w:val="18"/>
          <w:szCs w:val="18"/>
        </w:rPr>
      </w:pPr>
      <w:r>
        <w:rPr>
          <w:color w:val="263238"/>
          <w:sz w:val="18"/>
          <w:szCs w:val="18"/>
        </w:rPr>
      </w:r>
    </w:p>
    <w:p>
      <w:pPr>
        <w:pStyle w:val="normal1"/>
        <w:rPr>
          <w:color w:val="263238"/>
          <w:sz w:val="18"/>
          <w:szCs w:val="18"/>
        </w:rPr>
      </w:pPr>
      <w:r>
        <w:rPr>
          <w:color w:val="263238"/>
          <w:sz w:val="18"/>
          <w:szCs w:val="18"/>
        </w:rPr>
      </w:r>
    </w:p>
    <w:p>
      <w:pPr>
        <w:pStyle w:val="normal1"/>
        <w:rPr>
          <w:color w:val="263238"/>
          <w:sz w:val="18"/>
          <w:szCs w:val="18"/>
        </w:rPr>
      </w:pPr>
      <w:r>
        <w:rPr>
          <w:color w:val="263238"/>
          <w:sz w:val="18"/>
          <w:szCs w:val="18"/>
        </w:rPr>
      </w:r>
    </w:p>
    <w:p>
      <w:pPr>
        <w:pStyle w:val="normal1"/>
        <w:rPr>
          <w:color w:val="263238"/>
          <w:sz w:val="18"/>
          <w:szCs w:val="18"/>
        </w:rPr>
      </w:pPr>
      <w:r>
        <w:rPr>
          <w:color w:val="263238"/>
          <w:sz w:val="18"/>
          <w:szCs w:val="18"/>
        </w:rPr>
      </w:r>
    </w:p>
    <w:p>
      <w:pPr>
        <w:pStyle w:val="normal1"/>
        <w:rPr>
          <w:color w:val="263238"/>
          <w:sz w:val="18"/>
          <w:szCs w:val="18"/>
        </w:rPr>
      </w:pPr>
      <w:r>
        <w:rPr>
          <w:color w:val="263238"/>
          <w:sz w:val="18"/>
          <w:szCs w:val="18"/>
        </w:rPr>
      </w:r>
    </w:p>
    <w:p>
      <w:pPr>
        <w:pStyle w:val="normal1"/>
        <w:rPr>
          <w:color w:val="263238"/>
          <w:sz w:val="18"/>
          <w:szCs w:val="18"/>
        </w:rPr>
      </w:pPr>
      <w:r>
        <w:rPr>
          <w:color w:val="263238"/>
          <w:sz w:val="18"/>
          <w:szCs w:val="18"/>
        </w:rPr>
      </w:r>
    </w:p>
    <w:p>
      <w:pPr>
        <w:pStyle w:val="normal1"/>
        <w:rPr>
          <w:color w:val="263238"/>
          <w:sz w:val="18"/>
          <w:szCs w:val="18"/>
        </w:rPr>
      </w:pPr>
      <w:r>
        <w:rPr>
          <w:color w:val="263238"/>
          <w:sz w:val="18"/>
          <w:szCs w:val="18"/>
        </w:rPr>
      </w:r>
    </w:p>
    <w:p>
      <w:pPr>
        <w:pStyle w:val="normal1"/>
        <w:rPr>
          <w:color w:val="263238"/>
          <w:sz w:val="18"/>
          <w:szCs w:val="18"/>
        </w:rPr>
      </w:pPr>
      <w:r>
        <w:rPr>
          <w:color w:val="263238"/>
          <w:sz w:val="18"/>
          <w:szCs w:val="18"/>
        </w:rPr>
      </w:r>
    </w:p>
    <w:sectPr>
      <w:headerReference w:type="even" r:id="rId2"/>
      <w:headerReference w:type="default" r:id="rId3"/>
      <w:headerReference w:type="first" r:id="rId4"/>
      <w:footerReference w:type="even" r:id="rId5"/>
      <w:footerReference w:type="default" r:id="rId6"/>
      <w:footerReference w:type="first" r:id="rId7"/>
      <w:type w:val="nextPage"/>
      <w:pgSz w:w="11906" w:h="16838"/>
      <w:pgMar w:left="1418" w:right="1418" w:gutter="0" w:header="567" w:top="624" w:footer="0" w:bottom="510"/>
      <w:pgNumType w:start="1" w:fmt="decimal"/>
      <w:formProt w:val="false"/>
      <w:titlePg/>
      <w:textDirection w:val="lrTb"/>
      <w:docGrid w:type="default" w:linePitch="100" w:charSpace="0"/>
    </w:sectPr>
  </w:body>
</w:document>
</file>

<file path=word/fontTable.xml><?xml version="1.0" encoding="utf-8"?>
<w:fonts xmlns:w="http://schemas.openxmlformats.org/wordprocessingml/2006/main" xmlns:r="http://schemas.openxmlformats.org/officeDocument/2006/relationships">
  <w:font w:name="Times New Roman">
    <w:charset w:val="00" w:characterSet="windows-1252"/>
    <w:family w:val="roman"/>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 w:name="Symbol">
    <w:charset w:val="02"/>
    <w:family w:val="roman"/>
    <w:pitch w:val="variable"/>
    <w:embedRegular r:id="rId5" w:fontKey="{05014A78-CABC-4EF0-12AC-5CD89AEFDE05}"/>
  </w:font>
  <w:font w:name="Arial">
    <w:charset w:val="00" w:characterSet="windows-1252"/>
    <w:family w:val="swiss"/>
    <w:pitch w:val="variable"/>
    <w:embedRegular r:id="rId6" w:fontKey="{06014A78-CABC-4EF0-12AC-5CD89AEFDE06}"/>
    <w:embedBold r:id="rId7" w:fontKey="{07014A78-CABC-4EF0-12AC-5CD89AEFDE07}"/>
    <w:embedItalic r:id="rId8" w:fontKey="{08014A78-CABC-4EF0-12AC-5CD89AEFDE08}"/>
    <w:embedBoldItalic r:id="rId9" w:fontKey="{09014A78-CABC-4EF0-12AC-5CD89AEFDE09}"/>
  </w:font>
  <w:font w:name="Liberation Serif">
    <w:altName w:val="Times New Roman"/>
    <w:charset w:val="00" w:characterSet="windows-1252"/>
    <w:family w:val="roman"/>
    <w:pitch w:val="variable"/>
    <w:embedRegular r:id="rId10" w:fontKey="{0A014A78-CABC-4EF0-12AC-5CD89AEFDE0A}"/>
    <w:embedBold r:id="rId11" w:fontKey="{0B014A78-CABC-4EF0-12AC-5CD89AEFDE0B}"/>
    <w:embedItalic r:id="rId12" w:fontKey="{0C014A78-CABC-4EF0-12AC-5CD89AEFDE0C}"/>
    <w:embedBoldItalic r:id="rId13" w:fontKey="{0D014A78-CABC-4EF0-12AC-5CD89AEFDE0D}"/>
  </w:font>
  <w:font w:name="Arial">
    <w:charset w:val="01"/>
    <w:family w:val="auto"/>
    <w:pitch w:val="default"/>
    <w:embedRegular r:id="rId14" w:fontKey="{0E014A78-CABC-4EF0-12AC-5CD89AEFDE0E}"/>
    <w:embedBold r:id="rId15" w:fontKey="{0F014A78-CABC-4EF0-12AC-5CD89AEFDE0F}"/>
    <w:embedItalic r:id="rId16" w:fontKey="{10014A78-CABC-4EF0-12AC-5CD89AEFDE10}"/>
    <w:embedBoldItalic r:id="rId17" w:fontKey="{11014A78-CABC-4EF0-12AC-5CD89AEFDE11}"/>
  </w:font>
  <w:font w:name="Times New Roman">
    <w:charset w:val="01"/>
    <w:family w:val="auto"/>
    <w:pitch w:val="default"/>
    <w:embedRegular r:id="rId18" w:fontKey="{12014A78-CABC-4EF0-12AC-5CD89AEFDE12}"/>
    <w:embedBold r:id="rId19" w:fontKey="{13014A78-CABC-4EF0-12AC-5CD89AEFDE13}"/>
    <w:embedItalic r:id="rId20" w:fontKey="{14014A78-CABC-4EF0-12AC-5CD89AEFDE14}"/>
    <w:embedBoldItalic r:id="rId21" w:fontKey="{15014A78-CABC-4EF0-12AC-5CD89AEFDE15}"/>
  </w:font>
  <w:font w:name="Cambria">
    <w:charset w:val="01"/>
    <w:family w:val="auto"/>
    <w:pitch w:val="default"/>
    <w:embedRegular r:id="rId22" w:fontKey="{16014A78-CABC-4EF0-12AC-5CD89AEFDE16}"/>
    <w:embedBold r:id="rId23" w:fontKey="{17014A78-CABC-4EF0-12AC-5CD89AEFDE17}"/>
    <w:embedItalic r:id="rId24" w:fontKey="{18014A78-CABC-4EF0-12AC-5CD89AEFDE18}"/>
    <w:embedBoldItalic r:id="rId25" w:fontKey="{19014A78-CABC-4EF0-12AC-5CD89AEFDE19}"/>
  </w:font>
  <w:font w:name="Marianne">
    <w:charset w:val="01"/>
    <w:family w:val="auto"/>
    <w:pitch w:val="default"/>
    <w:embedRegular r:id="rId26" w:fontKey="{1A014A78-CABC-4EF0-12AC-5CD89AEFDE1A}"/>
    <w:embedBold r:id="rId27" w:fontKey="{1B014A78-CABC-4EF0-12AC-5CD89AEFDE1B}"/>
    <w:embedItalic r:id="rId28" w:fontKey="{1C014A78-CABC-4EF0-12AC-5CD89AEFDE1C}"/>
    <w:embedBoldItalic r:id="rId29" w:fontKey="{1D014A78-CABC-4EF0-12AC-5CD89AEFDE1D}"/>
  </w:font>
  <w:font w:name="Georgia">
    <w:charset w:val="01"/>
    <w:family w:val="auto"/>
    <w:pitch w:val="default"/>
    <w:embedRegular r:id="rId30" w:fontKey="{1E014A78-CABC-4EF0-12AC-5CD89AEFDE1E}"/>
    <w:embedBold r:id="rId31" w:fontKey="{1F014A78-CABC-4EF0-12AC-5CD89AEFDE1F}"/>
    <w:embedItalic r:id="rId32" w:fontKey="{20014A78-CABC-4EF0-12AC-5CD89AEFDE20}"/>
    <w:embedBoldItalic r:id="rId33" w:fontKey="{21014A78-CABC-4EF0-12AC-5CD89AEFDE21}"/>
  </w:font>
  <w:font w:name="Roboto">
    <w:charset w:val="01"/>
    <w:family w:val="auto"/>
    <w:pitch w:val="default"/>
    <w:embedRegular r:id="rId34" w:fontKey="{22014A78-CABC-4EF0-12AC-5CD89AEFDE22}"/>
    <w:embedBold r:id="rId35" w:fontKey="{23014A78-CABC-4EF0-12AC-5CD89AEFDE23}"/>
    <w:embedItalic r:id="rId36" w:fontKey="{24014A78-CABC-4EF0-12AC-5CD89AEFDE24}"/>
    <w:embedBoldItalic r:id="rId37" w:fontKey="{25014A78-CABC-4EF0-12AC-5CD89AEFDE25}"/>
  </w:font>
  <w:font w:name="FS Rufus">
    <w:charset w:val="01"/>
    <w:family w:val="auto"/>
    <w:pitch w:val="default"/>
  </w:font>
  <w:font w:name="Noto Sans Symbols">
    <w:charset w:val="01"/>
    <w:family w:val="swiss"/>
    <w:pitch w:val="default"/>
    <w:embedRegular r:id="rId38" w:fontKey="{26014A78-CABC-4EF0-12AC-5CD89AEFDE26}"/>
    <w:embedBold r:id="rId39" w:fontKey="{27014A78-CABC-4EF0-12AC-5CD89AEFDE27}"/>
    <w:embedItalic r:id="rId40" w:fontKey="{28014A78-CABC-4EF0-12AC-5CD89AEFDE28}"/>
  </w:font>
  <w:font w:name="Courier New">
    <w:charset w:val="01"/>
    <w:family w:val="modern"/>
    <w:pitch w:val="fixed"/>
    <w:embedRegular r:id="rId41" w:fontKey="{29014A78-CABC-4EF0-12AC-5CD89AEFDE29}"/>
    <w:embedBold r:id="rId42" w:fontKey="{2A014A78-CABC-4EF0-12AC-5CD89AEFDE2A}"/>
    <w:embedItalic r:id="rId43" w:fontKey="{2B014A78-CABC-4EF0-12AC-5CD89AEFDE2B}"/>
    <w:embedBoldItalic r:id="rId44" w:fontKey="{2C014A78-CABC-4EF0-12AC-5CD89AEFDE2C}"/>
  </w:font>
  <w:font w:name="OpenSymbol">
    <w:altName w:val="Arial Unicode MS"/>
    <w:charset w:val="01"/>
    <w:family w:val="auto"/>
    <w:pitch w:val="default"/>
    <w:embedRegular r:id="rId45" w:fontKey="{2D014A78-CABC-4EF0-12AC-5CD89AEFDE2D}"/>
    <w:embedBold r:id="rId46" w:fontKey="{2E014A78-CABC-4EF0-12AC-5CD89AEFDE2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pageBreakBefore w:val="false"/>
      <w:rPr>
        <w:rFonts w:ascii="Roboto" w:hAnsi="Roboto" w:eastAsia="Roboto" w:cs="Roboto"/>
        <w:b/>
        <w:bCs/>
        <w:color w:val="263238"/>
        <w:sz w:val="16"/>
        <w:szCs w:val="16"/>
      </w:rPr>
    </w:pPr>
    <w:r>
      <w:rPr>
        <w:rFonts w:eastAsia="Roboto" w:cs="Roboto" w:ascii="Roboto" w:hAnsi="Roboto"/>
        <w:b/>
        <w:bCs/>
        <w:color w:val="263238"/>
        <w:sz w:val="16"/>
        <w:szCs w:val="16"/>
      </w:rPr>
    </w:r>
  </w:p>
  <w:p>
    <w:pPr>
      <w:pStyle w:val="normal1"/>
      <w:keepNext w:val="false"/>
      <w:keepLines w:val="false"/>
      <w:widowControl/>
      <w:pBdr/>
      <w:shd w:val="clear" w:fill="auto"/>
      <w:spacing w:lineRule="auto" w:line="19" w:before="0" w:after="0"/>
      <w:ind w:hanging="0" w:start="0" w:end="0"/>
      <w:jc w:val="start"/>
      <w:rPr>
        <w:rFonts w:ascii="Arial" w:hAnsi="Arial" w:eastAsia="Arial" w:cs="Arial"/>
        <w:b w:val="false"/>
        <w:bCs w:val="false"/>
        <w:i w:val="false"/>
        <w:iCs w:val="false"/>
        <w:caps w:val="false"/>
        <w:smallCaps w:val="false"/>
        <w:strike w:val="false"/>
        <w:dstrike w:val="false"/>
        <w:color w:val="000000"/>
        <w:position w:val="0"/>
        <w:sz w:val="20"/>
        <w:szCs w:val="20"/>
        <w:u w:val="none"/>
        <w:shd w:fill="auto" w:val="clear"/>
        <w:vertAlign w:val="baseline"/>
      </w:rPr>
    </w:pPr>
    <w:r>
      <w:rPr>
        <w:rFonts w:eastAsia="Arial" w:cs="Arial"/>
        <w:b w:val="false"/>
        <w:bCs w:val="false"/>
        <w:i w:val="false"/>
        <w:iCs w:val="false"/>
        <w:caps w:val="false"/>
        <w:smallCaps w:val="false"/>
        <w:strike w:val="false"/>
        <w:dstrike w:val="false"/>
        <w:color w:val="000000"/>
        <w:position w:val="0"/>
        <w:sz w:val="20"/>
        <w:szCs w:val="20"/>
        <w:u w:val="none"/>
        <w:shd w:fill="auto" w:val="clear"/>
        <w:vertAlign w:val="baseline"/>
      </w:rPr>
      <w:drawing>
        <wp:anchor behindDoc="1" distT="0" distB="0" distL="0" distR="0" simplePos="0" locked="0" layoutInCell="1" allowOverlap="1" relativeHeight="12">
          <wp:simplePos x="0" y="0"/>
          <wp:positionH relativeFrom="column">
            <wp:posOffset>-1910080</wp:posOffset>
          </wp:positionH>
          <wp:positionV relativeFrom="paragraph">
            <wp:posOffset>1209675</wp:posOffset>
          </wp:positionV>
          <wp:extent cx="1124585" cy="1143000"/>
          <wp:effectExtent l="0" t="0" r="0" b="0"/>
          <wp:wrapNone/>
          <wp:docPr id="4"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png"/>
                  <pic:cNvPicPr>
                    <a:picLocks noChangeAspect="1" noChangeArrowheads="1"/>
                  </pic:cNvPicPr>
                </pic:nvPicPr>
                <pic:blipFill>
                  <a:blip r:embed="rId1"/>
                  <a:srcRect l="-650703" t="-54992" r="650703" b="54992"/>
                  <a:stretch>
                    <a:fillRect/>
                  </a:stretch>
                </pic:blipFill>
                <pic:spPr bwMode="auto">
                  <a:xfrm>
                    <a:off x="0" y="0"/>
                    <a:ext cx="1124585" cy="1143000"/>
                  </a:xfrm>
                  <a:prstGeom prst="rect">
                    <a:avLst/>
                  </a:prstGeom>
                  <a:noFill/>
                </pic:spPr>
              </pic:pic>
            </a:graphicData>
          </a:graphic>
        </wp:anchor>
      </w:drawing>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widowControl w:val="false"/>
      <w:spacing w:lineRule="auto" w:line="276"/>
      <w:rPr/>
    </w:pPr>
    <w:r>
      <w:rPr/>
    </w:r>
  </w:p>
  <w:tbl>
    <w:tblPr>
      <w:tblStyle w:val="Table1"/>
      <w:tblW w:w="9090" w:type="dxa"/>
      <w:jc w:val="start"/>
      <w:tblInd w:w="-130" w:type="dxa"/>
      <w:tblLayout w:type="fixed"/>
      <w:tblCellMar>
        <w:top w:w="0" w:type="dxa"/>
        <w:start w:w="108" w:type="dxa"/>
        <w:bottom w:w="0" w:type="dxa"/>
        <w:end w:w="108" w:type="dxa"/>
      </w:tblCellMar>
      <w:tblLook w:val="0000"/>
    </w:tblPr>
    <w:tblGrid>
      <w:gridCol w:w="5654"/>
      <w:gridCol w:w="3436"/>
    </w:tblGrid>
    <w:tr>
      <w:trPr>
        <w:trHeight w:val="580" w:hRule="atLeast"/>
      </w:trPr>
      <w:tc>
        <w:tcPr>
          <w:tcW w:w="5654" w:type="dxa"/>
          <w:tcBorders/>
          <w:shd w:fill="auto" w:val="clear"/>
        </w:tcPr>
        <w:p>
          <w:pPr>
            <w:pStyle w:val="normal1"/>
            <w:rPr>
              <w:rFonts w:ascii="FS Rufus" w:hAnsi="FS Rufus" w:eastAsia="FS Rufus" w:cs="FS Rufus"/>
              <w:b/>
              <w:bCs/>
              <w:color w:val="505050"/>
              <w:sz w:val="14"/>
              <w:szCs w:val="14"/>
            </w:rPr>
          </w:pPr>
          <w:r>
            <w:rPr>
              <w:rFonts w:eastAsia="FS Rufus" w:cs="FS Rufus" w:ascii="FS Rufus" w:hAnsi="FS Rufus"/>
              <w:b/>
              <w:bCs/>
              <w:color w:val="505050"/>
              <w:sz w:val="14"/>
              <w:szCs w:val="14"/>
            </w:rPr>
            <w:t>NETRA</w:t>
          </w:r>
        </w:p>
        <w:p>
          <w:pPr>
            <w:pStyle w:val="normal1"/>
            <w:rPr>
              <w:rFonts w:ascii="FS Rufus" w:hAnsi="FS Rufus" w:eastAsia="FS Rufus" w:cs="FS Rufus"/>
              <w:i/>
              <w:iCs/>
              <w:color w:val="505050"/>
              <w:sz w:val="14"/>
              <w:szCs w:val="14"/>
            </w:rPr>
          </w:pPr>
          <w:r>
            <w:rPr>
              <w:rFonts w:eastAsia="FS Rufus" w:cs="FS Rufus" w:ascii="FS Rufus" w:hAnsi="FS Rufus"/>
              <w:i/>
              <w:iCs/>
              <w:color w:val="505050"/>
              <w:sz w:val="14"/>
              <w:szCs w:val="14"/>
            </w:rPr>
            <w:t>Siège social : 8, allée Adolphe Bobierre - CS 13923 - 35039 RENNES Cedex</w:t>
          </w:r>
        </w:p>
        <w:p>
          <w:pPr>
            <w:pStyle w:val="normal1"/>
            <w:rPr>
              <w:rFonts w:ascii="FS Rufus" w:hAnsi="FS Rufus" w:eastAsia="FS Rufus" w:cs="FS Rufus"/>
              <w:i/>
              <w:iCs/>
              <w:color w:val="505050"/>
              <w:sz w:val="14"/>
              <w:szCs w:val="14"/>
            </w:rPr>
          </w:pPr>
          <w:r>
            <w:rPr>
              <w:rFonts w:eastAsia="FS Rufus" w:cs="FS Rufus" w:ascii="FS Rufus" w:hAnsi="FS Rufus"/>
              <w:i/>
              <w:iCs/>
              <w:color w:val="505050"/>
              <w:sz w:val="14"/>
              <w:szCs w:val="14"/>
            </w:rPr>
            <w:t>SAS au capital de 870.417 euros - NAF 3821 Z</w:t>
          </w:r>
        </w:p>
        <w:p>
          <w:pPr>
            <w:pStyle w:val="normal1"/>
            <w:rPr>
              <w:rFonts w:ascii="FS Rufus" w:hAnsi="FS Rufus" w:eastAsia="FS Rufus" w:cs="FS Rufus"/>
              <w:i/>
              <w:iCs/>
              <w:color w:val="505050"/>
              <w:sz w:val="14"/>
              <w:szCs w:val="14"/>
            </w:rPr>
          </w:pPr>
          <w:r>
            <w:rPr>
              <w:rFonts w:eastAsia="FS Rufus" w:cs="FS Rufus" w:ascii="FS Rufus" w:hAnsi="FS Rufus"/>
              <w:i/>
              <w:iCs/>
              <w:color w:val="505050"/>
              <w:sz w:val="14"/>
              <w:szCs w:val="14"/>
            </w:rPr>
            <w:t>709 200 174 RCS Rennes - N° Intracommunautaire FR 12 709 200 174</w:t>
          </w:r>
        </w:p>
        <w:p>
          <w:pPr>
            <w:pStyle w:val="normal1"/>
            <w:rPr>
              <w:rFonts w:ascii="FS Rufus" w:hAnsi="FS Rufus" w:eastAsia="FS Rufus" w:cs="FS Rufus"/>
              <w:i/>
              <w:iCs/>
              <w:color w:val="505050"/>
              <w:sz w:val="14"/>
              <w:szCs w:val="14"/>
            </w:rPr>
          </w:pPr>
          <w:r>
            <w:rPr>
              <w:rFonts w:eastAsia="FS Rufus" w:cs="FS Rufus" w:ascii="FS Rufus" w:hAnsi="FS Rufus"/>
              <w:i/>
              <w:iCs/>
              <w:color w:val="505050"/>
              <w:sz w:val="14"/>
              <w:szCs w:val="14"/>
            </w:rPr>
            <w:t>tél +33 (0)2 99 33 64 70 - fax +33 (0)2 99 33 64 75</w:t>
          </w:r>
        </w:p>
        <w:p>
          <w:pPr>
            <w:pStyle w:val="normal1"/>
            <w:rPr>
              <w:b/>
              <w:bCs/>
              <w:color w:val="505050"/>
              <w:sz w:val="16"/>
              <w:szCs w:val="16"/>
            </w:rPr>
          </w:pPr>
          <w:hyperlink r:id="rId1">
            <w:r>
              <w:rPr>
                <w:rStyle w:val="Style3"/>
                <w:rFonts w:eastAsia="FS Rufus" w:cs="FS Rufus" w:ascii="FS Rufus" w:hAnsi="FS Rufus"/>
                <w:i/>
                <w:iCs/>
                <w:color w:val="0000FF"/>
                <w:sz w:val="14"/>
                <w:szCs w:val="14"/>
                <w:u w:val="single"/>
              </w:rPr>
              <w:t>www.veolia.fr</w:t>
            </w:r>
          </w:hyperlink>
        </w:p>
      </w:tc>
      <w:tc>
        <w:tcPr>
          <w:tcW w:w="3436" w:type="dxa"/>
          <w:tcBorders/>
          <w:shd w:fill="auto" w:val="clear"/>
        </w:tcPr>
        <w:p>
          <w:pPr>
            <w:pStyle w:val="normal1"/>
            <w:rPr>
              <w:rFonts w:ascii="FS Rufus" w:hAnsi="FS Rufus" w:eastAsia="FS Rufus" w:cs="FS Rufus"/>
              <w:color w:val="505050"/>
              <w:sz w:val="14"/>
              <w:szCs w:val="14"/>
            </w:rPr>
          </w:pPr>
          <w:r>
            <w:rPr>
              <w:rFonts w:eastAsia="FS Rufus" w:cs="FS Rufus" w:ascii="FS Rufus" w:hAnsi="FS Rufus"/>
              <w:color w:val="505050"/>
              <w:sz w:val="14"/>
              <w:szCs w:val="14"/>
            </w:rPr>
            <w:t>NETRA</w:t>
          </w:r>
        </w:p>
        <w:p>
          <w:pPr>
            <w:pStyle w:val="normal1"/>
            <w:rPr>
              <w:rFonts w:ascii="FS Rufus" w:hAnsi="FS Rufus" w:eastAsia="FS Rufus" w:cs="FS Rufus"/>
              <w:color w:val="505050"/>
              <w:sz w:val="14"/>
              <w:szCs w:val="14"/>
            </w:rPr>
          </w:pPr>
          <w:r>
            <w:rPr>
              <w:rFonts w:eastAsia="FS Rufus" w:cs="FS Rufus" w:ascii="FS Rufus" w:hAnsi="FS Rufus"/>
              <w:color w:val="505050"/>
              <w:sz w:val="14"/>
              <w:szCs w:val="14"/>
            </w:rPr>
            <w:t>36 Rue Bahon Rault</w:t>
          </w:r>
        </w:p>
        <w:p>
          <w:pPr>
            <w:pStyle w:val="normal1"/>
            <w:rPr>
              <w:rFonts w:ascii="FS Rufus" w:hAnsi="FS Rufus" w:eastAsia="FS Rufus" w:cs="FS Rufus"/>
              <w:color w:val="505050"/>
              <w:sz w:val="14"/>
              <w:szCs w:val="14"/>
            </w:rPr>
          </w:pPr>
          <w:r>
            <w:rPr>
              <w:rFonts w:eastAsia="FS Rufus" w:cs="FS Rufus" w:ascii="FS Rufus" w:hAnsi="FS Rufus"/>
              <w:i/>
              <w:iCs/>
              <w:color w:val="505050"/>
              <w:sz w:val="14"/>
              <w:szCs w:val="14"/>
            </w:rPr>
            <w:t>CS 13923 - 35039 RENNES Cedex</w:t>
          </w:r>
          <w:r>
            <w:rPr>
              <w:rFonts w:eastAsia="FS Rufus" w:cs="FS Rufus" w:ascii="FS Rufus" w:hAnsi="FS Rufus"/>
              <w:color w:val="505050"/>
              <w:sz w:val="14"/>
              <w:szCs w:val="14"/>
            </w:rPr>
            <w:t xml:space="preserve"> </w:t>
          </w:r>
        </w:p>
        <w:p>
          <w:pPr>
            <w:pStyle w:val="normal1"/>
            <w:rPr>
              <w:rFonts w:ascii="FS Rufus" w:hAnsi="FS Rufus" w:eastAsia="FS Rufus" w:cs="FS Rufus"/>
              <w:color w:val="505050"/>
              <w:sz w:val="14"/>
              <w:szCs w:val="14"/>
            </w:rPr>
          </w:pPr>
          <w:r>
            <w:rPr>
              <w:rFonts w:eastAsia="FS Rufus" w:cs="FS Rufus" w:ascii="FS Rufus" w:hAnsi="FS Rufus"/>
              <w:color w:val="505050"/>
              <w:sz w:val="14"/>
              <w:szCs w:val="14"/>
            </w:rPr>
            <w:t>Siret 709 200 174 00023 – RCS RENNES</w:t>
          </w:r>
        </w:p>
        <w:p>
          <w:pPr>
            <w:pStyle w:val="normal1"/>
            <w:rPr>
              <w:rFonts w:ascii="FS Rufus" w:hAnsi="FS Rufus" w:eastAsia="FS Rufus" w:cs="FS Rufus"/>
              <w:color w:val="505050"/>
              <w:sz w:val="14"/>
              <w:szCs w:val="14"/>
            </w:rPr>
          </w:pPr>
          <w:r>
            <w:rPr>
              <w:rFonts w:eastAsia="FS Rufus" w:cs="FS Rufus" w:ascii="FS Rufus" w:hAnsi="FS Rufus"/>
              <w:color w:val="505050"/>
              <w:sz w:val="14"/>
              <w:szCs w:val="14"/>
            </w:rPr>
            <w:t>N° Intracommunautaire FR 12 709 200 174</w:t>
          </w:r>
        </w:p>
        <w:p>
          <w:pPr>
            <w:pStyle w:val="normal1"/>
            <w:rPr>
              <w:rFonts w:ascii="FS Rufus" w:hAnsi="FS Rufus" w:eastAsia="FS Rufus" w:cs="FS Rufus"/>
              <w:color w:val="505050"/>
              <w:sz w:val="14"/>
              <w:szCs w:val="14"/>
            </w:rPr>
          </w:pPr>
          <w:r>
            <w:rPr>
              <w:rFonts w:eastAsia="FS Rufus" w:cs="FS Rufus" w:ascii="FS Rufus" w:hAnsi="FS Rufus"/>
              <w:color w:val="505050"/>
              <w:sz w:val="14"/>
              <w:szCs w:val="14"/>
            </w:rPr>
            <w:t>NAF 3811Z</w:t>
          </w:r>
        </w:p>
      </w:tc>
    </w:tr>
  </w:tbl>
  <w:p>
    <w:pPr>
      <w:pStyle w:val="normal1"/>
      <w:rPr>
        <w:rFonts w:ascii="FS Rufus" w:hAnsi="FS Rufus" w:eastAsia="FS Rufus" w:cs="FS Rufus"/>
        <w:b/>
        <w:bCs/>
        <w:color w:val="505050"/>
        <w:sz w:val="14"/>
        <w:szCs w:val="14"/>
      </w:rPr>
    </w:pPr>
    <w:r>
      <w:rPr>
        <w:rFonts w:eastAsia="FS Rufus" w:cs="FS Rufus" w:ascii="FS Rufus" w:hAnsi="FS Rufus"/>
        <w:b/>
        <w:bCs/>
        <w:color w:val="505050"/>
        <w:sz w:val="14"/>
        <w:szCs w:val="14"/>
      </w:rPr>
    </w:r>
  </w:p>
  <w:p>
    <w:pPr>
      <w:pStyle w:val="normal1"/>
      <w:keepNext w:val="false"/>
      <w:keepLines w:val="false"/>
      <w:widowControl/>
      <w:pBdr/>
      <w:shd w:val="clear" w:fill="auto"/>
      <w:spacing w:lineRule="auto" w:line="281" w:before="0" w:after="0"/>
      <w:ind w:hanging="0" w:start="0" w:end="0"/>
      <w:jc w:val="end"/>
      <w:rPr>
        <w:sz w:val="22"/>
        <w:szCs w:val="22"/>
      </w:rPr>
    </w:pPr>
    <w:r>
      <w:rPr>
        <w:sz w:val="22"/>
        <w:szCs w:val="22"/>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keepNext w:val="false"/>
      <w:keepLines w:val="false"/>
      <w:widowControl/>
      <w:pBdr/>
      <w:shd w:val="clear" w:fill="auto"/>
      <w:spacing w:lineRule="auto" w:line="240" w:before="0" w:after="0"/>
      <w:ind w:hanging="0" w:start="0" w:end="0"/>
      <w:jc w:val="start"/>
      <w:rPr>
        <w:rFonts w:ascii="Arial" w:hAnsi="Arial" w:eastAsia="Arial" w:cs="Arial"/>
        <w:b w:val="false"/>
        <w:bCs w:val="false"/>
        <w:i w:val="false"/>
        <w:iCs w:val="false"/>
        <w:caps w:val="false"/>
        <w:smallCaps w:val="false"/>
        <w:strike w:val="false"/>
        <w:dstrike w:val="false"/>
        <w:color w:val="000000"/>
        <w:position w:val="0"/>
        <w:sz w:val="20"/>
        <w:szCs w:val="20"/>
        <w:u w:val="none"/>
        <w:shd w:fill="auto" w:val="clear"/>
        <w:vertAlign w:val="baseline"/>
      </w:rPr>
    </w:pPr>
    <w:r>
      <w:rPr>
        <w:rFonts w:eastAsia="Arial" w:cs="Arial"/>
        <w:b w:val="false"/>
        <w:bCs w:val="false"/>
        <w:i w:val="false"/>
        <w:iCs w:val="false"/>
        <w:caps w:val="false"/>
        <w:smallCaps w:val="false"/>
        <w:strike w:val="false"/>
        <w:dstrike w:val="false"/>
        <w:color w:val="000000"/>
        <w:position w:val="0"/>
        <w:sz w:val="20"/>
        <w:szCs w:val="20"/>
        <w:u w:val="none"/>
        <w:shd w:fill="auto" w:val="clear"/>
        <w:vertAlign w:val="baseline"/>
      </w:rPr>
    </w:r>
  </w:p>
  <w:p>
    <w:pPr>
      <w:pStyle w:val="normal1"/>
      <w:keepNext w:val="false"/>
      <w:keepLines w:val="false"/>
      <w:widowControl/>
      <w:pBdr/>
      <w:shd w:val="clear" w:fill="auto"/>
      <w:spacing w:lineRule="auto" w:line="240" w:before="0" w:after="0"/>
      <w:ind w:hanging="0" w:start="0" w:end="0"/>
      <w:jc w:val="start"/>
      <w:rPr>
        <w:rFonts w:ascii="Arial" w:hAnsi="Arial" w:eastAsia="Arial" w:cs="Arial"/>
        <w:b w:val="false"/>
        <w:bCs w:val="false"/>
        <w:i w:val="false"/>
        <w:iCs w:val="false"/>
        <w:caps w:val="false"/>
        <w:smallCaps w:val="false"/>
        <w:strike w:val="false"/>
        <w:dstrike w:val="false"/>
        <w:color w:val="000000"/>
        <w:position w:val="0"/>
        <w:sz w:val="20"/>
        <w:szCs w:val="20"/>
        <w:u w:val="none"/>
        <w:shd w:fill="auto" w:val="clear"/>
        <w:vertAlign w:val="baseline"/>
      </w:rPr>
    </w:pPr>
    <w:r>
      <w:rPr>
        <w:rFonts w:eastAsia="Arial" w:cs="Arial"/>
        <w:b w:val="false"/>
        <w:bCs w:val="false"/>
        <w:i w:val="false"/>
        <w:iCs w:val="false"/>
        <w:caps w:val="false"/>
        <w:smallCaps w:val="false"/>
        <w:strike w:val="false"/>
        <w:dstrike w:val="false"/>
        <w:color w:val="000000"/>
        <w:position w:val="0"/>
        <w:sz w:val="20"/>
        <w:szCs w:val="20"/>
        <w:u w:val="none"/>
        <w:shd w:fill="auto" w:val="clear"/>
        <w:vertAlign w:val="baseline"/>
      </w:rPr>
      <w:drawing>
        <wp:anchor behindDoc="1" distT="0" distB="0" distL="0" distR="0" simplePos="0" locked="0" layoutInCell="0" allowOverlap="1" relativeHeight="6">
          <wp:simplePos x="0" y="0"/>
          <wp:positionH relativeFrom="margin">
            <wp:align>center</wp:align>
          </wp:positionH>
          <wp:positionV relativeFrom="margin">
            <wp:align>top</wp:align>
          </wp:positionV>
          <wp:extent cx="3057525" cy="952500"/>
          <wp:effectExtent l="0" t="0" r="0" b="0"/>
          <wp:wrapSquare wrapText="bothSides"/>
          <wp:docPr id="2" name="image1.jpg" descr="logo_suite_veo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g" descr="logo_suite_veolia"/>
                  <pic:cNvPicPr>
                    <a:picLocks noChangeAspect="1" noChangeArrowheads="1"/>
                  </pic:cNvPicPr>
                </pic:nvPicPr>
                <pic:blipFill>
                  <a:blip r:embed="rId1"/>
                  <a:stretch>
                    <a:fillRect/>
                  </a:stretch>
                </pic:blipFill>
                <pic:spPr bwMode="auto">
                  <a:xfrm>
                    <a:off x="0" y="0"/>
                    <a:ext cx="3057525" cy="952500"/>
                  </a:xfrm>
                  <a:prstGeom prst="rect">
                    <a:avLst/>
                  </a:prstGeom>
                  <a:noFill/>
                </pic:spPr>
              </pic:pic>
            </a:graphicData>
          </a:graphic>
        </wp:anchor>
      </w:drawing>
    </w:r>
  </w:p>
  <w:p>
    <w:pPr>
      <w:pStyle w:val="normal1"/>
      <w:keepNext w:val="false"/>
      <w:keepLines w:val="false"/>
      <w:widowControl/>
      <w:pBdr/>
      <w:shd w:val="clear" w:fill="auto"/>
      <w:spacing w:lineRule="auto" w:line="240" w:before="0" w:after="0"/>
      <w:ind w:hanging="0" w:start="0" w:end="0"/>
      <w:jc w:val="start"/>
      <w:rPr>
        <w:rFonts w:ascii="Arial" w:hAnsi="Arial" w:eastAsia="Arial" w:cs="Arial"/>
        <w:b w:val="false"/>
        <w:bCs w:val="false"/>
        <w:i w:val="false"/>
        <w:iCs w:val="false"/>
        <w:caps w:val="false"/>
        <w:smallCaps w:val="false"/>
        <w:strike w:val="false"/>
        <w:dstrike w:val="false"/>
        <w:color w:val="000000"/>
        <w:position w:val="0"/>
        <w:sz w:val="20"/>
        <w:szCs w:val="20"/>
        <w:u w:val="none"/>
        <w:shd w:fill="auto" w:val="clear"/>
        <w:vertAlign w:val="baseline"/>
      </w:rPr>
    </w:pPr>
    <w:r>
      <w:rPr>
        <w:rFonts w:eastAsia="Arial" w:cs="Arial"/>
        <w:b w:val="false"/>
        <w:bCs w:val="false"/>
        <w:i w:val="false"/>
        <w:iCs w:val="false"/>
        <w:caps w:val="false"/>
        <w:smallCaps w:val="false"/>
        <w:strike w:val="false"/>
        <w:dstrike w:val="false"/>
        <w:color w:val="000000"/>
        <w:position w:val="0"/>
        <w:sz w:val="20"/>
        <w:szCs w:val="20"/>
        <w:u w:val="none"/>
        <w:shd w:fill="auto" w:val="clear"/>
        <w:vertAlign w:val="baseline"/>
      </w:rPr>
    </w:r>
  </w:p>
  <w:p>
    <w:pPr>
      <w:pStyle w:val="normal1"/>
      <w:keepNext w:val="false"/>
      <w:keepLines w:val="false"/>
      <w:widowControl/>
      <w:pBdr/>
      <w:shd w:val="clear" w:fill="auto"/>
      <w:spacing w:lineRule="auto" w:line="240" w:before="0" w:after="0"/>
      <w:ind w:hanging="0" w:start="0" w:end="0"/>
      <w:jc w:val="start"/>
      <w:rPr>
        <w:rFonts w:ascii="Arial" w:hAnsi="Arial" w:eastAsia="Arial" w:cs="Arial"/>
        <w:b w:val="false"/>
        <w:bCs w:val="false"/>
        <w:i w:val="false"/>
        <w:iCs w:val="false"/>
        <w:caps w:val="false"/>
        <w:smallCaps w:val="false"/>
        <w:strike w:val="false"/>
        <w:dstrike w:val="false"/>
        <w:color w:val="000000"/>
        <w:position w:val="0"/>
        <w:sz w:val="20"/>
        <w:szCs w:val="20"/>
        <w:u w:val="none"/>
        <w:shd w:fill="auto" w:val="clear"/>
        <w:vertAlign w:val="baseline"/>
      </w:rPr>
    </w:pPr>
    <w:r>
      <w:rPr>
        <w:rFonts w:eastAsia="Arial" w:cs="Arial"/>
        <w:b w:val="false"/>
        <w:bCs w:val="false"/>
        <w:i w:val="false"/>
        <w:iCs w:val="false"/>
        <w:caps w:val="false"/>
        <w:smallCaps w:val="false"/>
        <w:strike w:val="false"/>
        <w:dstrike w:val="false"/>
        <w:color w:val="000000"/>
        <w:position w:val="0"/>
        <w:sz w:val="20"/>
        <w:szCs w:val="20"/>
        <w:u w:val="none"/>
        <w:shd w:fill="auto" w:val="clear"/>
        <w:vertAlign w:val="baseline"/>
      </w:rPr>
    </w:r>
  </w:p>
  <w:p>
    <w:pPr>
      <w:pStyle w:val="normal1"/>
      <w:keepNext w:val="false"/>
      <w:keepLines w:val="false"/>
      <w:widowControl/>
      <w:pBdr/>
      <w:shd w:val="clear" w:fill="auto"/>
      <w:spacing w:lineRule="auto" w:line="240" w:before="0" w:after="0"/>
      <w:ind w:hanging="0" w:start="0" w:end="0"/>
      <w:jc w:val="start"/>
      <w:rPr>
        <w:rFonts w:ascii="Arial" w:hAnsi="Arial" w:eastAsia="Arial" w:cs="Arial"/>
        <w:b w:val="false"/>
        <w:bCs w:val="false"/>
        <w:i w:val="false"/>
        <w:iCs w:val="false"/>
        <w:caps w:val="false"/>
        <w:smallCaps w:val="false"/>
        <w:strike w:val="false"/>
        <w:dstrike w:val="false"/>
        <w:color w:val="000000"/>
        <w:position w:val="0"/>
        <w:sz w:val="20"/>
        <w:szCs w:val="20"/>
        <w:u w:val="none"/>
        <w:shd w:fill="auto" w:val="clear"/>
        <w:vertAlign w:val="baseline"/>
      </w:rPr>
    </w:pPr>
    <w:r>
      <w:rPr>
        <w:rFonts w:eastAsia="Arial" w:cs="Arial"/>
        <w:b w:val="false"/>
        <w:bCs w:val="false"/>
        <w:i w:val="false"/>
        <w:iCs w:val="false"/>
        <w:caps w:val="false"/>
        <w:smallCaps w:val="false"/>
        <w:strike w:val="false"/>
        <w:dstrike w:val="false"/>
        <w:color w:val="000000"/>
        <w:position w:val="0"/>
        <w:sz w:val="20"/>
        <w:szCs w:val="20"/>
        <w:u w:val="none"/>
        <w:shd w:fill="auto" w:val="clear"/>
        <w:vertAlign w:val="baseline"/>
      </w:rPr>
    </w:r>
  </w:p>
  <w:p>
    <w:pPr>
      <w:pStyle w:val="normal1"/>
      <w:keepNext w:val="false"/>
      <w:keepLines w:val="false"/>
      <w:widowControl/>
      <w:pBdr/>
      <w:shd w:val="clear" w:fill="auto"/>
      <w:spacing w:lineRule="auto" w:line="240" w:before="0" w:after="0"/>
      <w:ind w:hanging="0" w:start="0" w:end="0"/>
      <w:jc w:val="start"/>
      <w:rPr>
        <w:rFonts w:ascii="Arial" w:hAnsi="Arial" w:eastAsia="Arial" w:cs="Arial"/>
        <w:b w:val="false"/>
        <w:bCs w:val="false"/>
        <w:i w:val="false"/>
        <w:iCs w:val="false"/>
        <w:caps w:val="false"/>
        <w:smallCaps w:val="false"/>
        <w:strike w:val="false"/>
        <w:dstrike w:val="false"/>
        <w:color w:val="000000"/>
        <w:position w:val="0"/>
        <w:sz w:val="20"/>
        <w:szCs w:val="20"/>
        <w:u w:val="none"/>
        <w:shd w:fill="auto" w:val="clear"/>
        <w:vertAlign w:val="baseline"/>
      </w:rPr>
    </w:pPr>
    <w:r>
      <w:rPr>
        <w:rFonts w:eastAsia="Arial" w:cs="Arial"/>
        <w:b w:val="false"/>
        <w:bCs w:val="false"/>
        <w:i w:val="false"/>
        <w:iCs w:val="false"/>
        <w:caps w:val="false"/>
        <w:smallCaps w:val="false"/>
        <w:strike w:val="false"/>
        <w:dstrike w:val="false"/>
        <w:color w:val="000000"/>
        <w:position w:val="0"/>
        <w:sz w:val="20"/>
        <w:szCs w:val="20"/>
        <w:u w:val="none"/>
        <w:shd w:fill="auto" w:val="clear"/>
        <w:vertAlign w:val="baseline"/>
      </w:rPr>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keepNext w:val="false"/>
      <w:keepLines w:val="false"/>
      <w:widowControl/>
      <w:pBdr/>
      <w:shd w:val="clear" w:fill="auto"/>
      <w:spacing w:lineRule="auto" w:line="240" w:before="0" w:after="0"/>
      <w:ind w:hanging="0" w:start="0" w:end="0"/>
      <w:jc w:val="start"/>
      <w:rPr>
        <w:rFonts w:ascii="Arial" w:hAnsi="Arial" w:eastAsia="Arial" w:cs="Arial"/>
        <w:b w:val="false"/>
        <w:bCs w:val="false"/>
        <w:i w:val="false"/>
        <w:iCs w:val="false"/>
        <w:caps w:val="false"/>
        <w:smallCaps w:val="false"/>
        <w:strike w:val="false"/>
        <w:dstrike w:val="false"/>
        <w:color w:val="000000"/>
        <w:position w:val="0"/>
        <w:sz w:val="20"/>
        <w:szCs w:val="20"/>
        <w:u w:val="none"/>
        <w:shd w:fill="auto" w:val="clear"/>
        <w:vertAlign w:val="baseline"/>
      </w:rPr>
    </w:pPr>
    <w:r>
      <w:rPr>
        <w:rFonts w:eastAsia="Arial" w:cs="Arial"/>
        <w:b w:val="false"/>
        <w:bCs w:val="false"/>
        <w:i w:val="false"/>
        <w:iCs w:val="false"/>
        <w:caps w:val="false"/>
        <w:smallCaps w:val="false"/>
        <w:strike w:val="false"/>
        <w:dstrike w:val="false"/>
        <w:color w:val="000000"/>
        <w:position w:val="0"/>
        <w:sz w:val="20"/>
        <w:szCs w:val="20"/>
        <w:u w:val="none"/>
        <w:shd w:fill="auto" w:val="clear"/>
        <w:vertAlign w:val="baseline"/>
      </w:rPr>
    </w:r>
  </w:p>
  <w:p>
    <w:pPr>
      <w:pStyle w:val="normal1"/>
      <w:keepNext w:val="false"/>
      <w:keepLines w:val="false"/>
      <w:widowControl/>
      <w:pBdr/>
      <w:shd w:val="clear" w:fill="auto"/>
      <w:spacing w:lineRule="auto" w:line="240" w:before="0" w:after="0"/>
      <w:ind w:hanging="0" w:start="0" w:end="0"/>
      <w:jc w:val="start"/>
      <w:rPr>
        <w:rFonts w:ascii="Arial" w:hAnsi="Arial" w:eastAsia="Arial" w:cs="Arial"/>
        <w:b w:val="false"/>
        <w:bCs w:val="false"/>
        <w:i w:val="false"/>
        <w:iCs w:val="false"/>
        <w:caps w:val="false"/>
        <w:smallCaps w:val="false"/>
        <w:strike w:val="false"/>
        <w:dstrike w:val="false"/>
        <w:color w:val="000000"/>
        <w:position w:val="0"/>
        <w:sz w:val="20"/>
        <w:szCs w:val="20"/>
        <w:u w:val="none"/>
        <w:shd w:fill="auto" w:val="clear"/>
        <w:vertAlign w:val="baseline"/>
      </w:rPr>
    </w:pPr>
    <w:r>
      <w:rPr>
        <w:rFonts w:eastAsia="Arial" w:cs="Arial"/>
        <w:b w:val="false"/>
        <w:bCs w:val="false"/>
        <w:i w:val="false"/>
        <w:iCs w:val="false"/>
        <w:caps w:val="false"/>
        <w:smallCaps w:val="false"/>
        <w:strike w:val="false"/>
        <w:dstrike w:val="false"/>
        <w:color w:val="000000"/>
        <w:position w:val="0"/>
        <w:sz w:val="20"/>
        <w:szCs w:val="20"/>
        <w:u w:val="none"/>
        <w:shd w:fill="auto" w:val="clear"/>
        <w:vertAlign w:val="baseline"/>
      </w:rPr>
    </w:r>
  </w:p>
  <w:p>
    <w:pPr>
      <w:pStyle w:val="normal1"/>
      <w:keepNext w:val="false"/>
      <w:keepLines w:val="false"/>
      <w:widowControl/>
      <w:pBdr/>
      <w:shd w:val="clear" w:fill="auto"/>
      <w:spacing w:lineRule="auto" w:line="240" w:before="0" w:after="0"/>
      <w:ind w:hanging="0" w:start="0" w:end="0"/>
      <w:jc w:val="start"/>
      <w:rPr>
        <w:rFonts w:ascii="Arial" w:hAnsi="Arial" w:eastAsia="Arial" w:cs="Arial"/>
        <w:b w:val="false"/>
        <w:bCs w:val="false"/>
        <w:i w:val="false"/>
        <w:iCs w:val="false"/>
        <w:caps w:val="false"/>
        <w:smallCaps w:val="false"/>
        <w:strike w:val="false"/>
        <w:dstrike w:val="false"/>
        <w:color w:val="000000"/>
        <w:position w:val="0"/>
        <w:sz w:val="20"/>
        <w:szCs w:val="20"/>
        <w:u w:val="none"/>
        <w:shd w:fill="auto" w:val="clear"/>
        <w:vertAlign w:val="baseline"/>
      </w:rPr>
    </w:pPr>
    <w:r>
      <w:rPr>
        <w:rFonts w:eastAsia="Arial" w:cs="Arial"/>
        <w:b w:val="false"/>
        <w:bCs w:val="false"/>
        <w:i w:val="false"/>
        <w:iCs w:val="false"/>
        <w:caps w:val="false"/>
        <w:smallCaps w:val="false"/>
        <w:strike w:val="false"/>
        <w:dstrike w:val="false"/>
        <w:color w:val="000000"/>
        <w:position w:val="0"/>
        <w:sz w:val="20"/>
        <w:szCs w:val="20"/>
        <w:u w:val="none"/>
        <w:shd w:fill="auto" w:val="clear"/>
        <w:vertAlign w:val="baseline"/>
      </w:rPr>
    </w:r>
  </w:p>
  <w:p>
    <w:pPr>
      <w:pStyle w:val="normal1"/>
      <w:keepNext w:val="false"/>
      <w:keepLines w:val="false"/>
      <w:widowControl/>
      <w:pBdr/>
      <w:shd w:val="clear" w:fill="auto"/>
      <w:spacing w:lineRule="auto" w:line="240" w:before="0" w:after="0"/>
      <w:ind w:hanging="0" w:start="720" w:end="0"/>
      <w:jc w:val="start"/>
      <w:rPr>
        <w:rFonts w:ascii="Arial" w:hAnsi="Arial" w:eastAsia="Arial" w:cs="Arial"/>
        <w:b w:val="false"/>
        <w:bCs w:val="false"/>
        <w:i w:val="false"/>
        <w:iCs w:val="false"/>
        <w:caps w:val="false"/>
        <w:smallCaps w:val="false"/>
        <w:strike w:val="false"/>
        <w:dstrike w:val="false"/>
        <w:color w:val="000000"/>
        <w:position w:val="0"/>
        <w:sz w:val="20"/>
        <w:szCs w:val="20"/>
        <w:u w:val="none"/>
        <w:shd w:fill="auto" w:val="clear"/>
        <w:vertAlign w:val="baseline"/>
      </w:rPr>
    </w:pPr>
    <w:r>
      <w:rPr>
        <w:rFonts w:eastAsia="Arial" w:cs="Arial"/>
        <w:b w:val="false"/>
        <w:bCs w:val="false"/>
        <w:i w:val="false"/>
        <w:iCs w:val="false"/>
        <w:caps w:val="false"/>
        <w:smallCaps w:val="false"/>
        <w:strike w:val="false"/>
        <w:dstrike w:val="false"/>
        <w:color w:val="000000"/>
        <w:position w:val="0"/>
        <w:sz w:val="20"/>
        <w:szCs w:val="20"/>
        <w:u w:val="none"/>
        <w:shd w:fill="auto" w:val="clear"/>
        <w:vertAlign w:val="baseline"/>
      </w:rPr>
      <w:drawing>
        <wp:anchor behindDoc="1" distT="0" distB="0" distL="0" distR="0" simplePos="0" locked="0" layoutInCell="0" allowOverlap="1" relativeHeight="7">
          <wp:simplePos x="0" y="0"/>
          <wp:positionH relativeFrom="margin">
            <wp:align>center</wp:align>
          </wp:positionH>
          <wp:positionV relativeFrom="margin">
            <wp:align>top</wp:align>
          </wp:positionV>
          <wp:extent cx="3057525" cy="952500"/>
          <wp:effectExtent l="0" t="0" r="0" b="0"/>
          <wp:wrapSquare wrapText="bothSides"/>
          <wp:docPr id="3" name="image2.jpg" descr="logo_veo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jpg" descr="logo_veolia"/>
                  <pic:cNvPicPr>
                    <a:picLocks noChangeAspect="1" noChangeArrowheads="1"/>
                  </pic:cNvPicPr>
                </pic:nvPicPr>
                <pic:blipFill>
                  <a:blip r:embed="rId1"/>
                  <a:stretch>
                    <a:fillRect/>
                  </a:stretch>
                </pic:blipFill>
                <pic:spPr bwMode="auto">
                  <a:xfrm>
                    <a:off x="0" y="0"/>
                    <a:ext cx="3057525" cy="952500"/>
                  </a:xfrm>
                  <a:prstGeom prst="rect">
                    <a:avLst/>
                  </a:prstGeom>
                  <a:noFill/>
                </pic:spPr>
              </pic:pic>
            </a:graphicData>
          </a:graphic>
        </wp:anchor>
      </w:drawing>
    </w:r>
  </w:p>
  <w:p>
    <w:pPr>
      <w:pStyle w:val="normal1"/>
      <w:keepNext w:val="false"/>
      <w:keepLines w:val="false"/>
      <w:widowControl/>
      <w:pBdr/>
      <w:shd w:val="clear" w:fill="auto"/>
      <w:spacing w:lineRule="auto" w:line="240" w:before="0" w:after="0"/>
      <w:ind w:hanging="0" w:start="0" w:end="0"/>
      <w:jc w:val="start"/>
      <w:rPr>
        <w:rFonts w:ascii="Arial" w:hAnsi="Arial" w:eastAsia="Arial" w:cs="Arial"/>
        <w:b w:val="false"/>
        <w:bCs w:val="false"/>
        <w:i w:val="false"/>
        <w:iCs w:val="false"/>
        <w:caps w:val="false"/>
        <w:smallCaps w:val="false"/>
        <w:strike w:val="false"/>
        <w:dstrike w:val="false"/>
        <w:color w:val="000000"/>
        <w:position w:val="0"/>
        <w:sz w:val="20"/>
        <w:szCs w:val="20"/>
        <w:u w:val="none"/>
        <w:shd w:fill="auto" w:val="clear"/>
        <w:vertAlign w:val="baseline"/>
      </w:rPr>
    </w:pPr>
    <w:r>
      <w:rPr>
        <w:rFonts w:eastAsia="Arial" w:cs="Arial"/>
        <w:b w:val="false"/>
        <w:bCs w:val="false"/>
        <w:i w:val="false"/>
        <w:iCs w:val="false"/>
        <w:caps w:val="false"/>
        <w:smallCaps w:val="false"/>
        <w:strike w:val="false"/>
        <w:dstrike w:val="false"/>
        <w:color w:val="000000"/>
        <w:position w:val="0"/>
        <w:sz w:val="20"/>
        <w:szCs w:val="20"/>
        <w:u w:val="none"/>
        <w:shd w:fill="auto" w:val="clear"/>
        <w:vertAlign w:val="baseline"/>
      </w:rPr>
    </w:r>
  </w:p>
  <w:p>
    <w:pPr>
      <w:pStyle w:val="normal1"/>
      <w:keepNext w:val="false"/>
      <w:keepLines w:val="false"/>
      <w:widowControl/>
      <w:pBdr/>
      <w:shd w:val="clear" w:fill="auto"/>
      <w:spacing w:lineRule="auto" w:line="240" w:before="0" w:after="0"/>
      <w:ind w:hanging="0" w:start="0" w:end="0"/>
      <w:jc w:val="start"/>
      <w:rPr>
        <w:rFonts w:ascii="Arial" w:hAnsi="Arial" w:eastAsia="Arial" w:cs="Arial"/>
        <w:b w:val="false"/>
        <w:bCs w:val="false"/>
        <w:i w:val="false"/>
        <w:iCs w:val="false"/>
        <w:caps w:val="false"/>
        <w:smallCaps w:val="false"/>
        <w:strike w:val="false"/>
        <w:dstrike w:val="false"/>
        <w:color w:val="000000"/>
        <w:position w:val="0"/>
        <w:sz w:val="20"/>
        <w:szCs w:val="20"/>
        <w:u w:val="none"/>
        <w:shd w:fill="auto" w:val="clear"/>
        <w:vertAlign w:val="baseline"/>
      </w:rPr>
    </w:pPr>
    <w:r>
      <w:rPr>
        <w:rFonts w:eastAsia="Arial" w:cs="Arial"/>
        <w:b w:val="false"/>
        <w:bCs w:val="false"/>
        <w:i w:val="false"/>
        <w:iCs w:val="false"/>
        <w:caps w:val="false"/>
        <w:smallCaps w:val="false"/>
        <w:strike w:val="false"/>
        <w:dstrike w:val="false"/>
        <w:color w:val="000000"/>
        <w:position w:val="0"/>
        <w:sz w:val="20"/>
        <w:szCs w:val="20"/>
        <w:u w:val="none"/>
        <w:shd w:fill="auto" w:val="clear"/>
        <w:vertAlign w:val="baseline"/>
      </w:rPr>
    </w:r>
  </w:p>
  <w:p>
    <w:pPr>
      <w:pStyle w:val="normal1"/>
      <w:keepNext w:val="false"/>
      <w:keepLines w:val="false"/>
      <w:widowControl/>
      <w:pBdr/>
      <w:shd w:val="clear" w:fill="auto"/>
      <w:spacing w:lineRule="auto" w:line="240" w:before="0" w:after="0"/>
      <w:ind w:hanging="0" w:start="0" w:end="0"/>
      <w:jc w:val="start"/>
      <w:rPr>
        <w:rFonts w:ascii="Arial" w:hAnsi="Arial" w:eastAsia="Arial" w:cs="Arial"/>
        <w:b w:val="false"/>
        <w:bCs w:val="false"/>
        <w:i w:val="false"/>
        <w:iCs w:val="false"/>
        <w:caps w:val="false"/>
        <w:smallCaps w:val="false"/>
        <w:strike w:val="false"/>
        <w:dstrike w:val="false"/>
        <w:color w:val="000000"/>
        <w:position w:val="0"/>
        <w:sz w:val="20"/>
        <w:szCs w:val="20"/>
        <w:u w:val="none"/>
        <w:shd w:fill="auto" w:val="clear"/>
        <w:vertAlign w:val="baseline"/>
      </w:rPr>
    </w:pPr>
    <w:r>
      <w:rPr>
        <w:rFonts w:eastAsia="Arial" w:cs="Arial"/>
        <w:b w:val="false"/>
        <w:bCs w:val="false"/>
        <w:i w:val="false"/>
        <w:iCs w:val="false"/>
        <w:caps w:val="false"/>
        <w:smallCaps w:val="false"/>
        <w:strike w:val="false"/>
        <w:dstrike w:val="false"/>
        <w:color w:val="000000"/>
        <w:position w:val="0"/>
        <w:sz w:val="20"/>
        <w:szCs w:val="20"/>
        <w:u w:val="none"/>
        <w:shd w:fill="auto" w:val="clear"/>
        <w:vertAlign w:val="baseline"/>
      </w:rPr>
    </w:r>
  </w:p>
  <w:p>
    <w:pPr>
      <w:pStyle w:val="normal1"/>
      <w:keepNext w:val="false"/>
      <w:keepLines w:val="false"/>
      <w:widowControl/>
      <w:pBdr/>
      <w:shd w:val="clear" w:fill="auto"/>
      <w:spacing w:lineRule="auto" w:line="240" w:before="0" w:after="0"/>
      <w:ind w:hanging="0" w:start="0" w:end="0"/>
      <w:jc w:val="start"/>
      <w:rPr>
        <w:rFonts w:ascii="Arial" w:hAnsi="Arial" w:eastAsia="Arial" w:cs="Arial"/>
        <w:b w:val="false"/>
        <w:bCs w:val="false"/>
        <w:i w:val="false"/>
        <w:iCs w:val="false"/>
        <w:caps w:val="false"/>
        <w:smallCaps w:val="false"/>
        <w:strike w:val="false"/>
        <w:dstrike w:val="false"/>
        <w:color w:val="000000"/>
        <w:position w:val="0"/>
        <w:sz w:val="20"/>
        <w:szCs w:val="20"/>
        <w:u w:val="none"/>
        <w:shd w:fill="auto" w:val="clear"/>
        <w:vertAlign w:val="baseline"/>
      </w:rPr>
    </w:pPr>
    <w:r>
      <w:rPr>
        <w:rFonts w:eastAsia="Arial" w:cs="Arial"/>
        <w:b w:val="false"/>
        <w:bCs w:val="false"/>
        <w:i w:val="false"/>
        <w:iCs w:val="false"/>
        <w:caps w:val="false"/>
        <w:smallCaps w:val="false"/>
        <w:strike w:val="false"/>
        <w:dstrike w:val="false"/>
        <w:color w:val="000000"/>
        <w:position w:val="0"/>
        <w:sz w:val="20"/>
        <w:szCs w:val="20"/>
        <w:u w:val="none"/>
        <w:shd w:fill="auto" w:val="clear"/>
        <w:vertAlign w:val="baseline"/>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bullet"/>
      <w:lvlText w:val="●"/>
      <w:lvlJc w:val="start"/>
      <w:pPr>
        <w:tabs>
          <w:tab w:val="num" w:pos="0"/>
        </w:tabs>
        <w:ind w:start="720" w:hanging="360"/>
      </w:pPr>
      <w:rPr>
        <w:rFonts w:ascii="Noto Sans Symbols" w:hAnsi="Noto Sans Symbols" w:cs="Noto Sans Symbols" w:hint="default"/>
        <w:position w:val="0"/>
        <w:sz w:val="20"/>
        <w:vertAlign w:val="baseline"/>
      </w:rPr>
    </w:lvl>
    <w:lvl w:ilvl="1">
      <w:start w:val="1"/>
      <w:numFmt w:val="bullet"/>
      <w:lvlText w:val="o"/>
      <w:lvlJc w:val="start"/>
      <w:pPr>
        <w:tabs>
          <w:tab w:val="num" w:pos="0"/>
        </w:tabs>
        <w:ind w:start="1440" w:hanging="360"/>
      </w:pPr>
      <w:rPr>
        <w:rFonts w:ascii="Courier New" w:hAnsi="Courier New" w:cs="Courier New" w:hint="default"/>
        <w:position w:val="0"/>
        <w:sz w:val="20"/>
        <w:vertAlign w:val="baseline"/>
      </w:rPr>
    </w:lvl>
    <w:lvl w:ilvl="2">
      <w:start w:val="1"/>
      <w:numFmt w:val="bullet"/>
      <w:lvlText w:val="▪"/>
      <w:lvlJc w:val="start"/>
      <w:pPr>
        <w:tabs>
          <w:tab w:val="num" w:pos="0"/>
        </w:tabs>
        <w:ind w:start="2160" w:hanging="360"/>
      </w:pPr>
      <w:rPr>
        <w:rFonts w:ascii="Noto Sans Symbols" w:hAnsi="Noto Sans Symbols" w:cs="Noto Sans Symbols" w:hint="default"/>
        <w:position w:val="0"/>
        <w:sz w:val="20"/>
        <w:vertAlign w:val="baseline"/>
      </w:rPr>
    </w:lvl>
    <w:lvl w:ilvl="3">
      <w:start w:val="1"/>
      <w:numFmt w:val="bullet"/>
      <w:lvlText w:val="●"/>
      <w:lvlJc w:val="start"/>
      <w:pPr>
        <w:tabs>
          <w:tab w:val="num" w:pos="0"/>
        </w:tabs>
        <w:ind w:start="2880" w:hanging="360"/>
      </w:pPr>
      <w:rPr>
        <w:rFonts w:ascii="Noto Sans Symbols" w:hAnsi="Noto Sans Symbols" w:cs="Noto Sans Symbols" w:hint="default"/>
        <w:position w:val="0"/>
        <w:sz w:val="20"/>
        <w:vertAlign w:val="baseline"/>
      </w:rPr>
    </w:lvl>
    <w:lvl w:ilvl="4">
      <w:start w:val="1"/>
      <w:numFmt w:val="bullet"/>
      <w:lvlText w:val="o"/>
      <w:lvlJc w:val="start"/>
      <w:pPr>
        <w:tabs>
          <w:tab w:val="num" w:pos="0"/>
        </w:tabs>
        <w:ind w:start="3600" w:hanging="360"/>
      </w:pPr>
      <w:rPr>
        <w:rFonts w:ascii="Courier New" w:hAnsi="Courier New" w:cs="Courier New" w:hint="default"/>
        <w:position w:val="0"/>
        <w:sz w:val="20"/>
        <w:vertAlign w:val="baseline"/>
      </w:rPr>
    </w:lvl>
    <w:lvl w:ilvl="5">
      <w:start w:val="1"/>
      <w:numFmt w:val="bullet"/>
      <w:lvlText w:val="▪"/>
      <w:lvlJc w:val="start"/>
      <w:pPr>
        <w:tabs>
          <w:tab w:val="num" w:pos="0"/>
        </w:tabs>
        <w:ind w:start="4320" w:hanging="360"/>
      </w:pPr>
      <w:rPr>
        <w:rFonts w:ascii="Noto Sans Symbols" w:hAnsi="Noto Sans Symbols" w:cs="Noto Sans Symbols" w:hint="default"/>
        <w:position w:val="0"/>
        <w:sz w:val="20"/>
        <w:vertAlign w:val="baseline"/>
      </w:rPr>
    </w:lvl>
    <w:lvl w:ilvl="6">
      <w:start w:val="1"/>
      <w:numFmt w:val="bullet"/>
      <w:lvlText w:val="●"/>
      <w:lvlJc w:val="start"/>
      <w:pPr>
        <w:tabs>
          <w:tab w:val="num" w:pos="0"/>
        </w:tabs>
        <w:ind w:start="5040" w:hanging="360"/>
      </w:pPr>
      <w:rPr>
        <w:rFonts w:ascii="Noto Sans Symbols" w:hAnsi="Noto Sans Symbols" w:cs="Noto Sans Symbols" w:hint="default"/>
        <w:position w:val="0"/>
        <w:sz w:val="20"/>
        <w:vertAlign w:val="baseline"/>
      </w:rPr>
    </w:lvl>
    <w:lvl w:ilvl="7">
      <w:start w:val="1"/>
      <w:numFmt w:val="bullet"/>
      <w:lvlText w:val="o"/>
      <w:lvlJc w:val="start"/>
      <w:pPr>
        <w:tabs>
          <w:tab w:val="num" w:pos="0"/>
        </w:tabs>
        <w:ind w:start="5760" w:hanging="360"/>
      </w:pPr>
      <w:rPr>
        <w:rFonts w:ascii="Courier New" w:hAnsi="Courier New" w:cs="Courier New" w:hint="default"/>
        <w:position w:val="0"/>
        <w:sz w:val="20"/>
        <w:vertAlign w:val="baseline"/>
      </w:rPr>
    </w:lvl>
    <w:lvl w:ilvl="8">
      <w:start w:val="1"/>
      <w:numFmt w:val="bullet"/>
      <w:lvlText w:val="▪"/>
      <w:lvlJc w:val="start"/>
      <w:pPr>
        <w:tabs>
          <w:tab w:val="num" w:pos="0"/>
        </w:tabs>
        <w:ind w:start="6480" w:hanging="360"/>
      </w:pPr>
      <w:rPr>
        <w:rFonts w:ascii="Noto Sans Symbols" w:hAnsi="Noto Sans Symbols" w:cs="Noto Sans Symbols" w:hint="default"/>
        <w:position w:val="0"/>
        <w:sz w:val="20"/>
        <w:vertAlign w:val="baseline"/>
      </w:rPr>
    </w:lvl>
  </w:abstractNum>
  <w:abstractNum w:abstractNumId="2">
    <w:lvl w:ilvl="0">
      <w:start w:val="1"/>
      <w:numFmt w:val="bullet"/>
      <w:lvlText w:val="-"/>
      <w:lvlJc w:val="start"/>
      <w:pPr>
        <w:tabs>
          <w:tab w:val="num" w:pos="0"/>
        </w:tabs>
        <w:ind w:start="720" w:hanging="360"/>
      </w:pPr>
      <w:rPr>
        <w:rFonts w:ascii="OpenSymbol" w:hAnsi="OpenSymbol" w:cs="OpenSymbol" w:hint="default"/>
        <w:u w:val="none"/>
      </w:rPr>
    </w:lvl>
    <w:lvl w:ilvl="1">
      <w:start w:val="1"/>
      <w:numFmt w:val="bullet"/>
      <w:lvlText w:val="-"/>
      <w:lvlJc w:val="start"/>
      <w:pPr>
        <w:tabs>
          <w:tab w:val="num" w:pos="0"/>
        </w:tabs>
        <w:ind w:start="1440" w:hanging="360"/>
      </w:pPr>
      <w:rPr>
        <w:rFonts w:ascii="OpenSymbol" w:hAnsi="OpenSymbol" w:cs="OpenSymbol" w:hint="default"/>
        <w:u w:val="none"/>
      </w:rPr>
    </w:lvl>
    <w:lvl w:ilvl="2">
      <w:start w:val="1"/>
      <w:numFmt w:val="bullet"/>
      <w:lvlText w:val="-"/>
      <w:lvlJc w:val="start"/>
      <w:pPr>
        <w:tabs>
          <w:tab w:val="num" w:pos="0"/>
        </w:tabs>
        <w:ind w:start="2160" w:hanging="360"/>
      </w:pPr>
      <w:rPr>
        <w:rFonts w:ascii="OpenSymbol" w:hAnsi="OpenSymbol" w:cs="OpenSymbol" w:hint="default"/>
        <w:u w:val="none"/>
      </w:rPr>
    </w:lvl>
    <w:lvl w:ilvl="3">
      <w:start w:val="1"/>
      <w:numFmt w:val="bullet"/>
      <w:lvlText w:val="-"/>
      <w:lvlJc w:val="start"/>
      <w:pPr>
        <w:tabs>
          <w:tab w:val="num" w:pos="0"/>
        </w:tabs>
        <w:ind w:start="2880" w:hanging="360"/>
      </w:pPr>
      <w:rPr>
        <w:rFonts w:ascii="OpenSymbol" w:hAnsi="OpenSymbol" w:cs="OpenSymbol" w:hint="default"/>
        <w:u w:val="none"/>
      </w:rPr>
    </w:lvl>
    <w:lvl w:ilvl="4">
      <w:start w:val="1"/>
      <w:numFmt w:val="bullet"/>
      <w:lvlText w:val="-"/>
      <w:lvlJc w:val="start"/>
      <w:pPr>
        <w:tabs>
          <w:tab w:val="num" w:pos="0"/>
        </w:tabs>
        <w:ind w:start="3600" w:hanging="360"/>
      </w:pPr>
      <w:rPr>
        <w:rFonts w:ascii="OpenSymbol" w:hAnsi="OpenSymbol" w:cs="OpenSymbol" w:hint="default"/>
        <w:u w:val="none"/>
      </w:rPr>
    </w:lvl>
    <w:lvl w:ilvl="5">
      <w:start w:val="1"/>
      <w:numFmt w:val="bullet"/>
      <w:lvlText w:val="-"/>
      <w:lvlJc w:val="start"/>
      <w:pPr>
        <w:tabs>
          <w:tab w:val="num" w:pos="0"/>
        </w:tabs>
        <w:ind w:start="4320" w:hanging="360"/>
      </w:pPr>
      <w:rPr>
        <w:rFonts w:ascii="OpenSymbol" w:hAnsi="OpenSymbol" w:cs="OpenSymbol" w:hint="default"/>
        <w:u w:val="none"/>
      </w:rPr>
    </w:lvl>
    <w:lvl w:ilvl="6">
      <w:start w:val="1"/>
      <w:numFmt w:val="bullet"/>
      <w:lvlText w:val="-"/>
      <w:lvlJc w:val="start"/>
      <w:pPr>
        <w:tabs>
          <w:tab w:val="num" w:pos="0"/>
        </w:tabs>
        <w:ind w:start="5040" w:hanging="360"/>
      </w:pPr>
      <w:rPr>
        <w:rFonts w:ascii="OpenSymbol" w:hAnsi="OpenSymbol" w:cs="OpenSymbol" w:hint="default"/>
        <w:u w:val="none"/>
      </w:rPr>
    </w:lvl>
    <w:lvl w:ilvl="7">
      <w:start w:val="1"/>
      <w:numFmt w:val="bullet"/>
      <w:lvlText w:val="-"/>
      <w:lvlJc w:val="start"/>
      <w:pPr>
        <w:tabs>
          <w:tab w:val="num" w:pos="0"/>
        </w:tabs>
        <w:ind w:start="5760" w:hanging="360"/>
      </w:pPr>
      <w:rPr>
        <w:rFonts w:ascii="OpenSymbol" w:hAnsi="OpenSymbol" w:cs="OpenSymbol" w:hint="default"/>
        <w:u w:val="none"/>
      </w:rPr>
    </w:lvl>
    <w:lvl w:ilvl="8">
      <w:start w:val="1"/>
      <w:numFmt w:val="bullet"/>
      <w:lvlText w:val="-"/>
      <w:lvlJc w:val="start"/>
      <w:pPr>
        <w:tabs>
          <w:tab w:val="num" w:pos="0"/>
        </w:tabs>
        <w:ind w:start="6480" w:hanging="360"/>
      </w:pPr>
      <w:rPr>
        <w:rFonts w:ascii="OpenSymbol" w:hAnsi="OpenSymbol" w:cs="OpenSymbol" w:hint="default"/>
        <w:u w:val="none"/>
      </w:rPr>
    </w:lvl>
  </w:abstractNum>
  <w:abstractNum w:abstractNumId="3">
    <w:lvl w:ilvl="0">
      <w:start w:val="1"/>
      <w:numFmt w:val="bullet"/>
      <w:lvlText w:val="-"/>
      <w:lvlJc w:val="start"/>
      <w:pPr>
        <w:tabs>
          <w:tab w:val="num" w:pos="0"/>
        </w:tabs>
        <w:ind w:start="720" w:hanging="360"/>
      </w:pPr>
      <w:rPr>
        <w:rFonts w:ascii="OpenSymbol" w:hAnsi="OpenSymbol" w:cs="OpenSymbol" w:hint="default"/>
        <w:u w:val="none"/>
      </w:rPr>
    </w:lvl>
    <w:lvl w:ilvl="1">
      <w:start w:val="1"/>
      <w:numFmt w:val="bullet"/>
      <w:lvlText w:val="-"/>
      <w:lvlJc w:val="start"/>
      <w:pPr>
        <w:tabs>
          <w:tab w:val="num" w:pos="0"/>
        </w:tabs>
        <w:ind w:start="1440" w:hanging="360"/>
      </w:pPr>
      <w:rPr>
        <w:rFonts w:ascii="OpenSymbol" w:hAnsi="OpenSymbol" w:cs="OpenSymbol" w:hint="default"/>
        <w:u w:val="none"/>
      </w:rPr>
    </w:lvl>
    <w:lvl w:ilvl="2">
      <w:start w:val="1"/>
      <w:numFmt w:val="bullet"/>
      <w:lvlText w:val="-"/>
      <w:lvlJc w:val="start"/>
      <w:pPr>
        <w:tabs>
          <w:tab w:val="num" w:pos="0"/>
        </w:tabs>
        <w:ind w:start="2160" w:hanging="360"/>
      </w:pPr>
      <w:rPr>
        <w:rFonts w:ascii="OpenSymbol" w:hAnsi="OpenSymbol" w:cs="OpenSymbol" w:hint="default"/>
        <w:u w:val="none"/>
      </w:rPr>
    </w:lvl>
    <w:lvl w:ilvl="3">
      <w:start w:val="1"/>
      <w:numFmt w:val="bullet"/>
      <w:lvlText w:val="-"/>
      <w:lvlJc w:val="start"/>
      <w:pPr>
        <w:tabs>
          <w:tab w:val="num" w:pos="0"/>
        </w:tabs>
        <w:ind w:start="2880" w:hanging="360"/>
      </w:pPr>
      <w:rPr>
        <w:rFonts w:ascii="OpenSymbol" w:hAnsi="OpenSymbol" w:cs="OpenSymbol" w:hint="default"/>
        <w:u w:val="none"/>
      </w:rPr>
    </w:lvl>
    <w:lvl w:ilvl="4">
      <w:start w:val="1"/>
      <w:numFmt w:val="bullet"/>
      <w:lvlText w:val="-"/>
      <w:lvlJc w:val="start"/>
      <w:pPr>
        <w:tabs>
          <w:tab w:val="num" w:pos="0"/>
        </w:tabs>
        <w:ind w:start="3600" w:hanging="360"/>
      </w:pPr>
      <w:rPr>
        <w:rFonts w:ascii="OpenSymbol" w:hAnsi="OpenSymbol" w:cs="OpenSymbol" w:hint="default"/>
        <w:u w:val="none"/>
      </w:rPr>
    </w:lvl>
    <w:lvl w:ilvl="5">
      <w:start w:val="1"/>
      <w:numFmt w:val="bullet"/>
      <w:lvlText w:val="-"/>
      <w:lvlJc w:val="start"/>
      <w:pPr>
        <w:tabs>
          <w:tab w:val="num" w:pos="0"/>
        </w:tabs>
        <w:ind w:start="4320" w:hanging="360"/>
      </w:pPr>
      <w:rPr>
        <w:rFonts w:ascii="OpenSymbol" w:hAnsi="OpenSymbol" w:cs="OpenSymbol" w:hint="default"/>
        <w:u w:val="none"/>
      </w:rPr>
    </w:lvl>
    <w:lvl w:ilvl="6">
      <w:start w:val="1"/>
      <w:numFmt w:val="bullet"/>
      <w:lvlText w:val="-"/>
      <w:lvlJc w:val="start"/>
      <w:pPr>
        <w:tabs>
          <w:tab w:val="num" w:pos="0"/>
        </w:tabs>
        <w:ind w:start="5040" w:hanging="360"/>
      </w:pPr>
      <w:rPr>
        <w:rFonts w:ascii="OpenSymbol" w:hAnsi="OpenSymbol" w:cs="OpenSymbol" w:hint="default"/>
        <w:u w:val="none"/>
      </w:rPr>
    </w:lvl>
    <w:lvl w:ilvl="7">
      <w:start w:val="1"/>
      <w:numFmt w:val="bullet"/>
      <w:lvlText w:val="-"/>
      <w:lvlJc w:val="start"/>
      <w:pPr>
        <w:tabs>
          <w:tab w:val="num" w:pos="0"/>
        </w:tabs>
        <w:ind w:start="5760" w:hanging="360"/>
      </w:pPr>
      <w:rPr>
        <w:rFonts w:ascii="OpenSymbol" w:hAnsi="OpenSymbol" w:cs="OpenSymbol" w:hint="default"/>
        <w:u w:val="none"/>
      </w:rPr>
    </w:lvl>
    <w:lvl w:ilvl="8">
      <w:start w:val="1"/>
      <w:numFmt w:val="bullet"/>
      <w:lvlText w:val="-"/>
      <w:lvlJc w:val="start"/>
      <w:pPr>
        <w:tabs>
          <w:tab w:val="num" w:pos="0"/>
        </w:tabs>
        <w:ind w:start="6480" w:hanging="360"/>
      </w:pPr>
      <w:rPr>
        <w:rFonts w:ascii="OpenSymbol" w:hAnsi="OpenSymbol" w:cs="OpenSymbol" w:hint="default"/>
        <w:u w:val="none"/>
      </w:rPr>
    </w:lvl>
  </w:abstractNum>
  <w:abstractNum w:abstractNumId="4">
    <w:lvl w:ilvl="0">
      <w:start w:val="1"/>
      <w:numFmt w:val="none"/>
      <w:suff w:val="nothing"/>
      <w:lvlText w:val=""/>
      <w:lvlJc w:val="start"/>
      <w:pPr>
        <w:tabs>
          <w:tab w:val="num" w:pos="0"/>
        </w:tabs>
        <w:ind w:start="0" w:hanging="0"/>
      </w:pPr>
    </w:lvl>
    <w:lvl w:ilvl="1">
      <w:start w:val="1"/>
      <w:numFmt w:val="none"/>
      <w:suff w:val="nothing"/>
      <w:lvlText w:val=""/>
      <w:lvlJc w:val="start"/>
      <w:pPr>
        <w:tabs>
          <w:tab w:val="num" w:pos="0"/>
        </w:tabs>
        <w:ind w:start="0" w:hanging="0"/>
      </w:pPr>
    </w:lvl>
    <w:lvl w:ilvl="2">
      <w:start w:val="1"/>
      <w:numFmt w:val="none"/>
      <w:suff w:val="nothing"/>
      <w:lvlText w:val=""/>
      <w:lvlJc w:val="start"/>
      <w:pPr>
        <w:tabs>
          <w:tab w:val="num" w:pos="0"/>
        </w:tabs>
        <w:ind w:start="0" w:hanging="0"/>
      </w:pPr>
    </w:lvl>
    <w:lvl w:ilvl="3">
      <w:start w:val="1"/>
      <w:numFmt w:val="none"/>
      <w:suff w:val="nothing"/>
      <w:lvlText w:val=""/>
      <w:lvlJc w:val="start"/>
      <w:pPr>
        <w:tabs>
          <w:tab w:val="num" w:pos="0"/>
        </w:tabs>
        <w:ind w:start="0" w:hanging="0"/>
      </w:pPr>
    </w:lvl>
    <w:lvl w:ilvl="4">
      <w:start w:val="1"/>
      <w:numFmt w:val="none"/>
      <w:suff w:val="nothing"/>
      <w:lvlText w:val=""/>
      <w:lvlJc w:val="start"/>
      <w:pPr>
        <w:tabs>
          <w:tab w:val="num" w:pos="0"/>
        </w:tabs>
        <w:ind w:start="0" w:hanging="0"/>
      </w:pPr>
    </w:lvl>
    <w:lvl w:ilvl="5">
      <w:start w:val="1"/>
      <w:numFmt w:val="none"/>
      <w:suff w:val="nothing"/>
      <w:lvlText w:val=""/>
      <w:lvlJc w:val="start"/>
      <w:pPr>
        <w:tabs>
          <w:tab w:val="num" w:pos="0"/>
        </w:tabs>
        <w:ind w:start="0" w:hanging="0"/>
      </w:pPr>
    </w:lvl>
    <w:lvl w:ilvl="6">
      <w:start w:val="1"/>
      <w:numFmt w:val="none"/>
      <w:suff w:val="nothing"/>
      <w:lvlText w:val=""/>
      <w:lvlJc w:val="start"/>
      <w:pPr>
        <w:tabs>
          <w:tab w:val="num" w:pos="0"/>
        </w:tabs>
        <w:ind w:start="0" w:hanging="0"/>
      </w:pPr>
    </w:lvl>
    <w:lvl w:ilvl="7">
      <w:start w:val="1"/>
      <w:numFmt w:val="none"/>
      <w:suff w:val="nothing"/>
      <w:lvlText w:val=""/>
      <w:lvlJc w:val="start"/>
      <w:pPr>
        <w:tabs>
          <w:tab w:val="num" w:pos="0"/>
        </w:tabs>
        <w:ind w:start="0" w:hanging="0"/>
      </w:pPr>
    </w:lvl>
    <w:lvl w:ilvl="8">
      <w:start w:val="1"/>
      <w:numFmt w:val="none"/>
      <w:suff w:val="nothing"/>
      <w:lvlText w:val=""/>
      <w:lvlJc w:val="start"/>
      <w:pPr>
        <w:tabs>
          <w:tab w:val="num" w:pos="0"/>
        </w:tabs>
        <w:ind w:start="0" w:hanging="0"/>
      </w:pPr>
    </w:lvl>
  </w:abstractNum>
  <w:num w:numId="1">
    <w:abstractNumId w:val="1"/>
  </w:num>
  <w:num w:numId="2">
    <w:abstractNumId w:val="2"/>
  </w:num>
  <w:num w:numId="3">
    <w:abstractNumId w:val="3"/>
  </w:num>
  <w:num w:numId="4">
    <w:abstractNumId w:val="4"/>
  </w:num>
</w:numbering>
</file>

<file path=word/settings.xml><?xml version="1.0" encoding="utf-8"?>
<w:settings xmlns:w="http://schemas.openxmlformats.org/wordprocessingml/2006/main">
  <w:zoom w:percent="70"/>
  <w:embedTrueTypeFonts/>
  <w:defaultTabStop w:val="720"/>
  <w:autoHyphenation w:val="true"/>
  <w:hyphenationZone w:val="0"/>
  <w:compat>
    <w:compatSetting w:name="compatibilityMode" w:uri="http://schemas.microsoft.com/office/word" w:val="15"/>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Arial" w:hAnsi="Arial" w:eastAsia="Arial" w:cs="Arial"/>
        <w:lang w:val="fr-FR" w:eastAsia="zh-CN" w:bidi="hi-IN"/>
      </w:rPr>
    </w:rPrDefault>
    <w:pPrDefault>
      <w:pPr>
        <w:suppressAutoHyphens w:val="true"/>
      </w:pPr>
    </w:pPrDefault>
  </w:docDefaults>
  <w:style w:type="paragraph" w:styleId="Normal">
    <w:name w:val="Normal"/>
    <w:qFormat/>
    <w:pPr>
      <w:widowControl/>
      <w:bidi w:val="0"/>
      <w:spacing w:before="0" w:after="0"/>
      <w:jc w:val="start"/>
    </w:pPr>
    <w:rPr>
      <w:rFonts w:ascii="Arial" w:hAnsi="Arial" w:eastAsia="Arial" w:cs="Arial"/>
      <w:color w:val="auto"/>
      <w:kern w:val="0"/>
      <w:sz w:val="20"/>
      <w:szCs w:val="20"/>
      <w:lang w:val="fr-FR" w:eastAsia="zh-CN" w:bidi="hi-IN"/>
    </w:rPr>
  </w:style>
  <w:style w:type="paragraph" w:styleId="Heading1">
    <w:name w:val="heading 1"/>
    <w:basedOn w:val="normal1"/>
    <w:next w:val="normal1"/>
    <w:qFormat/>
    <w:pPr>
      <w:keepNext w:val="true"/>
      <w:spacing w:lineRule="auto" w:line="240"/>
    </w:pPr>
    <w:rPr>
      <w:rFonts w:ascii="Times New Roman" w:hAnsi="Times New Roman" w:eastAsia="Times New Roman" w:cs="Times New Roman"/>
      <w:b/>
      <w:bCs/>
      <w:color w:val="FF0000"/>
      <w:sz w:val="24"/>
      <w:szCs w:val="24"/>
    </w:rPr>
  </w:style>
  <w:style w:type="paragraph" w:styleId="Heading2">
    <w:name w:val="heading 2"/>
    <w:basedOn w:val="normal1"/>
    <w:next w:val="normal1"/>
    <w:qFormat/>
    <w:pPr>
      <w:keepNext w:val="true"/>
      <w:keepLines/>
      <w:spacing w:lineRule="auto" w:line="240" w:before="200" w:after="0"/>
    </w:pPr>
    <w:rPr>
      <w:rFonts w:ascii="Cambria" w:hAnsi="Cambria" w:eastAsia="Cambria" w:cs="Cambria"/>
      <w:b/>
      <w:bCs/>
      <w:color w:val="4F81BD"/>
      <w:sz w:val="26"/>
      <w:szCs w:val="26"/>
    </w:rPr>
  </w:style>
  <w:style w:type="paragraph" w:styleId="Heading3">
    <w:name w:val="heading 3"/>
    <w:basedOn w:val="normal1"/>
    <w:next w:val="normal1"/>
    <w:qFormat/>
    <w:pPr>
      <w:keepNext w:val="true"/>
      <w:keepLines/>
      <w:spacing w:lineRule="auto" w:line="240" w:before="280" w:after="80"/>
    </w:pPr>
    <w:rPr>
      <w:b/>
      <w:bCs/>
      <w:sz w:val="28"/>
      <w:szCs w:val="28"/>
    </w:rPr>
  </w:style>
  <w:style w:type="paragraph" w:styleId="Heading4">
    <w:name w:val="heading 4"/>
    <w:basedOn w:val="normal1"/>
    <w:next w:val="normal1"/>
    <w:qFormat/>
    <w:pPr>
      <w:keepNext w:val="true"/>
      <w:keepLines/>
      <w:spacing w:lineRule="auto" w:line="240" w:before="240" w:after="40"/>
    </w:pPr>
    <w:rPr>
      <w:b/>
      <w:bCs/>
      <w:sz w:val="24"/>
      <w:szCs w:val="24"/>
    </w:rPr>
  </w:style>
  <w:style w:type="paragraph" w:styleId="Heading5">
    <w:name w:val="heading 5"/>
    <w:basedOn w:val="normal1"/>
    <w:next w:val="normal1"/>
    <w:qFormat/>
    <w:pPr>
      <w:keepNext w:val="true"/>
      <w:keepLines/>
      <w:spacing w:lineRule="auto" w:line="240" w:before="220" w:after="40"/>
    </w:pPr>
    <w:rPr>
      <w:b/>
      <w:bCs/>
      <w:sz w:val="22"/>
      <w:szCs w:val="22"/>
    </w:rPr>
  </w:style>
  <w:style w:type="paragraph" w:styleId="Heading6">
    <w:name w:val="heading 6"/>
    <w:basedOn w:val="normal1"/>
    <w:next w:val="normal1"/>
    <w:qFormat/>
    <w:pPr>
      <w:keepNext w:val="true"/>
      <w:keepLines/>
      <w:spacing w:lineRule="auto" w:line="240" w:before="200" w:after="40"/>
    </w:pPr>
    <w:rPr>
      <w:b/>
      <w:bCs/>
      <w:sz w:val="20"/>
      <w:szCs w:val="20"/>
    </w:rPr>
  </w:style>
  <w:style w:type="character" w:styleId="Hyperlink">
    <w:name w:val="Hyperlink"/>
    <w:rPr>
      <w:color w:val="000080"/>
      <w:u w:val="single"/>
    </w:rPr>
  </w:style>
  <w:style w:type="paragraph" w:styleId="Titre">
    <w:name w:val="Titre"/>
    <w:basedOn w:val="Normal"/>
    <w:next w:val="BodyText"/>
    <w:qFormat/>
    <w:pPr>
      <w:keepNext w:val="true"/>
      <w:spacing w:before="240" w:after="120"/>
    </w:pPr>
    <w:rPr>
      <w:rFonts w:ascii="Marianne" w:hAnsi="Marianne" w:eastAsia="Microsoft YaHei" w:cs="Lucida Sans"/>
      <w:sz w:val="28"/>
      <w:szCs w:val="28"/>
    </w:rPr>
  </w:style>
  <w:style w:type="paragraph" w:styleId="BodyText">
    <w:name w:val="Body Text"/>
    <w:basedOn w:val="Normal"/>
    <w:pPr>
      <w:spacing w:lineRule="auto" w:line="276" w:before="0" w:after="140"/>
    </w:pPr>
    <w:rPr/>
  </w:style>
  <w:style w:type="paragraph" w:styleId="List">
    <w:name w:val="List"/>
    <w:basedOn w:val="BodyText"/>
    <w:pPr/>
    <w:rPr>
      <w:rFonts w:ascii="Marianne" w:hAnsi="Marianne" w:cs="Lucida Sans"/>
    </w:rPr>
  </w:style>
  <w:style w:type="paragraph" w:styleId="Caption">
    <w:name w:val="caption"/>
    <w:basedOn w:val="Normal"/>
    <w:qFormat/>
    <w:pPr>
      <w:suppressLineNumbers/>
      <w:spacing w:before="120" w:after="120"/>
    </w:pPr>
    <w:rPr>
      <w:rFonts w:ascii="Marianne" w:hAnsi="Marianne" w:cs="Lucida Sans"/>
      <w:i/>
      <w:iCs/>
      <w:sz w:val="24"/>
      <w:szCs w:val="24"/>
    </w:rPr>
  </w:style>
  <w:style w:type="paragraph" w:styleId="Index">
    <w:name w:val="Index"/>
    <w:basedOn w:val="Normal"/>
    <w:qFormat/>
    <w:pPr>
      <w:suppressLineNumbers/>
    </w:pPr>
    <w:rPr>
      <w:rFonts w:ascii="Marianne" w:hAnsi="Marianne" w:cs="Lucida Sans"/>
    </w:rPr>
  </w:style>
  <w:style w:type="paragraph" w:styleId="normal1" w:default="1">
    <w:name w:val="normal1"/>
    <w:qFormat/>
    <w:pPr>
      <w:widowControl/>
      <w:bidi w:val="0"/>
      <w:spacing w:before="0" w:after="0"/>
      <w:jc w:val="start"/>
    </w:pPr>
    <w:rPr>
      <w:rFonts w:ascii="Arial" w:hAnsi="Arial" w:eastAsia="Arial" w:cs="Arial"/>
      <w:color w:val="auto"/>
      <w:kern w:val="0"/>
      <w:sz w:val="20"/>
      <w:szCs w:val="20"/>
      <w:lang w:val="fr-FR" w:eastAsia="zh-CN" w:bidi="hi-IN"/>
    </w:rPr>
  </w:style>
  <w:style w:type="paragraph" w:styleId="Title">
    <w:name w:val="Title"/>
    <w:basedOn w:val="normal1"/>
    <w:next w:val="normal1"/>
    <w:qFormat/>
    <w:pPr>
      <w:keepNext w:val="true"/>
      <w:keepLines/>
      <w:spacing w:lineRule="auto" w:line="240" w:before="480" w:after="120"/>
    </w:pPr>
    <w:rPr>
      <w:b/>
      <w:bCs/>
      <w:sz w:val="72"/>
      <w:szCs w:val="72"/>
    </w:rPr>
  </w:style>
  <w:style w:type="paragraph" w:styleId="Subtitle">
    <w:name w:val="Subtitle"/>
    <w:basedOn w:val="normal1"/>
    <w:next w:val="normal1"/>
    <w:qFormat/>
    <w:pPr>
      <w:keepNext w:val="true"/>
      <w:keepLines/>
      <w:spacing w:lineRule="auto" w:line="240" w:before="360" w:after="80"/>
    </w:pPr>
    <w:rPr>
      <w:rFonts w:ascii="Georgia" w:hAnsi="Georgia" w:eastAsia="Georgia" w:cs="Georgia"/>
      <w:i/>
      <w:iCs/>
      <w:color w:val="666666"/>
      <w:sz w:val="48"/>
      <w:szCs w:val="48"/>
    </w:rPr>
  </w:style>
  <w:style w:type="paragraph" w:styleId="En-tteetpieddepage">
    <w:name w:val="En-tête et pied de page"/>
    <w:basedOn w:val="Normal"/>
    <w:qFormat/>
    <w:pPr/>
    <w:rPr/>
  </w:style>
  <w:style w:type="paragraph" w:styleId="Header">
    <w:name w:val="header"/>
    <w:basedOn w:val="En-tteetpieddepage"/>
    <w:pPr/>
    <w:rPr/>
  </w:style>
  <w:style w:type="paragraph" w:styleId="Footer">
    <w:name w:val="footer"/>
    <w:basedOn w:val="En-tteetpieddepage"/>
    <w:pPr/>
    <w:rPr/>
  </w:style>
  <w:style w:type="table" w:default="1" w:styleId="TableNormal">
    <w:name w:val="TableNormal"/>
    <w:tblPr>
      <w:tblCellMar>
        <w:top w:w="100" w:type="dxa"/>
        <w:left w:w="100" w:type="dxa"/>
        <w:bottom w:w="100" w:type="dxa"/>
        <w:right w:w="100"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eader" Target="header1.xml"/><Relationship Id="rId3" Type="http://schemas.openxmlformats.org/officeDocument/2006/relationships/header" Target="header2.xml"/><Relationship Id="rId4" Type="http://schemas.openxmlformats.org/officeDocument/2006/relationships/header" Target="header3.xml"/><Relationship Id="rId5" Type="http://schemas.openxmlformats.org/officeDocument/2006/relationships/footer" Target="footer1.xml"/><Relationship Id="rId6" Type="http://schemas.openxmlformats.org/officeDocument/2006/relationships/footer" Target="footer2.xml"/><Relationship Id="rId7" Type="http://schemas.openxmlformats.org/officeDocument/2006/relationships/footer" Target="footer3.xml"/><Relationship Id="rId8" Type="http://schemas.openxmlformats.org/officeDocument/2006/relationships/numbering" Target="numbering.xml"/><Relationship Id="rId9" Type="http://schemas.openxmlformats.org/officeDocument/2006/relationships/fontTable" Target="fontTable.xml"/><Relationship Id="rId10" Type="http://schemas.openxmlformats.org/officeDocument/2006/relationships/settings" Target="settings.xml"/><Relationship Id="rId11" Type="http://schemas.openxmlformats.org/officeDocument/2006/relationships/theme" Target="theme/theme1.xml"/>
</Relationships>
</file>

<file path=word/_rels/fontTable.xml.rels><?xml version="1.0" encoding="UTF-8"?>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 Id="rId8" Type="http://schemas.openxmlformats.org/officeDocument/2006/relationships/font" Target="fonts/font8.odttf"/><Relationship Id="rId9" Type="http://schemas.openxmlformats.org/officeDocument/2006/relationships/font" Target="fonts/font9.odttf"/><Relationship Id="rId10" Type="http://schemas.openxmlformats.org/officeDocument/2006/relationships/font" Target="fonts/font10.odttf"/><Relationship Id="rId11" Type="http://schemas.openxmlformats.org/officeDocument/2006/relationships/font" Target="fonts/font11.odttf"/><Relationship Id="rId12" Type="http://schemas.openxmlformats.org/officeDocument/2006/relationships/font" Target="fonts/font12.odttf"/><Relationship Id="rId13" Type="http://schemas.openxmlformats.org/officeDocument/2006/relationships/font" Target="fonts/font13.odttf"/><Relationship Id="rId14" Type="http://schemas.openxmlformats.org/officeDocument/2006/relationships/font" Target="fonts/font14.odttf"/><Relationship Id="rId15" Type="http://schemas.openxmlformats.org/officeDocument/2006/relationships/font" Target="fonts/font15.odttf"/><Relationship Id="rId16" Type="http://schemas.openxmlformats.org/officeDocument/2006/relationships/font" Target="fonts/font16.odttf"/><Relationship Id="rId17" Type="http://schemas.openxmlformats.org/officeDocument/2006/relationships/font" Target="fonts/font17.odttf"/><Relationship Id="rId18" Type="http://schemas.openxmlformats.org/officeDocument/2006/relationships/font" Target="fonts/font18.odttf"/><Relationship Id="rId19" Type="http://schemas.openxmlformats.org/officeDocument/2006/relationships/font" Target="fonts/font19.odttf"/><Relationship Id="rId20" Type="http://schemas.openxmlformats.org/officeDocument/2006/relationships/font" Target="fonts/font20.odttf"/><Relationship Id="rId21" Type="http://schemas.openxmlformats.org/officeDocument/2006/relationships/font" Target="fonts/font21.odttf"/><Relationship Id="rId22" Type="http://schemas.openxmlformats.org/officeDocument/2006/relationships/font" Target="fonts/font22.odttf"/><Relationship Id="rId23" Type="http://schemas.openxmlformats.org/officeDocument/2006/relationships/font" Target="fonts/font23.odttf"/><Relationship Id="rId24" Type="http://schemas.openxmlformats.org/officeDocument/2006/relationships/font" Target="fonts/font24.odttf"/><Relationship Id="rId25" Type="http://schemas.openxmlformats.org/officeDocument/2006/relationships/font" Target="fonts/font25.odttf"/><Relationship Id="rId26" Type="http://schemas.openxmlformats.org/officeDocument/2006/relationships/font" Target="fonts/font26.odttf"/><Relationship Id="rId27" Type="http://schemas.openxmlformats.org/officeDocument/2006/relationships/font" Target="fonts/font27.odttf"/><Relationship Id="rId28" Type="http://schemas.openxmlformats.org/officeDocument/2006/relationships/font" Target="fonts/font28.odttf"/><Relationship Id="rId29" Type="http://schemas.openxmlformats.org/officeDocument/2006/relationships/font" Target="fonts/font29.odttf"/><Relationship Id="rId30" Type="http://schemas.openxmlformats.org/officeDocument/2006/relationships/font" Target="fonts/font30.odttf"/><Relationship Id="rId31" Type="http://schemas.openxmlformats.org/officeDocument/2006/relationships/font" Target="fonts/font31.odttf"/><Relationship Id="rId32" Type="http://schemas.openxmlformats.org/officeDocument/2006/relationships/font" Target="fonts/font32.odttf"/><Relationship Id="rId33" Type="http://schemas.openxmlformats.org/officeDocument/2006/relationships/font" Target="fonts/font33.odttf"/><Relationship Id="rId34" Type="http://schemas.openxmlformats.org/officeDocument/2006/relationships/font" Target="fonts/font34.odttf"/><Relationship Id="rId35" Type="http://schemas.openxmlformats.org/officeDocument/2006/relationships/font" Target="fonts/font35.odttf"/><Relationship Id="rId36" Type="http://schemas.openxmlformats.org/officeDocument/2006/relationships/font" Target="fonts/font36.odttf"/><Relationship Id="rId37" Type="http://schemas.openxmlformats.org/officeDocument/2006/relationships/font" Target="fonts/font37.odttf"/><Relationship Id="rId38" Type="http://schemas.openxmlformats.org/officeDocument/2006/relationships/font" Target="fonts/font38.odttf"/><Relationship Id="rId39" Type="http://schemas.openxmlformats.org/officeDocument/2006/relationships/font" Target="fonts/font39.odttf"/><Relationship Id="rId40" Type="http://schemas.openxmlformats.org/officeDocument/2006/relationships/font" Target="fonts/font40.odttf"/><Relationship Id="rId41" Type="http://schemas.openxmlformats.org/officeDocument/2006/relationships/font" Target="fonts/font41.odttf"/><Relationship Id="rId42" Type="http://schemas.openxmlformats.org/officeDocument/2006/relationships/font" Target="fonts/font42.odttf"/><Relationship Id="rId43" Type="http://schemas.openxmlformats.org/officeDocument/2006/relationships/font" Target="fonts/font43.odttf"/><Relationship Id="rId44" Type="http://schemas.openxmlformats.org/officeDocument/2006/relationships/font" Target="fonts/font44.odttf"/><Relationship Id="rId45" Type="http://schemas.openxmlformats.org/officeDocument/2006/relationships/font" Target="fonts/font45.odttf"/><Relationship Id="rId46" Type="http://schemas.openxmlformats.org/officeDocument/2006/relationships/font" Target="fonts/font46.odttf"/>
</Relationships>
</file>

<file path=word/_rels/footer2.xml.rels><?xml version="1.0" encoding="UTF-8"?>
<Relationships xmlns="http://schemas.openxmlformats.org/package/2006/relationships"><Relationship Id="rId1" Type="http://schemas.openxmlformats.org/officeDocument/2006/relationships/image" Target="media/image3.png"/>
</Relationships>
</file>

<file path=word/_rels/footer3.xml.rels><?xml version="1.0" encoding="UTF-8"?>
<Relationships xmlns="http://schemas.openxmlformats.org/package/2006/relationships"><Relationship Id="rId1" Type="http://schemas.openxmlformats.org/officeDocument/2006/relationships/hyperlink" Target="http://www.veolia.fr/" TargetMode="External"/>
</Relationships>
</file>

<file path=word/_rels/header2.xml.rels><?xml version="1.0" encoding="UTF-8"?>
<Relationships xmlns="http://schemas.openxmlformats.org/package/2006/relationships"><Relationship Id="rId1" Type="http://schemas.openxmlformats.org/officeDocument/2006/relationships/image" Target="media/image1.jpeg"/>
</Relationships>
</file>

<file path=word/_rels/header3.xml.rels><?xml version="1.0" encoding="UTF-8"?>
<Relationships xmlns="http://schemas.openxmlformats.org/package/2006/relationships"><Relationship Id="rId1" Type="http://schemas.openxmlformats.org/officeDocument/2006/relationships/image" Target="media/image2.jpeg"/>
</Relationships>
</file>

<file path=word/theme/theme1.xml><?xml version="1.0" encoding="utf-8"?>
<a:theme xmlns:a="http://schemas.openxmlformats.org/drawingml/2006/main" xmlns:r="http://schemas.openxmlformats.org/officeDocument/2006/relationships"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pitchFamily="0" charset="1"/>
        <a:ea typeface=""/>
        <a:cs typeface=""/>
      </a:majorFont>
      <a:minorFont>
        <a:latin typeface="Cambria" pitchFamily="0" charset="1"/>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l="0" t="0" r="0" b="0"/>
        </a:gradFill>
        <a:gradFill>
          <a:gsLst>
            <a:gs pos="0">
              <a:schemeClr val="phClr">
                <a:tint val="100000"/>
                <a:shade val="100000"/>
              </a:schemeClr>
            </a:gs>
            <a:gs pos="100000">
              <a:schemeClr val="phClr">
                <a:tint val="50000"/>
                <a:shade val="100000"/>
              </a:schemeClr>
            </a:gs>
          </a:gsLst>
          <a:lin ang="16200000" scaled="0"/>
          <a:tileRect l="0" t="0" r="0" b="0"/>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l="0" t="0" r="0" b="0"/>
        </a:gradFill>
        <a:gradFill>
          <a:gsLst>
            <a:gs pos="0">
              <a:schemeClr val="phClr">
                <a:tint val="80000"/>
              </a:schemeClr>
            </a:gs>
            <a:gs pos="100000">
              <a:schemeClr val="phClr">
                <a:shade val="30000"/>
              </a:schemeClr>
            </a:gs>
          </a:gsLst>
          <a:path path="circle">
            <a:fillToRect l="50000" t="50000" r="50000" b="50000"/>
          </a:path>
          <a:tileRect l="0" t="0" r="0" b="0"/>
        </a:gradFill>
      </a:bgFillStyleLst>
    </a:fmtScheme>
  </a:themeElements>
</a:theme>
</file>

<file path=docProps/app.xml><?xml version="1.0" encoding="utf-8"?>
<Properties xmlns="http://schemas.openxmlformats.org/officeDocument/2006/extended-properties" xmlns:vt="http://schemas.openxmlformats.org/officeDocument/2006/docPropsVTypes">
  <Application>LibreOffice/25.8.4.2$Windows_X86_64 LibreOffice_project/290daaa01b999472f0c7a3890eb6a550fd74c6df</Application>
  <AppVersion>15.0000</AppVersion>
  <Pages>3</Pages>
  <Words>1688</Words>
  <Characters>8826</Characters>
  <CharactersWithSpaces>10455</CharactersWithSpaces>
  <Paragraphs>95</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description/>
  <dc:language>fr-FR</dc:language>
  <dc:subject/>
  <dc:title/>
</cp:coreProperties>
</file>