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598C2" w14:textId="77777777" w:rsidR="00F91E25" w:rsidRDefault="00F91E25" w:rsidP="00F91E25">
      <w:pPr>
        <w:widowControl w:val="0"/>
        <w:pBdr>
          <w:top w:val="nil"/>
          <w:left w:val="nil"/>
          <w:bottom w:val="nil"/>
          <w:right w:val="nil"/>
          <w:between w:val="nil"/>
        </w:pBdr>
        <w:spacing w:line="240" w:lineRule="auto"/>
        <w:jc w:val="center"/>
        <w:rPr>
          <w:b/>
          <w:bCs/>
          <w:sz w:val="20"/>
          <w:szCs w:val="20"/>
        </w:rPr>
      </w:pPr>
      <w:r>
        <w:rPr>
          <w:b/>
          <w:bCs/>
          <w:noProof/>
          <w:sz w:val="20"/>
          <w:szCs w:val="20"/>
        </w:rPr>
        <w:drawing>
          <wp:anchor distT="114300" distB="114300" distL="114300" distR="114300" simplePos="0" relativeHeight="251659264" behindDoc="0" locked="0" layoutInCell="1" hidden="0" allowOverlap="1" wp14:anchorId="13FE58DD" wp14:editId="1FA3CA36">
            <wp:simplePos x="0" y="0"/>
            <wp:positionH relativeFrom="margin">
              <wp:align>center</wp:align>
            </wp:positionH>
            <wp:positionV relativeFrom="margin">
              <wp:align>top</wp:align>
            </wp:positionV>
            <wp:extent cx="439575" cy="439575"/>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439575" cy="439575"/>
                    </a:xfrm>
                    <a:prstGeom prst="rect">
                      <a:avLst/>
                    </a:prstGeom>
                    <a:ln/>
                  </pic:spPr>
                </pic:pic>
              </a:graphicData>
            </a:graphic>
          </wp:anchor>
        </w:drawing>
      </w:r>
    </w:p>
    <w:p w14:paraId="4E221747"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0CE3DF9B"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1D05E480"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061BB5E8"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701E299E" w14:textId="77777777" w:rsidR="00F91E25" w:rsidRDefault="00F91E25" w:rsidP="00F91E25">
      <w:pPr>
        <w:widowControl w:val="0"/>
        <w:pBdr>
          <w:top w:val="nil"/>
          <w:left w:val="nil"/>
          <w:bottom w:val="nil"/>
          <w:right w:val="nil"/>
          <w:between w:val="nil"/>
        </w:pBdr>
        <w:spacing w:line="240" w:lineRule="auto"/>
        <w:jc w:val="center"/>
        <w:rPr>
          <w:b/>
          <w:bCs/>
          <w:color w:val="000000"/>
          <w:sz w:val="20"/>
          <w:szCs w:val="20"/>
        </w:rPr>
      </w:pPr>
      <w:r>
        <w:rPr>
          <w:b/>
          <w:bCs/>
          <w:sz w:val="20"/>
          <w:szCs w:val="20"/>
        </w:rPr>
        <w:t xml:space="preserve">ACCORD D’ENTREPRISE </w:t>
      </w:r>
      <w:r>
        <w:rPr>
          <w:b/>
          <w:bCs/>
          <w:color w:val="000000"/>
          <w:sz w:val="20"/>
          <w:szCs w:val="20"/>
        </w:rPr>
        <w:t xml:space="preserve">BLACKBOX </w:t>
      </w:r>
    </w:p>
    <w:p w14:paraId="502F9646"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4CA4C948" w14:textId="77777777" w:rsidR="00F91E25" w:rsidRDefault="00F91E25" w:rsidP="00F91E25">
      <w:pPr>
        <w:widowControl w:val="0"/>
        <w:pBdr>
          <w:top w:val="nil"/>
          <w:left w:val="nil"/>
          <w:bottom w:val="nil"/>
          <w:right w:val="nil"/>
          <w:between w:val="nil"/>
        </w:pBdr>
        <w:spacing w:line="240" w:lineRule="auto"/>
        <w:jc w:val="center"/>
        <w:rPr>
          <w:b/>
          <w:bCs/>
          <w:sz w:val="20"/>
          <w:szCs w:val="20"/>
        </w:rPr>
      </w:pPr>
    </w:p>
    <w:p w14:paraId="68CA9E6E" w14:textId="77777777" w:rsidR="00F91E25" w:rsidRDefault="00F91E25" w:rsidP="00F91E25">
      <w:pPr>
        <w:widowControl w:val="0"/>
        <w:pBdr>
          <w:top w:val="nil"/>
          <w:left w:val="nil"/>
          <w:bottom w:val="nil"/>
          <w:right w:val="nil"/>
          <w:between w:val="nil"/>
        </w:pBdr>
        <w:spacing w:line="240" w:lineRule="auto"/>
        <w:ind w:right="396"/>
        <w:jc w:val="both"/>
        <w:rPr>
          <w:i/>
          <w:iCs/>
          <w:sz w:val="20"/>
          <w:szCs w:val="20"/>
        </w:rPr>
      </w:pPr>
      <w:r>
        <w:rPr>
          <w:i/>
          <w:iCs/>
          <w:sz w:val="20"/>
          <w:szCs w:val="20"/>
        </w:rPr>
        <w:t>Relatif à l’exclusion des heures supplémentaires structurelles du contingent annuel, à la fixation du contingent annuel d’heures supplémentaires, à la mise en place d’un taux unique de majoration de 25 % des heures supplémentaires, à l’organisation du temps de travail par modulation mensuelle, et à l’organisation et à la rémunération du travail du dimanche.</w:t>
      </w:r>
      <w:r>
        <w:rPr>
          <w:i/>
          <w:iCs/>
          <w:color w:val="000000"/>
          <w:sz w:val="20"/>
          <w:szCs w:val="20"/>
        </w:rPr>
        <w:t xml:space="preserve"> </w:t>
      </w:r>
    </w:p>
    <w:p w14:paraId="402CC28B" w14:textId="77777777" w:rsidR="00F91E25" w:rsidRDefault="00F91E25" w:rsidP="00F91E25">
      <w:pPr>
        <w:widowControl w:val="0"/>
        <w:pBdr>
          <w:top w:val="nil"/>
          <w:left w:val="nil"/>
          <w:bottom w:val="nil"/>
          <w:right w:val="nil"/>
          <w:between w:val="nil"/>
        </w:pBdr>
        <w:spacing w:line="240" w:lineRule="auto"/>
        <w:ind w:left="704" w:right="396"/>
        <w:rPr>
          <w:i/>
          <w:iCs/>
          <w:sz w:val="20"/>
          <w:szCs w:val="20"/>
        </w:rPr>
      </w:pPr>
    </w:p>
    <w:p w14:paraId="4BBB40C2" w14:textId="3EB4823F" w:rsidR="00F91E25" w:rsidRDefault="00F91E25" w:rsidP="00F91E25">
      <w:pPr>
        <w:widowControl w:val="0"/>
        <w:pBdr>
          <w:top w:val="nil"/>
          <w:left w:val="nil"/>
          <w:bottom w:val="nil"/>
          <w:right w:val="nil"/>
          <w:between w:val="nil"/>
        </w:pBdr>
        <w:spacing w:before="20" w:after="20" w:line="240" w:lineRule="auto"/>
        <w:ind w:right="396"/>
        <w:rPr>
          <w:b/>
          <w:bCs/>
          <w:sz w:val="20"/>
          <w:szCs w:val="20"/>
        </w:rPr>
      </w:pPr>
      <w:r>
        <w:rPr>
          <w:sz w:val="20"/>
          <w:szCs w:val="20"/>
        </w:rPr>
        <w:t>Entreprise:</w:t>
      </w:r>
      <w:r>
        <w:rPr>
          <w:b/>
          <w:bCs/>
          <w:sz w:val="20"/>
          <w:szCs w:val="20"/>
        </w:rPr>
        <w:t xml:space="preserve"> BLACKBOX PEREIRE </w:t>
      </w:r>
    </w:p>
    <w:p w14:paraId="3EB547F5" w14:textId="77777777" w:rsidR="00F91E25" w:rsidRDefault="00F91E25" w:rsidP="00F91E25">
      <w:pPr>
        <w:widowControl w:val="0"/>
        <w:pBdr>
          <w:top w:val="nil"/>
          <w:left w:val="nil"/>
          <w:bottom w:val="nil"/>
          <w:right w:val="nil"/>
          <w:between w:val="nil"/>
        </w:pBdr>
        <w:spacing w:before="20" w:after="20" w:line="240" w:lineRule="auto"/>
        <w:ind w:right="396"/>
        <w:rPr>
          <w:b/>
          <w:bCs/>
          <w:sz w:val="20"/>
          <w:szCs w:val="20"/>
        </w:rPr>
      </w:pPr>
      <w:r>
        <w:rPr>
          <w:b/>
          <w:bCs/>
          <w:sz w:val="20"/>
          <w:szCs w:val="20"/>
        </w:rPr>
        <w:t xml:space="preserve">SIRET 93942573200012 </w:t>
      </w:r>
    </w:p>
    <w:p w14:paraId="10302D82" w14:textId="2DF58327" w:rsidR="00F91E25" w:rsidRDefault="00F91E25" w:rsidP="00F91E25">
      <w:pPr>
        <w:widowControl w:val="0"/>
        <w:pBdr>
          <w:top w:val="nil"/>
          <w:left w:val="nil"/>
          <w:bottom w:val="nil"/>
          <w:right w:val="nil"/>
          <w:between w:val="nil"/>
        </w:pBdr>
        <w:spacing w:before="20" w:after="20" w:line="240" w:lineRule="auto"/>
        <w:ind w:right="396"/>
        <w:rPr>
          <w:sz w:val="20"/>
          <w:szCs w:val="20"/>
        </w:rPr>
      </w:pPr>
      <w:r>
        <w:rPr>
          <w:b/>
          <w:bCs/>
          <w:sz w:val="20"/>
          <w:szCs w:val="20"/>
        </w:rPr>
        <w:t xml:space="preserve">98 AVENUE NIEL 75017 PARIS  </w:t>
      </w:r>
    </w:p>
    <w:p w14:paraId="234E93FE" w14:textId="77777777" w:rsidR="00F91E25" w:rsidRDefault="00F91E25" w:rsidP="00F91E25">
      <w:pPr>
        <w:widowControl w:val="0"/>
        <w:pBdr>
          <w:top w:val="nil"/>
          <w:left w:val="nil"/>
          <w:bottom w:val="nil"/>
          <w:right w:val="nil"/>
          <w:between w:val="nil"/>
        </w:pBdr>
        <w:spacing w:before="20" w:after="20" w:line="240" w:lineRule="auto"/>
        <w:ind w:left="38"/>
        <w:rPr>
          <w:b/>
          <w:bCs/>
          <w:color w:val="000000"/>
          <w:sz w:val="20"/>
          <w:szCs w:val="20"/>
        </w:rPr>
      </w:pPr>
      <w:r>
        <w:rPr>
          <w:color w:val="000000"/>
          <w:sz w:val="20"/>
          <w:szCs w:val="20"/>
        </w:rPr>
        <w:t xml:space="preserve">Ci-après dénommée </w:t>
      </w:r>
      <w:r>
        <w:rPr>
          <w:b/>
          <w:bCs/>
          <w:color w:val="000000"/>
          <w:sz w:val="20"/>
          <w:szCs w:val="20"/>
        </w:rPr>
        <w:t xml:space="preserve">« l’employeur » </w:t>
      </w:r>
    </w:p>
    <w:p w14:paraId="189040DB" w14:textId="77777777" w:rsidR="00F91E25" w:rsidRDefault="00F91E25" w:rsidP="00F91E25">
      <w:pPr>
        <w:widowControl w:val="0"/>
        <w:pBdr>
          <w:top w:val="nil"/>
          <w:left w:val="nil"/>
          <w:bottom w:val="nil"/>
          <w:right w:val="nil"/>
          <w:between w:val="nil"/>
        </w:pBdr>
        <w:spacing w:before="20" w:after="20" w:line="240" w:lineRule="auto"/>
        <w:ind w:left="38"/>
        <w:rPr>
          <w:b/>
          <w:bCs/>
          <w:sz w:val="20"/>
          <w:szCs w:val="20"/>
        </w:rPr>
      </w:pPr>
    </w:p>
    <w:p w14:paraId="7114D345" w14:textId="77777777" w:rsidR="00F91E25" w:rsidRDefault="00F91E25" w:rsidP="00F91E25">
      <w:pPr>
        <w:widowControl w:val="0"/>
        <w:pBdr>
          <w:top w:val="nil"/>
          <w:left w:val="nil"/>
          <w:bottom w:val="nil"/>
          <w:right w:val="nil"/>
          <w:between w:val="nil"/>
        </w:pBdr>
        <w:spacing w:before="20" w:after="20" w:line="240" w:lineRule="auto"/>
        <w:ind w:left="75"/>
        <w:rPr>
          <w:sz w:val="20"/>
          <w:szCs w:val="20"/>
        </w:rPr>
      </w:pPr>
      <w:r>
        <w:rPr>
          <w:color w:val="000000"/>
          <w:sz w:val="20"/>
          <w:szCs w:val="20"/>
        </w:rPr>
        <w:t xml:space="preserve">Et L’ensemble des salariés de l’entreprise </w:t>
      </w:r>
    </w:p>
    <w:p w14:paraId="46F9E35F" w14:textId="77777777" w:rsidR="00F91E25" w:rsidRDefault="00F91E25" w:rsidP="00F91E25">
      <w:pPr>
        <w:widowControl w:val="0"/>
        <w:pBdr>
          <w:top w:val="nil"/>
          <w:left w:val="nil"/>
          <w:bottom w:val="nil"/>
          <w:right w:val="nil"/>
          <w:between w:val="nil"/>
        </w:pBdr>
        <w:spacing w:before="20" w:after="20" w:line="240" w:lineRule="auto"/>
        <w:ind w:left="38"/>
        <w:rPr>
          <w:b/>
          <w:bCs/>
          <w:color w:val="000000"/>
          <w:sz w:val="20"/>
          <w:szCs w:val="20"/>
        </w:rPr>
      </w:pPr>
      <w:r>
        <w:rPr>
          <w:color w:val="000000"/>
          <w:sz w:val="20"/>
          <w:szCs w:val="20"/>
        </w:rPr>
        <w:t xml:space="preserve">Ci-après dénommés </w:t>
      </w:r>
      <w:r>
        <w:rPr>
          <w:b/>
          <w:bCs/>
          <w:color w:val="000000"/>
          <w:sz w:val="20"/>
          <w:szCs w:val="20"/>
        </w:rPr>
        <w:t xml:space="preserve">« les salariés » </w:t>
      </w:r>
    </w:p>
    <w:p w14:paraId="7B947D2A" w14:textId="77777777" w:rsidR="00F91E25" w:rsidRDefault="00F91E25" w:rsidP="00F91E25">
      <w:pPr>
        <w:widowControl w:val="0"/>
        <w:pBdr>
          <w:top w:val="nil"/>
          <w:left w:val="nil"/>
          <w:bottom w:val="nil"/>
          <w:right w:val="nil"/>
          <w:between w:val="nil"/>
        </w:pBdr>
        <w:spacing w:before="20" w:line="240" w:lineRule="auto"/>
        <w:ind w:left="38"/>
        <w:rPr>
          <w:b/>
          <w:bCs/>
          <w:sz w:val="20"/>
          <w:szCs w:val="20"/>
          <w:u w:val="single"/>
        </w:rPr>
      </w:pPr>
    </w:p>
    <w:p w14:paraId="0A92A34E" w14:textId="77777777" w:rsidR="00F91E25" w:rsidRDefault="00F91E25" w:rsidP="00F91E25">
      <w:pPr>
        <w:widowControl w:val="0"/>
        <w:pBdr>
          <w:top w:val="nil"/>
          <w:left w:val="nil"/>
          <w:bottom w:val="nil"/>
          <w:right w:val="nil"/>
          <w:between w:val="nil"/>
        </w:pBdr>
        <w:spacing w:before="20" w:line="240" w:lineRule="auto"/>
        <w:ind w:left="30"/>
        <w:rPr>
          <w:b/>
          <w:bCs/>
          <w:color w:val="000000"/>
          <w:sz w:val="20"/>
          <w:szCs w:val="20"/>
          <w:u w:val="single"/>
        </w:rPr>
      </w:pPr>
      <w:r>
        <w:rPr>
          <w:b/>
          <w:bCs/>
          <w:color w:val="000000"/>
          <w:sz w:val="20"/>
          <w:szCs w:val="20"/>
          <w:u w:val="single"/>
        </w:rPr>
        <w:t xml:space="preserve">Article 1 – Objet </w:t>
      </w:r>
    </w:p>
    <w:p w14:paraId="368FA24E" w14:textId="77777777" w:rsidR="00F91E25" w:rsidRDefault="00F91E25" w:rsidP="00F91E25">
      <w:pPr>
        <w:widowControl w:val="0"/>
        <w:pBdr>
          <w:top w:val="nil"/>
          <w:left w:val="nil"/>
          <w:bottom w:val="nil"/>
          <w:right w:val="nil"/>
          <w:between w:val="nil"/>
        </w:pBdr>
        <w:spacing w:before="20" w:line="240" w:lineRule="auto"/>
        <w:ind w:left="30"/>
        <w:rPr>
          <w:b/>
          <w:bCs/>
          <w:sz w:val="20"/>
          <w:szCs w:val="20"/>
        </w:rPr>
      </w:pPr>
    </w:p>
    <w:p w14:paraId="3F52624D" w14:textId="77777777" w:rsidR="00F91E25" w:rsidRDefault="00F91E25" w:rsidP="00F91E25">
      <w:pPr>
        <w:widowControl w:val="0"/>
        <w:pBdr>
          <w:top w:val="nil"/>
          <w:left w:val="nil"/>
          <w:bottom w:val="nil"/>
          <w:right w:val="nil"/>
          <w:between w:val="nil"/>
        </w:pBdr>
        <w:spacing w:before="20" w:line="240" w:lineRule="auto"/>
        <w:ind w:left="60"/>
        <w:rPr>
          <w:color w:val="000000"/>
          <w:sz w:val="20"/>
          <w:szCs w:val="20"/>
        </w:rPr>
      </w:pPr>
      <w:r>
        <w:rPr>
          <w:color w:val="000000"/>
          <w:sz w:val="20"/>
          <w:szCs w:val="20"/>
        </w:rPr>
        <w:t xml:space="preserve">Le présent accord a pour objet : </w:t>
      </w:r>
    </w:p>
    <w:p w14:paraId="56920740" w14:textId="77777777" w:rsidR="00F91E25" w:rsidRDefault="00F91E25" w:rsidP="00F91E25">
      <w:pPr>
        <w:widowControl w:val="0"/>
        <w:numPr>
          <w:ilvl w:val="0"/>
          <w:numId w:val="3"/>
        </w:numPr>
        <w:pBdr>
          <w:top w:val="nil"/>
          <w:left w:val="nil"/>
          <w:bottom w:val="nil"/>
          <w:right w:val="nil"/>
          <w:between w:val="nil"/>
        </w:pBdr>
        <w:spacing w:before="262" w:line="240" w:lineRule="auto"/>
        <w:rPr>
          <w:color w:val="000000"/>
          <w:sz w:val="20"/>
          <w:szCs w:val="20"/>
        </w:rPr>
      </w:pPr>
      <w:r>
        <w:rPr>
          <w:color w:val="000000"/>
          <w:sz w:val="20"/>
          <w:szCs w:val="20"/>
        </w:rPr>
        <w:t xml:space="preserve">d’organiser le temps de travail des salariés par un dispositif de modulation mensuelle ; </w:t>
      </w:r>
    </w:p>
    <w:p w14:paraId="3B2D15F1" w14:textId="77777777" w:rsidR="00F91E25" w:rsidRDefault="00F91E25" w:rsidP="00F91E25">
      <w:pPr>
        <w:widowControl w:val="0"/>
        <w:numPr>
          <w:ilvl w:val="0"/>
          <w:numId w:val="3"/>
        </w:numPr>
        <w:pBdr>
          <w:top w:val="nil"/>
          <w:left w:val="nil"/>
          <w:bottom w:val="nil"/>
          <w:right w:val="nil"/>
          <w:between w:val="nil"/>
        </w:pBdr>
        <w:spacing w:line="240" w:lineRule="auto"/>
        <w:rPr>
          <w:color w:val="000000"/>
          <w:sz w:val="20"/>
          <w:szCs w:val="20"/>
        </w:rPr>
      </w:pPr>
      <w:r>
        <w:rPr>
          <w:color w:val="000000"/>
          <w:sz w:val="20"/>
          <w:szCs w:val="20"/>
        </w:rPr>
        <w:t xml:space="preserve">de définir les modalités de décompte mensuel du temps de travail ; </w:t>
      </w:r>
    </w:p>
    <w:p w14:paraId="4BAF8369" w14:textId="77777777" w:rsidR="00F91E25" w:rsidRDefault="00F91E25" w:rsidP="00F91E25">
      <w:pPr>
        <w:widowControl w:val="0"/>
        <w:numPr>
          <w:ilvl w:val="0"/>
          <w:numId w:val="3"/>
        </w:numPr>
        <w:pBdr>
          <w:top w:val="nil"/>
          <w:left w:val="nil"/>
          <w:bottom w:val="nil"/>
          <w:right w:val="nil"/>
          <w:between w:val="nil"/>
        </w:pBdr>
        <w:spacing w:line="240" w:lineRule="auto"/>
        <w:rPr>
          <w:color w:val="000000"/>
          <w:sz w:val="20"/>
          <w:szCs w:val="20"/>
        </w:rPr>
      </w:pPr>
      <w:r>
        <w:rPr>
          <w:color w:val="000000"/>
          <w:sz w:val="20"/>
          <w:szCs w:val="20"/>
        </w:rPr>
        <w:t xml:space="preserve">de fixer les règles applicables aux heures supplémentaires ; </w:t>
      </w:r>
    </w:p>
    <w:p w14:paraId="27512A37" w14:textId="77777777" w:rsidR="00F91E25" w:rsidRDefault="00F91E25" w:rsidP="00F91E25">
      <w:pPr>
        <w:widowControl w:val="0"/>
        <w:numPr>
          <w:ilvl w:val="0"/>
          <w:numId w:val="3"/>
        </w:numPr>
        <w:pBdr>
          <w:top w:val="nil"/>
          <w:left w:val="nil"/>
          <w:bottom w:val="nil"/>
          <w:right w:val="nil"/>
          <w:between w:val="nil"/>
        </w:pBdr>
        <w:spacing w:line="240" w:lineRule="auto"/>
        <w:rPr>
          <w:color w:val="000000"/>
          <w:sz w:val="20"/>
          <w:szCs w:val="20"/>
        </w:rPr>
      </w:pPr>
      <w:r>
        <w:rPr>
          <w:color w:val="000000"/>
          <w:sz w:val="20"/>
          <w:szCs w:val="20"/>
        </w:rPr>
        <w:t xml:space="preserve">de déterminer le contingent annuel d’heures supplémentaires ; </w:t>
      </w:r>
    </w:p>
    <w:p w14:paraId="6FCD3600" w14:textId="77777777" w:rsidR="00F91E25" w:rsidRDefault="00F91E25" w:rsidP="00F91E25">
      <w:pPr>
        <w:widowControl w:val="0"/>
        <w:numPr>
          <w:ilvl w:val="0"/>
          <w:numId w:val="3"/>
        </w:numPr>
        <w:pBdr>
          <w:top w:val="nil"/>
          <w:left w:val="nil"/>
          <w:bottom w:val="nil"/>
          <w:right w:val="nil"/>
          <w:between w:val="nil"/>
        </w:pBdr>
        <w:spacing w:line="240" w:lineRule="auto"/>
        <w:rPr>
          <w:color w:val="000000"/>
          <w:sz w:val="20"/>
          <w:szCs w:val="20"/>
        </w:rPr>
      </w:pPr>
      <w:r>
        <w:rPr>
          <w:color w:val="000000"/>
          <w:sz w:val="20"/>
          <w:szCs w:val="20"/>
        </w:rPr>
        <w:t xml:space="preserve">de mettre en place un taux unique de majoration de 25 % applicable à l’ensemble des heures supplémentaires. </w:t>
      </w:r>
    </w:p>
    <w:p w14:paraId="2E9D9CC8" w14:textId="77777777" w:rsidR="00F91E25" w:rsidRDefault="00F91E25" w:rsidP="00F91E25">
      <w:pPr>
        <w:widowControl w:val="0"/>
        <w:numPr>
          <w:ilvl w:val="0"/>
          <w:numId w:val="3"/>
        </w:numPr>
        <w:pBdr>
          <w:top w:val="nil"/>
          <w:left w:val="nil"/>
          <w:bottom w:val="nil"/>
          <w:right w:val="nil"/>
          <w:between w:val="nil"/>
        </w:pBdr>
        <w:spacing w:line="240" w:lineRule="auto"/>
        <w:rPr>
          <w:sz w:val="20"/>
          <w:szCs w:val="20"/>
        </w:rPr>
      </w:pPr>
      <w:r>
        <w:rPr>
          <w:sz w:val="20"/>
          <w:szCs w:val="20"/>
        </w:rPr>
        <w:t>à l’organisation et à la rémunération du travail du dimanche, prévoit une rémunération majorée à 100 % des dimanches travaillés</w:t>
      </w:r>
    </w:p>
    <w:p w14:paraId="6F946504" w14:textId="77777777" w:rsidR="00F91E25" w:rsidRDefault="00F91E25" w:rsidP="00F91E25">
      <w:pPr>
        <w:widowControl w:val="0"/>
        <w:pBdr>
          <w:top w:val="nil"/>
          <w:left w:val="nil"/>
          <w:bottom w:val="nil"/>
          <w:right w:val="nil"/>
          <w:between w:val="nil"/>
        </w:pBdr>
        <w:spacing w:line="240" w:lineRule="auto"/>
        <w:ind w:left="720"/>
        <w:rPr>
          <w:sz w:val="20"/>
          <w:szCs w:val="20"/>
        </w:rPr>
      </w:pPr>
    </w:p>
    <w:p w14:paraId="2AF44BC8" w14:textId="77777777" w:rsidR="00F91E2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r>
        <w:rPr>
          <w:b/>
          <w:bCs/>
          <w:color w:val="000000"/>
          <w:sz w:val="20"/>
          <w:szCs w:val="20"/>
          <w:u w:val="single"/>
        </w:rPr>
        <w:t xml:space="preserve">Article 2 – Période de référence et principe de modulation mensuelle </w:t>
      </w:r>
    </w:p>
    <w:p w14:paraId="790BFEE9" w14:textId="77777777" w:rsidR="00F91E25" w:rsidRDefault="00F91E25" w:rsidP="00F91E25">
      <w:pPr>
        <w:widowControl w:val="0"/>
        <w:pBdr>
          <w:top w:val="nil"/>
          <w:left w:val="nil"/>
          <w:bottom w:val="nil"/>
          <w:right w:val="nil"/>
          <w:between w:val="nil"/>
        </w:pBdr>
        <w:spacing w:before="40" w:after="40" w:line="240" w:lineRule="auto"/>
        <w:ind w:left="30"/>
        <w:jc w:val="both"/>
        <w:rPr>
          <w:b/>
          <w:bCs/>
          <w:sz w:val="20"/>
          <w:szCs w:val="20"/>
        </w:rPr>
      </w:pPr>
    </w:p>
    <w:p w14:paraId="5C3F26E1" w14:textId="77777777" w:rsidR="00F91E25" w:rsidRDefault="00F91E25" w:rsidP="00F91E25">
      <w:pPr>
        <w:widowControl w:val="0"/>
        <w:pBdr>
          <w:top w:val="nil"/>
          <w:left w:val="nil"/>
          <w:bottom w:val="nil"/>
          <w:right w:val="nil"/>
          <w:between w:val="nil"/>
        </w:pBdr>
        <w:spacing w:before="40" w:after="40" w:line="240" w:lineRule="auto"/>
        <w:ind w:left="30"/>
        <w:jc w:val="both"/>
        <w:rPr>
          <w:sz w:val="20"/>
          <w:szCs w:val="20"/>
        </w:rPr>
      </w:pPr>
      <w:r>
        <w:rPr>
          <w:sz w:val="20"/>
          <w:szCs w:val="20"/>
        </w:rPr>
        <w:t>Le présent article annule et remplace les dispositions précédentes relatives à la modulation annuelle du temps de travail.</w:t>
      </w:r>
    </w:p>
    <w:p w14:paraId="7DC377DA" w14:textId="77777777" w:rsidR="00F91E25" w:rsidRDefault="00F91E25" w:rsidP="00F91E25">
      <w:pPr>
        <w:widowControl w:val="0"/>
        <w:pBdr>
          <w:top w:val="nil"/>
          <w:left w:val="nil"/>
          <w:bottom w:val="nil"/>
          <w:right w:val="nil"/>
          <w:between w:val="nil"/>
        </w:pBdr>
        <w:spacing w:before="40" w:after="40" w:line="240" w:lineRule="auto"/>
        <w:jc w:val="both"/>
        <w:rPr>
          <w:color w:val="000000"/>
          <w:sz w:val="20"/>
          <w:szCs w:val="20"/>
        </w:rPr>
      </w:pPr>
      <w:r>
        <w:rPr>
          <w:color w:val="000000"/>
          <w:sz w:val="20"/>
          <w:szCs w:val="20"/>
        </w:rPr>
        <w:t xml:space="preserve">La durée du travail des salariés est appréciée sur une période de référence mensuelle. </w:t>
      </w:r>
    </w:p>
    <w:p w14:paraId="4ED9D889" w14:textId="3728F02A" w:rsidR="00F91E25" w:rsidRDefault="00F91E25" w:rsidP="00F91E25">
      <w:pPr>
        <w:widowControl w:val="0"/>
        <w:pBdr>
          <w:top w:val="nil"/>
          <w:left w:val="nil"/>
          <w:bottom w:val="nil"/>
          <w:right w:val="nil"/>
          <w:between w:val="nil"/>
        </w:pBdr>
        <w:spacing w:before="40" w:after="40" w:line="240" w:lineRule="auto"/>
        <w:ind w:right="100"/>
        <w:jc w:val="both"/>
        <w:rPr>
          <w:color w:val="000000"/>
          <w:sz w:val="20"/>
          <w:szCs w:val="20"/>
        </w:rPr>
      </w:pPr>
      <w:r>
        <w:rPr>
          <w:color w:val="000000"/>
          <w:sz w:val="20"/>
          <w:szCs w:val="20"/>
        </w:rPr>
        <w:t>Dans ce cadre, la durée hebdomadaire de travail peut varier d’une semaine à l’autre au cours d’un même mois, afin de tenir compte des besoins de l’activité. Les variations de la durée du travail entre les semaines d’un même mois peuvent se compenser entre elles, sans que cela constitue des heures supplémentaires. Sur cette période, la durée moyenne de travail est fixée à la durée contractuelle applicable au salarié, sans pouvoir être inférieure à 35 heures hebdomadaires</w:t>
      </w:r>
      <w:r>
        <w:rPr>
          <w:sz w:val="20"/>
          <w:szCs w:val="20"/>
        </w:rPr>
        <w:t>. L</w:t>
      </w:r>
      <w:r>
        <w:rPr>
          <w:color w:val="000000"/>
          <w:sz w:val="20"/>
          <w:szCs w:val="20"/>
        </w:rPr>
        <w:t xml:space="preserve">a durée hebdomadaire de travail peut varier entre 28 heures minimum et 48 heures maximum, dans le respect des durées maximales légales et des temps de repos. </w:t>
      </w:r>
    </w:p>
    <w:p w14:paraId="1654E0CE" w14:textId="77777777" w:rsidR="00F91E25" w:rsidRDefault="00F91E25" w:rsidP="00F91E25">
      <w:pPr>
        <w:widowControl w:val="0"/>
        <w:pBdr>
          <w:top w:val="nil"/>
          <w:left w:val="nil"/>
          <w:bottom w:val="nil"/>
          <w:right w:val="nil"/>
          <w:between w:val="nil"/>
        </w:pBdr>
        <w:spacing w:before="40" w:after="40" w:line="240" w:lineRule="auto"/>
        <w:ind w:left="21" w:right="100" w:firstLine="38"/>
        <w:rPr>
          <w:sz w:val="20"/>
          <w:szCs w:val="20"/>
        </w:rPr>
      </w:pPr>
    </w:p>
    <w:p w14:paraId="5140FAED" w14:textId="77777777" w:rsidR="00F91E2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r>
        <w:rPr>
          <w:b/>
          <w:bCs/>
          <w:color w:val="000000"/>
          <w:sz w:val="20"/>
          <w:szCs w:val="20"/>
          <w:u w:val="single"/>
        </w:rPr>
        <w:t xml:space="preserve">Article 3 – Durée contractuelle mensuelle de référence </w:t>
      </w:r>
    </w:p>
    <w:p w14:paraId="44E749DD" w14:textId="77777777" w:rsidR="00F91E25" w:rsidRDefault="00F91E25" w:rsidP="00F91E25">
      <w:pPr>
        <w:widowControl w:val="0"/>
        <w:pBdr>
          <w:top w:val="nil"/>
          <w:left w:val="nil"/>
          <w:bottom w:val="nil"/>
          <w:right w:val="nil"/>
          <w:between w:val="nil"/>
        </w:pBdr>
        <w:spacing w:before="40" w:after="40" w:line="240" w:lineRule="auto"/>
        <w:ind w:left="30"/>
        <w:rPr>
          <w:b/>
          <w:bCs/>
          <w:sz w:val="20"/>
          <w:szCs w:val="20"/>
        </w:rPr>
      </w:pPr>
    </w:p>
    <w:p w14:paraId="78096F1C" w14:textId="77777777" w:rsidR="00F91E25" w:rsidRPr="00505E63" w:rsidRDefault="00F91E25" w:rsidP="00F91E25">
      <w:pPr>
        <w:widowControl w:val="0"/>
        <w:pBdr>
          <w:top w:val="nil"/>
          <w:left w:val="nil"/>
          <w:bottom w:val="nil"/>
          <w:right w:val="nil"/>
          <w:between w:val="nil"/>
        </w:pBdr>
        <w:spacing w:before="40" w:after="40" w:line="240" w:lineRule="auto"/>
        <w:ind w:left="60"/>
        <w:rPr>
          <w:color w:val="000000"/>
          <w:sz w:val="20"/>
          <w:szCs w:val="20"/>
        </w:rPr>
      </w:pPr>
      <w:r>
        <w:rPr>
          <w:color w:val="000000"/>
          <w:sz w:val="20"/>
          <w:szCs w:val="20"/>
        </w:rPr>
        <w:t xml:space="preserve">La durée contractuelle mensuelle de travail est fixée : </w:t>
      </w:r>
    </w:p>
    <w:p w14:paraId="1CF87E7C" w14:textId="77777777" w:rsidR="00F91E25" w:rsidRDefault="00F91E25" w:rsidP="00F91E25">
      <w:pPr>
        <w:widowControl w:val="0"/>
        <w:numPr>
          <w:ilvl w:val="0"/>
          <w:numId w:val="2"/>
        </w:numPr>
        <w:pBdr>
          <w:top w:val="nil"/>
          <w:left w:val="nil"/>
          <w:bottom w:val="nil"/>
          <w:right w:val="nil"/>
          <w:between w:val="nil"/>
        </w:pBdr>
        <w:spacing w:before="40" w:after="40" w:line="240" w:lineRule="auto"/>
        <w:rPr>
          <w:color w:val="000000"/>
          <w:sz w:val="20"/>
          <w:szCs w:val="20"/>
        </w:rPr>
      </w:pPr>
      <w:r>
        <w:rPr>
          <w:color w:val="000000"/>
          <w:sz w:val="20"/>
          <w:szCs w:val="20"/>
        </w:rPr>
        <w:t xml:space="preserve">à 151,67 heures par mois pour les salariés dont la durée contractuelle est de 35 heures hebdomadaires ; </w:t>
      </w:r>
    </w:p>
    <w:p w14:paraId="04191186" w14:textId="77777777" w:rsidR="00F91E25" w:rsidRDefault="00F91E25" w:rsidP="00F91E25">
      <w:pPr>
        <w:widowControl w:val="0"/>
        <w:numPr>
          <w:ilvl w:val="0"/>
          <w:numId w:val="2"/>
        </w:numPr>
        <w:pBdr>
          <w:top w:val="nil"/>
          <w:left w:val="nil"/>
          <w:bottom w:val="nil"/>
          <w:right w:val="nil"/>
          <w:between w:val="nil"/>
        </w:pBdr>
        <w:spacing w:before="40" w:after="40" w:line="240" w:lineRule="auto"/>
        <w:rPr>
          <w:color w:val="000000"/>
          <w:sz w:val="20"/>
          <w:szCs w:val="20"/>
        </w:rPr>
      </w:pPr>
      <w:r>
        <w:rPr>
          <w:color w:val="000000"/>
          <w:sz w:val="20"/>
          <w:szCs w:val="20"/>
        </w:rPr>
        <w:t xml:space="preserve"> à 169 heures par mois pour les salariés dont la durée contractuelle est de 39 heures hebdomadaires. </w:t>
      </w:r>
    </w:p>
    <w:p w14:paraId="61C04747" w14:textId="77777777" w:rsidR="00F91E25" w:rsidRDefault="00F91E25" w:rsidP="00F91E25">
      <w:pPr>
        <w:widowControl w:val="0"/>
        <w:pBdr>
          <w:top w:val="nil"/>
          <w:left w:val="nil"/>
          <w:bottom w:val="nil"/>
          <w:right w:val="nil"/>
          <w:between w:val="nil"/>
        </w:pBdr>
        <w:spacing w:before="40" w:after="40" w:line="240" w:lineRule="auto"/>
        <w:rPr>
          <w:color w:val="000000"/>
          <w:sz w:val="20"/>
          <w:szCs w:val="20"/>
        </w:rPr>
      </w:pPr>
    </w:p>
    <w:p w14:paraId="1E44CD84" w14:textId="77777777" w:rsidR="00F91E25" w:rsidRDefault="00F91E25" w:rsidP="00F91E25">
      <w:pPr>
        <w:widowControl w:val="0"/>
        <w:pBdr>
          <w:top w:val="nil"/>
          <w:left w:val="nil"/>
          <w:bottom w:val="nil"/>
          <w:right w:val="nil"/>
          <w:between w:val="nil"/>
        </w:pBdr>
        <w:spacing w:before="40" w:after="40" w:line="240" w:lineRule="auto"/>
        <w:rPr>
          <w:color w:val="000000"/>
          <w:sz w:val="20"/>
          <w:szCs w:val="20"/>
        </w:rPr>
      </w:pPr>
    </w:p>
    <w:p w14:paraId="50C1F72E" w14:textId="77777777" w:rsidR="00F91E25" w:rsidRDefault="00F91E25" w:rsidP="00F91E25">
      <w:pPr>
        <w:widowControl w:val="0"/>
        <w:pBdr>
          <w:top w:val="nil"/>
          <w:left w:val="nil"/>
          <w:bottom w:val="nil"/>
          <w:right w:val="nil"/>
          <w:between w:val="nil"/>
        </w:pBdr>
        <w:spacing w:before="40" w:after="40" w:line="240" w:lineRule="auto"/>
        <w:ind w:left="720"/>
        <w:rPr>
          <w:sz w:val="20"/>
          <w:szCs w:val="20"/>
          <w:u w:val="single"/>
        </w:rPr>
      </w:pPr>
    </w:p>
    <w:p w14:paraId="3C346DB6" w14:textId="77777777" w:rsidR="00F91E25" w:rsidRDefault="00F91E25" w:rsidP="00F91E25">
      <w:pPr>
        <w:widowControl w:val="0"/>
        <w:pBdr>
          <w:top w:val="nil"/>
          <w:left w:val="nil"/>
          <w:bottom w:val="nil"/>
          <w:right w:val="nil"/>
          <w:between w:val="nil"/>
        </w:pBdr>
        <w:spacing w:before="40" w:after="40" w:line="240" w:lineRule="auto"/>
        <w:ind w:left="30"/>
        <w:jc w:val="both"/>
        <w:rPr>
          <w:b/>
          <w:bCs/>
          <w:color w:val="000000"/>
          <w:sz w:val="20"/>
          <w:szCs w:val="20"/>
          <w:u w:val="single"/>
        </w:rPr>
      </w:pPr>
      <w:r>
        <w:rPr>
          <w:b/>
          <w:bCs/>
          <w:color w:val="000000"/>
          <w:sz w:val="20"/>
          <w:szCs w:val="20"/>
          <w:u w:val="single"/>
        </w:rPr>
        <w:lastRenderedPageBreak/>
        <w:t xml:space="preserve">Article 4 – Déclenchement des heures supplémentaires </w:t>
      </w:r>
    </w:p>
    <w:p w14:paraId="4261BC54" w14:textId="77777777" w:rsidR="00F91E25" w:rsidRDefault="00F91E25" w:rsidP="00F91E25">
      <w:pPr>
        <w:widowControl w:val="0"/>
        <w:pBdr>
          <w:top w:val="nil"/>
          <w:left w:val="nil"/>
          <w:bottom w:val="nil"/>
          <w:right w:val="nil"/>
          <w:between w:val="nil"/>
        </w:pBdr>
        <w:spacing w:before="40" w:after="40" w:line="240" w:lineRule="auto"/>
        <w:ind w:left="30"/>
        <w:jc w:val="both"/>
        <w:rPr>
          <w:b/>
          <w:bCs/>
          <w:sz w:val="20"/>
          <w:szCs w:val="20"/>
        </w:rPr>
      </w:pPr>
    </w:p>
    <w:p w14:paraId="3A82BADB" w14:textId="77777777" w:rsidR="00F91E25" w:rsidRDefault="00F91E25" w:rsidP="00F91E25">
      <w:pPr>
        <w:widowControl w:val="0"/>
        <w:pBdr>
          <w:top w:val="nil"/>
          <w:left w:val="nil"/>
          <w:bottom w:val="nil"/>
          <w:right w:val="nil"/>
          <w:between w:val="nil"/>
        </w:pBdr>
        <w:spacing w:before="40" w:after="40" w:line="240" w:lineRule="auto"/>
        <w:ind w:left="21" w:right="165" w:hanging="5"/>
        <w:jc w:val="both"/>
        <w:rPr>
          <w:color w:val="000000"/>
          <w:sz w:val="20"/>
          <w:szCs w:val="20"/>
        </w:rPr>
      </w:pPr>
      <w:r>
        <w:rPr>
          <w:color w:val="000000"/>
          <w:sz w:val="20"/>
          <w:szCs w:val="20"/>
        </w:rPr>
        <w:t xml:space="preserve">À l’issue de chaque mois, seules les heures de travail effectuées au-delà de la durée contractuelle mensuelle applicable constituent des heures supplémentaires. Les heures effectuées en deçà de cette durée au cours d’une ou plusieurs semaines d’un même mois peuvent être compensées par des heures effectuées au-delà au cours d’autres semaines du même mois, sans donner lieu à rémunération au titre des heures supplémentaires. </w:t>
      </w:r>
    </w:p>
    <w:p w14:paraId="44474351" w14:textId="77777777" w:rsidR="00F91E25" w:rsidRDefault="00F91E25" w:rsidP="00F91E25">
      <w:pPr>
        <w:widowControl w:val="0"/>
        <w:pBdr>
          <w:top w:val="nil"/>
          <w:left w:val="nil"/>
          <w:bottom w:val="nil"/>
          <w:right w:val="nil"/>
          <w:between w:val="nil"/>
        </w:pBdr>
        <w:spacing w:before="40" w:after="40" w:line="240" w:lineRule="auto"/>
        <w:ind w:left="21" w:right="165" w:hanging="5"/>
        <w:jc w:val="both"/>
        <w:rPr>
          <w:sz w:val="20"/>
          <w:szCs w:val="20"/>
        </w:rPr>
      </w:pPr>
    </w:p>
    <w:p w14:paraId="7CEE5982" w14:textId="77777777" w:rsidR="00F91E25" w:rsidRDefault="00F91E25" w:rsidP="00F91E25">
      <w:pPr>
        <w:widowControl w:val="0"/>
        <w:pBdr>
          <w:top w:val="nil"/>
          <w:left w:val="nil"/>
          <w:bottom w:val="nil"/>
          <w:right w:val="nil"/>
          <w:between w:val="nil"/>
        </w:pBdr>
        <w:spacing w:before="40" w:after="40" w:line="240" w:lineRule="auto"/>
        <w:ind w:left="30"/>
        <w:jc w:val="both"/>
        <w:rPr>
          <w:b/>
          <w:bCs/>
          <w:color w:val="000000"/>
          <w:sz w:val="20"/>
          <w:szCs w:val="20"/>
          <w:u w:val="single"/>
        </w:rPr>
      </w:pPr>
      <w:r>
        <w:rPr>
          <w:b/>
          <w:bCs/>
          <w:color w:val="000000"/>
          <w:sz w:val="20"/>
          <w:szCs w:val="20"/>
          <w:u w:val="single"/>
        </w:rPr>
        <w:t xml:space="preserve">Article 5 – Contingent annuel d’heures supplémentaires </w:t>
      </w:r>
    </w:p>
    <w:p w14:paraId="5EECBD52" w14:textId="77777777" w:rsidR="00F91E25" w:rsidRDefault="00F91E25" w:rsidP="00F91E25">
      <w:pPr>
        <w:widowControl w:val="0"/>
        <w:pBdr>
          <w:top w:val="nil"/>
          <w:left w:val="nil"/>
          <w:bottom w:val="nil"/>
          <w:right w:val="nil"/>
          <w:between w:val="nil"/>
        </w:pBdr>
        <w:spacing w:before="40" w:after="40" w:line="240" w:lineRule="auto"/>
        <w:ind w:left="21" w:right="274" w:firstLine="1"/>
        <w:jc w:val="both"/>
        <w:rPr>
          <w:color w:val="000000"/>
          <w:sz w:val="20"/>
          <w:szCs w:val="20"/>
        </w:rPr>
      </w:pPr>
      <w:r>
        <w:rPr>
          <w:color w:val="000000"/>
          <w:sz w:val="20"/>
          <w:szCs w:val="20"/>
        </w:rPr>
        <w:t xml:space="preserve">Conformément à l’article L3121-33 du Code du travail, le contingent annuel d’heures supplémentaires est fixé à 385 heures par salarié et par année civile. Les heures supplémentaires décomptées conformément au présent accord sont imputées sur ce contingent, sous réserve des dispositions de l’article 5 bis. </w:t>
      </w:r>
    </w:p>
    <w:p w14:paraId="3B27DE9D" w14:textId="77777777" w:rsidR="00F91E25" w:rsidRDefault="00F91E25" w:rsidP="00F91E25">
      <w:pPr>
        <w:widowControl w:val="0"/>
        <w:pBdr>
          <w:top w:val="nil"/>
          <w:left w:val="nil"/>
          <w:bottom w:val="nil"/>
          <w:right w:val="nil"/>
          <w:between w:val="nil"/>
        </w:pBdr>
        <w:spacing w:before="40" w:after="40" w:line="240" w:lineRule="auto"/>
        <w:ind w:left="21" w:right="274" w:firstLine="1"/>
        <w:jc w:val="both"/>
        <w:rPr>
          <w:sz w:val="20"/>
          <w:szCs w:val="20"/>
        </w:rPr>
      </w:pPr>
    </w:p>
    <w:p w14:paraId="0393EF20" w14:textId="77777777" w:rsidR="00F91E25" w:rsidRDefault="00F91E25" w:rsidP="00F91E25">
      <w:pPr>
        <w:widowControl w:val="0"/>
        <w:pBdr>
          <w:top w:val="nil"/>
          <w:left w:val="nil"/>
          <w:bottom w:val="nil"/>
          <w:right w:val="nil"/>
          <w:between w:val="nil"/>
        </w:pBdr>
        <w:spacing w:before="40" w:after="40" w:line="240" w:lineRule="auto"/>
        <w:ind w:left="15"/>
        <w:jc w:val="both"/>
        <w:rPr>
          <w:b/>
          <w:bCs/>
          <w:color w:val="000000"/>
          <w:sz w:val="20"/>
          <w:szCs w:val="20"/>
          <w:u w:val="single"/>
        </w:rPr>
      </w:pPr>
      <w:r>
        <w:rPr>
          <w:b/>
          <w:bCs/>
          <w:color w:val="000000"/>
          <w:sz w:val="20"/>
          <w:szCs w:val="20"/>
          <w:u w:val="single"/>
        </w:rPr>
        <w:t xml:space="preserve">Article 5 bis – Exclusion des heures supplémentaires structurelles du contingent annuel </w:t>
      </w:r>
    </w:p>
    <w:p w14:paraId="5D495A0B" w14:textId="77777777" w:rsidR="00F91E25" w:rsidRDefault="00F91E25" w:rsidP="00F91E25">
      <w:pPr>
        <w:widowControl w:val="0"/>
        <w:pBdr>
          <w:top w:val="nil"/>
          <w:left w:val="nil"/>
          <w:bottom w:val="nil"/>
          <w:right w:val="nil"/>
          <w:between w:val="nil"/>
        </w:pBdr>
        <w:spacing w:before="40" w:after="40" w:line="240" w:lineRule="auto"/>
        <w:ind w:left="15"/>
        <w:jc w:val="both"/>
        <w:rPr>
          <w:b/>
          <w:bCs/>
          <w:sz w:val="20"/>
          <w:szCs w:val="20"/>
          <w:u w:val="single"/>
        </w:rPr>
      </w:pPr>
    </w:p>
    <w:p w14:paraId="62103368" w14:textId="77777777" w:rsidR="00F91E25" w:rsidRDefault="00F91E25" w:rsidP="00F91E25">
      <w:pPr>
        <w:widowControl w:val="0"/>
        <w:pBdr>
          <w:top w:val="nil"/>
          <w:left w:val="nil"/>
          <w:bottom w:val="nil"/>
          <w:right w:val="nil"/>
          <w:between w:val="nil"/>
        </w:pBdr>
        <w:spacing w:before="40" w:after="40" w:line="240" w:lineRule="auto"/>
        <w:ind w:left="20" w:firstLine="39"/>
        <w:jc w:val="both"/>
        <w:rPr>
          <w:color w:val="000000"/>
          <w:sz w:val="20"/>
          <w:szCs w:val="20"/>
        </w:rPr>
      </w:pPr>
      <w:r>
        <w:rPr>
          <w:color w:val="000000"/>
          <w:sz w:val="20"/>
          <w:szCs w:val="20"/>
        </w:rPr>
        <w:t xml:space="preserve">Les heures supplémentaires dites structurelles, correspondant aux heures de travail effectuées entre la 36e et la 39e heure hebdomadaire, lorsqu’elles sont prévues contractuellement, ne sont pas imputées sur le contingent annuel d’heures supplémentaires. Ces heures donnent lieu à rémunération avec la majoration prévue par le présent accord. Les heures effectuées au-delà de la 39e heure hebdomadaire constituent des heures supplémentaires occasionnelles et sont imputées sur le contingent annuel d’heures supplémentaires. </w:t>
      </w:r>
    </w:p>
    <w:p w14:paraId="22910DB3" w14:textId="77777777" w:rsidR="00F91E25" w:rsidRDefault="00F91E25" w:rsidP="00F91E25">
      <w:pPr>
        <w:widowControl w:val="0"/>
        <w:pBdr>
          <w:top w:val="nil"/>
          <w:left w:val="nil"/>
          <w:bottom w:val="nil"/>
          <w:right w:val="nil"/>
          <w:between w:val="nil"/>
        </w:pBdr>
        <w:spacing w:before="40" w:after="40" w:line="240" w:lineRule="auto"/>
        <w:jc w:val="both"/>
        <w:rPr>
          <w:sz w:val="20"/>
          <w:szCs w:val="20"/>
          <w:u w:val="single"/>
        </w:rPr>
      </w:pPr>
    </w:p>
    <w:p w14:paraId="31C75B9A" w14:textId="77777777" w:rsidR="00F91E25" w:rsidRDefault="00F91E25" w:rsidP="00F91E25">
      <w:pPr>
        <w:widowControl w:val="0"/>
        <w:pBdr>
          <w:top w:val="nil"/>
          <w:left w:val="nil"/>
          <w:bottom w:val="nil"/>
          <w:right w:val="nil"/>
          <w:between w:val="nil"/>
        </w:pBdr>
        <w:spacing w:before="40" w:after="40" w:line="240" w:lineRule="auto"/>
        <w:ind w:left="30"/>
        <w:jc w:val="both"/>
        <w:rPr>
          <w:b/>
          <w:bCs/>
          <w:color w:val="000000"/>
          <w:sz w:val="20"/>
          <w:szCs w:val="20"/>
          <w:u w:val="single"/>
        </w:rPr>
      </w:pPr>
      <w:r>
        <w:rPr>
          <w:b/>
          <w:bCs/>
          <w:color w:val="000000"/>
          <w:sz w:val="20"/>
          <w:szCs w:val="20"/>
          <w:u w:val="single"/>
        </w:rPr>
        <w:t xml:space="preserve">Article 6 – Taux de majoration des heures supplémentaires </w:t>
      </w:r>
    </w:p>
    <w:p w14:paraId="4811F90A" w14:textId="77777777" w:rsidR="00F91E25" w:rsidRDefault="00F91E25" w:rsidP="00F91E25">
      <w:pPr>
        <w:widowControl w:val="0"/>
        <w:pBdr>
          <w:top w:val="nil"/>
          <w:left w:val="nil"/>
          <w:bottom w:val="nil"/>
          <w:right w:val="nil"/>
          <w:between w:val="nil"/>
        </w:pBdr>
        <w:spacing w:before="40" w:after="40" w:line="240" w:lineRule="auto"/>
        <w:ind w:left="30"/>
        <w:jc w:val="both"/>
        <w:rPr>
          <w:b/>
          <w:bCs/>
          <w:sz w:val="20"/>
          <w:szCs w:val="20"/>
          <w:u w:val="single"/>
        </w:rPr>
      </w:pPr>
    </w:p>
    <w:p w14:paraId="748BC328" w14:textId="77777777" w:rsidR="00F91E25" w:rsidRDefault="00F91E25" w:rsidP="00F91E25">
      <w:pPr>
        <w:widowControl w:val="0"/>
        <w:pBdr>
          <w:top w:val="nil"/>
          <w:left w:val="nil"/>
          <w:bottom w:val="nil"/>
          <w:right w:val="nil"/>
          <w:between w:val="nil"/>
        </w:pBdr>
        <w:spacing w:before="40" w:after="40" w:line="240" w:lineRule="auto"/>
        <w:ind w:left="25" w:right="1730" w:hanging="3"/>
        <w:jc w:val="both"/>
        <w:rPr>
          <w:color w:val="000000"/>
          <w:sz w:val="20"/>
          <w:szCs w:val="20"/>
        </w:rPr>
      </w:pPr>
      <w:r>
        <w:rPr>
          <w:color w:val="000000"/>
          <w:sz w:val="20"/>
          <w:szCs w:val="20"/>
        </w:rPr>
        <w:t xml:space="preserve">Conformément à l’article L.3121-33 du Code du travail, le présent accord fixe un taux unique de majoration de 25% applicable à l’ensemble des heures supplémentaires effectuées par les salariés de l’entreprise, quelle que soit leur durée hebdomadaire. </w:t>
      </w:r>
    </w:p>
    <w:p w14:paraId="30CABD29" w14:textId="77777777" w:rsidR="00F91E25" w:rsidRDefault="00F91E25" w:rsidP="00F91E25">
      <w:pPr>
        <w:widowControl w:val="0"/>
        <w:pBdr>
          <w:top w:val="nil"/>
          <w:left w:val="nil"/>
          <w:bottom w:val="nil"/>
          <w:right w:val="nil"/>
          <w:between w:val="nil"/>
        </w:pBdr>
        <w:spacing w:before="40" w:after="40" w:line="240" w:lineRule="auto"/>
        <w:ind w:left="25" w:right="1730" w:hanging="3"/>
        <w:jc w:val="both"/>
        <w:rPr>
          <w:sz w:val="20"/>
          <w:szCs w:val="20"/>
        </w:rPr>
      </w:pPr>
    </w:p>
    <w:p w14:paraId="6CC78976" w14:textId="77777777" w:rsidR="00F91E25" w:rsidRDefault="00F91E25" w:rsidP="00F91E25">
      <w:pPr>
        <w:widowControl w:val="0"/>
        <w:pBdr>
          <w:top w:val="nil"/>
          <w:left w:val="nil"/>
          <w:bottom w:val="nil"/>
          <w:right w:val="nil"/>
          <w:between w:val="nil"/>
        </w:pBdr>
        <w:spacing w:before="40" w:after="40" w:line="240" w:lineRule="auto"/>
        <w:ind w:left="21"/>
        <w:jc w:val="both"/>
        <w:rPr>
          <w:sz w:val="20"/>
          <w:szCs w:val="20"/>
        </w:rPr>
      </w:pPr>
      <w:r>
        <w:rPr>
          <w:color w:val="000000"/>
          <w:sz w:val="20"/>
          <w:szCs w:val="20"/>
        </w:rPr>
        <w:t xml:space="preserve">Ce taux s’applique : </w:t>
      </w:r>
    </w:p>
    <w:p w14:paraId="3DF15D38" w14:textId="77777777" w:rsidR="00F91E25" w:rsidRDefault="00F91E25" w:rsidP="00F91E25">
      <w:pPr>
        <w:widowControl w:val="0"/>
        <w:numPr>
          <w:ilvl w:val="0"/>
          <w:numId w:val="1"/>
        </w:numPr>
        <w:pBdr>
          <w:top w:val="nil"/>
          <w:left w:val="nil"/>
          <w:bottom w:val="nil"/>
          <w:right w:val="nil"/>
          <w:between w:val="nil"/>
        </w:pBdr>
        <w:spacing w:before="40" w:after="40" w:line="240" w:lineRule="auto"/>
        <w:rPr>
          <w:color w:val="000000"/>
          <w:sz w:val="20"/>
          <w:szCs w:val="20"/>
        </w:rPr>
      </w:pPr>
      <w:r>
        <w:rPr>
          <w:color w:val="000000"/>
          <w:sz w:val="20"/>
          <w:szCs w:val="20"/>
        </w:rPr>
        <w:t xml:space="preserve">aux heures supplémentaires structurelles effectuées entre la 36e et la 39e heure hebdomadaire ; </w:t>
      </w:r>
    </w:p>
    <w:p w14:paraId="6F91EFCD" w14:textId="77777777" w:rsidR="00F91E25" w:rsidRDefault="00F91E25" w:rsidP="00F91E25">
      <w:pPr>
        <w:widowControl w:val="0"/>
        <w:numPr>
          <w:ilvl w:val="0"/>
          <w:numId w:val="1"/>
        </w:numPr>
        <w:pBdr>
          <w:top w:val="nil"/>
          <w:left w:val="nil"/>
          <w:bottom w:val="nil"/>
          <w:right w:val="nil"/>
          <w:between w:val="nil"/>
        </w:pBdr>
        <w:spacing w:before="40" w:after="40" w:line="240" w:lineRule="auto"/>
        <w:ind w:right="641"/>
        <w:rPr>
          <w:color w:val="000000"/>
          <w:sz w:val="20"/>
          <w:szCs w:val="20"/>
        </w:rPr>
      </w:pPr>
      <w:r>
        <w:rPr>
          <w:color w:val="000000"/>
          <w:sz w:val="20"/>
          <w:szCs w:val="20"/>
        </w:rPr>
        <w:t xml:space="preserve"> aux heures supplémentaires occasionnelles effectuées au-delà de la 39e heure hebdomadaire, y compris lorsque leur nombre excède huit heures par semaine. </w:t>
      </w:r>
    </w:p>
    <w:p w14:paraId="4CA99018" w14:textId="77777777" w:rsidR="00F91E25" w:rsidRDefault="00F91E25" w:rsidP="00F91E25">
      <w:pPr>
        <w:widowControl w:val="0"/>
        <w:pBdr>
          <w:top w:val="nil"/>
          <w:left w:val="nil"/>
          <w:bottom w:val="nil"/>
          <w:right w:val="nil"/>
          <w:between w:val="nil"/>
        </w:pBdr>
        <w:spacing w:before="40" w:after="40" w:line="240" w:lineRule="auto"/>
        <w:ind w:left="720" w:right="641"/>
        <w:jc w:val="both"/>
        <w:rPr>
          <w:sz w:val="20"/>
          <w:szCs w:val="20"/>
        </w:rPr>
      </w:pPr>
    </w:p>
    <w:p w14:paraId="2009D60B" w14:textId="77777777" w:rsidR="00F91E25" w:rsidRPr="00F91E25" w:rsidRDefault="00F91E25" w:rsidP="00F91E25">
      <w:pPr>
        <w:widowControl w:val="0"/>
        <w:pBdr>
          <w:top w:val="nil"/>
          <w:left w:val="nil"/>
          <w:bottom w:val="nil"/>
          <w:right w:val="nil"/>
          <w:between w:val="nil"/>
        </w:pBdr>
        <w:spacing w:before="40" w:after="40" w:line="240" w:lineRule="auto"/>
        <w:ind w:left="17" w:right="251" w:firstLine="10"/>
        <w:jc w:val="both"/>
        <w:rPr>
          <w:i/>
          <w:iCs/>
          <w:color w:val="000000"/>
          <w:sz w:val="20"/>
          <w:szCs w:val="20"/>
        </w:rPr>
      </w:pPr>
      <w:r w:rsidRPr="00F91E25">
        <w:rPr>
          <w:i/>
          <w:iCs/>
          <w:color w:val="000000"/>
          <w:sz w:val="20"/>
          <w:szCs w:val="20"/>
        </w:rPr>
        <w:t xml:space="preserve">En conséquence, aucune majoration de 50 % ne s’applique, l’ensemble des heures supplémentaires étant rémunéré sur la base d’une majoration unique de 25%. Les autres dispositions légales relatives aux durées maximales de travail, aux repos quotidiens et hebdomadaires ainsi qu’au contingent annuel d’heures supplémentaires demeurent applicables. </w:t>
      </w:r>
    </w:p>
    <w:p w14:paraId="346517FF" w14:textId="77777777" w:rsidR="00F91E25" w:rsidRDefault="00F91E25" w:rsidP="00F91E25">
      <w:pPr>
        <w:widowControl w:val="0"/>
        <w:pBdr>
          <w:top w:val="nil"/>
          <w:left w:val="nil"/>
          <w:bottom w:val="nil"/>
          <w:right w:val="nil"/>
          <w:between w:val="nil"/>
        </w:pBdr>
        <w:spacing w:before="40" w:after="40" w:line="240" w:lineRule="auto"/>
        <w:ind w:left="17" w:right="251" w:firstLine="10"/>
        <w:jc w:val="both"/>
        <w:rPr>
          <w:i/>
          <w:iCs/>
          <w:sz w:val="20"/>
          <w:szCs w:val="20"/>
        </w:rPr>
      </w:pPr>
    </w:p>
    <w:p w14:paraId="25566DBA" w14:textId="77777777" w:rsidR="00F91E25" w:rsidRDefault="00F91E25" w:rsidP="00F91E25">
      <w:pPr>
        <w:widowControl w:val="0"/>
        <w:pBdr>
          <w:top w:val="nil"/>
          <w:left w:val="nil"/>
          <w:bottom w:val="nil"/>
          <w:right w:val="nil"/>
          <w:between w:val="nil"/>
        </w:pBdr>
        <w:spacing w:before="40" w:after="40" w:line="240" w:lineRule="auto"/>
        <w:ind w:left="30"/>
        <w:jc w:val="both"/>
        <w:rPr>
          <w:b/>
          <w:bCs/>
          <w:color w:val="000000"/>
          <w:sz w:val="20"/>
          <w:szCs w:val="20"/>
          <w:u w:val="single"/>
        </w:rPr>
      </w:pPr>
      <w:r>
        <w:rPr>
          <w:b/>
          <w:bCs/>
          <w:color w:val="000000"/>
          <w:sz w:val="20"/>
          <w:szCs w:val="20"/>
          <w:u w:val="single"/>
        </w:rPr>
        <w:t xml:space="preserve">Article 7 – Modalités de rémunération </w:t>
      </w:r>
    </w:p>
    <w:p w14:paraId="152A81EC" w14:textId="77777777" w:rsidR="00F91E25" w:rsidRDefault="00F91E25" w:rsidP="00F91E25">
      <w:pPr>
        <w:widowControl w:val="0"/>
        <w:pBdr>
          <w:top w:val="nil"/>
          <w:left w:val="nil"/>
          <w:bottom w:val="nil"/>
          <w:right w:val="nil"/>
          <w:between w:val="nil"/>
        </w:pBdr>
        <w:spacing w:before="40" w:after="40" w:line="240" w:lineRule="auto"/>
        <w:ind w:left="30"/>
        <w:jc w:val="both"/>
        <w:rPr>
          <w:b/>
          <w:bCs/>
          <w:color w:val="000000"/>
          <w:sz w:val="20"/>
          <w:szCs w:val="20"/>
          <w:u w:val="single"/>
        </w:rPr>
      </w:pPr>
    </w:p>
    <w:p w14:paraId="7FBC351C" w14:textId="77777777" w:rsidR="00F91E25" w:rsidRDefault="00F91E25" w:rsidP="00F91E25">
      <w:pPr>
        <w:widowControl w:val="0"/>
        <w:pBdr>
          <w:top w:val="nil"/>
          <w:left w:val="nil"/>
          <w:bottom w:val="nil"/>
          <w:right w:val="nil"/>
          <w:between w:val="nil"/>
        </w:pBdr>
        <w:spacing w:before="40" w:after="40" w:line="240" w:lineRule="auto"/>
        <w:ind w:left="27" w:right="52" w:firstLine="32"/>
        <w:jc w:val="both"/>
        <w:rPr>
          <w:color w:val="000000"/>
          <w:sz w:val="20"/>
          <w:szCs w:val="20"/>
        </w:rPr>
      </w:pPr>
      <w:r>
        <w:rPr>
          <w:color w:val="000000"/>
          <w:sz w:val="20"/>
          <w:szCs w:val="20"/>
        </w:rPr>
        <w:t xml:space="preserve">Les heures supplémentaires constatées à l’issue de la période de référence mensuelle sont rémunérées mensuellement, avec la majoration prévue par le présent accord. </w:t>
      </w:r>
    </w:p>
    <w:p w14:paraId="724E6A61" w14:textId="77777777" w:rsidR="00F91E25" w:rsidRDefault="00F91E25" w:rsidP="00F91E25">
      <w:pPr>
        <w:widowControl w:val="0"/>
        <w:pBdr>
          <w:top w:val="nil"/>
          <w:left w:val="nil"/>
          <w:bottom w:val="nil"/>
          <w:right w:val="nil"/>
          <w:between w:val="nil"/>
        </w:pBdr>
        <w:spacing w:before="40" w:after="40" w:line="240" w:lineRule="auto"/>
        <w:ind w:left="27" w:right="52" w:firstLine="32"/>
        <w:jc w:val="both"/>
        <w:rPr>
          <w:sz w:val="20"/>
          <w:szCs w:val="20"/>
        </w:rPr>
      </w:pPr>
    </w:p>
    <w:p w14:paraId="45540B24" w14:textId="77777777" w:rsidR="00F91E25" w:rsidRDefault="00F91E25" w:rsidP="00F91E25">
      <w:pPr>
        <w:pStyle w:val="Titre3"/>
        <w:keepNext w:val="0"/>
        <w:keepLines w:val="0"/>
        <w:widowControl w:val="0"/>
        <w:spacing w:before="40" w:after="40" w:line="240" w:lineRule="auto"/>
        <w:ind w:right="52"/>
        <w:jc w:val="both"/>
        <w:rPr>
          <w:rFonts w:eastAsia="Arial" w:cs="Arial"/>
          <w:b/>
          <w:bCs/>
          <w:color w:val="000000"/>
          <w:sz w:val="20"/>
          <w:szCs w:val="20"/>
          <w:u w:val="single"/>
        </w:rPr>
      </w:pPr>
      <w:bookmarkStart w:id="0" w:name="_heading=h.21mc1oa0zp2f" w:colFirst="0" w:colLast="0"/>
      <w:bookmarkEnd w:id="0"/>
      <w:r w:rsidRPr="00F91E25">
        <w:rPr>
          <w:rFonts w:eastAsia="Arial" w:cs="Arial"/>
          <w:b/>
          <w:bCs/>
          <w:color w:val="000000"/>
          <w:sz w:val="20"/>
          <w:szCs w:val="20"/>
          <w:u w:val="single"/>
        </w:rPr>
        <w:t>Article 8 – Organisation et rémunération du travail du dimanche</w:t>
      </w:r>
    </w:p>
    <w:p w14:paraId="5D7C55FA" w14:textId="77777777" w:rsidR="00F91E25" w:rsidRPr="00F91E25" w:rsidRDefault="00F91E25" w:rsidP="00F91E25"/>
    <w:p w14:paraId="443C4051" w14:textId="77777777" w:rsidR="00F91E25" w:rsidRPr="00F91E25" w:rsidRDefault="00F91E25" w:rsidP="00F91E25">
      <w:pPr>
        <w:pStyle w:val="Titre3"/>
        <w:keepNext w:val="0"/>
        <w:keepLines w:val="0"/>
        <w:widowControl w:val="0"/>
        <w:spacing w:before="40" w:after="40" w:line="240" w:lineRule="auto"/>
        <w:ind w:right="52"/>
        <w:jc w:val="both"/>
        <w:rPr>
          <w:rFonts w:eastAsia="Arial" w:cs="Arial"/>
          <w:color w:val="auto"/>
          <w:sz w:val="20"/>
          <w:szCs w:val="20"/>
        </w:rPr>
      </w:pPr>
      <w:bookmarkStart w:id="1" w:name="_heading=h.n81hwzrd3now" w:colFirst="0" w:colLast="0"/>
      <w:bookmarkEnd w:id="1"/>
      <w:r w:rsidRPr="00F91E25">
        <w:rPr>
          <w:rFonts w:eastAsia="Arial" w:cs="Arial"/>
          <w:color w:val="auto"/>
          <w:sz w:val="20"/>
          <w:szCs w:val="20"/>
        </w:rPr>
        <w:t>Le travail du dimanche peut être organisé en fonction des besoins de l’activité de l’entreprise et dans le respect des dispositions légales applicables.</w:t>
      </w:r>
    </w:p>
    <w:p w14:paraId="567C2DE7" w14:textId="77777777" w:rsidR="00F91E25" w:rsidRDefault="00F91E25" w:rsidP="00F91E25">
      <w:pPr>
        <w:widowControl w:val="0"/>
        <w:spacing w:before="40" w:after="40" w:line="240" w:lineRule="auto"/>
        <w:ind w:right="600"/>
        <w:jc w:val="both"/>
        <w:rPr>
          <w:sz w:val="20"/>
          <w:szCs w:val="20"/>
        </w:rPr>
      </w:pPr>
      <w:r>
        <w:rPr>
          <w:sz w:val="20"/>
          <w:szCs w:val="20"/>
        </w:rPr>
        <w:t>Lorsqu’un salarié est amené à travailler un dimanche, les heures effectuées ce jour-là donnent lieu à une rémunération majorée à 100 %, soit un paiement double de la journée travaillée.</w:t>
      </w:r>
    </w:p>
    <w:p w14:paraId="74F9E5E2" w14:textId="77777777" w:rsidR="00F91E25" w:rsidRDefault="00F91E25" w:rsidP="00F91E25">
      <w:pPr>
        <w:widowControl w:val="0"/>
        <w:spacing w:before="40" w:after="40" w:line="240" w:lineRule="auto"/>
        <w:ind w:right="600"/>
        <w:jc w:val="both"/>
        <w:rPr>
          <w:i/>
          <w:iCs/>
          <w:sz w:val="20"/>
          <w:szCs w:val="20"/>
        </w:rPr>
      </w:pPr>
    </w:p>
    <w:p w14:paraId="31F50FAE" w14:textId="5149A21A" w:rsidR="00F91E25" w:rsidRDefault="00F91E25" w:rsidP="00F91E25">
      <w:pPr>
        <w:widowControl w:val="0"/>
        <w:spacing w:before="40" w:after="40" w:line="240" w:lineRule="auto"/>
        <w:ind w:right="600"/>
        <w:jc w:val="both"/>
        <w:rPr>
          <w:i/>
          <w:iCs/>
          <w:sz w:val="20"/>
          <w:szCs w:val="20"/>
        </w:rPr>
      </w:pPr>
      <w:r w:rsidRPr="00F91E25">
        <w:rPr>
          <w:i/>
          <w:iCs/>
          <w:sz w:val="20"/>
          <w:szCs w:val="20"/>
        </w:rPr>
        <w:t xml:space="preserve">En contrepartie de cette rémunération majorée, aucune majoration spécifique pour travail dominical n’est appliquée et aucun repos compensateur de remplacement (RCR) n’est attribué. </w:t>
      </w:r>
      <w:r w:rsidRPr="00F91E25">
        <w:rPr>
          <w:i/>
          <w:iCs/>
          <w:sz w:val="20"/>
          <w:szCs w:val="20"/>
        </w:rPr>
        <w:lastRenderedPageBreak/>
        <w:t>Les heures effectuées le dimanche restent intégrées dans le décompte mensuel du temps de travail, conformément aux dispositions du présent accord.</w:t>
      </w:r>
    </w:p>
    <w:p w14:paraId="1222A142" w14:textId="77777777" w:rsidR="00F91E25" w:rsidRPr="00F91E25" w:rsidRDefault="00F91E25" w:rsidP="00F91E25">
      <w:pPr>
        <w:widowControl w:val="0"/>
        <w:spacing w:before="40" w:after="40" w:line="240" w:lineRule="auto"/>
        <w:ind w:right="600"/>
        <w:jc w:val="both"/>
        <w:rPr>
          <w:i/>
          <w:iCs/>
          <w:sz w:val="20"/>
          <w:szCs w:val="20"/>
        </w:rPr>
      </w:pPr>
    </w:p>
    <w:p w14:paraId="2167545D" w14:textId="77777777" w:rsidR="00F91E25" w:rsidRPr="004C4555" w:rsidRDefault="00F91E25" w:rsidP="00F91E25">
      <w:pPr>
        <w:widowControl w:val="0"/>
        <w:pBdr>
          <w:top w:val="nil"/>
          <w:left w:val="nil"/>
          <w:bottom w:val="nil"/>
          <w:right w:val="nil"/>
          <w:between w:val="nil"/>
        </w:pBdr>
        <w:spacing w:before="40" w:after="40" w:line="240" w:lineRule="auto"/>
        <w:rPr>
          <w:b/>
          <w:bCs/>
          <w:color w:val="000000"/>
          <w:sz w:val="20"/>
          <w:szCs w:val="20"/>
          <w:u w:val="single"/>
        </w:rPr>
      </w:pPr>
      <w:r>
        <w:rPr>
          <w:b/>
          <w:bCs/>
          <w:color w:val="000000"/>
          <w:sz w:val="20"/>
          <w:szCs w:val="20"/>
          <w:u w:val="single"/>
        </w:rPr>
        <w:t xml:space="preserve">Article </w:t>
      </w:r>
      <w:r>
        <w:rPr>
          <w:b/>
          <w:bCs/>
          <w:sz w:val="20"/>
          <w:szCs w:val="20"/>
          <w:u w:val="single"/>
        </w:rPr>
        <w:t>9</w:t>
      </w:r>
      <w:r>
        <w:rPr>
          <w:b/>
          <w:bCs/>
          <w:color w:val="000000"/>
          <w:sz w:val="20"/>
          <w:szCs w:val="20"/>
          <w:u w:val="single"/>
        </w:rPr>
        <w:t xml:space="preserve"> – Champ d’application </w:t>
      </w:r>
    </w:p>
    <w:p w14:paraId="39ECF643" w14:textId="77777777" w:rsidR="00F91E25" w:rsidRDefault="00F91E25" w:rsidP="00F91E25">
      <w:pPr>
        <w:widowControl w:val="0"/>
        <w:pBdr>
          <w:top w:val="nil"/>
          <w:left w:val="nil"/>
          <w:bottom w:val="nil"/>
          <w:right w:val="nil"/>
          <w:between w:val="nil"/>
        </w:pBdr>
        <w:spacing w:before="40" w:after="40" w:line="240" w:lineRule="auto"/>
        <w:ind w:left="21" w:right="1192" w:firstLine="38"/>
        <w:rPr>
          <w:color w:val="000000"/>
          <w:sz w:val="20"/>
          <w:szCs w:val="20"/>
        </w:rPr>
      </w:pPr>
    </w:p>
    <w:p w14:paraId="141C3893" w14:textId="5591155A" w:rsidR="00F91E25" w:rsidRPr="00505E63" w:rsidRDefault="00F91E25" w:rsidP="00F91E25">
      <w:pPr>
        <w:widowControl w:val="0"/>
        <w:pBdr>
          <w:top w:val="nil"/>
          <w:left w:val="nil"/>
          <w:bottom w:val="nil"/>
          <w:right w:val="nil"/>
          <w:between w:val="nil"/>
        </w:pBdr>
        <w:spacing w:before="40" w:after="40" w:line="240" w:lineRule="auto"/>
        <w:ind w:left="21" w:right="1192" w:firstLine="38"/>
        <w:jc w:val="both"/>
        <w:rPr>
          <w:color w:val="000000"/>
          <w:sz w:val="20"/>
          <w:szCs w:val="20"/>
        </w:rPr>
      </w:pPr>
      <w:r>
        <w:rPr>
          <w:color w:val="000000"/>
          <w:sz w:val="20"/>
          <w:szCs w:val="20"/>
        </w:rPr>
        <w:t xml:space="preserve">Le présent accord s’applique à l’ensemble des salariés à temps complet de l’entreprise, titulaires d’un contrat de travail, dans le respect des dispositions légales et réglementaires en vigueur. </w:t>
      </w:r>
    </w:p>
    <w:p w14:paraId="4D2D044C" w14:textId="77777777" w:rsidR="00F91E2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p>
    <w:p w14:paraId="19B30924" w14:textId="52B036A4" w:rsidR="00F91E25" w:rsidRPr="004C455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r>
        <w:rPr>
          <w:b/>
          <w:bCs/>
          <w:color w:val="000000"/>
          <w:sz w:val="20"/>
          <w:szCs w:val="20"/>
          <w:u w:val="single"/>
        </w:rPr>
        <w:t xml:space="preserve">Article </w:t>
      </w:r>
      <w:r>
        <w:rPr>
          <w:b/>
          <w:bCs/>
          <w:sz w:val="20"/>
          <w:szCs w:val="20"/>
          <w:u w:val="single"/>
        </w:rPr>
        <w:t>10</w:t>
      </w:r>
      <w:r>
        <w:rPr>
          <w:b/>
          <w:bCs/>
          <w:color w:val="000000"/>
          <w:sz w:val="20"/>
          <w:szCs w:val="20"/>
          <w:u w:val="single"/>
        </w:rPr>
        <w:t xml:space="preserve"> – Entrée en vigueur </w:t>
      </w:r>
    </w:p>
    <w:p w14:paraId="5F543745" w14:textId="77777777" w:rsidR="00F91E25" w:rsidRDefault="00F91E25" w:rsidP="00F91E25">
      <w:pPr>
        <w:widowControl w:val="0"/>
        <w:pBdr>
          <w:top w:val="nil"/>
          <w:left w:val="nil"/>
          <w:bottom w:val="nil"/>
          <w:right w:val="nil"/>
          <w:between w:val="nil"/>
        </w:pBdr>
        <w:spacing w:before="40" w:after="40" w:line="240" w:lineRule="auto"/>
        <w:ind w:left="60"/>
        <w:rPr>
          <w:color w:val="000000"/>
          <w:sz w:val="20"/>
          <w:szCs w:val="20"/>
        </w:rPr>
      </w:pPr>
    </w:p>
    <w:p w14:paraId="0472643A" w14:textId="530AC5D4" w:rsidR="00F91E25" w:rsidRPr="00505E63" w:rsidRDefault="00F91E25" w:rsidP="00F91E25">
      <w:pPr>
        <w:widowControl w:val="0"/>
        <w:pBdr>
          <w:top w:val="nil"/>
          <w:left w:val="nil"/>
          <w:bottom w:val="nil"/>
          <w:right w:val="nil"/>
          <w:between w:val="nil"/>
        </w:pBdr>
        <w:spacing w:before="40" w:after="40" w:line="240" w:lineRule="auto"/>
        <w:ind w:left="60"/>
        <w:rPr>
          <w:color w:val="000000"/>
          <w:sz w:val="20"/>
          <w:szCs w:val="20"/>
        </w:rPr>
      </w:pPr>
      <w:r>
        <w:rPr>
          <w:color w:val="000000"/>
          <w:sz w:val="20"/>
          <w:szCs w:val="20"/>
        </w:rPr>
        <w:t xml:space="preserve">Le présent accord entre en vigueur </w:t>
      </w:r>
      <w:r>
        <w:rPr>
          <w:b/>
          <w:bCs/>
          <w:color w:val="000000"/>
          <w:sz w:val="20"/>
          <w:szCs w:val="20"/>
        </w:rPr>
        <w:t xml:space="preserve">le </w:t>
      </w:r>
      <w:r>
        <w:rPr>
          <w:b/>
          <w:bCs/>
          <w:sz w:val="20"/>
          <w:szCs w:val="20"/>
        </w:rPr>
        <w:t>1</w:t>
      </w:r>
      <w:r w:rsidRPr="00676306">
        <w:rPr>
          <w:b/>
          <w:bCs/>
          <w:sz w:val="20"/>
          <w:szCs w:val="20"/>
          <w:vertAlign w:val="superscript"/>
        </w:rPr>
        <w:t>er</w:t>
      </w:r>
      <w:r>
        <w:rPr>
          <w:b/>
          <w:bCs/>
          <w:sz w:val="20"/>
          <w:szCs w:val="20"/>
        </w:rPr>
        <w:t xml:space="preserve"> avril 2026</w:t>
      </w:r>
      <w:r>
        <w:rPr>
          <w:color w:val="000000"/>
          <w:sz w:val="20"/>
          <w:szCs w:val="20"/>
        </w:rPr>
        <w:t xml:space="preserve">. </w:t>
      </w:r>
    </w:p>
    <w:p w14:paraId="76E2C1FF" w14:textId="77777777" w:rsidR="00F91E2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p>
    <w:p w14:paraId="337BB6C0" w14:textId="3CD9496D" w:rsidR="00F91E25" w:rsidRPr="004C4555" w:rsidRDefault="00F91E25" w:rsidP="00F91E25">
      <w:pPr>
        <w:widowControl w:val="0"/>
        <w:pBdr>
          <w:top w:val="nil"/>
          <w:left w:val="nil"/>
          <w:bottom w:val="nil"/>
          <w:right w:val="nil"/>
          <w:between w:val="nil"/>
        </w:pBdr>
        <w:spacing w:before="40" w:after="40" w:line="240" w:lineRule="auto"/>
        <w:ind w:left="30"/>
        <w:rPr>
          <w:b/>
          <w:bCs/>
          <w:color w:val="000000"/>
          <w:sz w:val="20"/>
          <w:szCs w:val="20"/>
          <w:u w:val="single"/>
        </w:rPr>
      </w:pPr>
      <w:r>
        <w:rPr>
          <w:b/>
          <w:bCs/>
          <w:color w:val="000000"/>
          <w:sz w:val="20"/>
          <w:szCs w:val="20"/>
          <w:u w:val="single"/>
        </w:rPr>
        <w:t>Article 1</w:t>
      </w:r>
      <w:r>
        <w:rPr>
          <w:b/>
          <w:bCs/>
          <w:sz w:val="20"/>
          <w:szCs w:val="20"/>
          <w:u w:val="single"/>
        </w:rPr>
        <w:t>1</w:t>
      </w:r>
      <w:r>
        <w:rPr>
          <w:b/>
          <w:bCs/>
          <w:color w:val="000000"/>
          <w:sz w:val="20"/>
          <w:szCs w:val="20"/>
          <w:u w:val="single"/>
        </w:rPr>
        <w:t xml:space="preserve"> – Dépôt </w:t>
      </w:r>
    </w:p>
    <w:p w14:paraId="5463C718" w14:textId="77777777" w:rsidR="00F91E25" w:rsidRDefault="00F91E25" w:rsidP="00F91E25">
      <w:pPr>
        <w:widowControl w:val="0"/>
        <w:pBdr>
          <w:top w:val="nil"/>
          <w:left w:val="nil"/>
          <w:bottom w:val="nil"/>
          <w:right w:val="nil"/>
          <w:between w:val="nil"/>
        </w:pBdr>
        <w:spacing w:before="40" w:after="40" w:line="240" w:lineRule="auto"/>
        <w:ind w:left="30"/>
        <w:rPr>
          <w:color w:val="000000"/>
          <w:sz w:val="20"/>
          <w:szCs w:val="20"/>
        </w:rPr>
      </w:pPr>
    </w:p>
    <w:p w14:paraId="7B4EEE7D" w14:textId="77777777" w:rsidR="00F91E25" w:rsidRDefault="00F91E25" w:rsidP="00F91E25">
      <w:pPr>
        <w:widowControl w:val="0"/>
        <w:pBdr>
          <w:top w:val="nil"/>
          <w:left w:val="nil"/>
          <w:bottom w:val="nil"/>
          <w:right w:val="nil"/>
          <w:between w:val="nil"/>
        </w:pBdr>
        <w:spacing w:before="40" w:after="40" w:line="240" w:lineRule="auto"/>
        <w:ind w:left="30"/>
        <w:jc w:val="both"/>
        <w:rPr>
          <w:color w:val="000000"/>
          <w:sz w:val="20"/>
          <w:szCs w:val="20"/>
        </w:rPr>
      </w:pPr>
      <w:r>
        <w:rPr>
          <w:color w:val="000000"/>
          <w:sz w:val="20"/>
          <w:szCs w:val="20"/>
        </w:rPr>
        <w:t xml:space="preserve">Le présent accord fera l’objet d’un dépôt auprès de la DREETS conformément aux articles L2231-6 et D2231-2 du Code du travail. </w:t>
      </w:r>
    </w:p>
    <w:p w14:paraId="511CA83C" w14:textId="77777777" w:rsidR="00F91E25" w:rsidRDefault="00F91E25" w:rsidP="00F91E25">
      <w:pPr>
        <w:widowControl w:val="0"/>
        <w:pBdr>
          <w:top w:val="nil"/>
          <w:left w:val="nil"/>
          <w:bottom w:val="nil"/>
          <w:right w:val="nil"/>
          <w:between w:val="nil"/>
        </w:pBdr>
        <w:spacing w:before="40" w:after="40" w:line="240" w:lineRule="auto"/>
        <w:ind w:left="30"/>
        <w:rPr>
          <w:color w:val="000000"/>
          <w:sz w:val="20"/>
          <w:szCs w:val="20"/>
        </w:rPr>
      </w:pPr>
    </w:p>
    <w:p w14:paraId="66964D28" w14:textId="77777777" w:rsidR="00F91E25" w:rsidRDefault="00F91E25" w:rsidP="00F91E25">
      <w:pPr>
        <w:widowControl w:val="0"/>
        <w:pBdr>
          <w:top w:val="nil"/>
          <w:left w:val="nil"/>
          <w:bottom w:val="nil"/>
          <w:right w:val="nil"/>
          <w:between w:val="nil"/>
        </w:pBdr>
        <w:spacing w:before="40" w:after="40" w:line="240" w:lineRule="auto"/>
        <w:ind w:left="30"/>
        <w:rPr>
          <w:sz w:val="20"/>
          <w:szCs w:val="20"/>
        </w:rPr>
      </w:pPr>
    </w:p>
    <w:p w14:paraId="2C1EA7A3" w14:textId="54CD6486" w:rsidR="00F91E25" w:rsidRDefault="00F91E25" w:rsidP="00F91E25">
      <w:pPr>
        <w:widowControl w:val="0"/>
        <w:pBdr>
          <w:top w:val="nil"/>
          <w:left w:val="nil"/>
          <w:bottom w:val="nil"/>
          <w:right w:val="nil"/>
          <w:between w:val="nil"/>
        </w:pBdr>
        <w:spacing w:before="40" w:after="40" w:line="240" w:lineRule="auto"/>
        <w:ind w:left="30"/>
        <w:rPr>
          <w:sz w:val="20"/>
          <w:szCs w:val="20"/>
        </w:rPr>
      </w:pPr>
      <w:r>
        <w:rPr>
          <w:sz w:val="20"/>
          <w:szCs w:val="20"/>
        </w:rPr>
        <w:t>Fait à PEREIRE LE 1/04/2026</w:t>
      </w:r>
    </w:p>
    <w:p w14:paraId="2F11E16C" w14:textId="1953E7F4" w:rsidR="00F91E25" w:rsidRDefault="00F91E25" w:rsidP="00F91E25">
      <w:pPr>
        <w:widowControl w:val="0"/>
        <w:pBdr>
          <w:top w:val="nil"/>
          <w:left w:val="nil"/>
          <w:bottom w:val="nil"/>
          <w:right w:val="nil"/>
          <w:between w:val="nil"/>
        </w:pBdr>
        <w:spacing w:before="40" w:after="40" w:line="240" w:lineRule="auto"/>
        <w:ind w:left="30"/>
        <w:rPr>
          <w:sz w:val="20"/>
          <w:szCs w:val="20"/>
        </w:rPr>
      </w:pPr>
      <w:r>
        <w:rPr>
          <w:sz w:val="20"/>
          <w:szCs w:val="20"/>
        </w:rPr>
        <w:t xml:space="preserve">Pour l’employeur : BLACKBOX PEREIRE </w:t>
      </w:r>
    </w:p>
    <w:sectPr w:rsidR="00F91E2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1A1F"/>
    <w:multiLevelType w:val="multilevel"/>
    <w:tmpl w:val="7C589C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A533909"/>
    <w:multiLevelType w:val="multilevel"/>
    <w:tmpl w:val="8A8EED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C3202E8"/>
    <w:multiLevelType w:val="multilevel"/>
    <w:tmpl w:val="7A2094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326904">
    <w:abstractNumId w:val="1"/>
  </w:num>
  <w:num w:numId="2" w16cid:durableId="1346782221">
    <w:abstractNumId w:val="0"/>
  </w:num>
  <w:num w:numId="3" w16cid:durableId="17596425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E25"/>
    <w:rsid w:val="00000EFD"/>
    <w:rsid w:val="000055AC"/>
    <w:rsid w:val="000125AD"/>
    <w:rsid w:val="0001287E"/>
    <w:rsid w:val="000168AD"/>
    <w:rsid w:val="00017669"/>
    <w:rsid w:val="000261B4"/>
    <w:rsid w:val="00027345"/>
    <w:rsid w:val="00031123"/>
    <w:rsid w:val="000322CD"/>
    <w:rsid w:val="00032CC6"/>
    <w:rsid w:val="00033F8B"/>
    <w:rsid w:val="0003686C"/>
    <w:rsid w:val="00037B96"/>
    <w:rsid w:val="000430F8"/>
    <w:rsid w:val="0005123A"/>
    <w:rsid w:val="00051C66"/>
    <w:rsid w:val="00052089"/>
    <w:rsid w:val="0005215D"/>
    <w:rsid w:val="000527BD"/>
    <w:rsid w:val="00052DA4"/>
    <w:rsid w:val="0005649C"/>
    <w:rsid w:val="000577D1"/>
    <w:rsid w:val="000624B8"/>
    <w:rsid w:val="0006324E"/>
    <w:rsid w:val="00064585"/>
    <w:rsid w:val="00064EA7"/>
    <w:rsid w:val="00071DBB"/>
    <w:rsid w:val="00076EFD"/>
    <w:rsid w:val="00080709"/>
    <w:rsid w:val="00081F40"/>
    <w:rsid w:val="00085F8D"/>
    <w:rsid w:val="000864B2"/>
    <w:rsid w:val="00087E52"/>
    <w:rsid w:val="00087EF6"/>
    <w:rsid w:val="00091570"/>
    <w:rsid w:val="000918DF"/>
    <w:rsid w:val="000926AC"/>
    <w:rsid w:val="000934EA"/>
    <w:rsid w:val="000946A9"/>
    <w:rsid w:val="00095144"/>
    <w:rsid w:val="00097DF1"/>
    <w:rsid w:val="000A0E6B"/>
    <w:rsid w:val="000A0F09"/>
    <w:rsid w:val="000A2D8F"/>
    <w:rsid w:val="000A7ED6"/>
    <w:rsid w:val="000B0091"/>
    <w:rsid w:val="000B0230"/>
    <w:rsid w:val="000B0715"/>
    <w:rsid w:val="000B296A"/>
    <w:rsid w:val="000C000B"/>
    <w:rsid w:val="000C257A"/>
    <w:rsid w:val="000C28A2"/>
    <w:rsid w:val="000C7ED0"/>
    <w:rsid w:val="000D294B"/>
    <w:rsid w:val="000D4AF5"/>
    <w:rsid w:val="000D5FA4"/>
    <w:rsid w:val="000D6149"/>
    <w:rsid w:val="000D7548"/>
    <w:rsid w:val="000D7746"/>
    <w:rsid w:val="000D7855"/>
    <w:rsid w:val="000E68B7"/>
    <w:rsid w:val="000E7DB6"/>
    <w:rsid w:val="000F1EB1"/>
    <w:rsid w:val="000F24B0"/>
    <w:rsid w:val="000F3C11"/>
    <w:rsid w:val="000F507D"/>
    <w:rsid w:val="000F5D78"/>
    <w:rsid w:val="001001B1"/>
    <w:rsid w:val="00102F29"/>
    <w:rsid w:val="00103F2D"/>
    <w:rsid w:val="001076D1"/>
    <w:rsid w:val="001101E2"/>
    <w:rsid w:val="001124AC"/>
    <w:rsid w:val="00113659"/>
    <w:rsid w:val="001155BB"/>
    <w:rsid w:val="00123973"/>
    <w:rsid w:val="00125B84"/>
    <w:rsid w:val="0012682A"/>
    <w:rsid w:val="00130FF0"/>
    <w:rsid w:val="001313A0"/>
    <w:rsid w:val="0013194B"/>
    <w:rsid w:val="00132287"/>
    <w:rsid w:val="001334FF"/>
    <w:rsid w:val="00134D96"/>
    <w:rsid w:val="00136A41"/>
    <w:rsid w:val="001402FD"/>
    <w:rsid w:val="0014212F"/>
    <w:rsid w:val="0014270C"/>
    <w:rsid w:val="00142835"/>
    <w:rsid w:val="00146395"/>
    <w:rsid w:val="0015155E"/>
    <w:rsid w:val="001606A5"/>
    <w:rsid w:val="00163701"/>
    <w:rsid w:val="001638F5"/>
    <w:rsid w:val="00164F05"/>
    <w:rsid w:val="00171339"/>
    <w:rsid w:val="0017195F"/>
    <w:rsid w:val="00174297"/>
    <w:rsid w:val="00180B6B"/>
    <w:rsid w:val="00182B95"/>
    <w:rsid w:val="00184A0B"/>
    <w:rsid w:val="00185B33"/>
    <w:rsid w:val="00185B47"/>
    <w:rsid w:val="0019067C"/>
    <w:rsid w:val="0019127C"/>
    <w:rsid w:val="001919B5"/>
    <w:rsid w:val="001939F4"/>
    <w:rsid w:val="00196B84"/>
    <w:rsid w:val="00197FB6"/>
    <w:rsid w:val="001A1F2C"/>
    <w:rsid w:val="001A2873"/>
    <w:rsid w:val="001A70C1"/>
    <w:rsid w:val="001A773D"/>
    <w:rsid w:val="001B2713"/>
    <w:rsid w:val="001B32FE"/>
    <w:rsid w:val="001B4E4F"/>
    <w:rsid w:val="001C1207"/>
    <w:rsid w:val="001C433D"/>
    <w:rsid w:val="001C6ABA"/>
    <w:rsid w:val="001C7F24"/>
    <w:rsid w:val="001D0AA7"/>
    <w:rsid w:val="001D19C0"/>
    <w:rsid w:val="001D6F05"/>
    <w:rsid w:val="001E17A6"/>
    <w:rsid w:val="001E30A4"/>
    <w:rsid w:val="001E3467"/>
    <w:rsid w:val="001E626B"/>
    <w:rsid w:val="001E6B13"/>
    <w:rsid w:val="001E7721"/>
    <w:rsid w:val="001E7935"/>
    <w:rsid w:val="001F0311"/>
    <w:rsid w:val="001F03F1"/>
    <w:rsid w:val="001F1484"/>
    <w:rsid w:val="001F2579"/>
    <w:rsid w:val="001F4147"/>
    <w:rsid w:val="00201A4F"/>
    <w:rsid w:val="002037A8"/>
    <w:rsid w:val="00204FDA"/>
    <w:rsid w:val="002052A1"/>
    <w:rsid w:val="00207FEB"/>
    <w:rsid w:val="002105B1"/>
    <w:rsid w:val="00215399"/>
    <w:rsid w:val="00222698"/>
    <w:rsid w:val="00223D19"/>
    <w:rsid w:val="00227378"/>
    <w:rsid w:val="002342DE"/>
    <w:rsid w:val="00234CB4"/>
    <w:rsid w:val="002371A4"/>
    <w:rsid w:val="0024173D"/>
    <w:rsid w:val="00241D15"/>
    <w:rsid w:val="002456BE"/>
    <w:rsid w:val="00246DF7"/>
    <w:rsid w:val="00247B10"/>
    <w:rsid w:val="00250F0B"/>
    <w:rsid w:val="0025184D"/>
    <w:rsid w:val="0025672C"/>
    <w:rsid w:val="00261FDF"/>
    <w:rsid w:val="00262A8C"/>
    <w:rsid w:val="002642F4"/>
    <w:rsid w:val="00272C1A"/>
    <w:rsid w:val="00284581"/>
    <w:rsid w:val="00285D86"/>
    <w:rsid w:val="00290855"/>
    <w:rsid w:val="00290973"/>
    <w:rsid w:val="002918CA"/>
    <w:rsid w:val="0029405B"/>
    <w:rsid w:val="002962C7"/>
    <w:rsid w:val="002A020E"/>
    <w:rsid w:val="002A17F3"/>
    <w:rsid w:val="002B07F5"/>
    <w:rsid w:val="002B0DFF"/>
    <w:rsid w:val="002B24D3"/>
    <w:rsid w:val="002B4BF8"/>
    <w:rsid w:val="002C03E1"/>
    <w:rsid w:val="002C1688"/>
    <w:rsid w:val="002C5897"/>
    <w:rsid w:val="002C7BF3"/>
    <w:rsid w:val="002D0F34"/>
    <w:rsid w:val="002E185C"/>
    <w:rsid w:val="002E189D"/>
    <w:rsid w:val="002E3282"/>
    <w:rsid w:val="002E32AB"/>
    <w:rsid w:val="002F0248"/>
    <w:rsid w:val="002F1429"/>
    <w:rsid w:val="002F27F7"/>
    <w:rsid w:val="002F7854"/>
    <w:rsid w:val="00303D36"/>
    <w:rsid w:val="00304FD3"/>
    <w:rsid w:val="0030709C"/>
    <w:rsid w:val="003078B3"/>
    <w:rsid w:val="003141A9"/>
    <w:rsid w:val="00316615"/>
    <w:rsid w:val="00322DA0"/>
    <w:rsid w:val="003241F0"/>
    <w:rsid w:val="00330FF6"/>
    <w:rsid w:val="00335C8D"/>
    <w:rsid w:val="00340506"/>
    <w:rsid w:val="0034389C"/>
    <w:rsid w:val="003451FC"/>
    <w:rsid w:val="0035576E"/>
    <w:rsid w:val="00357807"/>
    <w:rsid w:val="0036670A"/>
    <w:rsid w:val="0036717A"/>
    <w:rsid w:val="003740BE"/>
    <w:rsid w:val="00377BB0"/>
    <w:rsid w:val="00380881"/>
    <w:rsid w:val="00386383"/>
    <w:rsid w:val="003876B7"/>
    <w:rsid w:val="00387831"/>
    <w:rsid w:val="00390700"/>
    <w:rsid w:val="00391422"/>
    <w:rsid w:val="00391FF7"/>
    <w:rsid w:val="00394634"/>
    <w:rsid w:val="0039681A"/>
    <w:rsid w:val="003A0A7A"/>
    <w:rsid w:val="003A0D22"/>
    <w:rsid w:val="003A152C"/>
    <w:rsid w:val="003A1A91"/>
    <w:rsid w:val="003A4788"/>
    <w:rsid w:val="003A732B"/>
    <w:rsid w:val="003B1871"/>
    <w:rsid w:val="003B2168"/>
    <w:rsid w:val="003B2FB2"/>
    <w:rsid w:val="003C2B88"/>
    <w:rsid w:val="003C385B"/>
    <w:rsid w:val="003C68ED"/>
    <w:rsid w:val="003D504C"/>
    <w:rsid w:val="003D5620"/>
    <w:rsid w:val="003D6EB7"/>
    <w:rsid w:val="003E0858"/>
    <w:rsid w:val="003E1269"/>
    <w:rsid w:val="003E1E60"/>
    <w:rsid w:val="003E2836"/>
    <w:rsid w:val="003E2BF5"/>
    <w:rsid w:val="003F132A"/>
    <w:rsid w:val="003F2689"/>
    <w:rsid w:val="003F6AA6"/>
    <w:rsid w:val="003F7AC9"/>
    <w:rsid w:val="003F7EFA"/>
    <w:rsid w:val="00403974"/>
    <w:rsid w:val="00404BC4"/>
    <w:rsid w:val="0040733A"/>
    <w:rsid w:val="004107BF"/>
    <w:rsid w:val="004132FE"/>
    <w:rsid w:val="0041392B"/>
    <w:rsid w:val="004147CE"/>
    <w:rsid w:val="004209BE"/>
    <w:rsid w:val="004221B4"/>
    <w:rsid w:val="00422419"/>
    <w:rsid w:val="00422C50"/>
    <w:rsid w:val="00424353"/>
    <w:rsid w:val="00430E73"/>
    <w:rsid w:val="00432545"/>
    <w:rsid w:val="00434024"/>
    <w:rsid w:val="004361CE"/>
    <w:rsid w:val="004362E5"/>
    <w:rsid w:val="004367EC"/>
    <w:rsid w:val="00436D14"/>
    <w:rsid w:val="004371D4"/>
    <w:rsid w:val="0044265C"/>
    <w:rsid w:val="00443AD5"/>
    <w:rsid w:val="004466A6"/>
    <w:rsid w:val="00456066"/>
    <w:rsid w:val="0045665D"/>
    <w:rsid w:val="00460F43"/>
    <w:rsid w:val="00466131"/>
    <w:rsid w:val="00470184"/>
    <w:rsid w:val="00474F12"/>
    <w:rsid w:val="0048040D"/>
    <w:rsid w:val="0048160F"/>
    <w:rsid w:val="00484184"/>
    <w:rsid w:val="00486131"/>
    <w:rsid w:val="00486986"/>
    <w:rsid w:val="00490085"/>
    <w:rsid w:val="0049246B"/>
    <w:rsid w:val="004937C7"/>
    <w:rsid w:val="004940D9"/>
    <w:rsid w:val="004941F4"/>
    <w:rsid w:val="004954DC"/>
    <w:rsid w:val="004964BC"/>
    <w:rsid w:val="00496920"/>
    <w:rsid w:val="004A074A"/>
    <w:rsid w:val="004A0D6B"/>
    <w:rsid w:val="004B007F"/>
    <w:rsid w:val="004B4AF3"/>
    <w:rsid w:val="004C00B1"/>
    <w:rsid w:val="004C5D37"/>
    <w:rsid w:val="004C7843"/>
    <w:rsid w:val="004D0B01"/>
    <w:rsid w:val="004D2D05"/>
    <w:rsid w:val="004D74B4"/>
    <w:rsid w:val="004E2EE0"/>
    <w:rsid w:val="004E5AC2"/>
    <w:rsid w:val="004E5CDB"/>
    <w:rsid w:val="004E722B"/>
    <w:rsid w:val="004E7C16"/>
    <w:rsid w:val="004F6706"/>
    <w:rsid w:val="005026BC"/>
    <w:rsid w:val="00511FAA"/>
    <w:rsid w:val="00512D51"/>
    <w:rsid w:val="0051792C"/>
    <w:rsid w:val="00520F44"/>
    <w:rsid w:val="00522C8E"/>
    <w:rsid w:val="00523052"/>
    <w:rsid w:val="005247FB"/>
    <w:rsid w:val="00525D9C"/>
    <w:rsid w:val="005264B2"/>
    <w:rsid w:val="0053081E"/>
    <w:rsid w:val="00531E7B"/>
    <w:rsid w:val="00533676"/>
    <w:rsid w:val="0053517F"/>
    <w:rsid w:val="00536312"/>
    <w:rsid w:val="0053705D"/>
    <w:rsid w:val="005420BA"/>
    <w:rsid w:val="005421DC"/>
    <w:rsid w:val="00545173"/>
    <w:rsid w:val="00553A14"/>
    <w:rsid w:val="0055417F"/>
    <w:rsid w:val="00554469"/>
    <w:rsid w:val="005577D4"/>
    <w:rsid w:val="005611BA"/>
    <w:rsid w:val="00562913"/>
    <w:rsid w:val="005653E7"/>
    <w:rsid w:val="00571FFD"/>
    <w:rsid w:val="00573333"/>
    <w:rsid w:val="005734BE"/>
    <w:rsid w:val="00573BAA"/>
    <w:rsid w:val="00580388"/>
    <w:rsid w:val="005818DD"/>
    <w:rsid w:val="005849EF"/>
    <w:rsid w:val="00593307"/>
    <w:rsid w:val="005954C5"/>
    <w:rsid w:val="005955F5"/>
    <w:rsid w:val="005A29AA"/>
    <w:rsid w:val="005A2D28"/>
    <w:rsid w:val="005A493F"/>
    <w:rsid w:val="005A4989"/>
    <w:rsid w:val="005B0EB8"/>
    <w:rsid w:val="005B1355"/>
    <w:rsid w:val="005B19FD"/>
    <w:rsid w:val="005C6FA6"/>
    <w:rsid w:val="005D2644"/>
    <w:rsid w:val="005D2F99"/>
    <w:rsid w:val="005D3BD3"/>
    <w:rsid w:val="005D47B4"/>
    <w:rsid w:val="005D5C2D"/>
    <w:rsid w:val="005E153C"/>
    <w:rsid w:val="005E1C30"/>
    <w:rsid w:val="005E1CE8"/>
    <w:rsid w:val="005E7731"/>
    <w:rsid w:val="005F0CDD"/>
    <w:rsid w:val="005F0E0D"/>
    <w:rsid w:val="005F5D63"/>
    <w:rsid w:val="00601286"/>
    <w:rsid w:val="006029F2"/>
    <w:rsid w:val="006058C2"/>
    <w:rsid w:val="006074C7"/>
    <w:rsid w:val="00611765"/>
    <w:rsid w:val="00611BE1"/>
    <w:rsid w:val="006124AC"/>
    <w:rsid w:val="006127AC"/>
    <w:rsid w:val="00613EB9"/>
    <w:rsid w:val="006141CE"/>
    <w:rsid w:val="00621B81"/>
    <w:rsid w:val="0062354E"/>
    <w:rsid w:val="00624657"/>
    <w:rsid w:val="0062543D"/>
    <w:rsid w:val="00631841"/>
    <w:rsid w:val="0063356B"/>
    <w:rsid w:val="00634B33"/>
    <w:rsid w:val="00635BE1"/>
    <w:rsid w:val="00635DC1"/>
    <w:rsid w:val="00646849"/>
    <w:rsid w:val="00647116"/>
    <w:rsid w:val="006500D4"/>
    <w:rsid w:val="006507A0"/>
    <w:rsid w:val="006514E9"/>
    <w:rsid w:val="00656934"/>
    <w:rsid w:val="00661B36"/>
    <w:rsid w:val="00664A29"/>
    <w:rsid w:val="006675D8"/>
    <w:rsid w:val="00671A96"/>
    <w:rsid w:val="00677B17"/>
    <w:rsid w:val="0068025E"/>
    <w:rsid w:val="006878ED"/>
    <w:rsid w:val="00691A9A"/>
    <w:rsid w:val="006925E8"/>
    <w:rsid w:val="00693511"/>
    <w:rsid w:val="00695A5E"/>
    <w:rsid w:val="00697148"/>
    <w:rsid w:val="00697F49"/>
    <w:rsid w:val="006A56A6"/>
    <w:rsid w:val="006A74F7"/>
    <w:rsid w:val="006B2A2C"/>
    <w:rsid w:val="006B46FC"/>
    <w:rsid w:val="006B701F"/>
    <w:rsid w:val="006C158D"/>
    <w:rsid w:val="006D1E59"/>
    <w:rsid w:val="006D424B"/>
    <w:rsid w:val="006D455D"/>
    <w:rsid w:val="006D6204"/>
    <w:rsid w:val="006D7D98"/>
    <w:rsid w:val="006E03D3"/>
    <w:rsid w:val="006E10AD"/>
    <w:rsid w:val="006E1E91"/>
    <w:rsid w:val="006E2D11"/>
    <w:rsid w:val="006E33F2"/>
    <w:rsid w:val="006E41CF"/>
    <w:rsid w:val="006E4560"/>
    <w:rsid w:val="006E6D3E"/>
    <w:rsid w:val="006F06A9"/>
    <w:rsid w:val="006F0700"/>
    <w:rsid w:val="006F0F46"/>
    <w:rsid w:val="006F4B30"/>
    <w:rsid w:val="006F5150"/>
    <w:rsid w:val="006F52F2"/>
    <w:rsid w:val="006F7088"/>
    <w:rsid w:val="006F7CB3"/>
    <w:rsid w:val="00702586"/>
    <w:rsid w:val="00702702"/>
    <w:rsid w:val="00706A1F"/>
    <w:rsid w:val="007123BB"/>
    <w:rsid w:val="007127C3"/>
    <w:rsid w:val="007147F5"/>
    <w:rsid w:val="00714B30"/>
    <w:rsid w:val="007165AD"/>
    <w:rsid w:val="00727873"/>
    <w:rsid w:val="00730D4C"/>
    <w:rsid w:val="00731221"/>
    <w:rsid w:val="00731824"/>
    <w:rsid w:val="00733821"/>
    <w:rsid w:val="00734983"/>
    <w:rsid w:val="00734DB6"/>
    <w:rsid w:val="00736F0F"/>
    <w:rsid w:val="007374B9"/>
    <w:rsid w:val="00737672"/>
    <w:rsid w:val="007403F7"/>
    <w:rsid w:val="00740B31"/>
    <w:rsid w:val="0074366A"/>
    <w:rsid w:val="007472D8"/>
    <w:rsid w:val="00747843"/>
    <w:rsid w:val="00750F36"/>
    <w:rsid w:val="00754A7A"/>
    <w:rsid w:val="00757450"/>
    <w:rsid w:val="007615EF"/>
    <w:rsid w:val="00762C11"/>
    <w:rsid w:val="00765FA6"/>
    <w:rsid w:val="0076681F"/>
    <w:rsid w:val="00766ED1"/>
    <w:rsid w:val="00767321"/>
    <w:rsid w:val="007729B6"/>
    <w:rsid w:val="00774493"/>
    <w:rsid w:val="00774889"/>
    <w:rsid w:val="00775721"/>
    <w:rsid w:val="0077777E"/>
    <w:rsid w:val="00781EA1"/>
    <w:rsid w:val="00783EFE"/>
    <w:rsid w:val="0079023C"/>
    <w:rsid w:val="0079047A"/>
    <w:rsid w:val="00793218"/>
    <w:rsid w:val="00794A63"/>
    <w:rsid w:val="00794D5A"/>
    <w:rsid w:val="007951DE"/>
    <w:rsid w:val="0079734A"/>
    <w:rsid w:val="007A2843"/>
    <w:rsid w:val="007A6E49"/>
    <w:rsid w:val="007A7BE9"/>
    <w:rsid w:val="007A7E59"/>
    <w:rsid w:val="007B04C1"/>
    <w:rsid w:val="007B29E4"/>
    <w:rsid w:val="007B3161"/>
    <w:rsid w:val="007B5B9A"/>
    <w:rsid w:val="007B742E"/>
    <w:rsid w:val="007B7A58"/>
    <w:rsid w:val="007C1A99"/>
    <w:rsid w:val="007C27CF"/>
    <w:rsid w:val="007C343D"/>
    <w:rsid w:val="007C418E"/>
    <w:rsid w:val="007C5D33"/>
    <w:rsid w:val="007C62BB"/>
    <w:rsid w:val="007C7281"/>
    <w:rsid w:val="007D18D5"/>
    <w:rsid w:val="007D2B6D"/>
    <w:rsid w:val="007D6CF7"/>
    <w:rsid w:val="007F0290"/>
    <w:rsid w:val="007F1315"/>
    <w:rsid w:val="007F44D1"/>
    <w:rsid w:val="007F745C"/>
    <w:rsid w:val="00800089"/>
    <w:rsid w:val="00803225"/>
    <w:rsid w:val="008040A9"/>
    <w:rsid w:val="00804946"/>
    <w:rsid w:val="008049A8"/>
    <w:rsid w:val="00806B36"/>
    <w:rsid w:val="00806FD0"/>
    <w:rsid w:val="00807430"/>
    <w:rsid w:val="00810E32"/>
    <w:rsid w:val="00811CBA"/>
    <w:rsid w:val="008123C2"/>
    <w:rsid w:val="008131FB"/>
    <w:rsid w:val="0081458D"/>
    <w:rsid w:val="00817B1A"/>
    <w:rsid w:val="0082426A"/>
    <w:rsid w:val="00824CC1"/>
    <w:rsid w:val="00824D1A"/>
    <w:rsid w:val="0082746E"/>
    <w:rsid w:val="008313B3"/>
    <w:rsid w:val="008326EE"/>
    <w:rsid w:val="008338C5"/>
    <w:rsid w:val="00834D17"/>
    <w:rsid w:val="008400E3"/>
    <w:rsid w:val="00843005"/>
    <w:rsid w:val="008432CB"/>
    <w:rsid w:val="00843458"/>
    <w:rsid w:val="00844F66"/>
    <w:rsid w:val="00845296"/>
    <w:rsid w:val="008510F2"/>
    <w:rsid w:val="008546FE"/>
    <w:rsid w:val="00855EB7"/>
    <w:rsid w:val="00860114"/>
    <w:rsid w:val="00865E70"/>
    <w:rsid w:val="00867186"/>
    <w:rsid w:val="008726E5"/>
    <w:rsid w:val="0087417C"/>
    <w:rsid w:val="00880A59"/>
    <w:rsid w:val="0088101B"/>
    <w:rsid w:val="008852C9"/>
    <w:rsid w:val="00893DCF"/>
    <w:rsid w:val="008946F3"/>
    <w:rsid w:val="00894A9B"/>
    <w:rsid w:val="00896FFC"/>
    <w:rsid w:val="008A0B14"/>
    <w:rsid w:val="008A2F54"/>
    <w:rsid w:val="008A6AEF"/>
    <w:rsid w:val="008A6C94"/>
    <w:rsid w:val="008A7C88"/>
    <w:rsid w:val="008B18BC"/>
    <w:rsid w:val="008B22C3"/>
    <w:rsid w:val="008B242B"/>
    <w:rsid w:val="008B6BB8"/>
    <w:rsid w:val="008C26C9"/>
    <w:rsid w:val="008C2D80"/>
    <w:rsid w:val="008C424B"/>
    <w:rsid w:val="008C69E9"/>
    <w:rsid w:val="008C7850"/>
    <w:rsid w:val="008C7A27"/>
    <w:rsid w:val="008D1285"/>
    <w:rsid w:val="008E4E5B"/>
    <w:rsid w:val="008F12E7"/>
    <w:rsid w:val="008F4814"/>
    <w:rsid w:val="008F680D"/>
    <w:rsid w:val="009012AA"/>
    <w:rsid w:val="009043AD"/>
    <w:rsid w:val="00932987"/>
    <w:rsid w:val="00932F2A"/>
    <w:rsid w:val="00933274"/>
    <w:rsid w:val="00937169"/>
    <w:rsid w:val="009437C5"/>
    <w:rsid w:val="0094530A"/>
    <w:rsid w:val="009460C2"/>
    <w:rsid w:val="00952BDE"/>
    <w:rsid w:val="00953B71"/>
    <w:rsid w:val="009545E2"/>
    <w:rsid w:val="009579CA"/>
    <w:rsid w:val="00961805"/>
    <w:rsid w:val="0096270D"/>
    <w:rsid w:val="00962CC8"/>
    <w:rsid w:val="0096309F"/>
    <w:rsid w:val="00963C9E"/>
    <w:rsid w:val="0097028A"/>
    <w:rsid w:val="00971C3E"/>
    <w:rsid w:val="00972284"/>
    <w:rsid w:val="0097728E"/>
    <w:rsid w:val="00980DA2"/>
    <w:rsid w:val="009824EB"/>
    <w:rsid w:val="00985AE5"/>
    <w:rsid w:val="00987413"/>
    <w:rsid w:val="0099017F"/>
    <w:rsid w:val="00993019"/>
    <w:rsid w:val="009934AE"/>
    <w:rsid w:val="00993C4E"/>
    <w:rsid w:val="00995FF3"/>
    <w:rsid w:val="0099703A"/>
    <w:rsid w:val="00997971"/>
    <w:rsid w:val="009A0DE1"/>
    <w:rsid w:val="009A1BB5"/>
    <w:rsid w:val="009A1C94"/>
    <w:rsid w:val="009A21F3"/>
    <w:rsid w:val="009A4AFD"/>
    <w:rsid w:val="009A6532"/>
    <w:rsid w:val="009B0A16"/>
    <w:rsid w:val="009B44A1"/>
    <w:rsid w:val="009C136A"/>
    <w:rsid w:val="009C3E4F"/>
    <w:rsid w:val="009D0EAF"/>
    <w:rsid w:val="009D2D9B"/>
    <w:rsid w:val="009D73DB"/>
    <w:rsid w:val="009D7715"/>
    <w:rsid w:val="009E0AE7"/>
    <w:rsid w:val="009F0B67"/>
    <w:rsid w:val="009F171C"/>
    <w:rsid w:val="009F3AEC"/>
    <w:rsid w:val="009F5F0D"/>
    <w:rsid w:val="00A00140"/>
    <w:rsid w:val="00A027F0"/>
    <w:rsid w:val="00A12212"/>
    <w:rsid w:val="00A13F14"/>
    <w:rsid w:val="00A16B66"/>
    <w:rsid w:val="00A16FBF"/>
    <w:rsid w:val="00A32D2B"/>
    <w:rsid w:val="00A3687E"/>
    <w:rsid w:val="00A37D7C"/>
    <w:rsid w:val="00A444F9"/>
    <w:rsid w:val="00A47D6F"/>
    <w:rsid w:val="00A528DD"/>
    <w:rsid w:val="00A53573"/>
    <w:rsid w:val="00A54BC2"/>
    <w:rsid w:val="00A63325"/>
    <w:rsid w:val="00A649BC"/>
    <w:rsid w:val="00A6639B"/>
    <w:rsid w:val="00A70D44"/>
    <w:rsid w:val="00A7436F"/>
    <w:rsid w:val="00A7661E"/>
    <w:rsid w:val="00A83915"/>
    <w:rsid w:val="00A8494B"/>
    <w:rsid w:val="00A8589C"/>
    <w:rsid w:val="00A85BA8"/>
    <w:rsid w:val="00A967DC"/>
    <w:rsid w:val="00AA671A"/>
    <w:rsid w:val="00AB0841"/>
    <w:rsid w:val="00AB15C6"/>
    <w:rsid w:val="00AB19CE"/>
    <w:rsid w:val="00AB1C4F"/>
    <w:rsid w:val="00AB7D70"/>
    <w:rsid w:val="00AC66B5"/>
    <w:rsid w:val="00AC6704"/>
    <w:rsid w:val="00AC697F"/>
    <w:rsid w:val="00AD42A7"/>
    <w:rsid w:val="00AD7C98"/>
    <w:rsid w:val="00AE38B9"/>
    <w:rsid w:val="00AE4AC5"/>
    <w:rsid w:val="00AF003C"/>
    <w:rsid w:val="00AF2BF4"/>
    <w:rsid w:val="00AF394F"/>
    <w:rsid w:val="00AF4EFF"/>
    <w:rsid w:val="00AF6ECC"/>
    <w:rsid w:val="00AF7C9C"/>
    <w:rsid w:val="00B01116"/>
    <w:rsid w:val="00B01AE0"/>
    <w:rsid w:val="00B048C0"/>
    <w:rsid w:val="00B109DD"/>
    <w:rsid w:val="00B125B4"/>
    <w:rsid w:val="00B12F20"/>
    <w:rsid w:val="00B222FC"/>
    <w:rsid w:val="00B22D6D"/>
    <w:rsid w:val="00B26B9D"/>
    <w:rsid w:val="00B27417"/>
    <w:rsid w:val="00B30542"/>
    <w:rsid w:val="00B30CD9"/>
    <w:rsid w:val="00B33A99"/>
    <w:rsid w:val="00B36BC4"/>
    <w:rsid w:val="00B4088C"/>
    <w:rsid w:val="00B40B38"/>
    <w:rsid w:val="00B411F2"/>
    <w:rsid w:val="00B414E5"/>
    <w:rsid w:val="00B43397"/>
    <w:rsid w:val="00B449AC"/>
    <w:rsid w:val="00B51D4B"/>
    <w:rsid w:val="00B53088"/>
    <w:rsid w:val="00B54F32"/>
    <w:rsid w:val="00B55E51"/>
    <w:rsid w:val="00B5615D"/>
    <w:rsid w:val="00B6473B"/>
    <w:rsid w:val="00B659C4"/>
    <w:rsid w:val="00B67171"/>
    <w:rsid w:val="00B768BE"/>
    <w:rsid w:val="00B76AF4"/>
    <w:rsid w:val="00B80EC9"/>
    <w:rsid w:val="00B81B9A"/>
    <w:rsid w:val="00B823A2"/>
    <w:rsid w:val="00B84BD0"/>
    <w:rsid w:val="00B8557A"/>
    <w:rsid w:val="00B85FB8"/>
    <w:rsid w:val="00B9215D"/>
    <w:rsid w:val="00B95B10"/>
    <w:rsid w:val="00BA0C68"/>
    <w:rsid w:val="00BA103B"/>
    <w:rsid w:val="00BA28AC"/>
    <w:rsid w:val="00BA33CA"/>
    <w:rsid w:val="00BA5715"/>
    <w:rsid w:val="00BA68BB"/>
    <w:rsid w:val="00BA7492"/>
    <w:rsid w:val="00BB2DC9"/>
    <w:rsid w:val="00BB35E6"/>
    <w:rsid w:val="00BB4871"/>
    <w:rsid w:val="00BB496E"/>
    <w:rsid w:val="00BB7105"/>
    <w:rsid w:val="00BC0531"/>
    <w:rsid w:val="00BC1284"/>
    <w:rsid w:val="00BC1502"/>
    <w:rsid w:val="00BD10DF"/>
    <w:rsid w:val="00BD14DF"/>
    <w:rsid w:val="00BD3DA7"/>
    <w:rsid w:val="00BD65F5"/>
    <w:rsid w:val="00BD6787"/>
    <w:rsid w:val="00BD7A8C"/>
    <w:rsid w:val="00BE0142"/>
    <w:rsid w:val="00BE254F"/>
    <w:rsid w:val="00BE3BFD"/>
    <w:rsid w:val="00BE68BC"/>
    <w:rsid w:val="00BF0C92"/>
    <w:rsid w:val="00BF1F9E"/>
    <w:rsid w:val="00C013F6"/>
    <w:rsid w:val="00C02B4C"/>
    <w:rsid w:val="00C0363A"/>
    <w:rsid w:val="00C04010"/>
    <w:rsid w:val="00C04ABA"/>
    <w:rsid w:val="00C058A9"/>
    <w:rsid w:val="00C11769"/>
    <w:rsid w:val="00C122FA"/>
    <w:rsid w:val="00C14178"/>
    <w:rsid w:val="00C1673C"/>
    <w:rsid w:val="00C21D9F"/>
    <w:rsid w:val="00C22696"/>
    <w:rsid w:val="00C23200"/>
    <w:rsid w:val="00C244C8"/>
    <w:rsid w:val="00C25406"/>
    <w:rsid w:val="00C25541"/>
    <w:rsid w:val="00C25A20"/>
    <w:rsid w:val="00C26737"/>
    <w:rsid w:val="00C268D4"/>
    <w:rsid w:val="00C3368B"/>
    <w:rsid w:val="00C41DD4"/>
    <w:rsid w:val="00C43E3B"/>
    <w:rsid w:val="00C44C59"/>
    <w:rsid w:val="00C47152"/>
    <w:rsid w:val="00C532F8"/>
    <w:rsid w:val="00C715DB"/>
    <w:rsid w:val="00C7220B"/>
    <w:rsid w:val="00C752EC"/>
    <w:rsid w:val="00C80186"/>
    <w:rsid w:val="00C80949"/>
    <w:rsid w:val="00C85D89"/>
    <w:rsid w:val="00C86871"/>
    <w:rsid w:val="00C90315"/>
    <w:rsid w:val="00C933FA"/>
    <w:rsid w:val="00C95D3E"/>
    <w:rsid w:val="00C97086"/>
    <w:rsid w:val="00CA1100"/>
    <w:rsid w:val="00CA1F1F"/>
    <w:rsid w:val="00CA4F80"/>
    <w:rsid w:val="00CC071C"/>
    <w:rsid w:val="00CD579D"/>
    <w:rsid w:val="00CE261F"/>
    <w:rsid w:val="00CE2703"/>
    <w:rsid w:val="00CE3B64"/>
    <w:rsid w:val="00CE651F"/>
    <w:rsid w:val="00CF074F"/>
    <w:rsid w:val="00CF0BBE"/>
    <w:rsid w:val="00CF19A8"/>
    <w:rsid w:val="00CF1C9B"/>
    <w:rsid w:val="00CF47CE"/>
    <w:rsid w:val="00CF6095"/>
    <w:rsid w:val="00D00766"/>
    <w:rsid w:val="00D12A83"/>
    <w:rsid w:val="00D21DDF"/>
    <w:rsid w:val="00D25BF1"/>
    <w:rsid w:val="00D25CBC"/>
    <w:rsid w:val="00D2720B"/>
    <w:rsid w:val="00D3111E"/>
    <w:rsid w:val="00D31CDE"/>
    <w:rsid w:val="00D32397"/>
    <w:rsid w:val="00D325D9"/>
    <w:rsid w:val="00D3351C"/>
    <w:rsid w:val="00D40091"/>
    <w:rsid w:val="00D466D9"/>
    <w:rsid w:val="00D533F4"/>
    <w:rsid w:val="00D55D31"/>
    <w:rsid w:val="00D561F5"/>
    <w:rsid w:val="00D5759B"/>
    <w:rsid w:val="00D65ED0"/>
    <w:rsid w:val="00D703DC"/>
    <w:rsid w:val="00D7640D"/>
    <w:rsid w:val="00D85250"/>
    <w:rsid w:val="00D85E44"/>
    <w:rsid w:val="00D86D39"/>
    <w:rsid w:val="00D907C8"/>
    <w:rsid w:val="00D92342"/>
    <w:rsid w:val="00D9460F"/>
    <w:rsid w:val="00D94D52"/>
    <w:rsid w:val="00DA2A8D"/>
    <w:rsid w:val="00DA3AF3"/>
    <w:rsid w:val="00DA6B2F"/>
    <w:rsid w:val="00DA752A"/>
    <w:rsid w:val="00DB0689"/>
    <w:rsid w:val="00DB0EDF"/>
    <w:rsid w:val="00DB550A"/>
    <w:rsid w:val="00DC073C"/>
    <w:rsid w:val="00DC4FFE"/>
    <w:rsid w:val="00DC74D8"/>
    <w:rsid w:val="00DD26DD"/>
    <w:rsid w:val="00DD4720"/>
    <w:rsid w:val="00DD57EF"/>
    <w:rsid w:val="00DE21FD"/>
    <w:rsid w:val="00DE3715"/>
    <w:rsid w:val="00DF0AB8"/>
    <w:rsid w:val="00DF5623"/>
    <w:rsid w:val="00DF7C0C"/>
    <w:rsid w:val="00E00043"/>
    <w:rsid w:val="00E00E1B"/>
    <w:rsid w:val="00E127F1"/>
    <w:rsid w:val="00E13B70"/>
    <w:rsid w:val="00E16779"/>
    <w:rsid w:val="00E17405"/>
    <w:rsid w:val="00E22752"/>
    <w:rsid w:val="00E25616"/>
    <w:rsid w:val="00E268AC"/>
    <w:rsid w:val="00E302FE"/>
    <w:rsid w:val="00E30448"/>
    <w:rsid w:val="00E323FE"/>
    <w:rsid w:val="00E33925"/>
    <w:rsid w:val="00E36D0C"/>
    <w:rsid w:val="00E406A2"/>
    <w:rsid w:val="00E42491"/>
    <w:rsid w:val="00E450AB"/>
    <w:rsid w:val="00E46AD6"/>
    <w:rsid w:val="00E50763"/>
    <w:rsid w:val="00E5343F"/>
    <w:rsid w:val="00E53D46"/>
    <w:rsid w:val="00E542ED"/>
    <w:rsid w:val="00E55BB9"/>
    <w:rsid w:val="00E57698"/>
    <w:rsid w:val="00E6785D"/>
    <w:rsid w:val="00E67C71"/>
    <w:rsid w:val="00E7015E"/>
    <w:rsid w:val="00E762DF"/>
    <w:rsid w:val="00E775DB"/>
    <w:rsid w:val="00E80BB8"/>
    <w:rsid w:val="00E80EFB"/>
    <w:rsid w:val="00E81F0E"/>
    <w:rsid w:val="00E83A04"/>
    <w:rsid w:val="00E83EB6"/>
    <w:rsid w:val="00E85986"/>
    <w:rsid w:val="00E8737B"/>
    <w:rsid w:val="00E87FB6"/>
    <w:rsid w:val="00E90F55"/>
    <w:rsid w:val="00EA0191"/>
    <w:rsid w:val="00EB0F15"/>
    <w:rsid w:val="00EB0F45"/>
    <w:rsid w:val="00EB1981"/>
    <w:rsid w:val="00EB60C5"/>
    <w:rsid w:val="00EC1A5F"/>
    <w:rsid w:val="00EC1F15"/>
    <w:rsid w:val="00EC23FA"/>
    <w:rsid w:val="00EC2661"/>
    <w:rsid w:val="00EC3EA7"/>
    <w:rsid w:val="00ED14DE"/>
    <w:rsid w:val="00ED1CD3"/>
    <w:rsid w:val="00ED5A22"/>
    <w:rsid w:val="00EE47DD"/>
    <w:rsid w:val="00EE6E8F"/>
    <w:rsid w:val="00EF12D0"/>
    <w:rsid w:val="00EF25AF"/>
    <w:rsid w:val="00EF4D96"/>
    <w:rsid w:val="00EF653E"/>
    <w:rsid w:val="00EF69D0"/>
    <w:rsid w:val="00EF7597"/>
    <w:rsid w:val="00F01AD0"/>
    <w:rsid w:val="00F11B2D"/>
    <w:rsid w:val="00F12492"/>
    <w:rsid w:val="00F13904"/>
    <w:rsid w:val="00F14052"/>
    <w:rsid w:val="00F16AB1"/>
    <w:rsid w:val="00F217EA"/>
    <w:rsid w:val="00F3361F"/>
    <w:rsid w:val="00F34149"/>
    <w:rsid w:val="00F342F7"/>
    <w:rsid w:val="00F3431E"/>
    <w:rsid w:val="00F34F11"/>
    <w:rsid w:val="00F363D6"/>
    <w:rsid w:val="00F370B8"/>
    <w:rsid w:val="00F37EAF"/>
    <w:rsid w:val="00F41A4F"/>
    <w:rsid w:val="00F47CE5"/>
    <w:rsid w:val="00F47D53"/>
    <w:rsid w:val="00F47F7A"/>
    <w:rsid w:val="00F5184C"/>
    <w:rsid w:val="00F519AC"/>
    <w:rsid w:val="00F51ADC"/>
    <w:rsid w:val="00F51ED4"/>
    <w:rsid w:val="00F5470D"/>
    <w:rsid w:val="00F5689A"/>
    <w:rsid w:val="00F60149"/>
    <w:rsid w:val="00F617A0"/>
    <w:rsid w:val="00F62C1D"/>
    <w:rsid w:val="00F63294"/>
    <w:rsid w:val="00F6478E"/>
    <w:rsid w:val="00F6627E"/>
    <w:rsid w:val="00F67C01"/>
    <w:rsid w:val="00F710DA"/>
    <w:rsid w:val="00F716FE"/>
    <w:rsid w:val="00F71A45"/>
    <w:rsid w:val="00F72669"/>
    <w:rsid w:val="00F81062"/>
    <w:rsid w:val="00F83117"/>
    <w:rsid w:val="00F86164"/>
    <w:rsid w:val="00F91E25"/>
    <w:rsid w:val="00F94731"/>
    <w:rsid w:val="00F971E5"/>
    <w:rsid w:val="00FA005F"/>
    <w:rsid w:val="00FA4E0D"/>
    <w:rsid w:val="00FB12F0"/>
    <w:rsid w:val="00FB1ECD"/>
    <w:rsid w:val="00FB3B14"/>
    <w:rsid w:val="00FB4D9C"/>
    <w:rsid w:val="00FC576E"/>
    <w:rsid w:val="00FD2AB2"/>
    <w:rsid w:val="00FD716F"/>
    <w:rsid w:val="00FE2CB6"/>
    <w:rsid w:val="00FE5374"/>
    <w:rsid w:val="00FE61EE"/>
    <w:rsid w:val="00FE7A6C"/>
    <w:rsid w:val="00FF35B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CBB82"/>
  <w15:chartTrackingRefBased/>
  <w15:docId w15:val="{D95D611B-EE42-4114-90C2-9A1F2FECC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E25"/>
    <w:pPr>
      <w:spacing w:after="0" w:line="276" w:lineRule="auto"/>
    </w:pPr>
    <w:rPr>
      <w:rFonts w:ascii="Arial" w:eastAsia="Arial" w:hAnsi="Arial" w:cs="Arial"/>
      <w:kern w:val="0"/>
      <w:lang w:eastAsia="fr-FR"/>
      <w14:ligatures w14:val="none"/>
    </w:rPr>
  </w:style>
  <w:style w:type="paragraph" w:styleId="Titre1">
    <w:name w:val="heading 1"/>
    <w:basedOn w:val="Normal"/>
    <w:next w:val="Normal"/>
    <w:link w:val="Titre1Car"/>
    <w:uiPriority w:val="9"/>
    <w:qFormat/>
    <w:rsid w:val="00F91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F91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F91E25"/>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F91E25"/>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F91E25"/>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F91E25"/>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F91E25"/>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F91E25"/>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F91E25"/>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91E25"/>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F91E25"/>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F91E25"/>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F91E25"/>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F91E25"/>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F91E25"/>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F91E25"/>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F91E25"/>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F91E25"/>
    <w:rPr>
      <w:rFonts w:eastAsiaTheme="majorEastAsia" w:cstheme="majorBidi"/>
      <w:color w:val="272727" w:themeColor="text1" w:themeTint="D8"/>
    </w:rPr>
  </w:style>
  <w:style w:type="paragraph" w:styleId="Titre">
    <w:name w:val="Title"/>
    <w:basedOn w:val="Normal"/>
    <w:next w:val="Normal"/>
    <w:link w:val="TitreCar"/>
    <w:uiPriority w:val="10"/>
    <w:qFormat/>
    <w:rsid w:val="00F91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91E25"/>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F91E25"/>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F91E25"/>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F91E25"/>
    <w:pPr>
      <w:spacing w:before="160"/>
      <w:jc w:val="center"/>
    </w:pPr>
    <w:rPr>
      <w:i/>
      <w:iCs/>
      <w:color w:val="404040" w:themeColor="text1" w:themeTint="BF"/>
    </w:rPr>
  </w:style>
  <w:style w:type="character" w:customStyle="1" w:styleId="CitationCar">
    <w:name w:val="Citation Car"/>
    <w:basedOn w:val="Policepardfaut"/>
    <w:link w:val="Citation"/>
    <w:uiPriority w:val="29"/>
    <w:rsid w:val="00F91E25"/>
    <w:rPr>
      <w:i/>
      <w:iCs/>
      <w:color w:val="404040" w:themeColor="text1" w:themeTint="BF"/>
    </w:rPr>
  </w:style>
  <w:style w:type="paragraph" w:styleId="Paragraphedeliste">
    <w:name w:val="List Paragraph"/>
    <w:basedOn w:val="Normal"/>
    <w:uiPriority w:val="34"/>
    <w:qFormat/>
    <w:rsid w:val="00F91E25"/>
    <w:pPr>
      <w:ind w:left="720"/>
      <w:contextualSpacing/>
    </w:pPr>
  </w:style>
  <w:style w:type="character" w:styleId="Accentuationintense">
    <w:name w:val="Intense Emphasis"/>
    <w:basedOn w:val="Policepardfaut"/>
    <w:uiPriority w:val="21"/>
    <w:qFormat/>
    <w:rsid w:val="00F91E25"/>
    <w:rPr>
      <w:i/>
      <w:iCs/>
      <w:color w:val="0F4761" w:themeColor="accent1" w:themeShade="BF"/>
    </w:rPr>
  </w:style>
  <w:style w:type="paragraph" w:styleId="Citationintense">
    <w:name w:val="Intense Quote"/>
    <w:basedOn w:val="Normal"/>
    <w:next w:val="Normal"/>
    <w:link w:val="CitationintenseCar"/>
    <w:uiPriority w:val="30"/>
    <w:qFormat/>
    <w:rsid w:val="00F91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F91E25"/>
    <w:rPr>
      <w:i/>
      <w:iCs/>
      <w:color w:val="0F4761" w:themeColor="accent1" w:themeShade="BF"/>
    </w:rPr>
  </w:style>
  <w:style w:type="character" w:styleId="Rfrenceintense">
    <w:name w:val="Intense Reference"/>
    <w:basedOn w:val="Policepardfaut"/>
    <w:uiPriority w:val="32"/>
    <w:qFormat/>
    <w:rsid w:val="00F91E2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1273</Words>
  <Characters>5019</Characters>
  <Application>Microsoft Office Word</Application>
  <DocSecurity>0</DocSecurity>
  <Lines>264</Lines>
  <Paragraphs>285</Paragraphs>
  <ScaleCrop>false</ScaleCrop>
  <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EXPERT COMPTABLE</dc:creator>
  <cp:keywords/>
  <dc:description/>
  <cp:lastModifiedBy>EXPERT COMPTABLE</cp:lastModifiedBy>
  <cp:revision>2</cp:revision>
  <dcterms:created xsi:type="dcterms:W3CDTF">2026-04-03T21:14:00Z</dcterms:created>
  <dcterms:modified xsi:type="dcterms:W3CDTF">2026-04-12T21:12:00Z</dcterms:modified>
</cp:coreProperties>
</file>