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1" w:color="000000"/>
          <w:left w:val="single" w:sz="4" w:space="4" w:color="000000"/>
          <w:bottom w:val="single" w:sz="4" w:space="1" w:color="000000"/>
          <w:right w:val="single" w:sz="4" w:space="4" w:color="000000"/>
        </w:pBdr>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t xml:space="preserve">ACCORD D’ENTREPRISE </w:t>
      </w:r>
    </w:p>
    <w:p>
      <w:pPr>
        <w:pStyle w:val="Normal"/>
        <w:pBdr>
          <w:top w:val="single" w:sz="4" w:space="1" w:color="000000"/>
          <w:left w:val="single" w:sz="4" w:space="4" w:color="000000"/>
          <w:bottom w:val="single" w:sz="4" w:space="1" w:color="000000"/>
          <w:right w:val="single" w:sz="4" w:space="4" w:color="000000"/>
        </w:pBdr>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t xml:space="preserve">SUR LA DUREE DU TRAVAIL, L’AMENAGEMENT DU TEMPS DE TRAVAIL </w:t>
      </w:r>
    </w:p>
    <w:p>
      <w:pPr>
        <w:pStyle w:val="Normal"/>
        <w:pBdr>
          <w:top w:val="single" w:sz="4" w:space="1" w:color="000000"/>
          <w:left w:val="single" w:sz="4" w:space="4" w:color="000000"/>
          <w:bottom w:val="single" w:sz="4" w:space="1" w:color="000000"/>
          <w:right w:val="single" w:sz="4" w:space="4" w:color="000000"/>
        </w:pBdr>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t>ET LES CONGES PAYES</w:t>
      </w:r>
    </w:p>
    <w:p>
      <w:pPr>
        <w:pStyle w:val="Normal"/>
        <w:rPr>
          <w:rFonts w:ascii="Arial Nova Cond" w:hAnsi="Arial Nova Cond" w:cs="Calibri"/>
          <w:sz w:val="28"/>
          <w:szCs w:val="28"/>
        </w:rPr>
      </w:pPr>
      <w:r>
        <w:rPr>
          <w:rFonts w:cs="Calibri" w:ascii="Arial Nova Cond" w:hAnsi="Arial Nova Cond"/>
          <w:sz w:val="28"/>
          <w:szCs w:val="28"/>
        </w:rPr>
      </w:r>
    </w:p>
    <w:p>
      <w:pPr>
        <w:pStyle w:val="Normal"/>
        <w:spacing w:lineRule="auto" w:line="240" w:before="0" w:after="0"/>
        <w:rPr>
          <w:rFonts w:ascii="Arial Nova Cond" w:hAnsi="Arial Nova Cond" w:cs="Calibri"/>
          <w:b/>
          <w:bCs/>
          <w:sz w:val="28"/>
          <w:szCs w:val="28"/>
        </w:rPr>
      </w:pPr>
      <w:r>
        <w:rPr>
          <w:rFonts w:cs="Calibri" w:ascii="Arial Nova Cond" w:hAnsi="Arial Nova Cond"/>
          <w:b/>
          <w:bCs/>
          <w:sz w:val="28"/>
          <w:szCs w:val="28"/>
        </w:rPr>
      </w:r>
    </w:p>
    <w:p>
      <w:pPr>
        <w:pStyle w:val="Normal"/>
        <w:spacing w:lineRule="auto" w:line="240" w:before="0" w:after="0"/>
        <w:rPr>
          <w:rFonts w:ascii="Arial Nova Cond" w:hAnsi="Arial Nova Cond" w:cs="Calibri"/>
          <w:b/>
          <w:bCs/>
          <w:sz w:val="28"/>
          <w:szCs w:val="28"/>
        </w:rPr>
      </w:pPr>
      <w:r>
        <w:rPr>
          <w:rFonts w:cs="Calibri" w:ascii="Arial Nova Cond" w:hAnsi="Arial Nova Cond"/>
          <w:b/>
          <w:bCs/>
          <w:sz w:val="28"/>
          <w:szCs w:val="28"/>
        </w:rPr>
      </w:r>
    </w:p>
    <w:p>
      <w:pPr>
        <w:pStyle w:val="Normal"/>
        <w:spacing w:lineRule="auto" w:line="240" w:before="0" w:after="0"/>
        <w:rPr>
          <w:rFonts w:ascii="Arial Nova Cond" w:hAnsi="Arial Nova Cond" w:cs="Calibri"/>
          <w:b/>
          <w:bCs/>
        </w:rPr>
      </w:pPr>
      <w:r>
        <w:rPr>
          <w:rFonts w:cs="Calibri" w:ascii="Arial Nova Cond" w:hAnsi="Arial Nova Cond"/>
          <w:b/>
          <w:bCs/>
        </w:rPr>
        <w:t>Entre :</w:t>
      </w:r>
    </w:p>
    <w:p>
      <w:pPr>
        <w:pStyle w:val="Normal"/>
        <w:spacing w:lineRule="auto" w:line="240" w:before="0" w:after="0"/>
        <w:rPr>
          <w:rFonts w:ascii="Arial Nova Cond" w:hAnsi="Arial Nova Cond" w:cs="Calibri"/>
          <w:b/>
          <w:bCs/>
        </w:rPr>
      </w:pPr>
      <w:r>
        <w:rPr>
          <w:rFonts w:cs="Calibri" w:ascii="Arial Nova Cond" w:hAnsi="Arial Nova Cond"/>
          <w:b/>
          <w:bCs/>
        </w:rPr>
      </w:r>
    </w:p>
    <w:p>
      <w:pPr>
        <w:pStyle w:val="Normal"/>
        <w:spacing w:lineRule="auto" w:line="240" w:before="0" w:after="0"/>
        <w:rPr>
          <w:rFonts w:ascii="Arial Nova Cond" w:hAnsi="Arial Nova Cond" w:cs="Calibri"/>
        </w:rPr>
      </w:pPr>
      <w:r>
        <w:rPr>
          <w:rFonts w:cs="Calibri" w:ascii="Arial Nova Cond" w:hAnsi="Arial Nova Cond"/>
          <w:b/>
          <w:bCs/>
        </w:rPr>
        <w:t>LES COMPTOIRS DES DAVIDS</w:t>
      </w:r>
      <w:r>
        <w:rPr>
          <w:rFonts w:cs="Calibri" w:ascii="Arial Nova Cond" w:hAnsi="Arial Nova Cond"/>
        </w:rPr>
        <w:t>, société par actions simplifiée au capital de 500 000 euros, dont le siège social est situé route de Banon 84750 Viens, et dont le numéro unique d’identification est 898 586 912 R.C.S. Avignon, représentée par JCMLA Holding SRL, elle-même représentée par  en sa qualité de présidente ?</w:t>
      </w:r>
    </w:p>
    <w:p>
      <w:pPr>
        <w:pStyle w:val="Normal"/>
        <w:spacing w:lineRule="auto" w:line="240" w:before="0" w:after="0"/>
        <w:jc w:val="right"/>
        <w:rPr>
          <w:rFonts w:ascii="Arial Nova Cond" w:hAnsi="Arial Nova Cond" w:cs="Calibri"/>
        </w:rPr>
      </w:pPr>
      <w:r>
        <w:rPr>
          <w:rFonts w:cs="Calibri" w:ascii="Arial Nova Cond" w:hAnsi="Arial Nova Cond"/>
        </w:rPr>
        <w:t>Ci-après dénommée « </w:t>
      </w:r>
      <w:r>
        <w:rPr>
          <w:rFonts w:cs="Calibri" w:ascii="Arial Nova Cond" w:hAnsi="Arial Nova Cond"/>
          <w:b/>
          <w:bCs/>
          <w:i/>
          <w:iCs/>
        </w:rPr>
        <w:t>Société </w:t>
      </w:r>
      <w:r>
        <w:rPr>
          <w:rFonts w:cs="Calibri" w:ascii="Arial Nova Cond" w:hAnsi="Arial Nova Cond"/>
        </w:rPr>
        <w:t>»,</w:t>
      </w:r>
    </w:p>
    <w:p>
      <w:pPr>
        <w:pStyle w:val="Normal"/>
        <w:spacing w:lineRule="auto" w:line="240" w:before="0" w:after="0"/>
        <w:jc w:val="right"/>
        <w:rPr>
          <w:rFonts w:ascii="Arial Nova Cond" w:hAnsi="Arial Nova Cond" w:cs="Calibri"/>
        </w:rPr>
      </w:pPr>
      <w:r>
        <w:rPr>
          <w:rFonts w:cs="Calibri" w:ascii="Arial Nova Cond" w:hAnsi="Arial Nova Cond"/>
        </w:rPr>
        <w:t>D’une part,</w:t>
      </w:r>
    </w:p>
    <w:p>
      <w:pPr>
        <w:pStyle w:val="Normal"/>
        <w:spacing w:lineRule="auto" w:line="240" w:before="0" w:after="0"/>
        <w:jc w:val="right"/>
        <w:rPr>
          <w:rFonts w:ascii="Arial Nova Cond" w:hAnsi="Arial Nova Cond" w:cs="Calibri"/>
        </w:rPr>
      </w:pPr>
      <w:r>
        <w:rPr>
          <w:rFonts w:cs="Calibri" w:ascii="Arial Nova Cond" w:hAnsi="Arial Nova Cond"/>
        </w:rPr>
      </w:r>
    </w:p>
    <w:p>
      <w:pPr>
        <w:pStyle w:val="Normal"/>
        <w:spacing w:lineRule="auto" w:line="240" w:before="0" w:after="0"/>
        <w:jc w:val="right"/>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cs="Calibri"/>
          <w:b/>
          <w:bCs/>
        </w:rPr>
      </w:pPr>
      <w:r>
        <w:rPr>
          <w:rFonts w:cs="Calibri" w:ascii="Arial Nova Cond" w:hAnsi="Arial Nova Cond"/>
          <w:b/>
          <w:bCs/>
        </w:rPr>
      </w:r>
    </w:p>
    <w:p>
      <w:pPr>
        <w:pStyle w:val="Normal"/>
        <w:spacing w:lineRule="auto" w:line="240" w:before="0" w:after="0"/>
        <w:jc w:val="both"/>
        <w:rPr>
          <w:rFonts w:ascii="Arial Nova Cond" w:hAnsi="Arial Nova Cond" w:cs="Calibri"/>
          <w:b/>
          <w:bCs/>
        </w:rPr>
      </w:pPr>
      <w:r>
        <w:rPr>
          <w:rFonts w:cs="Calibri" w:ascii="Arial Nova Cond" w:hAnsi="Arial Nova Cond"/>
          <w:b/>
          <w:bCs/>
        </w:rPr>
        <w:t>Et :</w:t>
      </w:r>
    </w:p>
    <w:p>
      <w:pPr>
        <w:pStyle w:val="Normal"/>
        <w:spacing w:lineRule="auto" w:line="240" w:before="0" w:after="0"/>
        <w:jc w:val="both"/>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cs="Calibri"/>
        </w:rPr>
      </w:pPr>
      <w:r>
        <w:rPr>
          <w:rFonts w:cs="Calibri" w:ascii="Arial Nova Cond" w:hAnsi="Arial Nova Cond"/>
        </w:rPr>
        <w:t xml:space="preserve">Les salariés de la Société, </w:t>
      </w:r>
    </w:p>
    <w:p>
      <w:pPr>
        <w:pStyle w:val="Normal"/>
        <w:spacing w:lineRule="auto" w:line="240" w:before="0" w:after="0"/>
        <w:jc w:val="both"/>
        <w:rPr>
          <w:rFonts w:ascii="Arial Nova Cond" w:hAnsi="Arial Nova Cond" w:cs="Calibri"/>
        </w:rPr>
      </w:pPr>
      <w:r>
        <w:rPr>
          <w:rFonts w:cs="Calibri" w:ascii="Arial Nova Cond" w:hAnsi="Arial Nova Cond"/>
        </w:rPr>
        <w:t>Approbation selon référendum à la majorité des deux tiers du personnel (article L 2232-22 du Code du travail),</w:t>
      </w:r>
    </w:p>
    <w:p>
      <w:pPr>
        <w:pStyle w:val="Normal"/>
        <w:spacing w:lineRule="auto" w:line="240" w:before="0" w:after="0"/>
        <w:jc w:val="both"/>
        <w:rPr>
          <w:rFonts w:ascii="Arial Nova Cond" w:hAnsi="Arial Nova Cond" w:cs="Calibri"/>
        </w:rPr>
      </w:pPr>
      <w:r>
        <w:rPr>
          <w:rFonts w:cs="Calibri" w:ascii="Arial Nova Cond" w:hAnsi="Arial Nova Cond"/>
        </w:rPr>
      </w:r>
    </w:p>
    <w:p>
      <w:pPr>
        <w:pStyle w:val="Normal"/>
        <w:spacing w:lineRule="auto" w:line="240" w:before="0" w:after="0"/>
        <w:jc w:val="right"/>
        <w:rPr>
          <w:rFonts w:ascii="Arial Nova Cond" w:hAnsi="Arial Nova Cond" w:cs="Calibri"/>
        </w:rPr>
      </w:pPr>
      <w:r>
        <w:rPr>
          <w:rFonts w:cs="Calibri" w:ascii="Arial Nova Cond" w:hAnsi="Arial Nova Cond"/>
        </w:rPr>
        <w:t>Ci-après dénommés « </w:t>
      </w:r>
      <w:r>
        <w:rPr>
          <w:rFonts w:cs="Calibri" w:ascii="Arial Nova Cond" w:hAnsi="Arial Nova Cond"/>
          <w:b/>
          <w:bCs/>
          <w:i/>
          <w:iCs/>
        </w:rPr>
        <w:t>Salariés</w:t>
      </w:r>
      <w:r>
        <w:rPr>
          <w:rFonts w:cs="Calibri" w:ascii="Arial Nova Cond" w:hAnsi="Arial Nova Cond"/>
        </w:rPr>
        <w:t> »,</w:t>
      </w:r>
    </w:p>
    <w:p>
      <w:pPr>
        <w:pStyle w:val="Normal"/>
        <w:spacing w:lineRule="auto" w:line="240" w:before="0" w:after="0"/>
        <w:jc w:val="right"/>
        <w:rPr>
          <w:rFonts w:ascii="Arial Nova Cond" w:hAnsi="Arial Nova Cond" w:cs="Calibri"/>
        </w:rPr>
      </w:pPr>
      <w:r>
        <w:rPr>
          <w:rFonts w:cs="Calibri" w:ascii="Arial Nova Cond" w:hAnsi="Arial Nova Cond"/>
        </w:rPr>
        <w:t>D’autre part,</w:t>
      </w:r>
    </w:p>
    <w:p>
      <w:pPr>
        <w:pStyle w:val="Normal"/>
        <w:spacing w:lineRule="auto" w:line="240" w:before="0" w:after="0"/>
        <w:jc w:val="right"/>
        <w:rPr>
          <w:rFonts w:ascii="Arial Nova Cond" w:hAnsi="Arial Nova Cond" w:cs="Calibri"/>
        </w:rPr>
      </w:pPr>
      <w:r>
        <w:rPr>
          <w:rFonts w:cs="Calibri" w:ascii="Arial Nova Cond" w:hAnsi="Arial Nova Cond"/>
        </w:rPr>
      </w:r>
    </w:p>
    <w:p>
      <w:pPr>
        <w:pStyle w:val="Normal"/>
        <w:spacing w:lineRule="auto" w:line="240" w:before="0" w:after="0"/>
        <w:jc w:val="right"/>
        <w:rPr>
          <w:rFonts w:ascii="Arial Nova Cond" w:hAnsi="Arial Nova Cond" w:cs="Calibri"/>
        </w:rPr>
      </w:pPr>
      <w:r>
        <w:rPr>
          <w:rFonts w:cs="Calibri" w:ascii="Arial Nova Cond" w:hAnsi="Arial Nova Cond"/>
        </w:rPr>
      </w:r>
    </w:p>
    <w:p>
      <w:pPr>
        <w:pStyle w:val="Normal"/>
        <w:spacing w:lineRule="auto" w:line="240" w:before="0" w:after="0"/>
        <w:jc w:val="right"/>
        <w:rPr>
          <w:rFonts w:ascii="Arial Nova Cond" w:hAnsi="Arial Nova Cond" w:cs="Calibri"/>
        </w:rPr>
      </w:pPr>
      <w:r>
        <w:rPr>
          <w:rFonts w:cs="Calibri" w:ascii="Arial Nova Cond" w:hAnsi="Arial Nova Cond"/>
        </w:rPr>
      </w:r>
    </w:p>
    <w:p>
      <w:pPr>
        <w:pStyle w:val="Normal"/>
        <w:spacing w:lineRule="auto" w:line="240" w:before="0" w:after="0"/>
        <w:jc w:val="right"/>
        <w:rPr>
          <w:rFonts w:ascii="Arial Nova Cond" w:hAnsi="Arial Nova Cond" w:cs="Calibri"/>
        </w:rPr>
      </w:pPr>
      <w:r>
        <w:rPr>
          <w:rFonts w:cs="Calibri" w:ascii="Arial Nova Cond" w:hAnsi="Arial Nova Cond"/>
        </w:rPr>
        <w:t>La Société et les Salariés</w:t>
      </w:r>
    </w:p>
    <w:p>
      <w:pPr>
        <w:pStyle w:val="Normal"/>
        <w:spacing w:lineRule="auto" w:line="240" w:before="0" w:after="0"/>
        <w:jc w:val="right"/>
        <w:rPr>
          <w:rFonts w:ascii="Arial Nova Cond" w:hAnsi="Arial Nova Cond" w:cs="Calibri"/>
        </w:rPr>
      </w:pPr>
      <w:r>
        <w:rPr>
          <w:rFonts w:cs="Calibri" w:ascii="Arial Nova Cond" w:hAnsi="Arial Nova Cond"/>
        </w:rPr>
        <w:t>étant ci-après désignés ensemble les « </w:t>
      </w:r>
      <w:r>
        <w:rPr>
          <w:rFonts w:cs="Calibri" w:ascii="Arial Nova Cond" w:hAnsi="Arial Nova Cond"/>
          <w:b/>
          <w:bCs/>
          <w:i/>
          <w:iCs/>
        </w:rPr>
        <w:t>Parties</w:t>
      </w:r>
      <w:r>
        <w:rPr>
          <w:rFonts w:cs="Calibri" w:ascii="Arial Nova Cond" w:hAnsi="Arial Nova Cond"/>
        </w:rPr>
        <w:t> »,</w:t>
      </w:r>
    </w:p>
    <w:p>
      <w:pPr>
        <w:pStyle w:val="Normal"/>
        <w:spacing w:lineRule="auto" w:line="240" w:before="0" w:after="0"/>
        <w:jc w:val="right"/>
        <w:rPr>
          <w:rFonts w:ascii="Arial Nova Cond" w:hAnsi="Arial Nova Cond" w:cs="Calibri"/>
        </w:rPr>
      </w:pPr>
      <w:r>
        <w:rPr>
          <w:rFonts w:cs="Calibri" w:ascii="Arial Nova Cond" w:hAnsi="Arial Nova Cond"/>
        </w:rPr>
        <w:t>et séparément une ou la « </w:t>
      </w:r>
      <w:r>
        <w:rPr>
          <w:rFonts w:cs="Calibri" w:ascii="Arial Nova Cond" w:hAnsi="Arial Nova Cond"/>
          <w:b/>
          <w:bCs/>
          <w:i/>
          <w:iCs/>
        </w:rPr>
        <w:t>Partie</w:t>
      </w:r>
      <w:r>
        <w:rPr>
          <w:rFonts w:cs="Calibri" w:ascii="Arial Nova Cond" w:hAnsi="Arial Nova Cond"/>
        </w:rPr>
        <w:t> ».</w:t>
      </w:r>
    </w:p>
    <w:p>
      <w:pPr>
        <w:pStyle w:val="Normal"/>
        <w:spacing w:lineRule="auto" w:line="240" w:before="0" w:after="0"/>
        <w:jc w:val="both"/>
        <w:rPr>
          <w:rFonts w:ascii="Arial Nova Cond" w:hAnsi="Arial Nova Cond" w:cs="Calibri"/>
        </w:rPr>
      </w:pPr>
      <w:r>
        <w:rPr>
          <w:rFonts w:cs="Calibri" w:ascii="Arial Nova Cond" w:hAnsi="Arial Nova Cond"/>
        </w:rPr>
      </w:r>
    </w:p>
    <w:p>
      <w:pPr>
        <w:pStyle w:val="Normal"/>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r>
    </w:p>
    <w:p>
      <w:pPr>
        <w:pStyle w:val="Normal"/>
        <w:rPr>
          <w:rFonts w:ascii="Arial Nova Cond" w:hAnsi="Arial Nova Cond" w:cs="Calibri"/>
          <w:b/>
          <w:bCs/>
          <w:sz w:val="28"/>
          <w:szCs w:val="28"/>
        </w:rPr>
      </w:pPr>
      <w:r>
        <w:rPr>
          <w:rFonts w:cs="Calibri" w:ascii="Arial Nova Cond" w:hAnsi="Arial Nova Cond"/>
          <w:b/>
          <w:bCs/>
          <w:sz w:val="28"/>
          <w:szCs w:val="28"/>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jc w:val="center"/>
        <w:rPr>
          <w:rFonts w:ascii="Arial Nova Cond" w:hAnsi="Arial Nova Cond" w:cs="Calibri Light" w:cstheme="majorHAnsi"/>
          <w:b/>
          <w:sz w:val="28"/>
          <w:szCs w:val="28"/>
        </w:rPr>
      </w:pPr>
      <w:r>
        <w:rPr>
          <w:rFonts w:cs="Calibri Light" w:ascii="Arial Nova Cond" w:hAnsi="Arial Nova Cond" w:cstheme="majorHAnsi"/>
          <w:b/>
          <w:sz w:val="28"/>
          <w:szCs w:val="28"/>
        </w:rPr>
        <w:t>TABLE DES MATIERES</w:t>
      </w:r>
    </w:p>
    <w:p>
      <w:pPr>
        <w:pStyle w:val="Normal"/>
        <w:spacing w:lineRule="auto" w:line="240" w:before="0" w:after="0"/>
        <w:jc w:val="center"/>
        <w:rPr>
          <w:rFonts w:ascii="Arial Nova Cond" w:hAnsi="Arial Nova Cond" w:cs="Calibri Light" w:cstheme="majorHAnsi"/>
          <w:b/>
          <w:sz w:val="28"/>
          <w:szCs w:val="28"/>
        </w:rPr>
      </w:pPr>
      <w:r>
        <w:rPr>
          <w:rFonts w:cs="Calibri Light" w:cstheme="majorHAnsi" w:ascii="Arial Nova Cond" w:hAnsi="Arial Nova Cond"/>
          <w:b/>
          <w:sz w:val="28"/>
          <w:szCs w:val="28"/>
        </w:rPr>
      </w:r>
    </w:p>
    <w:sdt>
      <w:sdtPr>
        <w:docPartObj>
          <w:docPartGallery w:val="Table of Contents"/>
          <w:docPartUnique w:val="true"/>
        </w:docPartObj>
      </w:sdtPr>
      <w:sdtContent>
        <w:p>
          <w:pPr>
            <w:pStyle w:val="TOC1"/>
            <w:rPr>
              <w:rFonts w:ascii="Calibri" w:hAnsi="Calibri" w:eastAsia="" w:cs="" w:asciiTheme="minorHAnsi" w:cstheme="minorBidi" w:eastAsiaTheme="minorEastAsia" w:hAnsiTheme="minorHAnsi"/>
              <w:b w:val="false"/>
              <w:bCs w:val="false"/>
              <w:caps w:val="false"/>
              <w:smallCaps w:val="false"/>
              <w:color w:val="auto"/>
              <w:kern w:val="2"/>
              <w:sz w:val="24"/>
              <w:szCs w:val="24"/>
              <w:lang w:val="fr-BE" w:eastAsia="fr-BE"/>
              <w14:ligatures w14:val="standardContextual"/>
            </w:rPr>
          </w:pPr>
          <w:r>
            <w:fldChar w:fldCharType="begin"/>
          </w:r>
          <w:r>
            <w:rPr>
              <w:webHidden/>
              <w:rStyle w:val="Sautdindex"/>
              <w:rFonts w:cs="Calibri" w:ascii="Arial Nova Cond" w:hAnsi="Arial Nova Cond"/>
            </w:rPr>
            <w:instrText xml:space="preserve"> TOC \z \o "1-3" \u \h</w:instrText>
          </w:r>
          <w:r>
            <w:rPr>
              <w:webHidden/>
              <w:rStyle w:val="Sautdindex"/>
              <w:rFonts w:cs="Calibri" w:ascii="Arial Nova Cond" w:hAnsi="Arial Nova Cond"/>
            </w:rPr>
            <w:fldChar w:fldCharType="separate"/>
          </w:r>
          <w:hyperlink w:anchor="_Toc183619789">
            <w:r>
              <w:rPr>
                <w:webHidden/>
                <w:rStyle w:val="Sautdindex"/>
                <w:rFonts w:cs="Calibri" w:ascii="Arial Nova Cond" w:hAnsi="Arial Nova Cond"/>
              </w:rPr>
              <w:t>PREAMBULE</w:t>
            </w:r>
            <w:r>
              <w:rPr>
                <w:webHidden/>
              </w:rPr>
              <w:fldChar w:fldCharType="begin"/>
            </w:r>
            <w:r>
              <w:rPr>
                <w:webHidden/>
              </w:rPr>
              <w:instrText xml:space="preserve">PAGEREF _Toc183619789 \h</w:instrText>
            </w:r>
            <w:r>
              <w:rPr>
                <w:webHidden/>
              </w:rPr>
              <w:fldChar w:fldCharType="separate"/>
            </w:r>
            <w:r>
              <w:rPr>
                <w:rStyle w:val="Sautdindex"/>
                <w:vanish w:val="false"/>
              </w:rPr>
              <w:tab/>
              <w:t>3</w:t>
            </w:r>
            <w:r>
              <w:rPr>
                <w:webHidden/>
              </w:rPr>
              <w:fldChar w:fldCharType="end"/>
            </w:r>
          </w:hyperlink>
        </w:p>
        <w:p>
          <w:pPr>
            <w:pStyle w:val="TOC1"/>
            <w:rPr>
              <w:rFonts w:ascii="Calibri" w:hAnsi="Calibri" w:eastAsia="" w:cs="" w:asciiTheme="minorHAnsi" w:cstheme="minorBidi" w:eastAsiaTheme="minorEastAsia" w:hAnsiTheme="minorHAnsi"/>
              <w:b w:val="false"/>
              <w:bCs w:val="false"/>
              <w:caps w:val="false"/>
              <w:smallCaps w:val="false"/>
              <w:color w:val="auto"/>
              <w:kern w:val="2"/>
              <w:sz w:val="24"/>
              <w:szCs w:val="24"/>
              <w:lang w:val="fr-BE" w:eastAsia="fr-BE"/>
              <w14:ligatures w14:val="standardContextual"/>
            </w:rPr>
          </w:pPr>
          <w:hyperlink w:anchor="_Toc183619790">
            <w:r>
              <w:rPr>
                <w:webHidden/>
                <w:rStyle w:val="Sautdindex"/>
                <w:rFonts w:ascii="Arial Nova Cond" w:hAnsi="Arial Nova Cond"/>
              </w:rPr>
              <w:t>CHAPITRE 1 : CHAMP D’APPLICATION DE L’ACCORD</w:t>
            </w:r>
            <w:r>
              <w:rPr>
                <w:webHidden/>
              </w:rPr>
              <w:fldChar w:fldCharType="begin"/>
            </w:r>
            <w:r>
              <w:rPr>
                <w:webHidden/>
              </w:rPr>
              <w:instrText xml:space="preserve">PAGEREF _Toc183619790 \h</w:instrText>
            </w:r>
            <w:r>
              <w:rPr>
                <w:webHidden/>
              </w:rPr>
              <w:fldChar w:fldCharType="separate"/>
            </w:r>
            <w:r>
              <w:rPr>
                <w:rStyle w:val="Sautdindex"/>
                <w:vanish w:val="false"/>
              </w:rPr>
              <w:tab/>
              <w:t>3</w:t>
            </w:r>
            <w:r>
              <w:rPr>
                <w:webHidden/>
              </w:rPr>
              <w:fldChar w:fldCharType="end"/>
            </w:r>
          </w:hyperlink>
        </w:p>
        <w:p>
          <w:pPr>
            <w:pStyle w:val="TOC1"/>
            <w:rPr>
              <w:rFonts w:ascii="Calibri" w:hAnsi="Calibri" w:eastAsia="" w:cs="" w:asciiTheme="minorHAnsi" w:cstheme="minorBidi" w:eastAsiaTheme="minorEastAsia" w:hAnsiTheme="minorHAnsi"/>
              <w:b w:val="false"/>
              <w:bCs w:val="false"/>
              <w:caps w:val="false"/>
              <w:smallCaps w:val="false"/>
              <w:color w:val="auto"/>
              <w:kern w:val="2"/>
              <w:sz w:val="24"/>
              <w:szCs w:val="24"/>
              <w:lang w:val="fr-BE" w:eastAsia="fr-BE"/>
              <w14:ligatures w14:val="standardContextual"/>
            </w:rPr>
          </w:pPr>
          <w:hyperlink w:anchor="_Toc183619791">
            <w:r>
              <w:rPr>
                <w:webHidden/>
                <w:rStyle w:val="Sautdindex"/>
                <w:rFonts w:ascii="Arial Nova Cond" w:hAnsi="Arial Nova Cond"/>
              </w:rPr>
              <w:t>CHAPITRE 2 : DEFINITIONS ET DISPOSITIONS GENERALES RELATIVES AU TEMPS DE TRAVAIL</w:t>
            </w:r>
            <w:r>
              <w:rPr>
                <w:webHidden/>
              </w:rPr>
              <w:fldChar w:fldCharType="begin"/>
            </w:r>
            <w:r>
              <w:rPr>
                <w:webHidden/>
              </w:rPr>
              <w:instrText xml:space="preserve">PAGEREF _Toc183619791 \h</w:instrText>
            </w:r>
            <w:r>
              <w:rPr>
                <w:webHidden/>
              </w:rPr>
              <w:fldChar w:fldCharType="separate"/>
            </w:r>
            <w:r>
              <w:rPr>
                <w:rStyle w:val="Sautdindex"/>
                <w:vanish w:val="false"/>
              </w:rPr>
              <w:tab/>
              <w:t>3</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792">
            <w:r>
              <w:rPr>
                <w:webHidden/>
                <w:rStyle w:val="Sautdindex"/>
                <w:rFonts w:cs="Calibri Light" w:ascii="Arial Nova Cond" w:hAnsi="Arial Nova Cond" w:cstheme="majorHAnsi"/>
                <w:b/>
                <w:bCs/>
              </w:rPr>
              <w:t>Article 2.1 : Heures supplémentaires (temps complet)</w:t>
            </w:r>
            <w:r>
              <w:rPr>
                <w:webHidden/>
              </w:rPr>
              <w:fldChar w:fldCharType="begin"/>
            </w:r>
            <w:r>
              <w:rPr>
                <w:webHidden/>
              </w:rPr>
              <w:instrText xml:space="preserve">PAGEREF _Toc183619792 \h</w:instrText>
            </w:r>
            <w:r>
              <w:rPr>
                <w:webHidden/>
              </w:rPr>
              <w:fldChar w:fldCharType="separate"/>
            </w:r>
            <w:r>
              <w:rPr>
                <w:rStyle w:val="Sautdindex"/>
                <w:vanish w:val="false"/>
              </w:rPr>
              <w:tab/>
              <w:t>3</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793">
            <w:r>
              <w:rPr>
                <w:webHidden/>
                <w:rStyle w:val="Sautdindex"/>
                <w:rFonts w:cs="Calibri Light" w:ascii="Arial Nova Cond" w:hAnsi="Arial Nova Cond" w:cstheme="majorHAnsi"/>
                <w:b/>
                <w:bCs/>
              </w:rPr>
              <w:t>Article 2.2 : Contingent annuel d’heures supplémentaires</w:t>
            </w:r>
            <w:r>
              <w:rPr>
                <w:webHidden/>
              </w:rPr>
              <w:fldChar w:fldCharType="begin"/>
            </w:r>
            <w:r>
              <w:rPr>
                <w:webHidden/>
              </w:rPr>
              <w:instrText xml:space="preserve">PAGEREF _Toc183619793 \h</w:instrText>
            </w:r>
            <w:r>
              <w:rPr>
                <w:webHidden/>
              </w:rPr>
              <w:fldChar w:fldCharType="separate"/>
            </w:r>
            <w:r>
              <w:rPr>
                <w:rStyle w:val="Sautdindex"/>
                <w:vanish w:val="false"/>
              </w:rPr>
              <w:tab/>
              <w:t>4</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794">
            <w:r>
              <w:rPr>
                <w:webHidden/>
                <w:rStyle w:val="Sautdindex"/>
                <w:rFonts w:cs="Calibri Light" w:ascii="Arial Nova Cond" w:hAnsi="Arial Nova Cond" w:cstheme="majorHAnsi"/>
                <w:b/>
                <w:bCs/>
              </w:rPr>
              <w:t>Article 2.3 : Heures complémentaires (temps partiel)</w:t>
            </w:r>
            <w:r>
              <w:rPr>
                <w:webHidden/>
              </w:rPr>
              <w:fldChar w:fldCharType="begin"/>
            </w:r>
            <w:r>
              <w:rPr>
                <w:webHidden/>
              </w:rPr>
              <w:instrText xml:space="preserve">PAGEREF _Toc183619794 \h</w:instrText>
            </w:r>
            <w:r>
              <w:rPr>
                <w:webHidden/>
              </w:rPr>
              <w:fldChar w:fldCharType="separate"/>
            </w:r>
            <w:r>
              <w:rPr>
                <w:rStyle w:val="Sautdindex"/>
                <w:vanish w:val="false"/>
              </w:rPr>
              <w:tab/>
              <w:t>4</w:t>
            </w:r>
            <w:r>
              <w:rPr>
                <w:webHidden/>
              </w:rPr>
              <w:fldChar w:fldCharType="end"/>
            </w:r>
          </w:hyperlink>
        </w:p>
        <w:p>
          <w:pPr>
            <w:pStyle w:val="TOC1"/>
            <w:rPr>
              <w:rFonts w:ascii="Calibri" w:hAnsi="Calibri" w:eastAsia="" w:cs="" w:asciiTheme="minorHAnsi" w:cstheme="minorBidi" w:eastAsiaTheme="minorEastAsia" w:hAnsiTheme="minorHAnsi"/>
              <w:b w:val="false"/>
              <w:bCs w:val="false"/>
              <w:caps w:val="false"/>
              <w:smallCaps w:val="false"/>
              <w:color w:val="auto"/>
              <w:kern w:val="2"/>
              <w:sz w:val="24"/>
              <w:szCs w:val="24"/>
              <w:lang w:val="fr-BE" w:eastAsia="fr-BE"/>
              <w14:ligatures w14:val="standardContextual"/>
            </w:rPr>
          </w:pPr>
          <w:hyperlink w:anchor="_Toc183619795">
            <w:r>
              <w:rPr>
                <w:webHidden/>
                <w:rStyle w:val="Sautdindex"/>
                <w:rFonts w:ascii="Arial Nova Cond" w:hAnsi="Arial Nova Cond"/>
              </w:rPr>
              <w:t>CHAPITRE 3 : MODALITES D’AMENAGEMENT DU TEMPS DE TRAVAIL</w:t>
            </w:r>
            <w:r>
              <w:rPr>
                <w:webHidden/>
              </w:rPr>
              <w:fldChar w:fldCharType="begin"/>
            </w:r>
            <w:r>
              <w:rPr>
                <w:webHidden/>
              </w:rPr>
              <w:instrText xml:space="preserve">PAGEREF _Toc183619795 \h</w:instrText>
            </w:r>
            <w:r>
              <w:rPr>
                <w:webHidden/>
              </w:rPr>
              <w:fldChar w:fldCharType="separate"/>
            </w:r>
            <w:r>
              <w:rPr>
                <w:rStyle w:val="Sautdindex"/>
                <w:vanish w:val="false"/>
              </w:rPr>
              <w:tab/>
              <w:t>5</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796">
            <w:r>
              <w:rPr>
                <w:webHidden/>
                <w:rStyle w:val="Sautdindex"/>
                <w:rFonts w:cs="Calibri Light" w:ascii="Arial Nova Cond" w:hAnsi="Arial Nova Cond" w:cstheme="majorHAnsi"/>
                <w:b/>
              </w:rPr>
              <w:t>Article 3.1 : Principe de l’annualisation</w:t>
            </w:r>
            <w:r>
              <w:rPr>
                <w:webHidden/>
              </w:rPr>
              <w:fldChar w:fldCharType="begin"/>
            </w:r>
            <w:r>
              <w:rPr>
                <w:webHidden/>
              </w:rPr>
              <w:instrText xml:space="preserve">PAGEREF _Toc183619796 \h</w:instrText>
            </w:r>
            <w:r>
              <w:rPr>
                <w:webHidden/>
              </w:rPr>
              <w:fldChar w:fldCharType="separate"/>
            </w:r>
            <w:r>
              <w:rPr>
                <w:rStyle w:val="Sautdindex"/>
                <w:vanish w:val="false"/>
              </w:rPr>
              <w:tab/>
              <w:t>5</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797">
            <w:r>
              <w:rPr>
                <w:webHidden/>
                <w:rStyle w:val="Sautdindex"/>
                <w:rFonts w:cs="Calibri Light" w:ascii="Arial Nova Cond" w:hAnsi="Arial Nova Cond" w:cstheme="majorHAnsi"/>
                <w:b/>
              </w:rPr>
              <w:t>Article 3.2 : Période de référence</w:t>
            </w:r>
            <w:r>
              <w:rPr>
                <w:webHidden/>
              </w:rPr>
              <w:fldChar w:fldCharType="begin"/>
            </w:r>
            <w:r>
              <w:rPr>
                <w:webHidden/>
              </w:rPr>
              <w:instrText xml:space="preserve">PAGEREF _Toc183619797 \h</w:instrText>
            </w:r>
            <w:r>
              <w:rPr>
                <w:webHidden/>
              </w:rPr>
              <w:fldChar w:fldCharType="separate"/>
            </w:r>
            <w:r>
              <w:rPr>
                <w:rStyle w:val="Sautdindex"/>
                <w:vanish w:val="false"/>
              </w:rPr>
              <w:tab/>
              <w:t>5</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798">
            <w:r>
              <w:rPr>
                <w:webHidden/>
                <w:rStyle w:val="Sautdindex"/>
                <w:rFonts w:cs="Calibri Light" w:ascii="Arial Nova Cond" w:hAnsi="Arial Nova Cond" w:cstheme="majorHAnsi"/>
                <w:b/>
              </w:rPr>
              <w:t>Article 3.3 : Durée du travail</w:t>
            </w:r>
            <w:r>
              <w:rPr>
                <w:webHidden/>
              </w:rPr>
              <w:fldChar w:fldCharType="begin"/>
            </w:r>
            <w:r>
              <w:rPr>
                <w:webHidden/>
              </w:rPr>
              <w:instrText xml:space="preserve">PAGEREF _Toc183619798 \h</w:instrText>
            </w:r>
            <w:r>
              <w:rPr>
                <w:webHidden/>
              </w:rPr>
              <w:fldChar w:fldCharType="separate"/>
            </w:r>
            <w:r>
              <w:rPr>
                <w:rStyle w:val="Sautdindex"/>
                <w:vanish w:val="false"/>
              </w:rPr>
              <w:tab/>
              <w:t>5</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799">
            <w:r>
              <w:rPr>
                <w:webHidden/>
                <w:rStyle w:val="Sautdindex"/>
                <w:rFonts w:cs="Calibri Light" w:ascii="Arial Nova Cond" w:hAnsi="Arial Nova Cond" w:cstheme="majorHAnsi"/>
                <w:b/>
              </w:rPr>
              <w:t>Article 3.4 : Lissage de la rémunération</w:t>
            </w:r>
            <w:r>
              <w:rPr>
                <w:webHidden/>
              </w:rPr>
              <w:fldChar w:fldCharType="begin"/>
            </w:r>
            <w:r>
              <w:rPr>
                <w:webHidden/>
              </w:rPr>
              <w:instrText xml:space="preserve">PAGEREF _Toc183619799 \h</w:instrText>
            </w:r>
            <w:r>
              <w:rPr>
                <w:webHidden/>
              </w:rPr>
              <w:fldChar w:fldCharType="separate"/>
            </w:r>
            <w:r>
              <w:rPr>
                <w:rStyle w:val="Sautdindex"/>
                <w:vanish w:val="false"/>
              </w:rPr>
              <w:tab/>
              <w:t>6</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00">
            <w:r>
              <w:rPr>
                <w:webHidden/>
                <w:rStyle w:val="Sautdindex"/>
                <w:rFonts w:cs="Calibri Light" w:ascii="Arial Nova Cond" w:hAnsi="Arial Nova Cond" w:cstheme="majorHAnsi"/>
                <w:b/>
              </w:rPr>
              <w:t>Article 3.5 : Absences</w:t>
            </w:r>
            <w:r>
              <w:rPr>
                <w:webHidden/>
              </w:rPr>
              <w:fldChar w:fldCharType="begin"/>
            </w:r>
            <w:r>
              <w:rPr>
                <w:webHidden/>
              </w:rPr>
              <w:instrText xml:space="preserve">PAGEREF _Toc183619800 \h</w:instrText>
            </w:r>
            <w:r>
              <w:rPr>
                <w:webHidden/>
              </w:rPr>
              <w:fldChar w:fldCharType="separate"/>
            </w:r>
            <w:r>
              <w:rPr>
                <w:rStyle w:val="Sautdindex"/>
                <w:vanish w:val="false"/>
              </w:rPr>
              <w:tab/>
              <w:t>6</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01">
            <w:r>
              <w:rPr>
                <w:webHidden/>
                <w:rStyle w:val="Sautdindex"/>
                <w:rFonts w:cs="Calibri Light" w:ascii="Arial Nova Cond" w:hAnsi="Arial Nova Cond" w:cstheme="majorHAnsi"/>
                <w:b/>
              </w:rPr>
              <w:t>Article 3.6 : Programmation indicative de l’annualisation et modification</w:t>
            </w:r>
            <w:r>
              <w:rPr>
                <w:webHidden/>
              </w:rPr>
              <w:fldChar w:fldCharType="begin"/>
            </w:r>
            <w:r>
              <w:rPr>
                <w:webHidden/>
              </w:rPr>
              <w:instrText xml:space="preserve">PAGEREF _Toc183619801 \h</w:instrText>
            </w:r>
            <w:r>
              <w:rPr>
                <w:webHidden/>
              </w:rPr>
              <w:fldChar w:fldCharType="separate"/>
            </w:r>
            <w:r>
              <w:rPr>
                <w:rStyle w:val="Sautdindex"/>
                <w:vanish w:val="false"/>
              </w:rPr>
              <w:tab/>
              <w:t>6</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02">
            <w:r>
              <w:rPr>
                <w:webHidden/>
                <w:rStyle w:val="Sautdindex"/>
                <w:rFonts w:ascii="Arial Nova Cond" w:hAnsi="Arial Nova Cond"/>
                <w:b/>
                <w:bCs/>
              </w:rPr>
              <w:t>Article 3.7 Modalités de communication et de modification de la répartition de la durée et des horaires de travail des salariés à temps partiel</w:t>
            </w:r>
            <w:r>
              <w:rPr>
                <w:webHidden/>
              </w:rPr>
              <w:fldChar w:fldCharType="begin"/>
            </w:r>
            <w:r>
              <w:rPr>
                <w:webHidden/>
              </w:rPr>
              <w:instrText xml:space="preserve">PAGEREF _Toc183619802 \h</w:instrText>
            </w:r>
            <w:r>
              <w:rPr>
                <w:webHidden/>
              </w:rPr>
              <w:fldChar w:fldCharType="separate"/>
            </w:r>
            <w:r>
              <w:rPr>
                <w:rStyle w:val="Sautdindex"/>
                <w:vanish w:val="false"/>
              </w:rPr>
              <w:tab/>
              <w:t>7</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03">
            <w:r>
              <w:rPr>
                <w:webHidden/>
                <w:rStyle w:val="Sautdindex"/>
                <w:rFonts w:cs="Calibri Light" w:ascii="Arial Nova Cond" w:hAnsi="Arial Nova Cond" w:cstheme="majorHAnsi"/>
                <w:b/>
              </w:rPr>
              <w:t>Article 3.8 : Compteur individuel de suivi de la durée du travail</w:t>
            </w:r>
            <w:r>
              <w:rPr>
                <w:webHidden/>
              </w:rPr>
              <w:fldChar w:fldCharType="begin"/>
            </w:r>
            <w:r>
              <w:rPr>
                <w:webHidden/>
              </w:rPr>
              <w:instrText xml:space="preserve">PAGEREF _Toc183619803 \h</w:instrText>
            </w:r>
            <w:r>
              <w:rPr>
                <w:webHidden/>
              </w:rPr>
              <w:fldChar w:fldCharType="separate"/>
            </w:r>
            <w:r>
              <w:rPr>
                <w:rStyle w:val="Sautdindex"/>
                <w:vanish w:val="false"/>
              </w:rPr>
              <w:tab/>
              <w:t>7</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04">
            <w:r>
              <w:rPr>
                <w:webHidden/>
                <w:rStyle w:val="Sautdindex"/>
                <w:rFonts w:cs="Calibri Light" w:ascii="Arial Nova Cond" w:hAnsi="Arial Nova Cond" w:cstheme="majorHAnsi"/>
                <w:b/>
              </w:rPr>
              <w:t>Article 3.9 : Régularisation du compteur d’heures en fin de période de référence (pour les salariés présents durant toute la période de référence)</w:t>
            </w:r>
            <w:r>
              <w:rPr>
                <w:webHidden/>
              </w:rPr>
              <w:fldChar w:fldCharType="begin"/>
            </w:r>
            <w:r>
              <w:rPr>
                <w:webHidden/>
              </w:rPr>
              <w:instrText xml:space="preserve">PAGEREF _Toc183619804 \h</w:instrText>
            </w:r>
            <w:r>
              <w:rPr>
                <w:webHidden/>
              </w:rPr>
              <w:fldChar w:fldCharType="separate"/>
            </w:r>
            <w:r>
              <w:rPr>
                <w:rStyle w:val="Sautdindex"/>
                <w:vanish w:val="false"/>
              </w:rPr>
              <w:tab/>
              <w:t>8</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05">
            <w:r>
              <w:rPr>
                <w:webHidden/>
                <w:rStyle w:val="Sautdindex"/>
                <w:rFonts w:cs="Calibri Light" w:ascii="Arial Nova Cond" w:hAnsi="Arial Nova Cond" w:cstheme="majorHAnsi"/>
                <w:b/>
              </w:rPr>
              <w:t>Article 3.10 : Arrivée et départ du salarié en cours de période de référence</w:t>
            </w:r>
            <w:r>
              <w:rPr>
                <w:webHidden/>
              </w:rPr>
              <w:fldChar w:fldCharType="begin"/>
            </w:r>
            <w:r>
              <w:rPr>
                <w:webHidden/>
              </w:rPr>
              <w:instrText xml:space="preserve">PAGEREF _Toc183619805 \h</w:instrText>
            </w:r>
            <w:r>
              <w:rPr>
                <w:webHidden/>
              </w:rPr>
              <w:fldChar w:fldCharType="separate"/>
            </w:r>
            <w:r>
              <w:rPr>
                <w:rStyle w:val="Sautdindex"/>
                <w:vanish w:val="false"/>
              </w:rPr>
              <w:tab/>
              <w:t>9</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06">
            <w:r>
              <w:rPr>
                <w:webHidden/>
                <w:rStyle w:val="Sautdindex"/>
                <w:rFonts w:cs="Calibri Light" w:ascii="Arial Nova Cond" w:hAnsi="Arial Nova Cond" w:cstheme="majorHAnsi"/>
                <w:b/>
              </w:rPr>
              <w:t>Article 3.11 : Conciliation vie personnelle et vie professionnelle</w:t>
            </w:r>
            <w:r>
              <w:rPr>
                <w:webHidden/>
              </w:rPr>
              <w:fldChar w:fldCharType="begin"/>
            </w:r>
            <w:r>
              <w:rPr>
                <w:webHidden/>
              </w:rPr>
              <w:instrText xml:space="preserve">PAGEREF _Toc183619806 \h</w:instrText>
            </w:r>
            <w:r>
              <w:rPr>
                <w:webHidden/>
              </w:rPr>
              <w:fldChar w:fldCharType="separate"/>
            </w:r>
            <w:r>
              <w:rPr>
                <w:rStyle w:val="Sautdindex"/>
                <w:vanish w:val="false"/>
              </w:rPr>
              <w:tab/>
              <w:t>9</w:t>
            </w:r>
            <w:r>
              <w:rPr>
                <w:webHidden/>
              </w:rPr>
              <w:fldChar w:fldCharType="end"/>
            </w:r>
          </w:hyperlink>
        </w:p>
        <w:p>
          <w:pPr>
            <w:pStyle w:val="TOC1"/>
            <w:rPr>
              <w:rFonts w:ascii="Calibri" w:hAnsi="Calibri" w:eastAsia="" w:cs="" w:asciiTheme="minorHAnsi" w:cstheme="minorBidi" w:eastAsiaTheme="minorEastAsia" w:hAnsiTheme="minorHAnsi"/>
              <w:b w:val="false"/>
              <w:bCs w:val="false"/>
              <w:caps w:val="false"/>
              <w:smallCaps w:val="false"/>
              <w:color w:val="auto"/>
              <w:kern w:val="2"/>
              <w:sz w:val="24"/>
              <w:szCs w:val="24"/>
              <w:lang w:val="fr-BE" w:eastAsia="fr-BE"/>
              <w14:ligatures w14:val="standardContextual"/>
            </w:rPr>
          </w:pPr>
          <w:hyperlink w:anchor="_Toc183619807">
            <w:r>
              <w:rPr>
                <w:webHidden/>
                <w:rStyle w:val="Sautdindex"/>
                <w:rFonts w:ascii="Arial Nova Cond" w:hAnsi="Arial Nova Cond"/>
              </w:rPr>
              <w:t>CHAPITRE 4 : CONGES PAYES</w:t>
            </w:r>
            <w:r>
              <w:rPr>
                <w:webHidden/>
              </w:rPr>
              <w:fldChar w:fldCharType="begin"/>
            </w:r>
            <w:r>
              <w:rPr>
                <w:webHidden/>
              </w:rPr>
              <w:instrText xml:space="preserve">PAGEREF _Toc183619807 \h</w:instrText>
            </w:r>
            <w:r>
              <w:rPr>
                <w:webHidden/>
              </w:rPr>
              <w:fldChar w:fldCharType="separate"/>
            </w:r>
            <w:r>
              <w:rPr>
                <w:rStyle w:val="Sautdindex"/>
                <w:vanish w:val="false"/>
              </w:rPr>
              <w:tab/>
              <w:t>9</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08">
            <w:r>
              <w:rPr>
                <w:webHidden/>
                <w:rStyle w:val="Sautdindex"/>
                <w:rFonts w:cs="Calibri Light" w:ascii="Arial Nova Cond" w:hAnsi="Arial Nova Cond" w:cstheme="majorHAnsi"/>
                <w:b/>
              </w:rPr>
              <w:t>Article 4.1 : Période de référence pour l’acquisition des congés payés</w:t>
            </w:r>
            <w:r>
              <w:rPr>
                <w:webHidden/>
              </w:rPr>
              <w:fldChar w:fldCharType="begin"/>
            </w:r>
            <w:r>
              <w:rPr>
                <w:webHidden/>
              </w:rPr>
              <w:instrText xml:space="preserve">PAGEREF _Toc183619808 \h</w:instrText>
            </w:r>
            <w:r>
              <w:rPr>
                <w:webHidden/>
              </w:rPr>
              <w:fldChar w:fldCharType="separate"/>
            </w:r>
            <w:r>
              <w:rPr>
                <w:rStyle w:val="Sautdindex"/>
                <w:vanish w:val="false"/>
              </w:rPr>
              <w:tab/>
              <w:t>9</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09">
            <w:r>
              <w:rPr>
                <w:webHidden/>
                <w:rStyle w:val="Sautdindex"/>
                <w:rFonts w:cs="Calibri Light" w:ascii="Arial Nova Cond" w:hAnsi="Arial Nova Cond" w:cstheme="majorHAnsi"/>
                <w:b/>
              </w:rPr>
              <w:t>Article 4.2 : Période de référence pour la prise des congés payés</w:t>
            </w:r>
            <w:r>
              <w:rPr>
                <w:webHidden/>
              </w:rPr>
              <w:fldChar w:fldCharType="begin"/>
            </w:r>
            <w:r>
              <w:rPr>
                <w:webHidden/>
              </w:rPr>
              <w:instrText xml:space="preserve">PAGEREF _Toc183619809 \h</w:instrText>
            </w:r>
            <w:r>
              <w:rPr>
                <w:webHidden/>
              </w:rPr>
              <w:fldChar w:fldCharType="separate"/>
            </w:r>
            <w:r>
              <w:rPr>
                <w:rStyle w:val="Sautdindex"/>
                <w:vanish w:val="false"/>
              </w:rPr>
              <w:tab/>
              <w:t>9</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10">
            <w:r>
              <w:rPr>
                <w:webHidden/>
                <w:rStyle w:val="Sautdindex"/>
                <w:rFonts w:cs="Calibri Light" w:ascii="Arial Nova Cond" w:hAnsi="Arial Nova Cond" w:cstheme="majorHAnsi"/>
                <w:b/>
              </w:rPr>
              <w:t>Article 4.3 : Période transitoire</w:t>
            </w:r>
            <w:r>
              <w:rPr>
                <w:webHidden/>
              </w:rPr>
              <w:fldChar w:fldCharType="begin"/>
            </w:r>
            <w:r>
              <w:rPr>
                <w:webHidden/>
              </w:rPr>
              <w:instrText xml:space="preserve">PAGEREF _Toc183619810 \h</w:instrText>
            </w:r>
            <w:r>
              <w:rPr>
                <w:webHidden/>
              </w:rPr>
              <w:fldChar w:fldCharType="separate"/>
            </w:r>
            <w:r>
              <w:rPr>
                <w:rStyle w:val="Sautdindex"/>
                <w:vanish w:val="false"/>
              </w:rPr>
              <w:tab/>
              <w:t>10</w:t>
            </w:r>
            <w:r>
              <w:rPr>
                <w:webHidden/>
              </w:rPr>
              <w:fldChar w:fldCharType="end"/>
            </w:r>
          </w:hyperlink>
        </w:p>
        <w:p>
          <w:pPr>
            <w:pStyle w:val="TOC1"/>
            <w:rPr>
              <w:rFonts w:ascii="Calibri" w:hAnsi="Calibri" w:eastAsia="" w:cs="" w:asciiTheme="minorHAnsi" w:cstheme="minorBidi" w:eastAsiaTheme="minorEastAsia" w:hAnsiTheme="minorHAnsi"/>
              <w:b w:val="false"/>
              <w:bCs w:val="false"/>
              <w:caps w:val="false"/>
              <w:smallCaps w:val="false"/>
              <w:color w:val="auto"/>
              <w:kern w:val="2"/>
              <w:sz w:val="24"/>
              <w:szCs w:val="24"/>
              <w:lang w:val="fr-BE" w:eastAsia="fr-BE"/>
              <w14:ligatures w14:val="standardContextual"/>
            </w:rPr>
          </w:pPr>
          <w:hyperlink w:anchor="_Toc183619811">
            <w:r>
              <w:rPr>
                <w:webHidden/>
                <w:rStyle w:val="Sautdindex"/>
                <w:rFonts w:ascii="Arial Nova Cond" w:hAnsi="Arial Nova Cond"/>
              </w:rPr>
              <w:t>CHAPITRE 5 : DISPOSITIONS DIVERSES</w:t>
            </w:r>
            <w:r>
              <w:rPr>
                <w:webHidden/>
              </w:rPr>
              <w:fldChar w:fldCharType="begin"/>
            </w:r>
            <w:r>
              <w:rPr>
                <w:webHidden/>
              </w:rPr>
              <w:instrText xml:space="preserve">PAGEREF _Toc183619811 \h</w:instrText>
            </w:r>
            <w:r>
              <w:rPr>
                <w:webHidden/>
              </w:rPr>
              <w:fldChar w:fldCharType="separate"/>
            </w:r>
            <w:r>
              <w:rPr>
                <w:rStyle w:val="Sautdindex"/>
                <w:vanish w:val="false"/>
              </w:rPr>
              <w:tab/>
              <w:t>10</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12">
            <w:r>
              <w:rPr>
                <w:webHidden/>
                <w:rStyle w:val="Sautdindex"/>
                <w:rFonts w:cs="Calibri Light" w:ascii="Arial Nova Cond" w:hAnsi="Arial Nova Cond" w:cstheme="majorHAnsi"/>
                <w:b/>
              </w:rPr>
              <w:t>Article 5.1 : Validité de l’Accord</w:t>
            </w:r>
            <w:r>
              <w:rPr>
                <w:webHidden/>
              </w:rPr>
              <w:fldChar w:fldCharType="begin"/>
            </w:r>
            <w:r>
              <w:rPr>
                <w:webHidden/>
              </w:rPr>
              <w:instrText xml:space="preserve">PAGEREF _Toc183619812 \h</w:instrText>
            </w:r>
            <w:r>
              <w:rPr>
                <w:webHidden/>
              </w:rPr>
              <w:fldChar w:fldCharType="separate"/>
            </w:r>
            <w:r>
              <w:rPr>
                <w:rStyle w:val="Sautdindex"/>
                <w:vanish w:val="false"/>
              </w:rPr>
              <w:tab/>
              <w:t>10</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13">
            <w:r>
              <w:rPr>
                <w:webHidden/>
                <w:rStyle w:val="Sautdindex"/>
                <w:rFonts w:cs="Calibri Light" w:ascii="Arial Nova Cond" w:hAnsi="Arial Nova Cond" w:cstheme="majorHAnsi"/>
                <w:b/>
              </w:rPr>
              <w:t>Article 5.2 : Durée et suivi</w:t>
            </w:r>
            <w:r>
              <w:rPr>
                <w:webHidden/>
              </w:rPr>
              <w:fldChar w:fldCharType="begin"/>
            </w:r>
            <w:r>
              <w:rPr>
                <w:webHidden/>
              </w:rPr>
              <w:instrText xml:space="preserve">PAGEREF _Toc183619813 \h</w:instrText>
            </w:r>
            <w:r>
              <w:rPr>
                <w:webHidden/>
              </w:rPr>
              <w:fldChar w:fldCharType="separate"/>
            </w:r>
            <w:r>
              <w:rPr>
                <w:rStyle w:val="Sautdindex"/>
                <w:vanish w:val="false"/>
              </w:rPr>
              <w:tab/>
              <w:t>10</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14">
            <w:r>
              <w:rPr>
                <w:webHidden/>
                <w:rStyle w:val="Sautdindex"/>
                <w:rFonts w:cs="Calibri Light" w:ascii="Arial Nova Cond" w:hAnsi="Arial Nova Cond" w:cstheme="majorHAnsi"/>
                <w:b/>
              </w:rPr>
              <w:t>Article 5.3 : Révision et dénonciation</w:t>
            </w:r>
            <w:r>
              <w:rPr>
                <w:webHidden/>
              </w:rPr>
              <w:fldChar w:fldCharType="begin"/>
            </w:r>
            <w:r>
              <w:rPr>
                <w:webHidden/>
              </w:rPr>
              <w:instrText xml:space="preserve">PAGEREF _Toc183619814 \h</w:instrText>
            </w:r>
            <w:r>
              <w:rPr>
                <w:webHidden/>
              </w:rPr>
              <w:fldChar w:fldCharType="separate"/>
            </w:r>
            <w:r>
              <w:rPr>
                <w:rStyle w:val="Sautdindex"/>
                <w:vanish w:val="false"/>
              </w:rPr>
              <w:tab/>
              <w:t>11</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15">
            <w:r>
              <w:rPr>
                <w:webHidden/>
                <w:rStyle w:val="Sautdindex"/>
                <w:rFonts w:cs="Calibri Light" w:ascii="Arial Nova Cond" w:hAnsi="Arial Nova Cond" w:cstheme="majorHAnsi"/>
                <w:b/>
              </w:rPr>
              <w:t>Article 5.4 : Dépôt, publicité et entrée en vigueur</w:t>
            </w:r>
            <w:r>
              <w:rPr>
                <w:webHidden/>
              </w:rPr>
              <w:fldChar w:fldCharType="begin"/>
            </w:r>
            <w:r>
              <w:rPr>
                <w:webHidden/>
              </w:rPr>
              <w:instrText xml:space="preserve">PAGEREF _Toc183619815 \h</w:instrText>
            </w:r>
            <w:r>
              <w:rPr>
                <w:webHidden/>
              </w:rPr>
              <w:fldChar w:fldCharType="separate"/>
            </w:r>
            <w:r>
              <w:rPr>
                <w:rStyle w:val="Sautdindex"/>
                <w:vanish w:val="false"/>
              </w:rPr>
              <w:tab/>
              <w:t>11</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16">
            <w:r>
              <w:rPr>
                <w:webHidden/>
                <w:rStyle w:val="Sautdindex"/>
                <w:rFonts w:cs="Calibri" w:ascii="Arial Nova Cond" w:hAnsi="Arial Nova Cond"/>
              </w:rPr>
              <w:t>Annexe 1 : Modèle de tableau de décompte individuel du temps de travail</w:t>
            </w:r>
            <w:r>
              <w:rPr>
                <w:webHidden/>
              </w:rPr>
              <w:fldChar w:fldCharType="begin"/>
            </w:r>
            <w:r>
              <w:rPr>
                <w:webHidden/>
              </w:rPr>
              <w:instrText xml:space="preserve">PAGEREF _Toc183619816 \h</w:instrText>
            </w:r>
            <w:r>
              <w:rPr>
                <w:webHidden/>
              </w:rPr>
              <w:fldChar w:fldCharType="separate"/>
            </w:r>
            <w:r>
              <w:rPr>
                <w:rStyle w:val="Sautdindex"/>
                <w:vanish w:val="false"/>
              </w:rPr>
              <w:tab/>
              <w:t>11</w:t>
            </w:r>
            <w:r>
              <w:rPr>
                <w:webHidden/>
              </w:rPr>
              <w:fldChar w:fldCharType="end"/>
            </w:r>
          </w:hyperlink>
        </w:p>
        <w:p>
          <w:pPr>
            <w:pStyle w:val="TOC2"/>
            <w:rPr>
              <w:rFonts w:ascii="Calibri" w:hAnsi="Calibri" w:eastAsia="" w:asciiTheme="minorHAnsi" w:eastAsiaTheme="minorEastAsia" w:hAnsiTheme="minorHAnsi"/>
              <w:color w:val="auto"/>
              <w:kern w:val="2"/>
              <w:sz w:val="24"/>
              <w:szCs w:val="24"/>
              <w:lang w:val="fr-BE" w:eastAsia="fr-BE"/>
              <w14:ligatures w14:val="standardContextual"/>
            </w:rPr>
          </w:pPr>
          <w:hyperlink w:anchor="_Toc183619817">
            <w:r>
              <w:rPr>
                <w:webHidden/>
                <w:rStyle w:val="Sautdindex"/>
                <w:rFonts w:cs="Calibri Light" w:ascii="Arial Nova Cond" w:hAnsi="Arial Nova Cond" w:cstheme="majorHAnsi"/>
              </w:rPr>
              <w:t>Annexe 2 : Procès-verbal du résultat de la consultation des salariés de la Société du 19 décembre 2024</w:t>
            </w:r>
            <w:r>
              <w:rPr>
                <w:webHidden/>
              </w:rPr>
              <w:fldChar w:fldCharType="begin"/>
            </w:r>
            <w:r>
              <w:rPr>
                <w:webHidden/>
              </w:rPr>
              <w:instrText xml:space="preserve">PAGEREF _Toc183619817 \h</w:instrText>
            </w:r>
            <w:r>
              <w:rPr>
                <w:webHidden/>
              </w:rPr>
              <w:fldChar w:fldCharType="separate"/>
            </w:r>
            <w:r>
              <w:rPr>
                <w:rStyle w:val="Sautdindex"/>
                <w:vanish w:val="false"/>
              </w:rPr>
              <w:tab/>
              <w:t>11</w:t>
            </w:r>
            <w:r>
              <w:rPr>
                <w:webHidden/>
              </w:rPr>
              <w:fldChar w:fldCharType="end"/>
            </w:r>
          </w:hyperlink>
          <w:r>
            <w:rPr>
              <w:rStyle w:val="Sautdindex"/>
              <w:vanish w:val="false"/>
            </w:rPr>
            <w:fldChar w:fldCharType="end"/>
          </w:r>
        </w:p>
      </w:sdtContent>
    </w:sdt>
    <w:p>
      <w:pPr>
        <w:pStyle w:val="TOC2"/>
        <w:rPr>
          <w:rFonts w:ascii="Arial Nova Cond" w:hAnsi="Arial Nova Cond"/>
          <w:color w:val="auto"/>
        </w:rPr>
      </w:pPr>
      <w:r>
        <w:rPr>
          <w:rFonts w:ascii="Arial Nova Cond" w:hAnsi="Arial Nova Cond"/>
          <w:color w:themeColor="text1" w:val="auto"/>
        </w:rPr>
      </w:r>
    </w:p>
    <w:p>
      <w:pPr>
        <w:pStyle w:val="Heading1"/>
        <w:jc w:val="center"/>
        <w:rPr>
          <w:rFonts w:ascii="Arial Nova Cond" w:hAnsi="Arial Nova Cond" w:cs="Calibri"/>
          <w:b/>
          <w:bCs/>
          <w:color w:val="auto"/>
          <w:sz w:val="28"/>
          <w:szCs w:val="28"/>
        </w:rPr>
      </w:pPr>
      <w:bookmarkStart w:id="0" w:name="_Toc183619789"/>
      <w:r>
        <w:rPr>
          <w:rFonts w:cs="Calibri" w:ascii="Arial Nova Cond" w:hAnsi="Arial Nova Cond"/>
          <w:b/>
          <w:bCs/>
          <w:color w:val="auto"/>
          <w:sz w:val="28"/>
          <w:szCs w:val="28"/>
        </w:rPr>
        <w:t>PREAMBULE</w:t>
      </w:r>
      <w:bookmarkEnd w:id="0"/>
    </w:p>
    <w:p>
      <w:pPr>
        <w:pStyle w:val="Normal"/>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r>
    </w:p>
    <w:p>
      <w:pPr>
        <w:pStyle w:val="Normal"/>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r>
    </w:p>
    <w:p>
      <w:pPr>
        <w:pStyle w:val="Normal"/>
        <w:spacing w:lineRule="auto" w:line="240" w:before="0" w:after="0"/>
        <w:jc w:val="both"/>
        <w:rPr>
          <w:rFonts w:ascii="Arial Nova Cond" w:hAnsi="Arial Nova Cond" w:cs="Calibri"/>
          <w:color w:themeColor="text1" w:val="000000"/>
        </w:rPr>
      </w:pPr>
      <w:r>
        <w:rPr>
          <w:rFonts w:cs="Calibri" w:ascii="Arial Nova Cond" w:hAnsi="Arial Nova Cond"/>
          <w:color w:themeColor="text1" w:val="000000"/>
        </w:rPr>
        <w:t>La Société SAS Les Comptoirs des Davids est spécialisée dans l’organisation d’événements publics, privés et associatifs tels que séminaires, mariages, fêtes, et concerts. Elle exerce également des activités de vente de vins au détail, d’exploitation d’une licence de débit de boissons de troisième catégorie, ainsi que des activités de traiteur et de boulangerie.</w:t>
      </w:r>
    </w:p>
    <w:p>
      <w:pPr>
        <w:pStyle w:val="Normal"/>
        <w:spacing w:lineRule="auto" w:line="240" w:before="0" w:after="0"/>
        <w:jc w:val="both"/>
        <w:rPr>
          <w:rFonts w:ascii="Arial Nova Cond" w:hAnsi="Arial Nova Cond" w:cs="Calibri"/>
          <w:color w:themeColor="text1" w:val="000000"/>
        </w:rPr>
      </w:pPr>
      <w:r>
        <w:rPr>
          <w:rFonts w:cs="Calibri" w:ascii="Arial Nova Cond" w:hAnsi="Arial Nova Cond"/>
          <w:color w:themeColor="text1" w:val="000000"/>
        </w:rPr>
      </w:r>
    </w:p>
    <w:p>
      <w:pPr>
        <w:pStyle w:val="Normal"/>
        <w:spacing w:lineRule="auto" w:line="240" w:before="0" w:after="0"/>
        <w:jc w:val="both"/>
        <w:rPr>
          <w:rStyle w:val="st1"/>
          <w:rFonts w:ascii="Arial Nova Cond" w:hAnsi="Arial Nova Cond" w:cs="Arial"/>
        </w:rPr>
      </w:pPr>
      <w:r>
        <w:rPr>
          <w:rFonts w:cs="Calibri" w:ascii="Arial Nova Cond" w:hAnsi="Arial Nova Cond"/>
          <w:color w:themeColor="text1" w:val="000000"/>
        </w:rPr>
        <w:t>La Société applique la Convention collective nationale des hôtels, cafés, restaurants (IDCC 1979).</w:t>
      </w:r>
    </w:p>
    <w:p>
      <w:pPr>
        <w:pStyle w:val="Normal"/>
        <w:spacing w:lineRule="auto" w:line="240" w:before="0" w:after="0"/>
        <w:jc w:val="both"/>
        <w:rPr>
          <w:rStyle w:val="st1"/>
          <w:rFonts w:ascii="Arial Nova Cond" w:hAnsi="Arial Nova Cond" w:cs="Arial"/>
        </w:rPr>
      </w:pPr>
      <w:r>
        <w:rPr>
          <w:rFonts w:cs="Arial" w:ascii="Arial Nova Cond" w:hAnsi="Arial Nova Cond"/>
        </w:rPr>
      </w:r>
    </w:p>
    <w:p>
      <w:pPr>
        <w:pStyle w:val="Normal"/>
        <w:spacing w:lineRule="auto" w:line="240" w:before="0" w:after="0"/>
        <w:jc w:val="both"/>
        <w:rPr>
          <w:rFonts w:ascii="Arial Nova Cond" w:hAnsi="Arial Nova Cond" w:cs="Arial"/>
        </w:rPr>
      </w:pPr>
      <w:r>
        <w:rPr>
          <w:rFonts w:cs="Arial" w:ascii="Arial Nova Cond" w:hAnsi="Arial Nova Cond"/>
        </w:rPr>
        <w:t>Ses activités, par leur nature et leur diversité, sont fortement influencées par les attentes saisonnières, les demandes spécifiques des clients, et les aléas organisationnels liés à l’événementiel et aux services de restauration. </w:t>
      </w:r>
    </w:p>
    <w:p>
      <w:pPr>
        <w:pStyle w:val="Normal"/>
        <w:spacing w:lineRule="auto" w:line="240" w:before="0" w:after="0"/>
        <w:jc w:val="both"/>
        <w:rPr>
          <w:rFonts w:ascii="Arial Nova Cond" w:hAnsi="Arial Nova Cond" w:cs="Arial"/>
        </w:rPr>
      </w:pPr>
      <w:r>
        <w:rPr>
          <w:rFonts w:cs="Arial" w:ascii="Arial Nova Cond" w:hAnsi="Arial Nova Cond"/>
        </w:rPr>
        <w:t>Il est donc indispensable que la Société soit dotée d’une organisation de travail souple et adaptée aux spécificités de son activité pour pouvoir répondre efficacement à ces variations d’activité.  </w:t>
      </w:r>
    </w:p>
    <w:p>
      <w:pPr>
        <w:pStyle w:val="Normal"/>
        <w:spacing w:lineRule="auto" w:line="240" w:before="0" w:after="0"/>
        <w:jc w:val="both"/>
        <w:rPr>
          <w:rStyle w:val="st1"/>
          <w:rFonts w:ascii="Arial Nova Cond" w:hAnsi="Arial Nova Cond" w:cs="Arial"/>
        </w:rPr>
      </w:pPr>
      <w:r>
        <w:rPr>
          <w:rFonts w:cs="Arial"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Fortes de ce constat, et soucieuses de concilier les exigences de l’activité de la Société avec les contraintes personnelles des Salariés, les Parties ont négocié et conclu le présent accord (ci-après « </w:t>
      </w:r>
      <w:r>
        <w:rPr>
          <w:rFonts w:cs="Calibri Light" w:ascii="Arial Nova Cond" w:hAnsi="Arial Nova Cond" w:cstheme="majorHAnsi"/>
          <w:b/>
          <w:i/>
        </w:rPr>
        <w:t>Accord</w:t>
      </w:r>
      <w:r>
        <w:rPr>
          <w:rFonts w:cs="Calibri Light" w:ascii="Arial Nova Cond" w:hAnsi="Arial Nova Cond" w:cstheme="majorHAnsi"/>
        </w:rPr>
        <w:t> ») afin d’adapter au mieux l’organisation du temps de travail à leurs aspirations légitimes mutuelles.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L’Accord a ainsi pour objet d’annualiser le temps de travail. Il contient également des dispositions relatives aux heures supplémentaires, au contingent annuel d’heures supplémentaires et aux heures complémentaires. L’Accord contient également des dispositions relatives à la période d’acquisition et de prise des congés payés annuels.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L’Accord est conclu en application, notamment, des articles L 2232-22 du Code du travail (négociation collective), L 713-1 et suivants du Code rural et de la pêche maritime, L 3121-44 du Code du travail (annualisation du temps de travail), L 3121-33 et suivants du Code du travail (heures supplémentaires) et dans le respect des dispositions de la Convention collective précitée.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w:rPr>
      </w:pPr>
      <w:r>
        <w:rPr>
          <w:rFonts w:cs="Calibri" w:ascii="Arial Nova Cond" w:hAnsi="Arial Nova Cond"/>
        </w:rPr>
        <w:t>Dès son entrée en vigueur, l’Accord se substitue à l’ensemble des usages, engagements unilatéraux et dispositions conventionnelles ayant le même objet en vigueur au sein de la Société.</w:t>
      </w:r>
    </w:p>
    <w:p>
      <w:pPr>
        <w:pStyle w:val="Normal"/>
        <w:spacing w:lineRule="auto" w:line="240" w:before="0" w:after="0"/>
        <w:rPr>
          <w:rFonts w:ascii="Arial Nova Cond" w:hAnsi="Arial Nova Cond" w:cs="Calibri"/>
          <w:sz w:val="28"/>
          <w:szCs w:val="28"/>
        </w:rPr>
      </w:pPr>
      <w:r>
        <w:rPr>
          <w:rFonts w:cs="Calibri" w:ascii="Arial Nova Cond" w:hAnsi="Arial Nova Cond"/>
          <w:sz w:val="28"/>
          <w:szCs w:val="28"/>
        </w:rPr>
      </w:r>
    </w:p>
    <w:p>
      <w:pPr>
        <w:pStyle w:val="Heading1"/>
        <w:spacing w:lineRule="auto" w:line="240" w:before="0" w:after="0"/>
        <w:rPr>
          <w:rFonts w:ascii="Arial Nova Cond" w:hAnsi="Arial Nova Cond" w:cs="Calibri Light" w:cstheme="majorHAnsi"/>
          <w:b/>
          <w:color w:val="auto"/>
          <w:sz w:val="26"/>
          <w:szCs w:val="26"/>
        </w:rPr>
      </w:pPr>
      <w:r>
        <w:rPr>
          <w:rFonts w:cs="Calibri Light" w:cstheme="majorHAnsi" w:ascii="Arial Nova Cond" w:hAnsi="Arial Nova Cond"/>
          <w:b/>
          <w:color w:themeColor="accent1" w:themeShade="bf" w:val="auto"/>
          <w:sz w:val="26"/>
          <w:szCs w:val="26"/>
        </w:rPr>
      </w:r>
    </w:p>
    <w:p>
      <w:pPr>
        <w:pStyle w:val="Heading1"/>
        <w:spacing w:lineRule="auto" w:line="240" w:before="0" w:after="0"/>
        <w:rPr>
          <w:rFonts w:ascii="Arial Nova Cond" w:hAnsi="Arial Nova Cond" w:cs="Calibri Light" w:cstheme="majorHAnsi"/>
          <w:b/>
          <w:color w:val="auto"/>
          <w:sz w:val="26"/>
          <w:szCs w:val="26"/>
        </w:rPr>
      </w:pPr>
      <w:bookmarkStart w:id="1" w:name="_Toc183619790"/>
      <w:r>
        <w:rPr>
          <w:rFonts w:cs="Calibri Light" w:ascii="Arial Nova Cond" w:hAnsi="Arial Nova Cond" w:cstheme="majorHAnsi"/>
          <w:b/>
          <w:color w:val="auto"/>
          <w:sz w:val="26"/>
          <w:szCs w:val="26"/>
        </w:rPr>
        <w:t>CHAPITRE 1 : CHAMP D’APPLICATION DE L’ACCORD</w:t>
      </w:r>
      <w:bookmarkEnd w:id="1"/>
    </w:p>
    <w:p>
      <w:pPr>
        <w:pStyle w:val="Normal"/>
        <w:spacing w:lineRule="auto" w:line="240" w:before="0" w:after="0"/>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cs="Calibri Light" w:cstheme="majorHAnsi"/>
        </w:rPr>
      </w:pPr>
      <w:r>
        <w:rPr>
          <w:rFonts w:cs="Calibri" w:ascii="Arial Nova Cond" w:hAnsi="Arial Nova Cond"/>
        </w:rPr>
        <w:t>L’Accord est applicable à l’ensemble des salariés, en contrat de travail à durée indéterminée (CDI) ou à durée déterminée (CDD) en ce compris les salariés saisonniers, dont la durée de travail est décomptée en heures, à temps plein ou à temps partiel, à l’exclusion des salariés en contrat d’apprentissage ou en contrat de professionnalisation.</w:t>
      </w:r>
    </w:p>
    <w:p>
      <w:pPr>
        <w:pStyle w:val="Normal"/>
        <w:spacing w:lineRule="auto" w:line="240" w:before="0" w:after="0"/>
        <w:jc w:val="both"/>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cs="Calibri"/>
        </w:rPr>
      </w:pPr>
      <w:r>
        <w:rPr>
          <w:rFonts w:cs="Calibri" w:ascii="Arial Nova Cond" w:hAnsi="Arial Nova Cond"/>
        </w:rPr>
        <w:t>L’Accord ne concerne donc pas les salariés sous convention individuelle de forfait annuel en jours ou les cadres dirigeants au sens de l’article L 3111-2 du Code du travail.</w:t>
      </w:r>
    </w:p>
    <w:p>
      <w:pPr>
        <w:pStyle w:val="Normal"/>
        <w:spacing w:lineRule="auto" w:line="240" w:before="0" w:after="0"/>
        <w:rPr>
          <w:rFonts w:ascii="Arial Nova Cond" w:hAnsi="Arial Nova Cond" w:cs="Calibri"/>
        </w:rPr>
      </w:pPr>
      <w:r>
        <w:rPr>
          <w:rFonts w:cs="Calibri" w:ascii="Arial Nova Cond" w:hAnsi="Arial Nova Cond"/>
        </w:rPr>
      </w:r>
    </w:p>
    <w:p>
      <w:pPr>
        <w:pStyle w:val="Heading1"/>
        <w:spacing w:lineRule="auto" w:line="240" w:before="0" w:after="0"/>
        <w:rPr>
          <w:rFonts w:ascii="Arial Nova Cond" w:hAnsi="Arial Nova Cond" w:cs="Calibri Light" w:cstheme="majorHAnsi"/>
          <w:b/>
          <w:color w:val="auto"/>
          <w:sz w:val="26"/>
          <w:szCs w:val="26"/>
        </w:rPr>
      </w:pPr>
      <w:r>
        <w:rPr>
          <w:rFonts w:cs="Calibri Light" w:cstheme="majorHAnsi" w:ascii="Arial Nova Cond" w:hAnsi="Arial Nova Cond"/>
          <w:b/>
          <w:color w:themeColor="accent1" w:themeShade="bf" w:val="auto"/>
          <w:sz w:val="26"/>
          <w:szCs w:val="26"/>
        </w:rPr>
      </w:r>
    </w:p>
    <w:p>
      <w:pPr>
        <w:pStyle w:val="Heading1"/>
        <w:spacing w:lineRule="auto" w:line="240" w:before="0" w:after="0"/>
        <w:rPr>
          <w:rFonts w:ascii="Arial Nova Cond" w:hAnsi="Arial Nova Cond" w:cs="Calibri Light" w:cstheme="majorHAnsi"/>
          <w:b/>
          <w:color w:val="auto"/>
          <w:sz w:val="26"/>
          <w:szCs w:val="26"/>
        </w:rPr>
      </w:pPr>
      <w:bookmarkStart w:id="2" w:name="_Toc183619791"/>
      <w:r>
        <w:rPr>
          <w:rFonts w:cs="Calibri Light" w:ascii="Arial Nova Cond" w:hAnsi="Arial Nova Cond" w:cstheme="majorHAnsi"/>
          <w:b/>
          <w:color w:val="auto"/>
          <w:sz w:val="26"/>
          <w:szCs w:val="26"/>
        </w:rPr>
        <w:t xml:space="preserve">CHAPITRE 2 : </w:t>
      </w:r>
      <w:r>
        <w:rPr>
          <w:rFonts w:eastAsia="Times New Roman" w:cs="Calibri Light" w:ascii="Arial Nova Cond" w:hAnsi="Arial Nova Cond" w:cstheme="majorHAnsi"/>
          <w:b/>
          <w:smallCaps/>
          <w:color w:val="auto"/>
          <w:sz w:val="26"/>
          <w:szCs w:val="26"/>
          <w:lang w:eastAsia="fr-FR"/>
        </w:rPr>
        <w:t>DEFINITIONS ET DISPOSITIONS GENERALES RELATIVES AU TEMPS DE TRAVAIL</w:t>
      </w:r>
      <w:bookmarkEnd w:id="2"/>
    </w:p>
    <w:p>
      <w:pPr>
        <w:pStyle w:val="Normal"/>
        <w:spacing w:lineRule="auto" w:line="240" w:before="0" w:after="0"/>
        <w:rPr>
          <w:rFonts w:ascii="Arial Nova Cond" w:hAnsi="Arial Nova Cond" w:cs="Calibri"/>
        </w:rPr>
      </w:pPr>
      <w:r>
        <w:rPr>
          <w:rFonts w:cs="Calibri" w:ascii="Arial Nova Cond" w:hAnsi="Arial Nova Cond"/>
        </w:rPr>
      </w:r>
    </w:p>
    <w:p>
      <w:pPr>
        <w:pStyle w:val="ListParagraph"/>
        <w:numPr>
          <w:ilvl w:val="0"/>
          <w:numId w:val="0"/>
        </w:numPr>
        <w:spacing w:lineRule="auto" w:line="240" w:before="0" w:after="0"/>
        <w:ind w:left="0"/>
        <w:contextualSpacing/>
        <w:jc w:val="both"/>
        <w:outlineLvl w:val="1"/>
        <w:rPr>
          <w:rFonts w:ascii="Arial Nova Cond" w:hAnsi="Arial Nova Cond" w:cs="Calibri Light" w:cstheme="majorHAnsi"/>
          <w:b/>
          <w:bCs/>
          <w:sz w:val="24"/>
          <w:szCs w:val="24"/>
          <w:u w:val="single"/>
        </w:rPr>
      </w:pPr>
      <w:bookmarkStart w:id="3" w:name="_Toc183619792"/>
      <w:r>
        <w:rPr>
          <w:rFonts w:cs="Calibri Light" w:ascii="Arial Nova Cond" w:hAnsi="Arial Nova Cond" w:cstheme="majorHAnsi"/>
          <w:b/>
          <w:bCs/>
          <w:sz w:val="24"/>
          <w:szCs w:val="24"/>
          <w:u w:val="single"/>
        </w:rPr>
        <w:t>Article 2.1 : Heures supplémentaires (temps complet)</w:t>
      </w:r>
      <w:bookmarkEnd w:id="3"/>
    </w:p>
    <w:p>
      <w:pPr>
        <w:pStyle w:val="ListParagraph"/>
        <w:numPr>
          <w:ilvl w:val="0"/>
          <w:numId w:val="0"/>
        </w:numPr>
        <w:spacing w:lineRule="auto" w:line="240" w:before="0" w:after="0"/>
        <w:ind w:left="0"/>
        <w:contextualSpacing/>
        <w:jc w:val="both"/>
        <w:outlineLvl w:val="1"/>
        <w:rPr>
          <w:rFonts w:ascii="Arial Nova Cond" w:hAnsi="Arial Nova Cond" w:cs="Calibri Light" w:cstheme="majorHAnsi"/>
          <w:b/>
          <w:bCs/>
          <w:sz w:val="24"/>
          <w:szCs w:val="24"/>
          <w:u w:val="single"/>
        </w:rPr>
      </w:pPr>
      <w:r>
        <w:rPr>
          <w:rFonts w:cs="Calibri Light" w:ascii="Arial Nova Cond" w:hAnsi="Arial Nova Cond" w:cstheme="majorHAnsi"/>
          <w:u w:val="single"/>
        </w:rPr>
        <w:t>2.1.1 Définition et majoration</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Dans le cadre de l’annualisation du temps de travail mise en place par l’Accord (chapitre 3), constituent des heures supplémentaires, les heures effectuées au-delà de la durée légale de travail (1607 heures par an).</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bookmarkStart w:id="4" w:name="_Hlk41573241"/>
      <w:bookmarkStart w:id="5" w:name="_Hlk41573241"/>
    </w:p>
    <w:p>
      <w:pPr>
        <w:pStyle w:val="Normal"/>
        <w:spacing w:lineRule="auto" w:line="240" w:before="0" w:after="0"/>
        <w:jc w:val="both"/>
        <w:rPr>
          <w:rFonts w:ascii="Arial Nova Cond" w:hAnsi="Arial Nova Cond" w:cs="Calibri Light" w:cstheme="majorHAnsi"/>
        </w:rPr>
      </w:pPr>
      <w:bookmarkStart w:id="6" w:name="_Hlk41573241"/>
      <w:r>
        <w:rPr>
          <w:rFonts w:cs="Calibri Light" w:ascii="Arial Nova Cond" w:hAnsi="Arial Nova Cond" w:cstheme="majorHAnsi"/>
        </w:rPr>
        <w:t>Les heures supplémentaires sont des heures accomplies à la demande expresse et écrite de la Société. En aucun cas, les salariés ne peuvent effectuer des heures supplémentaires de leur propre initiative.</w:t>
      </w:r>
      <w:bookmarkEnd w:id="6"/>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Chaque heure supplémentaire accomplie donne lieu, quel que soit son rang, à une majoration de salaire égale à 10%.</w:t>
      </w:r>
    </w:p>
    <w:p>
      <w:pPr>
        <w:pStyle w:val="Normal"/>
        <w:spacing w:lineRule="auto" w:line="240" w:before="0" w:after="0"/>
        <w:jc w:val="both"/>
        <w:rPr>
          <w:rFonts w:ascii="Arial Nova Cond" w:hAnsi="Arial Nova Cond" w:cs="Calibri Light" w:cstheme="majorHAnsi"/>
          <w:u w:val="single"/>
        </w:rPr>
      </w:pPr>
      <w:r>
        <w:rPr>
          <w:rFonts w:cs="Calibri Light" w:cstheme="majorHAnsi" w:ascii="Arial Nova Cond" w:hAnsi="Arial Nova Cond"/>
          <w:u w:val="single"/>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2.1.2 Limite hebdomadaire de décompte en cours de période de référence</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 xml:space="preserve">L’Accord instaure une limite hebdomadaire de 45 heures de travail pour le décompte des heures supplémentaires en cours de période de référence définie à l’article 3.2 de l’Accord. </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Au cours d’une même semaine de travail, lorsqu’un salarié dépasse cette limite (c’est-à-dire à partir de 46 heures de travail par semaine), les heures effectuées au-delà de ce seuil constituent des heures supplémentaires dont la rémunération est payée avec le salaire du mois considéré. Les heures supplémentaires résultant de l'application de cette disposition n'entrent pas dans le décompte des heures travaillées opéré à l'issue de la période de référence.</w:t>
      </w:r>
    </w:p>
    <w:p>
      <w:pPr>
        <w:pStyle w:val="ListParagraph"/>
        <w:spacing w:lineRule="auto" w:line="240" w:before="0" w:after="0"/>
        <w:ind w:left="0"/>
        <w:contextualSpacing/>
        <w:jc w:val="both"/>
        <w:rPr>
          <w:rFonts w:ascii="Arial Nova Cond" w:hAnsi="Arial Nova Cond" w:cs="Calibri Light" w:cstheme="majorHAnsi"/>
          <w:b/>
          <w:bCs/>
        </w:rPr>
      </w:pPr>
      <w:r>
        <w:rPr>
          <w:rFonts w:cs="Calibri Light" w:cstheme="majorHAnsi" w:ascii="Arial Nova Cond" w:hAnsi="Arial Nova Cond"/>
          <w:b/>
          <w:bCs/>
        </w:rPr>
      </w:r>
    </w:p>
    <w:p>
      <w:pPr>
        <w:pStyle w:val="ListParagraph"/>
        <w:spacing w:lineRule="auto" w:line="240" w:before="0" w:after="0"/>
        <w:ind w:left="0"/>
        <w:contextualSpacing/>
        <w:jc w:val="both"/>
        <w:rPr>
          <w:rFonts w:ascii="Arial Nova Cond" w:hAnsi="Arial Nova Cond" w:cs="Calibri Light" w:cstheme="majorHAnsi"/>
          <w:b/>
          <w:bCs/>
        </w:rPr>
      </w:pPr>
      <w:r>
        <w:rPr>
          <w:rFonts w:cs="Calibri Light" w:cstheme="majorHAnsi" w:ascii="Arial Nova Cond" w:hAnsi="Arial Nova Cond"/>
          <w:b/>
          <w:bCs/>
        </w:rPr>
      </w:r>
    </w:p>
    <w:p>
      <w:pPr>
        <w:pStyle w:val="Heading2"/>
        <w:spacing w:lineRule="auto" w:line="240" w:before="0" w:after="0"/>
        <w:rPr>
          <w:rFonts w:ascii="Arial Nova Cond" w:hAnsi="Arial Nova Cond" w:cs="Calibri Light" w:cstheme="majorHAnsi"/>
          <w:b/>
          <w:bCs/>
          <w:color w:val="auto"/>
          <w:sz w:val="24"/>
          <w:szCs w:val="24"/>
          <w:u w:val="single"/>
        </w:rPr>
      </w:pPr>
      <w:bookmarkStart w:id="7" w:name="_Toc183619793"/>
      <w:r>
        <w:rPr>
          <w:rFonts w:cs="Calibri Light" w:ascii="Arial Nova Cond" w:hAnsi="Arial Nova Cond" w:cstheme="majorHAnsi"/>
          <w:b/>
          <w:bCs/>
          <w:color w:val="auto"/>
          <w:sz w:val="24"/>
          <w:szCs w:val="24"/>
          <w:u w:val="single"/>
        </w:rPr>
        <w:t>Article 2.2 : Contingent annuel d’heures supplémentaires</w:t>
      </w:r>
      <w:bookmarkEnd w:id="7"/>
    </w:p>
    <w:p>
      <w:pPr>
        <w:pStyle w:val="Normal"/>
        <w:spacing w:lineRule="auto" w:line="240" w:before="0" w:after="0"/>
        <w:jc w:val="both"/>
        <w:rPr>
          <w:rFonts w:ascii="Arial Nova Cond" w:hAnsi="Arial Nova Cond" w:cs="Calibri Light" w:cstheme="majorHAnsi"/>
          <w:b/>
          <w:bCs/>
        </w:rPr>
      </w:pPr>
      <w:r>
        <w:rPr>
          <w:rFonts w:cs="Calibri Light" w:cstheme="majorHAnsi" w:ascii="Arial Nova Cond" w:hAnsi="Arial Nova Cond"/>
          <w:b/>
          <w:bCs/>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Le contingent annuel d’heures supplémentaires est fixé à 300 heures par an et par salarié.</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Le cas échéant, les contreparties obligatoires en repos dues pour toute heure supplémentaire accomplie au-delà du contingent annuel sont prises conformément aux dispositions des articles D 3121-18 et suivants du Code du travail.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b/>
          <w:bCs/>
          <w:color w:val="auto"/>
          <w:sz w:val="24"/>
          <w:szCs w:val="24"/>
          <w:u w:val="single"/>
        </w:rPr>
      </w:pPr>
      <w:bookmarkStart w:id="8" w:name="_Toc183619794"/>
      <w:r>
        <w:rPr>
          <w:rFonts w:cs="Calibri Light" w:ascii="Arial Nova Cond" w:hAnsi="Arial Nova Cond" w:cstheme="majorHAnsi"/>
          <w:b/>
          <w:bCs/>
          <w:color w:val="auto"/>
          <w:sz w:val="24"/>
          <w:szCs w:val="24"/>
          <w:u w:val="single"/>
        </w:rPr>
        <w:t>Article 2.3 : Heures complémentaires (temps partiel)</w:t>
      </w:r>
      <w:bookmarkEnd w:id="8"/>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2.3.1 Définition</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rPr>
      </w:pPr>
      <w:r>
        <w:rPr>
          <w:rFonts w:cs="Calibri Light" w:ascii="Arial Nova Cond" w:hAnsi="Arial Nova Cond" w:cstheme="majorHAnsi"/>
        </w:rPr>
        <w:t>Dans le cadre de l’annualisation du temps de travail mise en place par l’Accord (chapitre 3), constituent des</w:t>
      </w:r>
      <w:r>
        <w:rPr>
          <w:rFonts w:cs="Tahoma" w:ascii="Arial Nova Cond" w:hAnsi="Arial Nova Cond"/>
        </w:rPr>
        <w:t xml:space="preserve"> heures complémentaires, les heures effectuées au-delà de la durée annuelle de travail fixée dans le contrat de travail sur la base de la </w:t>
      </w:r>
      <w:r>
        <w:rPr>
          <w:rFonts w:ascii="Arial Nova Cond" w:hAnsi="Arial Nova Cond"/>
        </w:rPr>
        <w:t>période de référence définie à l’article 3.2 de l’Accord.</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Les heures complémentaires sont des heures accomplies à la demande expresse et écrite de la Société. En aucun cas, les salariés ne peuvent effectuer des heures complémentaires de leur propre initiative.</w:t>
      </w:r>
    </w:p>
    <w:p>
      <w:pPr>
        <w:pStyle w:val="Normal"/>
        <w:spacing w:lineRule="auto" w:line="240" w:before="0" w:after="0"/>
        <w:jc w:val="both"/>
        <w:rPr>
          <w:rFonts w:ascii="Arial Nova Cond" w:hAnsi="Arial Nova Cond" w:cs="Tahoma"/>
        </w:rPr>
      </w:pPr>
      <w:r>
        <w:rPr>
          <w:rFonts w:cs="Tahoma" w:ascii="Arial Nova Cond" w:hAnsi="Arial Nova Cond"/>
        </w:rPr>
      </w:r>
    </w:p>
    <w:p>
      <w:pPr>
        <w:pStyle w:val="Normal"/>
        <w:spacing w:lineRule="auto" w:line="240" w:before="0" w:after="0"/>
        <w:jc w:val="both"/>
        <w:rPr>
          <w:rFonts w:ascii="Arial Nova Cond" w:hAnsi="Arial Nova Cond" w:cs="Tahoma"/>
          <w:u w:val="single"/>
        </w:rPr>
      </w:pPr>
      <w:r>
        <w:rPr>
          <w:rFonts w:cs="Tahoma" w:ascii="Arial Nova Cond" w:hAnsi="Arial Nova Cond"/>
          <w:u w:val="single"/>
        </w:rPr>
        <w:t>2.3.2 Plafond</w:t>
      </w:r>
    </w:p>
    <w:p>
      <w:pPr>
        <w:pStyle w:val="Normal"/>
        <w:spacing w:lineRule="auto" w:line="240" w:before="0" w:after="0"/>
        <w:jc w:val="both"/>
        <w:rPr>
          <w:rFonts w:ascii="Arial Nova Cond" w:hAnsi="Arial Nova Cond" w:cs="Tahoma"/>
        </w:rPr>
      </w:pPr>
      <w:r>
        <w:rPr>
          <w:rFonts w:cs="Tahoma" w:ascii="Arial Nova Cond" w:hAnsi="Arial Nova Cond"/>
        </w:rPr>
      </w:r>
    </w:p>
    <w:p>
      <w:pPr>
        <w:pStyle w:val="Normal"/>
        <w:spacing w:lineRule="auto" w:line="240" w:before="0" w:after="0"/>
        <w:jc w:val="both"/>
        <w:rPr>
          <w:rFonts w:ascii="Arial Nova Cond" w:hAnsi="Arial Nova Cond" w:cs="Tahoma"/>
        </w:rPr>
      </w:pPr>
      <w:r>
        <w:rPr>
          <w:rFonts w:cs="Tahoma" w:ascii="Arial Nova Cond" w:hAnsi="Arial Nova Cond"/>
        </w:rPr>
        <w:t>Les heures complémentaires pourront être effectuées dans la limite du tiers de la durée annuelle stipulée au contrat de travail.</w:t>
      </w:r>
    </w:p>
    <w:p>
      <w:pPr>
        <w:pStyle w:val="Normal"/>
        <w:spacing w:lineRule="auto" w:line="240" w:before="0" w:after="0"/>
        <w:jc w:val="both"/>
        <w:rPr>
          <w:rFonts w:ascii="Arial Nova Cond" w:hAnsi="Arial Nova Cond" w:cs="Tahoma"/>
          <w:i/>
          <w:i/>
        </w:rPr>
      </w:pPr>
      <w:r>
        <w:rPr>
          <w:rFonts w:cs="Tahoma" w:ascii="Arial Nova Cond" w:hAnsi="Arial Nova Cond"/>
          <w:i/>
        </w:rPr>
      </w:r>
    </w:p>
    <w:p>
      <w:pPr>
        <w:pStyle w:val="Normal"/>
        <w:spacing w:lineRule="auto" w:line="240" w:before="0" w:after="0"/>
        <w:jc w:val="both"/>
        <w:rPr>
          <w:rFonts w:ascii="Arial Nova Cond" w:hAnsi="Arial Nova Cond" w:cs="Tahoma"/>
        </w:rPr>
      </w:pPr>
      <w:r>
        <w:rPr>
          <w:rFonts w:cs="Tahoma" w:ascii="Arial Nova Cond" w:hAnsi="Arial Nova Cond"/>
        </w:rPr>
        <w:t>En contrepartie, et conformément aux dispositions de l’article L 3123-5 du Code du travail, les salariés employés à temps partiel bénéficient de garanties relatives à la mise en œuvre, en ce qui les concerne, des droits reconnus aux salariés à temps complet, et notamment :</w:t>
      </w:r>
    </w:p>
    <w:p>
      <w:pPr>
        <w:pStyle w:val="Normal"/>
        <w:spacing w:lineRule="auto" w:line="240" w:before="0" w:after="0"/>
        <w:ind w:left="720"/>
        <w:jc w:val="both"/>
        <w:rPr>
          <w:rFonts w:ascii="Arial Nova Cond" w:hAnsi="Arial Nova Cond" w:cs="Tahoma"/>
        </w:rPr>
      </w:pPr>
      <w:r>
        <w:rPr>
          <w:rFonts w:cs="Tahoma" w:ascii="Arial Nova Cond" w:hAnsi="Arial Nova Cond"/>
        </w:rPr>
      </w:r>
    </w:p>
    <w:p>
      <w:pPr>
        <w:pStyle w:val="ListParagraph"/>
        <w:numPr>
          <w:ilvl w:val="0"/>
          <w:numId w:val="4"/>
        </w:numPr>
        <w:spacing w:lineRule="auto" w:line="240" w:before="0" w:after="0"/>
        <w:contextualSpacing/>
        <w:jc w:val="both"/>
        <w:rPr>
          <w:rFonts w:ascii="Arial Nova Cond" w:hAnsi="Arial Nova Cond" w:cs="Tahoma"/>
        </w:rPr>
      </w:pPr>
      <w:r>
        <w:rPr>
          <w:rFonts w:cs="Tahoma" w:ascii="Arial Nova Cond" w:hAnsi="Arial Nova Cond"/>
        </w:rPr>
        <w:t>Égalité des droits : les salariés à temps partiel bénéficient des droits et avantages accordés aux salariés occupés à temps complet, notamment de l’égalité d’accès aux possibilités de promotion, de carrière et de formation,</w:t>
      </w:r>
    </w:p>
    <w:p>
      <w:pPr>
        <w:pStyle w:val="ListParagraph"/>
        <w:spacing w:lineRule="auto" w:line="240" w:before="0" w:after="0"/>
        <w:contextualSpacing/>
        <w:jc w:val="both"/>
        <w:rPr>
          <w:rFonts w:ascii="Arial Nova Cond" w:hAnsi="Arial Nova Cond" w:cs="Tahoma"/>
        </w:rPr>
      </w:pPr>
      <w:r>
        <w:rPr>
          <w:rFonts w:cs="Tahoma" w:ascii="Arial Nova Cond" w:hAnsi="Arial Nova Cond"/>
        </w:rPr>
      </w:r>
    </w:p>
    <w:p>
      <w:pPr>
        <w:pStyle w:val="ListParagraph"/>
        <w:numPr>
          <w:ilvl w:val="0"/>
          <w:numId w:val="4"/>
        </w:numPr>
        <w:spacing w:lineRule="auto" w:line="240" w:before="0" w:after="0"/>
        <w:contextualSpacing/>
        <w:jc w:val="both"/>
        <w:rPr>
          <w:rFonts w:ascii="Arial Nova Cond" w:hAnsi="Arial Nova Cond" w:cs="Tahoma"/>
        </w:rPr>
      </w:pPr>
      <w:r>
        <w:rPr>
          <w:rFonts w:cs="Tahoma" w:ascii="Arial Nova Cond" w:hAnsi="Arial Nova Cond"/>
        </w:rPr>
        <w:t xml:space="preserve">Période minimale de travail continu : aucun jour travaillé ne peut avoir une durée de travail inférieure à 2 heures, </w:t>
      </w:r>
      <w:r>
        <w:rPr>
          <w:rFonts w:ascii="Arial Nova Cond" w:hAnsi="Arial Nova Cond"/>
        </w:rPr>
        <w:t>réduit à 1 heure pour les salariés affectés à des travaux d’entretien, de maintenance ou de surveillance.</w:t>
      </w:r>
    </w:p>
    <w:p>
      <w:pPr>
        <w:pStyle w:val="ListParagraph"/>
        <w:rPr>
          <w:rFonts w:ascii="Arial Nova Cond" w:hAnsi="Arial Nova Cond" w:cs="Tahoma"/>
        </w:rPr>
      </w:pPr>
      <w:r>
        <w:rPr>
          <w:rFonts w:cs="Tahoma" w:ascii="Arial Nova Cond" w:hAnsi="Arial Nova Cond"/>
        </w:rPr>
      </w:r>
    </w:p>
    <w:p>
      <w:pPr>
        <w:pStyle w:val="ListParagraph"/>
        <w:numPr>
          <w:ilvl w:val="0"/>
          <w:numId w:val="4"/>
        </w:numPr>
        <w:spacing w:lineRule="auto" w:line="240" w:before="0" w:after="0"/>
        <w:contextualSpacing/>
        <w:jc w:val="both"/>
        <w:rPr>
          <w:rFonts w:ascii="Arial Nova Cond" w:hAnsi="Arial Nova Cond" w:cs="Tahoma"/>
        </w:rPr>
      </w:pPr>
      <w:r>
        <w:rPr>
          <w:rFonts w:cs="Tahoma" w:ascii="Arial Nova Cond" w:hAnsi="Arial Nova Cond"/>
        </w:rPr>
        <w:t xml:space="preserve">Le nombre d’interruptions d’activité non rémunérées au cours d’une même journée est limité à une coupure quotidienne (dont la durée peut être supérieure à 2 heures). </w:t>
      </w:r>
    </w:p>
    <w:p>
      <w:pPr>
        <w:pStyle w:val="Normal"/>
        <w:spacing w:lineRule="auto" w:line="240" w:before="0" w:after="0"/>
        <w:jc w:val="both"/>
        <w:rPr>
          <w:rFonts w:ascii="Arial Nova Cond" w:hAnsi="Arial Nova Cond" w:cs="Tahoma"/>
        </w:rPr>
      </w:pPr>
      <w:r>
        <w:rPr>
          <w:rFonts w:cs="Tahoma" w:ascii="Arial Nova Cond" w:hAnsi="Arial Nova Cond"/>
        </w:rPr>
      </w:r>
    </w:p>
    <w:p>
      <w:pPr>
        <w:pStyle w:val="Normal"/>
        <w:spacing w:lineRule="auto" w:line="240" w:before="0" w:after="0"/>
        <w:jc w:val="both"/>
        <w:rPr>
          <w:rFonts w:ascii="Arial Nova Cond" w:hAnsi="Arial Nova Cond" w:cs="Tahoma"/>
          <w:u w:val="single"/>
        </w:rPr>
      </w:pPr>
      <w:r>
        <w:rPr>
          <w:rFonts w:cs="Tahoma" w:ascii="Arial Nova Cond" w:hAnsi="Arial Nova Cond"/>
          <w:u w:val="single"/>
        </w:rPr>
        <w:t>2.3.3 Majoration</w:t>
      </w:r>
    </w:p>
    <w:p>
      <w:pPr>
        <w:pStyle w:val="Normal"/>
        <w:spacing w:lineRule="auto" w:line="240" w:before="0" w:after="0"/>
        <w:jc w:val="both"/>
        <w:rPr>
          <w:rFonts w:ascii="Arial Nova Cond" w:hAnsi="Arial Nova Cond" w:cs="Tahoma"/>
          <w:u w:val="single"/>
        </w:rPr>
      </w:pPr>
      <w:r>
        <w:rPr>
          <w:rFonts w:cs="Tahoma" w:ascii="Arial Nova Cond" w:hAnsi="Arial Nova Cond"/>
          <w:u w:val="single"/>
        </w:rPr>
      </w:r>
    </w:p>
    <w:p>
      <w:pPr>
        <w:pStyle w:val="Normal"/>
        <w:spacing w:lineRule="auto" w:line="240" w:before="0" w:after="0"/>
        <w:jc w:val="both"/>
        <w:rPr>
          <w:rFonts w:ascii="Arial Nova Cond" w:hAnsi="Arial Nova Cond"/>
        </w:rPr>
      </w:pPr>
      <w:r>
        <w:rPr>
          <w:rFonts w:cs="Calibri Light" w:ascii="Arial Nova Cond" w:hAnsi="Arial Nova Cond" w:cstheme="majorHAnsi"/>
        </w:rPr>
        <w:t>Les heures complémentaires accomplies sont majorées dans les conditions prévues par la Convention collective applicable au sein de la Société.</w:t>
      </w:r>
    </w:p>
    <w:p>
      <w:pPr>
        <w:pStyle w:val="Normal"/>
        <w:spacing w:lineRule="auto" w:line="240" w:before="0" w:after="0"/>
        <w:ind w:left="708"/>
        <w:jc w:val="both"/>
        <w:rPr>
          <w:rFonts w:ascii="Arial Nova Cond" w:hAnsi="Arial Nova Cond"/>
          <w:sz w:val="18"/>
          <w:szCs w:val="18"/>
        </w:rPr>
      </w:pPr>
      <w:r>
        <w:rPr>
          <w:rFonts w:ascii="Arial Nova Cond" w:hAnsi="Arial Nova Cond"/>
          <w:sz w:val="18"/>
          <w:szCs w:val="18"/>
        </w:rPr>
      </w:r>
    </w:p>
    <w:p>
      <w:pPr>
        <w:pStyle w:val="Heading1"/>
        <w:spacing w:lineRule="auto" w:line="240" w:before="0" w:after="0"/>
        <w:rPr>
          <w:rFonts w:ascii="Arial Nova Cond" w:hAnsi="Arial Nova Cond" w:cs="Calibri Light" w:cstheme="majorHAnsi"/>
          <w:b/>
          <w:color w:val="auto"/>
          <w:sz w:val="26"/>
          <w:szCs w:val="26"/>
        </w:rPr>
      </w:pPr>
      <w:r>
        <w:rPr>
          <w:rFonts w:eastAsia="Times New Roman" w:cs="Times New Roman" w:ascii="Arial Nova Cond" w:hAnsi="Arial Nova Cond"/>
          <w:color w:val="auto"/>
          <w:lang w:eastAsia="fr-FR"/>
        </w:rPr>
        <w:br/>
      </w:r>
      <w:bookmarkStart w:id="9" w:name="_Toc183619795"/>
      <w:r>
        <w:rPr>
          <w:rFonts w:eastAsia="Times New Roman" w:cs="Calibri Light" w:ascii="Arial Nova Cond" w:hAnsi="Arial Nova Cond" w:cstheme="majorHAnsi"/>
          <w:b/>
          <w:smallCaps/>
          <w:color w:val="auto"/>
          <w:sz w:val="26"/>
          <w:szCs w:val="26"/>
          <w:lang w:eastAsia="fr-FR"/>
        </w:rPr>
        <w:t>CHAPITRE 3 : MODALITES D’AMENAGEMENT DU TEMPS DE TRAVAIL</w:t>
      </w:r>
      <w:bookmarkEnd w:id="9"/>
    </w:p>
    <w:p>
      <w:pPr>
        <w:pStyle w:val="Normal"/>
        <w:spacing w:lineRule="auto" w:line="240" w:before="0" w:after="0"/>
        <w:jc w:val="both"/>
        <w:rPr>
          <w:rFonts w:ascii="Arial Nova Cond" w:hAnsi="Arial Nova Cond" w:eastAsia="Times New Roman" w:cs="Times New Roman"/>
          <w:lang w:eastAsia="fr-FR"/>
        </w:rPr>
      </w:pPr>
      <w:r>
        <w:rPr>
          <w:rFonts w:eastAsia="Times New Roman" w:cs="Times New Roman" w:ascii="Arial Nova Cond" w:hAnsi="Arial Nova Cond"/>
          <w:lang w:eastAsia="fr-FR"/>
        </w:rPr>
      </w:r>
    </w:p>
    <w:p>
      <w:pPr>
        <w:pStyle w:val="Normal"/>
        <w:spacing w:lineRule="auto" w:line="240" w:before="0" w:after="0"/>
        <w:rPr>
          <w:rFonts w:ascii="Arial Nova Cond" w:hAnsi="Arial Nova Cond" w:cs="Calibri"/>
        </w:rPr>
      </w:pPr>
      <w:r>
        <w:rPr>
          <w:rFonts w:cs="Calibr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10" w:name="_Toc183619796"/>
      <w:r>
        <w:rPr>
          <w:rFonts w:cs="Calibri Light" w:ascii="Arial Nova Cond" w:hAnsi="Arial Nova Cond" w:cstheme="majorHAnsi"/>
          <w:b/>
          <w:color w:val="auto"/>
          <w:sz w:val="24"/>
          <w:szCs w:val="24"/>
          <w:u w:val="single"/>
        </w:rPr>
        <w:t>Article 3.1 : Principe de l’annualisation</w:t>
      </w:r>
      <w:bookmarkEnd w:id="10"/>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L’annualisation consiste à répartir la durée du travail sur une période de référence d’une durée de douze mois consécutifs pour adapter le rythme de travail des salariés à l’activité de la Société.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Elle permet de faire varier la durée du travail du salarié en dessous ou au-dessus de la durée contractuelle de travail (salariés à temps partiel) ou la durée légale de travail (salariés à temps complet) en compensant les heures effectuées en deçà de cette durée par celles effectuées au-delà, dans le respect des durées maximales de travail et du droit à repos.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durée du travail des salariés peut ainsi varier d’un mois sur l’autre, sans déclencher le mécanisme des heures complémentaires (salariés à temps partiel) ou des heures supplémentaires (salariés à temps complet).</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11" w:name="_Toc183619797"/>
      <w:r>
        <w:rPr>
          <w:rFonts w:cs="Calibri Light" w:ascii="Arial Nova Cond" w:hAnsi="Arial Nova Cond" w:cstheme="majorHAnsi"/>
          <w:b/>
          <w:color w:val="auto"/>
          <w:sz w:val="24"/>
          <w:szCs w:val="24"/>
          <w:u w:val="single"/>
        </w:rPr>
        <w:t>Article 3.2 : Période de référence</w:t>
      </w:r>
      <w:bookmarkEnd w:id="11"/>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période de référence a une durée de douze (12) mois consécutifs.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Elle s’entend de l’année civile, c’est-à-dire qu’elle débute le 1</w:t>
      </w:r>
      <w:r>
        <w:rPr>
          <w:rFonts w:cs="Calibri Light" w:ascii="Arial Nova Cond" w:hAnsi="Arial Nova Cond" w:cstheme="majorHAnsi"/>
          <w:vertAlign w:val="superscript"/>
        </w:rPr>
        <w:t>er</w:t>
      </w:r>
      <w:r>
        <w:rPr>
          <w:rFonts w:cs="Calibri Light" w:ascii="Arial Nova Cond" w:hAnsi="Arial Nova Cond" w:cstheme="majorHAnsi"/>
        </w:rPr>
        <w:t xml:space="preserve"> janvier et se termine le 31 décembre de la même année.</w:t>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ind w:left="142"/>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rPr>
          <w:rFonts w:ascii="Arial Nova Cond" w:hAnsi="Arial Nova Cond" w:cs="Calibri Light" w:cstheme="majorHAnsi"/>
          <w:b/>
          <w:color w:val="auto"/>
          <w:sz w:val="24"/>
          <w:szCs w:val="24"/>
          <w:u w:val="single"/>
        </w:rPr>
      </w:pPr>
      <w:bookmarkStart w:id="12" w:name="_Toc183619798"/>
      <w:r>
        <w:rPr>
          <w:rFonts w:cs="Calibri Light" w:ascii="Arial Nova Cond" w:hAnsi="Arial Nova Cond" w:cstheme="majorHAnsi"/>
          <w:b/>
          <w:color w:val="auto"/>
          <w:sz w:val="24"/>
          <w:szCs w:val="24"/>
          <w:u w:val="single"/>
        </w:rPr>
        <w:t>Article 3.3 : Durée du travail</w:t>
      </w:r>
      <w:bookmarkEnd w:id="12"/>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 xml:space="preserve">3.3.1 Durée du travail des salariés à temps complet </w:t>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durée du travail des salariés à temps complet est fixée en référence à la durée légale, soit actuellement à 1607 heures de travail par an (35 heures par semaine). La durée du travail hebdomadaire de référence des salariés à temps complet est de 35 heures en moyenne sur la période de référence.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3.3.2 Durée du travail des salariés à temps partiel</w:t>
      </w:r>
    </w:p>
    <w:p>
      <w:pPr>
        <w:pStyle w:val="Normal"/>
        <w:spacing w:lineRule="auto" w:line="240" w:before="0" w:after="0"/>
        <w:jc w:val="both"/>
        <w:rPr>
          <w:rFonts w:ascii="Arial Nova Cond" w:hAnsi="Arial Nova Cond" w:cs="Calibri Light" w:cstheme="majorHAnsi"/>
          <w:u w:val="single"/>
        </w:rPr>
      </w:pPr>
      <w:r>
        <w:rPr>
          <w:rFonts w:cs="Calibri Light" w:cstheme="majorHAnsi" w:ascii="Arial Nova Cond" w:hAnsi="Arial Nova Cond"/>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durée du travail des salariés à temps partiel est, par définition, inférieure à la durée de travail des salariés à temps complet. La durée du travail des salariés à temps partiel est stipulée expressément dans leur contrat de travail.</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rPr>
          <w:rFonts w:ascii="Arial Nova Cond" w:hAnsi="Arial Nova Cond" w:cs="Calibri Light" w:cstheme="majorHAnsi"/>
          <w:b/>
          <w:color w:val="auto"/>
          <w:sz w:val="24"/>
          <w:szCs w:val="24"/>
          <w:u w:val="single"/>
        </w:rPr>
      </w:pPr>
      <w:bookmarkStart w:id="13" w:name="_Toc183619799"/>
      <w:r>
        <w:rPr>
          <w:rFonts w:cs="Calibri Light" w:ascii="Arial Nova Cond" w:hAnsi="Arial Nova Cond" w:cstheme="majorHAnsi"/>
          <w:b/>
          <w:color w:val="auto"/>
          <w:sz w:val="24"/>
          <w:szCs w:val="24"/>
          <w:u w:val="single"/>
        </w:rPr>
        <w:t>Article 3.4 : Lissage de la rémunération</w:t>
      </w:r>
      <w:bookmarkEnd w:id="13"/>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rémunération mensuelle est lissée sur la base de la durée du travail mensuelle de référence prévue au contrat de travail afin de permettre au salarié de percevoir une rémunération stable et régulière, indépendante de la variation de la durée réelle travaillée pendant le mois, sauf période d’absences non rémunérées et, sans préjudice du paiement des heures supplémentaires ou complémentaires en application de l’article 2.1.2 de l’Accord (limite hebdomadaire).</w:t>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ind w:left="284"/>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rPr>
          <w:rFonts w:ascii="Arial Nova Cond" w:hAnsi="Arial Nova Cond" w:cs="Calibri Light" w:cstheme="majorHAnsi"/>
          <w:b/>
          <w:color w:val="auto"/>
          <w:sz w:val="24"/>
          <w:szCs w:val="24"/>
          <w:u w:val="single"/>
        </w:rPr>
      </w:pPr>
      <w:bookmarkStart w:id="14" w:name="_Toc183619800"/>
      <w:r>
        <w:rPr>
          <w:rFonts w:cs="Calibri Light" w:ascii="Arial Nova Cond" w:hAnsi="Arial Nova Cond" w:cstheme="majorHAnsi"/>
          <w:b/>
          <w:color w:val="auto"/>
          <w:sz w:val="24"/>
          <w:szCs w:val="24"/>
          <w:u w:val="single"/>
        </w:rPr>
        <w:t>Article 3.5 : Absences</w:t>
      </w:r>
      <w:bookmarkEnd w:id="14"/>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3.5.1 Périodes non travaillées et rémunérées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Les périodes non travaillées donnant lieu à rémunération par l’employeur (telles que, notamment, les congés payés) sont rémunérées sur la base du salaire mensuel lissé et comptabilisées pour leur durée initialement prévue au planning au moment de l’absence du salarié.</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3.5.2 Périodes non travaillées et non rémunérées</w:t>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Les périodes non travaillées en raison d’absence non légalement rémunérées par l’employeur font l’objet d’une retenue de salaire proportionnellement au nombre d’heures d’absence constatées déterminées sur la base des heures programmées au moment de l’absence du salarié. </w:t>
      </w:r>
    </w:p>
    <w:p>
      <w:pPr>
        <w:pStyle w:val="Normal"/>
        <w:spacing w:lineRule="auto" w:line="240" w:before="0" w:after="0"/>
        <w:ind w:left="284"/>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Si un des jours de la période non travaillée ne comporte aucune programmation, le nombre d’heures d’absence correspondant à ce jour est calculé au 26</w:t>
      </w:r>
      <w:r>
        <w:rPr>
          <w:rFonts w:cs="Calibri Light" w:ascii="Arial Nova Cond" w:hAnsi="Arial Nova Cond" w:cstheme="majorHAnsi"/>
          <w:vertAlign w:val="superscript"/>
        </w:rPr>
        <w:t>ème</w:t>
      </w:r>
      <w:r>
        <w:rPr>
          <w:rFonts w:cs="Calibri Light" w:ascii="Arial Nova Cond" w:hAnsi="Arial Nova Cond" w:cstheme="majorHAnsi"/>
        </w:rPr>
        <w:t xml:space="preserve"> (nombre d’heures mensuelles de référence prévu au contrat/26).</w:t>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rPr>
          <w:rFonts w:ascii="Arial Nova Cond" w:hAnsi="Arial Nova Cond" w:cs="Calibri Light" w:cstheme="majorHAnsi"/>
          <w:b/>
          <w:color w:val="auto"/>
          <w:sz w:val="24"/>
          <w:szCs w:val="24"/>
          <w:u w:val="single"/>
        </w:rPr>
      </w:pPr>
      <w:bookmarkStart w:id="15" w:name="_Toc183619801"/>
      <w:r>
        <w:rPr>
          <w:rFonts w:cs="Calibri Light" w:ascii="Arial Nova Cond" w:hAnsi="Arial Nova Cond" w:cstheme="majorHAnsi"/>
          <w:b/>
          <w:color w:val="auto"/>
          <w:sz w:val="24"/>
          <w:szCs w:val="24"/>
          <w:u w:val="single"/>
        </w:rPr>
        <w:t>Article 3.6 : Programmation indicative de l’annualisation et modification</w:t>
      </w:r>
      <w:bookmarkEnd w:id="15"/>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3.6.1 Programmation indicative de l’annualisation</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Avant chaque début de période de référence, la Société établira une programmation indiquant la durée du travail et l’horaire de travail des salariés correspondant aux travaux à réaliser pendant la période.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Cette programmation pourra contenir une alternance entre des périodes de haute activité et des périodes d’activité réduite ou sans activité et pourra être différente selon les unités de travail de la Société.</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Elle précisera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ListParagraph"/>
        <w:numPr>
          <w:ilvl w:val="0"/>
          <w:numId w:val="2"/>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Les unités et les salariés concernés,</w:t>
      </w:r>
    </w:p>
    <w:p>
      <w:pPr>
        <w:pStyle w:val="ListParagraph"/>
        <w:numPr>
          <w:ilvl w:val="0"/>
          <w:numId w:val="2"/>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La durée hebdomadaire de travail sur la période de référence mentionnant, selon le cas, (i) les périodes de haute activité (durée du travail supérieure à la durée légale ou contractuelle), (ii) les</w:t>
      </w:r>
    </w:p>
    <w:p>
      <w:pPr>
        <w:pStyle w:val="ListParagraph"/>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périodes de basse activité (durée du travail inférieure à la durée légale ou contractuelle ou nulle) étant précisé qu’un horaire journalier ne pourra pas être inférieur à deux heures de travail consécutives (sauf exception cf. article 2.3.2 pour les salariés à temps partiel) et (iii) les périodes pendant lesquelles la durée du travail est égale à la durée légale ou contractuelle,</w:t>
      </w:r>
    </w:p>
    <w:p>
      <w:pPr>
        <w:pStyle w:val="ListParagraph"/>
        <w:numPr>
          <w:ilvl w:val="0"/>
          <w:numId w:val="2"/>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L’horaire indicatif de travail.</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Elle est portée à la connaissance des salariés par voie d’affichage au moins une (1) semaine avant son entrée en vigueur. Un exemplaire est transmis à l’inspecteur du travail.</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Cette programmation est indicative et pourra être modifiée par la Société en cours de période de référence.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3.6.2 Modification de la programmation indicative de l’annualisation</w:t>
      </w:r>
    </w:p>
    <w:p>
      <w:pPr>
        <w:pStyle w:val="Normal"/>
        <w:spacing w:lineRule="auto" w:line="240" w:before="0" w:after="0"/>
        <w:jc w:val="both"/>
        <w:rPr>
          <w:rFonts w:ascii="Arial Nova Cond" w:hAnsi="Arial Nova Cond" w:cs="Calibri Light" w:cstheme="majorHAnsi"/>
          <w:u w:val="single"/>
        </w:rPr>
      </w:pPr>
      <w:r>
        <w:rPr>
          <w:rFonts w:cs="Calibri Light" w:cstheme="majorHAnsi" w:ascii="Arial Nova Cond" w:hAnsi="Arial Nova Cond"/>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Afin de répondre aux besoins de l’activité, la Société peut être amenée à modifier les plannings de travail des salariés.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communication de la modification aux salariés se fera par tout moyen utile à la convenance de la Société et dans le respect d’un délai de prévenance minimal de trois (3) jours ouvrés.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Dans les cas d’urgence définis ci-après, ce délai de prévenance pourra toutefois être écourté jusqu’à un (1) jour ouvré avant le début de la prestation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rPr>
        <w:t>absence non prévisible d’un salarié,</w:t>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rPr>
        <w:t>congés pour évènements familiaux ou congés exceptionnels d’un salarié,</w:t>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rPr>
        <w:t>besoin d’intervention immédiat dans les vignes, vergers ou maraichage en raison d’un évènement climatique,</w:t>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rPr>
        <w:t>évènement non prévu (mariage, réception, meeting, etc.),</w:t>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rPr>
        <w:t>surcroît temporaire d’activité,</w:t>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rPr>
        <w:t>meilleurs accords des parties.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Cette liste n’est pas exhaustive.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En toute hypothèse, tous les moyens seront mis en œuvre afin d’informer au plus tôt le salarié.</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Style w:val="txt"/>
          <w:rFonts w:ascii="Arial Nova Cond" w:hAnsi="Arial Nova Cond"/>
          <w:b/>
          <w:bCs/>
          <w:color w:val="auto"/>
          <w:sz w:val="24"/>
          <w:szCs w:val="24"/>
          <w:u w:val="single"/>
        </w:rPr>
      </w:pPr>
      <w:bookmarkStart w:id="16" w:name="_Toc183619802"/>
      <w:r>
        <w:rPr>
          <w:rStyle w:val="txt"/>
          <w:rFonts w:ascii="Arial Nova Cond" w:hAnsi="Arial Nova Cond"/>
          <w:b/>
          <w:bCs/>
          <w:color w:val="auto"/>
          <w:sz w:val="24"/>
          <w:szCs w:val="24"/>
          <w:u w:val="single"/>
        </w:rPr>
        <w:t>Article 3.7 Modalités de communication et de modification de la répartition de la durée et des horaires de travail des salariés à temps partiel</w:t>
      </w:r>
      <w:bookmarkEnd w:id="16"/>
    </w:p>
    <w:p>
      <w:pPr>
        <w:pStyle w:val="Normal"/>
        <w:spacing w:lineRule="auto" w:line="240" w:before="0" w:after="0"/>
        <w:jc w:val="both"/>
        <w:rPr>
          <w:rStyle w:val="txt"/>
          <w:rFonts w:ascii="Arial Nova Cond" w:hAnsi="Arial Nova Cond"/>
          <w:b/>
          <w:bCs/>
          <w:u w:val="single"/>
        </w:rPr>
      </w:pPr>
      <w:r>
        <w:rPr>
          <w:rFonts w:ascii="Arial Nova Cond" w:hAnsi="Arial Nova Cond"/>
          <w:b/>
          <w:bCs/>
          <w:u w:val="single"/>
        </w:rPr>
      </w:r>
    </w:p>
    <w:p>
      <w:pPr>
        <w:pStyle w:val="Normal"/>
        <w:spacing w:lineRule="auto" w:line="240" w:before="0" w:after="0"/>
        <w:jc w:val="both"/>
        <w:rPr>
          <w:rFonts w:ascii="Arial Nova Cond" w:hAnsi="Arial Nova Cond" w:cs="Calibri Light" w:cstheme="majorHAnsi"/>
        </w:rPr>
      </w:pPr>
      <w:r>
        <w:rPr>
          <w:rStyle w:val="txt"/>
          <w:rFonts w:ascii="Arial Nova Cond" w:hAnsi="Arial Nova Cond"/>
        </w:rPr>
        <w:t xml:space="preserve">Pour les salariés à temps partiel, </w:t>
      </w:r>
      <w:r>
        <w:rPr>
          <w:rFonts w:ascii="Arial Nova Cond" w:hAnsi="Arial Nova Cond"/>
        </w:rPr>
        <w:t xml:space="preserve">la répartition de la durée du travail entre les jours de la semaine ou les semaines du mois leur sera communiquée dans le cadre de la programmation indicative de l’annualisation, remise avant </w:t>
      </w:r>
      <w:r>
        <w:rPr>
          <w:rFonts w:cs="Calibri Light" w:ascii="Arial Nova Cond" w:hAnsi="Arial Nova Cond" w:cstheme="majorHAnsi"/>
        </w:rPr>
        <w:t>chaque début de la période de référence, dans les conditions visées à l’article précédent.</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Style w:val="txt"/>
          <w:rFonts w:ascii="Arial Nova Cond" w:hAnsi="Arial Nova Cond"/>
        </w:rPr>
      </w:pPr>
      <w:r>
        <w:rPr>
          <w:rFonts w:cs="Calibri Light" w:ascii="Arial Nova Cond" w:hAnsi="Arial Nova Cond" w:cstheme="majorHAnsi"/>
        </w:rPr>
        <w:t>La modification de cette répartition se fera également dans les conditions visées à l’article précédent.</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17" w:name="_Toc183619803"/>
      <w:r>
        <w:rPr>
          <w:rFonts w:cs="Calibri Light" w:ascii="Arial Nova Cond" w:hAnsi="Arial Nova Cond" w:cstheme="majorHAnsi"/>
          <w:b/>
          <w:color w:val="auto"/>
          <w:sz w:val="24"/>
          <w:szCs w:val="24"/>
          <w:u w:val="single"/>
        </w:rPr>
        <w:t>Article 3.8 : Compteur individuel de suivi de la durée du travail</w:t>
      </w:r>
      <w:bookmarkEnd w:id="17"/>
    </w:p>
    <w:p>
      <w:pPr>
        <w:pStyle w:val="Normal"/>
        <w:spacing w:lineRule="auto" w:line="240" w:before="0" w:after="0"/>
        <w:jc w:val="both"/>
        <w:rPr>
          <w:rFonts w:ascii="Arial Nova Cond" w:hAnsi="Arial Nova Cond" w:cs="Calibri Light" w:cstheme="majorHAnsi"/>
          <w:b/>
          <w:sz w:val="24"/>
          <w:szCs w:val="24"/>
          <w:u w:val="single"/>
        </w:rPr>
      </w:pPr>
      <w:r>
        <w:rPr>
          <w:rFonts w:cs="Calibri Light" w:cstheme="majorHAnsi" w:ascii="Arial Nova Cond" w:hAnsi="Arial Nova Cond"/>
          <w:b/>
          <w:sz w:val="24"/>
          <w:szCs w:val="24"/>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durée du travail sera décomptée dans le cadre d’un compteur individuel de suivi des heures.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A chaque fin de mois, les salariés remettront à la Société un tableau de décompte individuel de leur temps de travail selon le modèle joint en annexe 1 de l’Accord. </w:t>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Sur la base de ce décompte, la Société établira un relevé mensuel de suivi lequel récapitulera notamment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ListParagraph"/>
        <w:numPr>
          <w:ilvl w:val="0"/>
          <w:numId w:val="1"/>
        </w:numPr>
        <w:spacing w:lineRule="auto" w:line="240" w:before="0" w:after="0"/>
        <w:ind w:hanging="360" w:left="709"/>
        <w:contextualSpacing/>
        <w:jc w:val="both"/>
        <w:rPr>
          <w:rFonts w:ascii="Arial Nova Cond" w:hAnsi="Arial Nova Cond" w:cs="Calibri Light" w:cstheme="majorHAnsi"/>
        </w:rPr>
      </w:pPr>
      <w:r>
        <w:rPr>
          <w:rFonts w:cs="Calibri Light" w:ascii="Arial Nova Cond" w:hAnsi="Arial Nova Cond" w:cstheme="majorHAnsi"/>
        </w:rPr>
        <w:t xml:space="preserve">le nombre d’heures de travail mensuelles prévues au contrat (temps complet/temps partiel), </w:t>
      </w:r>
    </w:p>
    <w:p>
      <w:pPr>
        <w:pStyle w:val="ListParagraph"/>
        <w:numPr>
          <w:ilvl w:val="0"/>
          <w:numId w:val="1"/>
        </w:numPr>
        <w:spacing w:lineRule="auto" w:line="240" w:before="0" w:after="0"/>
        <w:ind w:hanging="360" w:left="709"/>
        <w:contextualSpacing/>
        <w:jc w:val="both"/>
        <w:rPr>
          <w:rFonts w:ascii="Arial Nova Cond" w:hAnsi="Arial Nova Cond" w:cs="Calibri Light" w:cstheme="majorHAnsi"/>
        </w:rPr>
      </w:pPr>
      <w:r>
        <w:rPr>
          <w:rFonts w:cs="Calibri Light" w:ascii="Arial Nova Cond" w:hAnsi="Arial Nova Cond" w:cstheme="majorHAnsi"/>
        </w:rPr>
        <w:t>le nombre d’heures de travail mensuel prévu dans la programmation indicative (planning),</w:t>
      </w:r>
    </w:p>
    <w:p>
      <w:pPr>
        <w:pStyle w:val="ListParagraph"/>
        <w:numPr>
          <w:ilvl w:val="0"/>
          <w:numId w:val="1"/>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le nombre total d’heures de travail effectif réalisées sur le mois (ou heures légalement assimilées à du travail effectif) en précisant, le cas échéant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ListParagraph"/>
        <w:numPr>
          <w:ilvl w:val="0"/>
          <w:numId w:val="5"/>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Le nombre d’heures mensuelles accomplies au-delà du planning de la modulation</w:t>
      </w:r>
    </w:p>
    <w:p>
      <w:pPr>
        <w:pStyle w:val="ListParagraph"/>
        <w:numPr>
          <w:ilvl w:val="0"/>
          <w:numId w:val="5"/>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Le nombres d’heures mensuelles supplémentaires ou complémentaires accomplies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ListParagraph"/>
        <w:numPr>
          <w:ilvl w:val="0"/>
          <w:numId w:val="1"/>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le nombre d’heures de travail rémunérées en application du lissage de la rémunération,</w:t>
      </w:r>
    </w:p>
    <w:p>
      <w:pPr>
        <w:pStyle w:val="ListParagraph"/>
        <w:numPr>
          <w:ilvl w:val="0"/>
          <w:numId w:val="1"/>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l’écart mensuel entre le nombre d’heures de travail effectif réalisées (ou assimilées) sur le mois et le nombre d’heures de travail effectif prévues dans le cadre de l’annualisation,</w:t>
      </w:r>
    </w:p>
    <w:p>
      <w:pPr>
        <w:pStyle w:val="ListParagraph"/>
        <w:numPr>
          <w:ilvl w:val="0"/>
          <w:numId w:val="1"/>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l’écart mentionné ci-dessus cumulé depuis la début de la période de référence.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Le relevé de suivi sera remis en même temps que la feuille de paie du mois suivant.</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Si le salarié ne transmet pas son tableau de décompte à la Société dans les délais requis, la Société établira le relevé mensuel de suivi sur la base des heures programmées avec, le cas échéant, déduction des absences du salarié.</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A l’initiative de la Société, les modalités de décompte et suivi du temps de travail pourront évoluer, en cours d’exécution de l’Accord (modification des modèles de document, décompte et suivi via un logiciel ou une application, etc.).</w:t>
      </w:r>
    </w:p>
    <w:p>
      <w:pPr>
        <w:pStyle w:val="Normal"/>
        <w:spacing w:lineRule="auto" w:line="240" w:before="0" w:after="0"/>
        <w:ind w:left="284"/>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ind w:left="284"/>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jc w:val="both"/>
        <w:rPr>
          <w:rFonts w:ascii="Arial Nova Cond" w:hAnsi="Arial Nova Cond" w:cs="Calibri Light" w:cstheme="majorHAnsi"/>
          <w:b/>
          <w:color w:val="auto"/>
          <w:sz w:val="24"/>
          <w:szCs w:val="24"/>
          <w:u w:val="single"/>
        </w:rPr>
      </w:pPr>
      <w:bookmarkStart w:id="18" w:name="_Toc183619804"/>
      <w:r>
        <w:rPr>
          <w:rFonts w:cs="Calibri Light" w:ascii="Arial Nova Cond" w:hAnsi="Arial Nova Cond" w:cstheme="majorHAnsi"/>
          <w:b/>
          <w:color w:val="auto"/>
          <w:sz w:val="24"/>
          <w:szCs w:val="24"/>
          <w:u w:val="single"/>
        </w:rPr>
        <w:t>Article 3.9 : Régularisation du compteur d’heures en fin de période de référence</w:t>
      </w:r>
      <w:r>
        <w:rPr>
          <w:rFonts w:cs="Calibri Light" w:ascii="Arial Nova Cond" w:hAnsi="Arial Nova Cond" w:cstheme="majorHAnsi"/>
          <w:b/>
          <w:color w:val="auto"/>
          <w:sz w:val="24"/>
          <w:szCs w:val="24"/>
        </w:rPr>
        <w:t xml:space="preserve"> (pour les salariés présents durant toute la période de référence)</w:t>
      </w:r>
      <w:bookmarkEnd w:id="18"/>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Les compteurs individuels de suivi sont arrêtés au terme de la période de référence (31 décembre).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3.9.1 Solde de compteur positif</w:t>
      </w:r>
    </w:p>
    <w:p>
      <w:pPr>
        <w:pStyle w:val="Normal"/>
        <w:spacing w:lineRule="auto" w:line="240" w:before="0" w:after="0"/>
        <w:jc w:val="both"/>
        <w:rPr>
          <w:rFonts w:ascii="Arial Nova Cond" w:hAnsi="Arial Nova Cond" w:cs="Calibri Light" w:cstheme="majorHAnsi"/>
          <w:u w:val="single"/>
        </w:rPr>
      </w:pPr>
      <w:r>
        <w:rPr>
          <w:rFonts w:cs="Calibri Light" w:cstheme="majorHAnsi" w:ascii="Arial Nova Cond" w:hAnsi="Arial Nova Cond"/>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Dans le cas où le compteur révèle un solde positif d’heures, c’est-à-dire que les heures travaillées par le salarié sur la période de référence dépassent 1607 heures par an (pour les salariés à temps complet) ou la durée annuelle fixée dans le contrat de travail (pour les salariés à temps partiel), les heures excédentaires seront payées en heures supplémentaires (salariés à temps complet) ou en heures complémentaires (salariés à temps partiel), conformément aux dispositions de l’Accord et sous déduction, le cas échéant, des heures supplémentaires déjà décomptées en cours d’année en application de l’article 2.1.2 de l’Accord (limite hebdomadaire).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rémunération de ces heures supplémentaires ou complémentaires interviendra, au plus tard, sur le bulletin de salaire du mois de février.</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color w:themeColor="accent6" w:val="70AD47"/>
        </w:rPr>
      </w:pPr>
      <w:r>
        <w:rPr>
          <w:rFonts w:cs="Calibri Light" w:ascii="Arial Nova Cond" w:hAnsi="Arial Nova Cond" w:cstheme="majorHAnsi"/>
        </w:rPr>
        <w:t>A l’initiative de la Société, la rémunération de ces heures excédentaires pourra être remplacée, en tout ou partie, par un repos compensateur équivalent à prendre durant la période de référence suivante. La durée de ces repos est équivalente à l’heure supplémentaire et/ou aux majorations s’y rapportant, dont ils remplacent le paiement.</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3.9.2 Solde de compteur négatif</w:t>
      </w:r>
    </w:p>
    <w:p>
      <w:pPr>
        <w:pStyle w:val="Normal"/>
        <w:spacing w:lineRule="auto" w:line="240" w:before="0" w:after="0"/>
        <w:jc w:val="both"/>
        <w:rPr>
          <w:rFonts w:ascii="Arial Nova Cond" w:hAnsi="Arial Nova Cond" w:cs="Calibri Light" w:cstheme="majorHAnsi"/>
          <w:u w:val="single"/>
        </w:rPr>
      </w:pPr>
      <w:r>
        <w:rPr>
          <w:rFonts w:cs="Calibri Light" w:cstheme="majorHAnsi" w:ascii="Arial Nova Cond" w:hAnsi="Arial Nova Cond"/>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Dans le cas où le compteur révèle un solde négatif d’heures, c’est-à-dire que le salarié aurait, de son seul fait, travailler en-deçà des limites mentionnées dans le paragraphe précédent relatif au solde positif (en cas de congé sans solde ou d’absence injustifiée par exemple), une retenue sur salaire pourra être opérée, dans le respect de la limite de 10% de la rémunération mensuelle jusqu’au remboursement intégral, pour compenser ces heures rémunérées durant la période de référence mais non travaillées.</w:t>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rPr>
          <w:rFonts w:ascii="Arial Nova Cond" w:hAnsi="Arial Nova Cond" w:cs="Calibri Light" w:cstheme="majorHAnsi"/>
          <w:b/>
          <w:color w:val="auto"/>
          <w:sz w:val="24"/>
          <w:szCs w:val="24"/>
          <w:u w:val="single"/>
        </w:rPr>
      </w:pPr>
      <w:bookmarkStart w:id="19" w:name="_Toc183619805"/>
      <w:r>
        <w:rPr>
          <w:rFonts w:cs="Calibri Light" w:ascii="Arial Nova Cond" w:hAnsi="Arial Nova Cond" w:cstheme="majorHAnsi"/>
          <w:b/>
          <w:color w:val="auto"/>
          <w:sz w:val="24"/>
          <w:szCs w:val="24"/>
          <w:u w:val="single"/>
        </w:rPr>
        <w:t>Article 3.10 : Arrivée et départ du salarié en cours de période de référence</w:t>
      </w:r>
      <w:bookmarkEnd w:id="19"/>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Lorsqu’un salarié du fait de son embauche ou d’une rupture de son contrat de travail n’a pas travaillé durant la totalité de la période de référence, une régularisation est opérée au moment de son départ ou au terme de la période de référence, selon le système suivant :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numPr>
          <w:ilvl w:val="0"/>
          <w:numId w:val="3"/>
        </w:numPr>
        <w:tabs>
          <w:tab w:val="clear" w:pos="708"/>
        </w:tabs>
        <w:spacing w:lineRule="auto" w:line="240" w:before="0" w:after="0"/>
        <w:ind w:hanging="360" w:left="567"/>
        <w:jc w:val="both"/>
        <w:rPr>
          <w:rFonts w:ascii="Arial Nova Cond" w:hAnsi="Arial Nova Cond" w:cs="Tahoma"/>
        </w:rPr>
      </w:pPr>
      <w:r>
        <w:rPr>
          <w:rFonts w:cs="Calibri Light" w:ascii="Arial Nova Cond" w:hAnsi="Arial Nova Cond" w:cstheme="majorHAnsi"/>
          <w:u w:val="single"/>
        </w:rPr>
        <w:t>Solde positif</w:t>
      </w:r>
      <w:r>
        <w:rPr>
          <w:rFonts w:cs="Calibri Light" w:ascii="Arial Nova Cond" w:hAnsi="Arial Nova Cond" w:cstheme="majorHAnsi"/>
        </w:rPr>
        <w:t xml:space="preserve"> : S’il apparait que le salarié a accompli une durée de travail supérieure à la durée correspondant au salaire lissé, il lui est accordé un complément de rémunération égal à la différence de rémunération entre celle versée au titre des heures réellement effectuées et celles rémunérées. </w:t>
      </w:r>
      <w:r>
        <w:rPr>
          <w:rFonts w:cs="Tahoma" w:ascii="Arial Nova Cond" w:hAnsi="Arial Nova Cond"/>
        </w:rPr>
        <w:t xml:space="preserve"> La régularisation est effectuée sur la base du taux horaire normal.</w:t>
      </w:r>
    </w:p>
    <w:p>
      <w:pPr>
        <w:pStyle w:val="Normal"/>
        <w:spacing w:lineRule="auto" w:line="240" w:before="0" w:after="0"/>
        <w:ind w:left="567"/>
        <w:jc w:val="both"/>
        <w:rPr>
          <w:rFonts w:ascii="Arial Nova Cond" w:hAnsi="Arial Nova Cond" w:cs="Calibri Light" w:cstheme="majorHAnsi"/>
        </w:rPr>
      </w:pPr>
      <w:r>
        <w:rPr>
          <w:rFonts w:cs="Calibri Light" w:cstheme="majorHAnsi" w:ascii="Arial Nova Cond" w:hAnsi="Arial Nova Cond"/>
        </w:rPr>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u w:val="single"/>
        </w:rPr>
        <w:t>Solde négatif</w:t>
      </w:r>
      <w:r>
        <w:rPr>
          <w:rFonts w:cs="Calibri Light" w:ascii="Arial Nova Cond" w:hAnsi="Arial Nova Cond" w:cstheme="majorHAnsi"/>
        </w:rPr>
        <w:t> : Si le salarié a accompli une durée de travail inférieure à la durée correspondant au salaire lissé et qu’il en ressort que les sommes versées sont supérieures à celles correspondant au nombre d’heures réellement accomplies, une régularisation (c’est-à-dire un remboursement à la société du trop-perçu) sera opérée dans le respect des dispositions en vigueur relatives aux quotités saisissables :</w:t>
      </w:r>
    </w:p>
    <w:p>
      <w:pPr>
        <w:pStyle w:val="ListParagraph"/>
        <w:spacing w:lineRule="auto" w:line="240" w:before="0" w:after="0"/>
        <w:ind w:left="567"/>
        <w:contextualSpacing/>
        <w:jc w:val="both"/>
        <w:rPr>
          <w:rFonts w:ascii="Arial Nova Cond" w:hAnsi="Arial Nova Cond" w:cs="Calibri Light" w:cstheme="majorHAnsi"/>
        </w:rPr>
      </w:pPr>
      <w:r>
        <w:rPr>
          <w:rFonts w:cs="Calibri Light" w:cstheme="majorHAnsi" w:ascii="Arial Nova Cond" w:hAnsi="Arial Nova Cond"/>
        </w:rPr>
      </w:r>
    </w:p>
    <w:p>
      <w:pPr>
        <w:pStyle w:val="ListParagraph"/>
        <w:numPr>
          <w:ilvl w:val="1"/>
          <w:numId w:val="1"/>
        </w:numPr>
        <w:spacing w:lineRule="auto" w:line="240" w:before="0" w:after="0"/>
        <w:ind w:hanging="360" w:left="1134"/>
        <w:contextualSpacing/>
        <w:jc w:val="both"/>
        <w:rPr>
          <w:rFonts w:ascii="Arial Nova Cond" w:hAnsi="Arial Nova Cond" w:cs="Calibri Light" w:cstheme="majorHAnsi"/>
        </w:rPr>
      </w:pPr>
      <w:r>
        <w:rPr>
          <w:rFonts w:cs="Calibri Light" w:ascii="Arial Nova Cond" w:hAnsi="Arial Nova Cond" w:cstheme="majorHAnsi"/>
        </w:rPr>
        <w:t>soit dans le cadre du solde de tout compte (hypothèse d’une rupture de contrat en cours de période de référence),</w:t>
      </w:r>
    </w:p>
    <w:p>
      <w:pPr>
        <w:pStyle w:val="ListParagraph"/>
        <w:numPr>
          <w:ilvl w:val="1"/>
          <w:numId w:val="1"/>
        </w:numPr>
        <w:spacing w:lineRule="auto" w:line="240" w:before="0" w:after="0"/>
        <w:ind w:hanging="360" w:left="1134"/>
        <w:contextualSpacing/>
        <w:jc w:val="both"/>
        <w:rPr>
          <w:rFonts w:ascii="Arial Nova Cond" w:hAnsi="Arial Nova Cond" w:cs="Calibri Light" w:cstheme="majorHAnsi"/>
        </w:rPr>
      </w:pPr>
      <w:r>
        <w:rPr>
          <w:rFonts w:cs="Calibri Light" w:ascii="Arial Nova Cond" w:hAnsi="Arial Nova Cond" w:cstheme="majorHAnsi"/>
        </w:rPr>
        <w:t>soit sur le bulletin de salaire de janvier ou février (hypothèse d’une embauche en cours de période de référence).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20" w:name="_Toc183619806"/>
      <w:r>
        <w:rPr>
          <w:rFonts w:cs="Calibri Light" w:ascii="Arial Nova Cond" w:hAnsi="Arial Nova Cond" w:cstheme="majorHAnsi"/>
          <w:b/>
          <w:color w:val="auto"/>
          <w:sz w:val="24"/>
          <w:szCs w:val="24"/>
          <w:u w:val="single"/>
        </w:rPr>
        <w:t>Article 3.11 : Conciliation vie personnelle et vie professionnelle</w:t>
      </w:r>
      <w:bookmarkEnd w:id="20"/>
    </w:p>
    <w:p>
      <w:pPr>
        <w:pStyle w:val="Normal"/>
        <w:spacing w:lineRule="auto" w:line="240" w:before="0" w:after="0"/>
        <w:jc w:val="both"/>
        <w:rPr>
          <w:rFonts w:ascii="Arial Nova Cond" w:hAnsi="Arial Nova Cond" w:cs="Calibri Light" w:cstheme="majorHAnsi"/>
          <w:bCs/>
        </w:rPr>
      </w:pPr>
      <w:r>
        <w:rPr>
          <w:rFonts w:cs="Calibri Light" w:cstheme="majorHAnsi" w:ascii="Arial Nova Cond" w:hAnsi="Arial Nova Cond"/>
          <w:bCs/>
        </w:rPr>
      </w:r>
    </w:p>
    <w:p>
      <w:pPr>
        <w:pStyle w:val="Normal"/>
        <w:spacing w:lineRule="auto" w:line="240" w:before="0" w:after="0"/>
        <w:jc w:val="both"/>
        <w:rPr>
          <w:rFonts w:ascii="Arial Nova Cond" w:hAnsi="Arial Nova Cond" w:cs="Calibri Light" w:cstheme="majorHAnsi"/>
          <w:bCs/>
        </w:rPr>
      </w:pPr>
      <w:r>
        <w:rPr>
          <w:rFonts w:cs="Calibri Light" w:ascii="Arial Nova Cond" w:hAnsi="Arial Nova Cond" w:cstheme="majorHAnsi"/>
          <w:bCs/>
        </w:rPr>
        <w:t xml:space="preserve">Les salariés qui le souhaitent pourront bénéficier d’un entretien avec leur hiérarchie pour échanger sur la conciliation entre leur vie personnelle et leur vie professionnelle. </w:t>
      </w:r>
    </w:p>
    <w:p>
      <w:pPr>
        <w:pStyle w:val="Normal"/>
        <w:spacing w:lineRule="auto" w:line="240" w:before="0" w:after="0"/>
        <w:rPr>
          <w:rFonts w:ascii="Arial Nova Cond" w:hAnsi="Arial Nova Cond" w:cs="Calibri"/>
          <w:sz w:val="28"/>
          <w:szCs w:val="28"/>
        </w:rPr>
      </w:pPr>
      <w:r>
        <w:rPr>
          <w:rFonts w:cs="Calibri" w:ascii="Arial Nova Cond" w:hAnsi="Arial Nova Cond"/>
          <w:sz w:val="28"/>
          <w:szCs w:val="28"/>
        </w:rPr>
      </w:r>
    </w:p>
    <w:p>
      <w:pPr>
        <w:pStyle w:val="Heading1"/>
        <w:spacing w:lineRule="auto" w:line="240" w:before="0" w:after="0"/>
        <w:rPr>
          <w:rFonts w:ascii="Arial Nova Cond" w:hAnsi="Arial Nova Cond" w:cs="Calibri Light" w:cstheme="majorHAnsi"/>
          <w:color w:val="auto"/>
          <w:sz w:val="26"/>
          <w:szCs w:val="26"/>
        </w:rPr>
      </w:pPr>
      <w:bookmarkStart w:id="21" w:name="_Toc183619807"/>
      <w:r>
        <w:rPr>
          <w:rFonts w:eastAsia="Times New Roman" w:cs="Calibri Light" w:ascii="Arial Nova Cond" w:hAnsi="Arial Nova Cond" w:cstheme="majorHAnsi"/>
          <w:b/>
          <w:smallCaps/>
          <w:color w:val="auto"/>
          <w:sz w:val="26"/>
          <w:szCs w:val="26"/>
          <w:u w:val="single"/>
          <w:lang w:eastAsia="fr-FR"/>
        </w:rPr>
        <w:t>CHAPITRE 4 : CONGES PAYES</w:t>
      </w:r>
      <w:bookmarkEnd w:id="21"/>
    </w:p>
    <w:p>
      <w:pPr>
        <w:pStyle w:val="Normal"/>
        <w:spacing w:lineRule="auto" w:line="240" w:before="0" w:after="0"/>
        <w:rPr>
          <w:rFonts w:ascii="Arial Nova Cond" w:hAnsi="Arial Nova Cond" w:cs="Calibri"/>
          <w:sz w:val="28"/>
          <w:szCs w:val="28"/>
        </w:rPr>
      </w:pPr>
      <w:r>
        <w:rPr>
          <w:rFonts w:cs="Calibri" w:ascii="Arial Nova Cond" w:hAnsi="Arial Nova Cond"/>
          <w:sz w:val="28"/>
          <w:szCs w:val="28"/>
        </w:rPr>
      </w:r>
    </w:p>
    <w:p>
      <w:pPr>
        <w:pStyle w:val="Heading2"/>
        <w:spacing w:lineRule="auto" w:line="240" w:before="0" w:after="0"/>
        <w:rPr>
          <w:rFonts w:ascii="Arial Nova Cond" w:hAnsi="Arial Nova Cond" w:cs="Calibri Light" w:cstheme="majorHAnsi"/>
          <w:b/>
          <w:color w:val="auto"/>
          <w:sz w:val="24"/>
          <w:szCs w:val="24"/>
          <w:u w:val="single"/>
        </w:rPr>
      </w:pPr>
      <w:bookmarkStart w:id="22" w:name="_Toc183619808"/>
      <w:r>
        <w:rPr>
          <w:rFonts w:cs="Calibri Light" w:ascii="Arial Nova Cond" w:hAnsi="Arial Nova Cond" w:cstheme="majorHAnsi"/>
          <w:b/>
          <w:color w:val="auto"/>
          <w:sz w:val="24"/>
          <w:szCs w:val="24"/>
          <w:u w:val="single"/>
        </w:rPr>
        <w:t>Article 4.1 : Période de référence pour l’acquisition des congés payés</w:t>
      </w:r>
      <w:bookmarkEnd w:id="22"/>
    </w:p>
    <w:p>
      <w:pPr>
        <w:pStyle w:val="Normal"/>
        <w:spacing w:lineRule="auto" w:line="240" w:before="0" w:after="0"/>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 xml:space="preserve">La période d’acquisition des congés payés est modifiée pour la faire coïncider avec la période de référence de l’annualisation. </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 xml:space="preserve">La période d’acquisition des congés payés </w:t>
      </w:r>
      <w:r>
        <w:rPr>
          <w:rFonts w:cs="Calibri Light" w:ascii="Arial Nova Cond" w:hAnsi="Arial Nova Cond" w:cstheme="majorHAnsi"/>
        </w:rPr>
        <w:t>débute donc le 1</w:t>
      </w:r>
      <w:r>
        <w:rPr>
          <w:rFonts w:cs="Calibri Light" w:ascii="Arial Nova Cond" w:hAnsi="Arial Nova Cond" w:cstheme="majorHAnsi"/>
          <w:vertAlign w:val="superscript"/>
        </w:rPr>
        <w:t>er</w:t>
      </w:r>
      <w:r>
        <w:rPr>
          <w:rFonts w:cs="Calibri Light" w:ascii="Arial Nova Cond" w:hAnsi="Arial Nova Cond" w:cstheme="majorHAnsi"/>
        </w:rPr>
        <w:t xml:space="preserve"> janvier et se termine le 31 décembre de la même année.</w:t>
      </w:r>
    </w:p>
    <w:p>
      <w:pPr>
        <w:pStyle w:val="Normal"/>
        <w:spacing w:lineRule="auto" w:line="240" w:before="0" w:after="0"/>
        <w:rPr>
          <w:rFonts w:ascii="Arial Nova Cond" w:hAnsi="Arial Nova Cond"/>
        </w:rPr>
      </w:pPr>
      <w:r>
        <w:rPr>
          <w:rFonts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23" w:name="_Toc183619809"/>
      <w:r>
        <w:rPr>
          <w:rFonts w:cs="Calibri Light" w:ascii="Arial Nova Cond" w:hAnsi="Arial Nova Cond" w:cstheme="majorHAnsi"/>
          <w:b/>
          <w:color w:val="auto"/>
          <w:sz w:val="24"/>
          <w:szCs w:val="24"/>
          <w:u w:val="single"/>
        </w:rPr>
        <w:t>Article 4.2 : Période de référence pour la prise des congés payés</w:t>
      </w:r>
      <w:bookmarkEnd w:id="23"/>
    </w:p>
    <w:p>
      <w:pPr>
        <w:pStyle w:val="Normal"/>
        <w:spacing w:lineRule="auto" w:line="240" w:before="0" w:after="0"/>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rPr>
      </w:pPr>
      <w:r>
        <w:rPr>
          <w:rFonts w:cs="Calibri" w:ascii="Arial Nova Cond" w:hAnsi="Arial Nova Cond"/>
        </w:rPr>
        <w:t xml:space="preserve">La période de prise des congés payés est également modifiée pour la faire coïncider </w:t>
      </w:r>
      <w:r>
        <w:rPr>
          <w:rFonts w:ascii="Arial Nova Cond" w:hAnsi="Arial Nova Cond"/>
        </w:rPr>
        <w:t xml:space="preserve">avec la période de référence de l’annualisation. </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cs="Calibri Light" w:cstheme="majorHAnsi"/>
        </w:rPr>
      </w:pPr>
      <w:r>
        <w:rPr>
          <w:rFonts w:cs="Calibri" w:ascii="Arial Nova Cond" w:hAnsi="Arial Nova Cond"/>
        </w:rPr>
        <w:t xml:space="preserve">La période de prise des congés payés </w:t>
      </w:r>
      <w:r>
        <w:rPr>
          <w:rFonts w:cs="Calibri Light" w:ascii="Arial Nova Cond" w:hAnsi="Arial Nova Cond" w:cstheme="majorHAnsi"/>
        </w:rPr>
        <w:t>s’étend donc également du 1</w:t>
      </w:r>
      <w:r>
        <w:rPr>
          <w:rFonts w:cs="Calibri Light" w:ascii="Arial Nova Cond" w:hAnsi="Arial Nova Cond" w:cstheme="majorHAnsi"/>
          <w:vertAlign w:val="superscript"/>
        </w:rPr>
        <w:t>er</w:t>
      </w:r>
      <w:r>
        <w:rPr>
          <w:rFonts w:cs="Calibri Light" w:ascii="Arial Nova Cond" w:hAnsi="Arial Nova Cond" w:cstheme="majorHAnsi"/>
        </w:rPr>
        <w:t xml:space="preserve"> janvier au 31 décembre de la même année.</w:t>
      </w:r>
    </w:p>
    <w:p>
      <w:pPr>
        <w:pStyle w:val="Normal"/>
        <w:spacing w:lineRule="auto" w:line="240" w:before="0" w:after="0"/>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cs="Calibri"/>
        </w:rPr>
      </w:pPr>
      <w:r>
        <w:rPr>
          <w:rFonts w:cs="Calibri" w:ascii="Arial Nova Cond" w:hAnsi="Arial Nova Cond"/>
        </w:rPr>
        <w:t>Ainsi, les congés payés acquis sur la période de référence N (du 1</w:t>
      </w:r>
      <w:r>
        <w:rPr>
          <w:rFonts w:cs="Calibri" w:ascii="Arial Nova Cond" w:hAnsi="Arial Nova Cond"/>
          <w:vertAlign w:val="superscript"/>
        </w:rPr>
        <w:t>er</w:t>
      </w:r>
      <w:r>
        <w:rPr>
          <w:rFonts w:cs="Calibri" w:ascii="Arial Nova Cond" w:hAnsi="Arial Nova Cond"/>
        </w:rPr>
        <w:t xml:space="preserve"> janvier au 31 décembre N) sont à prendre durant la période de référence N+1 (du 1</w:t>
      </w:r>
      <w:r>
        <w:rPr>
          <w:rFonts w:cs="Calibri" w:ascii="Arial Nova Cond" w:hAnsi="Arial Nova Cond"/>
          <w:vertAlign w:val="superscript"/>
        </w:rPr>
        <w:t>er</w:t>
      </w:r>
      <w:r>
        <w:rPr>
          <w:rFonts w:cs="Calibri" w:ascii="Arial Nova Cond" w:hAnsi="Arial Nova Cond"/>
        </w:rPr>
        <w:t xml:space="preserve"> janvier au 31 décembre N+1).</w:t>
      </w:r>
    </w:p>
    <w:p>
      <w:pPr>
        <w:pStyle w:val="Normal"/>
        <w:spacing w:lineRule="auto" w:line="240" w:before="0" w:after="0"/>
        <w:jc w:val="both"/>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cs="Calibri"/>
        </w:rPr>
      </w:pPr>
      <w:r>
        <w:rPr>
          <w:rFonts w:cs="Calibri" w:ascii="Arial Nova Cond" w:hAnsi="Arial Nova Cond"/>
        </w:rPr>
        <w:t xml:space="preserve">Les congés payés non pris du fait du salarié au terme de la période de prise, sont perdus. De même, la prise de congés payés en dehors de la période légale, à l’initiative de la Société ou des salariés, n’ouvre pas droit aux jours de repos supplémentaires pour fractionnement. </w:t>
      </w:r>
    </w:p>
    <w:p>
      <w:pPr>
        <w:pStyle w:val="Normal"/>
        <w:spacing w:lineRule="auto" w:line="240" w:before="0" w:after="0"/>
        <w:rPr>
          <w:rFonts w:ascii="Arial Nova Cond" w:hAnsi="Arial Nova Cond" w:cs="Calibri"/>
        </w:rPr>
      </w:pPr>
      <w:r>
        <w:rPr>
          <w:rFonts w:cs="Calibri" w:ascii="Arial Nova Cond" w:hAnsi="Arial Nova Cond"/>
        </w:rPr>
      </w:r>
    </w:p>
    <w:p>
      <w:pPr>
        <w:pStyle w:val="Normal"/>
        <w:spacing w:lineRule="auto" w:line="240" w:before="0" w:after="0"/>
        <w:rPr>
          <w:rFonts w:ascii="Arial Nova Cond" w:hAnsi="Arial Nova Cond" w:cs="Calibri"/>
        </w:rPr>
      </w:pPr>
      <w:r>
        <w:rPr>
          <w:rFonts w:cs="Calibr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24" w:name="_Toc183619810"/>
      <w:r>
        <w:rPr>
          <w:rFonts w:cs="Calibri Light" w:ascii="Arial Nova Cond" w:hAnsi="Arial Nova Cond" w:cstheme="majorHAnsi"/>
          <w:b/>
          <w:color w:val="auto"/>
          <w:sz w:val="24"/>
          <w:szCs w:val="24"/>
          <w:u w:val="single"/>
        </w:rPr>
        <w:t>Article 4.3 : Période transitoire</w:t>
      </w:r>
      <w:bookmarkEnd w:id="24"/>
    </w:p>
    <w:p>
      <w:pPr>
        <w:pStyle w:val="Normal"/>
        <w:spacing w:lineRule="auto" w:line="240" w:before="0" w:after="0"/>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La mise en œuvre des dispositions du présent chapitre nécessite une période transitoire. Cette dernière consiste en une résorption du reliquat de congés payés acquis avant l’entrée en vigueur de la nouvelle période de prise des congés payés.</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Pour une date d’entrée en vigueur de l’Accord au 31 décembre 2024, la nouvelle période d’acquisition des congés payés s’appliquera, pour la première fois, du 1</w:t>
      </w:r>
      <w:r>
        <w:rPr>
          <w:rFonts w:ascii="Arial Nova Cond" w:hAnsi="Arial Nova Cond"/>
          <w:vertAlign w:val="superscript"/>
        </w:rPr>
        <w:t>er</w:t>
      </w:r>
      <w:r>
        <w:rPr>
          <w:rFonts w:ascii="Arial Nova Cond" w:hAnsi="Arial Nova Cond"/>
        </w:rPr>
        <w:t xml:space="preserve"> janvier 2025 au 31 décembre 2025. La nouvelle période de prise des congés payés s’appliquera, pour la première fois, sur l’année 2026 (du 1</w:t>
      </w:r>
      <w:r>
        <w:rPr>
          <w:rFonts w:ascii="Arial Nova Cond" w:hAnsi="Arial Nova Cond"/>
          <w:vertAlign w:val="superscript"/>
        </w:rPr>
        <w:t>er</w:t>
      </w:r>
      <w:r>
        <w:rPr>
          <w:rFonts w:ascii="Arial Nova Cond" w:hAnsi="Arial Nova Cond"/>
        </w:rPr>
        <w:t xml:space="preserve"> janvier 2026 au 31 décembre 2026). En conséquence, les congés payés acquis sur l’année 2025 (1</w:t>
      </w:r>
      <w:r>
        <w:rPr>
          <w:rFonts w:ascii="Arial Nova Cond" w:hAnsi="Arial Nova Cond"/>
          <w:vertAlign w:val="superscript"/>
        </w:rPr>
        <w:t>er</w:t>
      </w:r>
      <w:r>
        <w:rPr>
          <w:rFonts w:ascii="Arial Nova Cond" w:hAnsi="Arial Nova Cond"/>
        </w:rPr>
        <w:t xml:space="preserve"> janvier 2025 au 31 décembre 2025) devront être pris sur l’année 2026 (du 1</w:t>
      </w:r>
      <w:r>
        <w:rPr>
          <w:rFonts w:ascii="Arial Nova Cond" w:hAnsi="Arial Nova Cond"/>
          <w:vertAlign w:val="superscript"/>
        </w:rPr>
        <w:t>er</w:t>
      </w:r>
      <w:r>
        <w:rPr>
          <w:rFonts w:ascii="Arial Nova Cond" w:hAnsi="Arial Nova Cond"/>
        </w:rPr>
        <w:t xml:space="preserve"> janvier au 31 décembre 2026).</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A titre transitoire, il convient donc qu’avant le 31 décembre 2025, les salariés prennent tous les jours de congés payés qu’ils ont acquis avant le 1</w:t>
      </w:r>
      <w:r>
        <w:rPr>
          <w:rFonts w:ascii="Arial Nova Cond" w:hAnsi="Arial Nova Cond"/>
          <w:vertAlign w:val="superscript"/>
        </w:rPr>
        <w:t>er</w:t>
      </w:r>
      <w:r>
        <w:rPr>
          <w:rFonts w:ascii="Arial Nova Cond" w:hAnsi="Arial Nova Cond"/>
        </w:rPr>
        <w:t xml:space="preserve"> janvier 2025 :</w:t>
      </w:r>
    </w:p>
    <w:p>
      <w:pPr>
        <w:pStyle w:val="Normal"/>
        <w:spacing w:lineRule="auto" w:line="240" w:before="0" w:after="0"/>
        <w:jc w:val="both"/>
        <w:rPr>
          <w:rFonts w:ascii="Arial Nova Cond" w:hAnsi="Arial Nova Cond"/>
        </w:rPr>
      </w:pPr>
      <w:r>
        <w:rPr>
          <w:rFonts w:ascii="Arial Nova Cond" w:hAnsi="Arial Nova Cond"/>
        </w:rPr>
      </w:r>
    </w:p>
    <w:tbl>
      <w:tblPr>
        <w:tblStyle w:val="Grilledutableau"/>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122"/>
        <w:gridCol w:w="6939"/>
      </w:tblGrid>
      <w:tr>
        <w:trPr/>
        <w:tc>
          <w:tcPr>
            <w:tcW w:w="9061" w:type="dxa"/>
            <w:gridSpan w:val="2"/>
            <w:tcBorders/>
            <w:shd w:color="auto" w:fill="D9D9D9" w:themeFill="background1" w:themeFillShade="d9" w:val="clear"/>
          </w:tcPr>
          <w:p>
            <w:pPr>
              <w:pStyle w:val="Normal"/>
              <w:widowControl/>
              <w:spacing w:lineRule="auto" w:line="240" w:before="0" w:after="0"/>
              <w:jc w:val="both"/>
              <w:rPr>
                <w:rFonts w:ascii="Arial Nova Cond" w:hAnsi="Arial Nova Cond"/>
                <w:sz w:val="20"/>
                <w:szCs w:val="20"/>
              </w:rPr>
            </w:pPr>
            <w:r>
              <w:rPr>
                <w:rFonts w:eastAsia="Calibri" w:cs="" w:ascii="Arial Nova Cond" w:hAnsi="Arial Nova Cond"/>
                <w:kern w:val="0"/>
                <w:sz w:val="20"/>
                <w:szCs w:val="20"/>
                <w:lang w:val="fr-FR" w:eastAsia="en-US" w:bidi="ar-SA"/>
              </w:rPr>
              <w:t>Période transitoire</w:t>
            </w:r>
          </w:p>
        </w:tc>
      </w:tr>
      <w:tr>
        <w:trPr>
          <w:trHeight w:val="510" w:hRule="atLeast"/>
        </w:trPr>
        <w:tc>
          <w:tcPr>
            <w:tcW w:w="2122" w:type="dxa"/>
            <w:tcBorders/>
            <w:vAlign w:val="center"/>
          </w:tcPr>
          <w:p>
            <w:pPr>
              <w:pStyle w:val="Normal"/>
              <w:widowControl/>
              <w:spacing w:lineRule="auto" w:line="240" w:before="0" w:after="0"/>
              <w:jc w:val="center"/>
              <w:rPr>
                <w:rFonts w:ascii="Arial Nova Cond" w:hAnsi="Arial Nova Cond"/>
                <w:sz w:val="20"/>
                <w:szCs w:val="20"/>
              </w:rPr>
            </w:pPr>
            <w:r>
              <w:rPr>
                <w:rFonts w:eastAsia="Calibri" w:cs="" w:ascii="Arial Nova Cond" w:hAnsi="Arial Nova Cond"/>
                <w:kern w:val="0"/>
                <w:sz w:val="20"/>
                <w:szCs w:val="20"/>
                <w:lang w:val="fr-FR" w:eastAsia="en-US" w:bidi="ar-SA"/>
              </w:rPr>
              <w:t>Année civile 2025</w:t>
            </w:r>
          </w:p>
        </w:tc>
        <w:tc>
          <w:tcPr>
            <w:tcW w:w="6939" w:type="dxa"/>
            <w:tcBorders/>
            <w:vAlign w:val="center"/>
          </w:tcPr>
          <w:p>
            <w:pPr>
              <w:pStyle w:val="Normal"/>
              <w:widowControl/>
              <w:spacing w:lineRule="auto" w:line="240" w:before="0" w:after="0"/>
              <w:jc w:val="left"/>
              <w:rPr>
                <w:rFonts w:ascii="Arial Nova Cond" w:hAnsi="Arial Nova Cond"/>
                <w:sz w:val="20"/>
                <w:szCs w:val="20"/>
              </w:rPr>
            </w:pPr>
            <w:r>
              <w:rPr>
                <w:rFonts w:eastAsia="Calibri" w:cs="" w:ascii="Arial Nova Cond" w:hAnsi="Arial Nova Cond"/>
                <w:kern w:val="0"/>
                <w:sz w:val="20"/>
                <w:szCs w:val="20"/>
                <w:lang w:val="fr-FR" w:eastAsia="en-US" w:bidi="ar-SA"/>
              </w:rPr>
              <w:t>Prise des congés payés acquis le 1</w:t>
            </w:r>
            <w:r>
              <w:rPr>
                <w:rFonts w:eastAsia="Calibri" w:cs="" w:ascii="Arial Nova Cond" w:hAnsi="Arial Nova Cond"/>
                <w:kern w:val="0"/>
                <w:sz w:val="20"/>
                <w:szCs w:val="20"/>
                <w:vertAlign w:val="superscript"/>
                <w:lang w:val="fr-FR" w:eastAsia="en-US" w:bidi="ar-SA"/>
              </w:rPr>
              <w:t>er</w:t>
            </w:r>
            <w:r>
              <w:rPr>
                <w:rFonts w:eastAsia="Calibri" w:cs="" w:ascii="Arial Nova Cond" w:hAnsi="Arial Nova Cond"/>
                <w:kern w:val="0"/>
                <w:sz w:val="20"/>
                <w:szCs w:val="20"/>
                <w:lang w:val="fr-FR" w:eastAsia="en-US" w:bidi="ar-SA"/>
              </w:rPr>
              <w:t xml:space="preserve"> janvier 2025</w:t>
            </w:r>
          </w:p>
        </w:tc>
      </w:tr>
      <w:tr>
        <w:trPr/>
        <w:tc>
          <w:tcPr>
            <w:tcW w:w="2122" w:type="dxa"/>
            <w:tcBorders/>
            <w:vAlign w:val="center"/>
          </w:tcPr>
          <w:p>
            <w:pPr>
              <w:pStyle w:val="Normal"/>
              <w:widowControl/>
              <w:spacing w:lineRule="auto" w:line="240" w:before="0" w:after="0"/>
              <w:jc w:val="center"/>
              <w:rPr>
                <w:rFonts w:ascii="Arial Nova Cond" w:hAnsi="Arial Nova Cond"/>
                <w:sz w:val="20"/>
                <w:szCs w:val="20"/>
              </w:rPr>
            </w:pPr>
            <w:r>
              <w:rPr>
                <w:rFonts w:eastAsia="Calibri" w:cs="" w:ascii="Arial Nova Cond" w:hAnsi="Arial Nova Cond"/>
                <w:kern w:val="0"/>
                <w:sz w:val="20"/>
                <w:szCs w:val="20"/>
                <w:lang w:val="fr-FR" w:eastAsia="en-US" w:bidi="ar-SA"/>
              </w:rPr>
              <w:t>Année civile 2026</w:t>
            </w:r>
          </w:p>
          <w:p>
            <w:pPr>
              <w:pStyle w:val="Normal"/>
              <w:widowControl/>
              <w:spacing w:lineRule="auto" w:line="240" w:before="0" w:after="0"/>
              <w:jc w:val="center"/>
              <w:rPr>
                <w:rFonts w:ascii="Arial Nova Cond" w:hAnsi="Arial Nova Cond"/>
                <w:sz w:val="20"/>
                <w:szCs w:val="20"/>
              </w:rPr>
            </w:pPr>
            <w:r>
              <w:rPr>
                <w:rFonts w:eastAsia="Calibri" w:cs="" w:ascii="Arial Nova Cond" w:hAnsi="Arial Nova Cond"/>
                <w:kern w:val="0"/>
                <w:sz w:val="20"/>
                <w:szCs w:val="20"/>
                <w:lang w:val="fr-FR" w:eastAsia="en-US" w:bidi="ar-SA"/>
              </w:rPr>
              <w:t>(pleine application du nouveau régime)</w:t>
            </w:r>
          </w:p>
        </w:tc>
        <w:tc>
          <w:tcPr>
            <w:tcW w:w="6939" w:type="dxa"/>
            <w:tcBorders/>
            <w:vAlign w:val="center"/>
          </w:tcPr>
          <w:p>
            <w:pPr>
              <w:pStyle w:val="Normal"/>
              <w:widowControl/>
              <w:spacing w:lineRule="auto" w:line="240" w:before="0" w:after="0"/>
              <w:jc w:val="left"/>
              <w:rPr>
                <w:rFonts w:ascii="Arial Nova Cond" w:hAnsi="Arial Nova Cond"/>
                <w:sz w:val="20"/>
                <w:szCs w:val="20"/>
              </w:rPr>
            </w:pPr>
            <w:r>
              <w:rPr>
                <w:rFonts w:eastAsia="Calibri" w:cs="" w:ascii="Arial Nova Cond" w:hAnsi="Arial Nova Cond"/>
                <w:kern w:val="0"/>
                <w:sz w:val="20"/>
                <w:szCs w:val="20"/>
                <w:lang w:val="fr-FR" w:eastAsia="en-US" w:bidi="ar-SA"/>
              </w:rPr>
              <w:t>Prise des congés payés acquis entre le 1</w:t>
            </w:r>
            <w:r>
              <w:rPr>
                <w:rFonts w:eastAsia="Calibri" w:cs="" w:ascii="Arial Nova Cond" w:hAnsi="Arial Nova Cond"/>
                <w:kern w:val="0"/>
                <w:sz w:val="20"/>
                <w:szCs w:val="20"/>
                <w:vertAlign w:val="superscript"/>
                <w:lang w:val="fr-FR" w:eastAsia="en-US" w:bidi="ar-SA"/>
              </w:rPr>
              <w:t>er</w:t>
            </w:r>
            <w:r>
              <w:rPr>
                <w:rFonts w:eastAsia="Calibri" w:cs="" w:ascii="Arial Nova Cond" w:hAnsi="Arial Nova Cond"/>
                <w:kern w:val="0"/>
                <w:sz w:val="20"/>
                <w:szCs w:val="20"/>
                <w:lang w:val="fr-FR" w:eastAsia="en-US" w:bidi="ar-SA"/>
              </w:rPr>
              <w:t xml:space="preserve"> janvier et le 31 décembre 2025 </w:t>
            </w:r>
          </w:p>
        </w:tc>
      </w:tr>
    </w:tbl>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rPr>
          <w:rFonts w:ascii="Arial Nova Cond" w:hAnsi="Arial Nova Cond" w:cs="Calibri"/>
          <w:sz w:val="28"/>
          <w:szCs w:val="28"/>
        </w:rPr>
      </w:pPr>
      <w:r>
        <w:rPr>
          <w:rFonts w:cs="Calibri" w:ascii="Arial Nova Cond" w:hAnsi="Arial Nova Cond"/>
          <w:sz w:val="28"/>
          <w:szCs w:val="28"/>
        </w:rPr>
      </w:r>
    </w:p>
    <w:p>
      <w:pPr>
        <w:pStyle w:val="Heading1"/>
        <w:spacing w:lineRule="auto" w:line="240" w:before="0" w:after="0"/>
        <w:rPr>
          <w:rFonts w:ascii="Arial Nova Cond" w:hAnsi="Arial Nova Cond" w:cs="Calibri Light" w:cstheme="majorHAnsi"/>
          <w:color w:val="auto"/>
          <w:sz w:val="26"/>
          <w:szCs w:val="26"/>
        </w:rPr>
      </w:pPr>
      <w:bookmarkStart w:id="25" w:name="_Toc183619811"/>
      <w:r>
        <w:rPr>
          <w:rFonts w:eastAsia="Times New Roman" w:cs="Calibri Light" w:ascii="Arial Nova Cond" w:hAnsi="Arial Nova Cond" w:cstheme="majorHAnsi"/>
          <w:b/>
          <w:smallCaps/>
          <w:color w:val="auto"/>
          <w:sz w:val="26"/>
          <w:szCs w:val="26"/>
          <w:u w:val="single"/>
          <w:lang w:eastAsia="fr-FR"/>
        </w:rPr>
        <w:t>CHAPITRE 5 : DISPOSITIONS DIVERSES</w:t>
      </w:r>
      <w:bookmarkEnd w:id="25"/>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26" w:name="_Toc183619812"/>
      <w:r>
        <w:rPr>
          <w:rFonts w:cs="Calibri Light" w:ascii="Arial Nova Cond" w:hAnsi="Arial Nova Cond" w:cstheme="majorHAnsi"/>
          <w:b/>
          <w:color w:val="auto"/>
          <w:sz w:val="24"/>
          <w:szCs w:val="24"/>
          <w:u w:val="single"/>
        </w:rPr>
        <w:t>Article 5.1 : Validité de l’Accord</w:t>
      </w:r>
      <w:bookmarkEnd w:id="26"/>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La validité de l’Accord est subordonnée à son approbation par la majorité </w:t>
      </w:r>
      <w:r>
        <w:rPr>
          <w:rFonts w:cs="Arial" w:ascii="Arial Nova Cond" w:hAnsi="Arial Nova Cond"/>
          <w:sz w:val="21"/>
          <w:szCs w:val="21"/>
          <w:shd w:fill="FFFFFF" w:val="clear"/>
        </w:rPr>
        <w:t>des deux tiers du personnel</w:t>
      </w:r>
      <w:r>
        <w:rPr>
          <w:rFonts w:cs="Calibri Light" w:ascii="Arial Nova Cond" w:hAnsi="Arial Nova Cond" w:cstheme="majorHAnsi"/>
        </w:rPr>
        <w:t>. A défaut, il sera réputé non écrit.</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color w:val="auto"/>
        </w:rPr>
      </w:pPr>
      <w:r>
        <w:rPr>
          <w:rFonts w:cs="Calibri Light" w:cstheme="majorHAnsi" w:ascii="Arial Nova Cond" w:hAnsi="Arial Nova Cond"/>
          <w:color w:themeColor="accent1" w:themeShade="bf" w:val="auto"/>
        </w:rPr>
      </w:r>
    </w:p>
    <w:p>
      <w:pPr>
        <w:pStyle w:val="Heading2"/>
        <w:spacing w:lineRule="auto" w:line="240" w:before="0" w:after="0"/>
        <w:rPr>
          <w:rFonts w:ascii="Arial Nova Cond" w:hAnsi="Arial Nova Cond" w:cs="Calibri Light" w:cstheme="majorHAnsi"/>
          <w:b/>
          <w:color w:val="auto"/>
          <w:sz w:val="24"/>
          <w:szCs w:val="24"/>
          <w:u w:val="single"/>
        </w:rPr>
      </w:pPr>
      <w:bookmarkStart w:id="27" w:name="_Toc183619813"/>
      <w:r>
        <w:rPr>
          <w:rFonts w:cs="Calibri Light" w:ascii="Arial Nova Cond" w:hAnsi="Arial Nova Cond" w:cstheme="majorHAnsi"/>
          <w:b/>
          <w:color w:val="auto"/>
          <w:sz w:val="24"/>
          <w:szCs w:val="24"/>
          <w:u w:val="single"/>
        </w:rPr>
        <w:t>Article 5.2 : Durée et suivi</w:t>
      </w:r>
      <w:bookmarkEnd w:id="27"/>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L’Accord est conclu pour une durée indéterminée.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Style w:val="txt"/>
          <w:rFonts w:ascii="Arial Nova Cond" w:hAnsi="Arial Nova Cond"/>
        </w:rPr>
      </w:pPr>
      <w:r>
        <w:rPr>
          <w:rFonts w:cs="Calibri Light" w:ascii="Arial Nova Cond" w:hAnsi="Arial Nova Cond" w:cstheme="majorHAnsi"/>
        </w:rPr>
        <w:t xml:space="preserve">Les Parties s’engagent à se réunir au moins tous les deux ans pour faire le bilan de l’Accord et prendre la décision, le cas échéant, de le réviser. </w:t>
      </w:r>
      <w:r>
        <w:rPr>
          <w:rStyle w:val="txt"/>
          <w:rFonts w:ascii="Arial Nova Cond" w:hAnsi="Arial Nova Cond"/>
        </w:rPr>
        <w:t>Les Parties conviennent également de se revoir en cas de modification des règles légales ou réglementaires impactant significativement les termes de l’Accord.</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28" w:name="_Toc183619814"/>
      <w:r>
        <w:rPr>
          <w:rFonts w:cs="Calibri Light" w:ascii="Arial Nova Cond" w:hAnsi="Arial Nova Cond" w:cstheme="majorHAnsi"/>
          <w:b/>
          <w:color w:val="auto"/>
          <w:sz w:val="24"/>
          <w:szCs w:val="24"/>
          <w:u w:val="single"/>
        </w:rPr>
        <w:t>Article 5.3 : Révision et dénonciation</w:t>
      </w:r>
      <w:bookmarkEnd w:id="28"/>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révision et la dénonciation de l’Accord se feront selon les modalités légales en vigueur.</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L’avenant portant révision totale ou partielle de l’Accord se substitue de plein droit aux dispositions de l’Accord qu’il révise et est opposable, sous réserve de son dépôt, à l’ensemble des salariés de la Société.</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L’Accord pourra être dénoncé par les Parties dans le mois qui suit sa date d’anniversaire (date de l’entrée en vigueur de l’Accord), par courrier RAR adressé à l’autre Partie. La dénonciation sera effective au terme d’un préavis de trois mois.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rPr>
          <w:rFonts w:ascii="Arial Nova Cond" w:hAnsi="Arial Nova Cond" w:cs="Calibri Light" w:cstheme="majorHAnsi"/>
          <w:b/>
          <w:color w:val="auto"/>
          <w:sz w:val="24"/>
          <w:szCs w:val="24"/>
          <w:u w:val="single"/>
        </w:rPr>
      </w:pPr>
      <w:bookmarkStart w:id="29" w:name="_Toc183619815"/>
      <w:r>
        <w:rPr>
          <w:rFonts w:cs="Calibri Light" w:ascii="Arial Nova Cond" w:hAnsi="Arial Nova Cond" w:cstheme="majorHAnsi"/>
          <w:b/>
          <w:color w:val="auto"/>
          <w:sz w:val="24"/>
          <w:szCs w:val="24"/>
          <w:u w:val="single"/>
        </w:rPr>
        <w:t>Article 5.4 : Dépôt, publicité et entrée en vigueur</w:t>
      </w:r>
      <w:bookmarkEnd w:id="29"/>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Conformément aux dispositions en vigueur, après approbation de l’Accord par les salariés de la Société, l’Accord sera déposé par la Société sur la plateforme de téléprocédure TéléAccords (</w:t>
      </w:r>
      <w:hyperlink r:id="rId2">
        <w:r>
          <w:rPr>
            <w:rStyle w:val="Hyperlink"/>
            <w:rFonts w:cs="Calibri Light" w:ascii="Arial Nova Cond" w:hAnsi="Arial Nova Cond" w:cstheme="majorHAnsi"/>
            <w:color w:val="auto"/>
          </w:rPr>
          <w:t>www.teleaccords.travail-emploi.gouv.fr</w:t>
        </w:r>
      </w:hyperlink>
      <w:r>
        <w:rPr>
          <w:rFonts w:cs="Calibri Light" w:ascii="Arial Nova Cond" w:hAnsi="Arial Nova Cond" w:cstheme="majorHAnsi"/>
        </w:rPr>
        <w:t xml:space="preserve">) dans les formes requises.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La Société adressera également un exemplaire de l’Accord au greffe du Conseil de prud’hommes d’Avignon.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L’Accord entrera en vigueur le 31 décembre 2024, après l’accomplissement de ces formalités de dépôt.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Fait à Viens, le 19 décembre 2024 </w:t>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En trois exemplaires originaux,</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tabs>
          <w:tab w:val="clear" w:pos="708"/>
          <w:tab w:val="left" w:pos="5334" w:leader="none"/>
        </w:tabs>
        <w:spacing w:lineRule="auto" w:line="240" w:before="0" w:after="0"/>
        <w:jc w:val="both"/>
        <w:rPr>
          <w:rFonts w:ascii="Arial Nova Cond" w:hAnsi="Arial Nova Cond" w:cs="Calibri Light" w:cstheme="majorHAnsi"/>
        </w:rPr>
      </w:pPr>
      <w:r>
        <w:rPr>
          <w:rFonts w:cs="Calibri Light" w:ascii="Arial Nova Cond" w:hAnsi="Arial Nova Cond" w:cstheme="majorHAnsi"/>
        </w:rPr>
        <w:t>Pour la Société</w:t>
      </w:r>
    </w:p>
    <w:p>
      <w:pPr>
        <w:pStyle w:val="Normal"/>
        <w:tabs>
          <w:tab w:val="clear" w:pos="708"/>
          <w:tab w:val="left" w:pos="5334" w:leader="none"/>
        </w:tabs>
        <w:spacing w:lineRule="auto" w:line="240" w:before="0" w:after="0"/>
        <w:jc w:val="both"/>
        <w:rPr>
          <w:rFonts w:ascii="Arial Nova Cond" w:hAnsi="Arial Nova Cond" w:cs="Calibri Light" w:cstheme="majorHAnsi"/>
        </w:rPr>
      </w:pPr>
      <w:r>
        <w:rPr/>
      </w:r>
    </w:p>
    <w:p>
      <w:pPr>
        <w:pStyle w:val="Normal"/>
        <w:tabs>
          <w:tab w:val="clear" w:pos="708"/>
          <w:tab w:val="left" w:pos="5334" w:leader="none"/>
        </w:tabs>
        <w:spacing w:lineRule="auto" w:line="240" w:before="0" w:after="0"/>
        <w:jc w:val="both"/>
        <w:rPr>
          <w:rFonts w:ascii="Arial Nova Cond" w:hAnsi="Arial Nova Cond" w:cs="Calibri Light" w:cstheme="majorHAnsi"/>
        </w:rPr>
      </w:pPr>
      <w:r>
        <w:rPr>
          <w:rFonts w:cs="Calibri Light" w:ascii="Arial Nova Cond" w:hAnsi="Arial Nova Cond" w:cstheme="majorHAnsi"/>
        </w:rPr>
        <w:t>Présidente</w:t>
      </w:r>
    </w:p>
    <w:p>
      <w:pPr>
        <w:pStyle w:val="Normal"/>
        <w:tabs>
          <w:tab w:val="clear" w:pos="708"/>
          <w:tab w:val="left" w:pos="5334" w:leader="none"/>
        </w:tabs>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w:color w:val="auto"/>
          <w:sz w:val="22"/>
          <w:szCs w:val="22"/>
        </w:rPr>
      </w:pPr>
      <w:bookmarkStart w:id="30" w:name="_Hlk41572947"/>
      <w:bookmarkStart w:id="31" w:name="_Toc183619816"/>
      <w:bookmarkEnd w:id="30"/>
      <w:r>
        <w:rPr>
          <w:rFonts w:cs="Calibri" w:ascii="Arial Nova Cond" w:hAnsi="Arial Nova Cond"/>
          <w:color w:val="auto"/>
          <w:sz w:val="22"/>
          <w:szCs w:val="22"/>
        </w:rPr>
        <w:t>Annexe 1 : Modèle de tableau de décompte individuel du temps de travail</w:t>
      </w:r>
      <w:bookmarkEnd w:id="31"/>
      <w:r>
        <w:rPr>
          <w:rFonts w:cs="Calibri" w:ascii="Arial Nova Cond" w:hAnsi="Arial Nova Cond"/>
          <w:color w:val="auto"/>
          <w:sz w:val="22"/>
          <w:szCs w:val="22"/>
        </w:rPr>
        <w:t xml:space="preserve"> </w:t>
      </w:r>
    </w:p>
    <w:p>
      <w:pPr>
        <w:pStyle w:val="Heading2"/>
        <w:spacing w:lineRule="auto" w:line="240" w:before="0" w:after="0"/>
        <w:rPr>
          <w:rFonts w:ascii="Arial Nova Cond" w:hAnsi="Arial Nova Cond" w:cs="Calibri"/>
        </w:rPr>
      </w:pPr>
      <w:bookmarkStart w:id="32" w:name="_Toc183619817"/>
      <w:r>
        <w:rPr>
          <w:rFonts w:cs="Calibri Light" w:ascii="Arial Nova Cond" w:hAnsi="Arial Nova Cond" w:cstheme="majorHAnsi"/>
          <w:color w:val="auto"/>
          <w:sz w:val="22"/>
          <w:szCs w:val="22"/>
        </w:rPr>
        <w:t>Annexe 2 : Procès-verbal du résultat de la consultation des salariés de la Société du 19 décembre 2024</w:t>
      </w:r>
      <w:bookmarkEnd w:id="32"/>
    </w:p>
    <w:p>
      <w:pPr>
        <w:pStyle w:val="Normal"/>
        <w:jc w:val="center"/>
        <w:rPr>
          <w:rFonts w:ascii="Arial Nova Cond" w:hAnsi="Arial Nova Cond" w:cs="Calibri"/>
        </w:rPr>
      </w:pPr>
      <w:r>
        <w:rPr>
          <w:rFonts w:cs="Calibri" w:ascii="Arial Nova Cond" w:hAnsi="Arial Nova Cond"/>
        </w:rPr>
      </w:r>
      <w:bookmarkStart w:id="33" w:name="_Hlk41572947"/>
      <w:bookmarkStart w:id="34" w:name="_Hlk41572947"/>
      <w:bookmarkEnd w:id="34"/>
    </w:p>
    <w:p>
      <w:pPr>
        <w:pStyle w:val="Normal"/>
        <w:rPr>
          <w:rFonts w:ascii="Arial Nova Cond" w:hAnsi="Arial Nova Cond" w:cs="Calibri"/>
          <w:sz w:val="28"/>
          <w:szCs w:val="28"/>
        </w:rPr>
      </w:pPr>
      <w:r>
        <w:rPr/>
        <mc:AlternateContent>
          <mc:Choice Requires="wps">
            <w:drawing>
              <wp:inline distT="0" distB="0" distL="0" distR="0" wp14:anchorId="3C692EB9">
                <wp:extent cx="8134350" cy="5042535"/>
                <wp:effectExtent l="10160" t="33020" r="0" b="0"/>
                <wp:docPr id="1" name="Image 1"/>
                <a:graphic xmlns:a="http://schemas.openxmlformats.org/drawingml/2006/main">
                  <a:graphicData uri="http://schemas.openxmlformats.org/drawingml/2006/picture">
                    <pic:pic xmlns:pic="http://schemas.openxmlformats.org/drawingml/2006/picture">
                      <pic:nvPicPr>
                        <pic:cNvPr id="2" name="Image 1" descr=""/>
                        <pic:cNvPicPr/>
                      </pic:nvPicPr>
                      <pic:blipFill>
                        <a:blip r:embed="rId3"/>
                        <a:stretch/>
                      </pic:blipFill>
                      <pic:spPr>
                        <a:xfrm rot="16200000">
                          <a:off x="0" y="0"/>
                          <a:ext cx="8134200" cy="5042520"/>
                        </a:xfrm>
                        <a:prstGeom prst="rect">
                          <a:avLst/>
                        </a:prstGeom>
                        <a:ln w="0">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1" stroked="f" o:allowincell="f" style="position:absolute;margin-left:-121.7pt;margin-top:-521.45pt;width:640.45pt;height:397pt;mso-wrap-style:none;v-text-anchor:middle;rotation:270;mso-position-vertical:top" wp14:anchorId="3C692EB9" type="_x0000_t75">
                <v:imagedata r:id="rId4" o:detectmouseclick="t"/>
                <v:stroke color="#3465a4" joinstyle="round" endcap="flat"/>
                <w10:wrap type="square"/>
              </v:shape>
            </w:pict>
          </mc:Fallback>
        </mc:AlternateContent>
      </w:r>
    </w:p>
    <w:p>
      <w:pPr>
        <w:pStyle w:val="Normal"/>
        <w:spacing w:before="0" w:after="160"/>
        <w:rPr>
          <w:rFonts w:ascii="Arial Nova Cond" w:hAnsi="Arial Nova Cond" w:cs="Calibri"/>
          <w:sz w:val="28"/>
          <w:szCs w:val="28"/>
        </w:rPr>
      </w:pPr>
      <w:r>
        <w:rPr>
          <w:rFonts w:cs="Calibri" w:ascii="Arial Nova Cond" w:hAnsi="Arial Nova Cond"/>
          <w:sz w:val="28"/>
          <w:szCs w:val="28"/>
        </w:rPr>
      </w:r>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417" w:right="1417" w:gutter="0" w:header="708"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Calibri Light">
    <w:charset w:val="01"/>
    <w:family w:val="auto"/>
    <w:pitch w:val="default"/>
  </w:font>
  <w:font w:name="Segoe UI">
    <w:charset w:val="01"/>
    <w:family w:val="auto"/>
    <w:pitch w:val="default"/>
  </w:font>
  <w:font w:name="Marianne">
    <w:charset w:val="01"/>
    <w:family w:val="auto"/>
    <w:pitch w:val="default"/>
  </w:font>
  <w:font w:name="Arial Nova Cond Light">
    <w:charset w:val="01"/>
    <w:family w:val="auto"/>
    <w:pitch w:val="default"/>
  </w:font>
  <w:font w:name="Arial Nova Cond">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28636285"/>
    </w:sdtPr>
    <w:sdtContent>
      <w:p>
        <w:pPr>
          <w:pStyle w:val="Footer"/>
          <w:jc w:val="center"/>
          <w:rPr>
            <w:rFonts w:ascii="Arial Nova Cond" w:hAnsi="Arial Nova Cond"/>
            <w:sz w:val="20"/>
            <w:szCs w:val="20"/>
          </w:rPr>
        </w:pPr>
        <w:r>
          <w:rPr>
            <w:rFonts w:ascii="Arial Nova Cond" w:hAnsi="Arial Nova Cond"/>
            <w:sz w:val="20"/>
            <w:szCs w:val="20"/>
          </w:rPr>
          <w:t xml:space="preserve">Page </w:t>
        </w:r>
        <w:r>
          <w:rPr>
            <w:rFonts w:ascii="Arial Nova Cond" w:hAnsi="Arial Nova Cond"/>
            <w:b/>
            <w:bCs/>
            <w:sz w:val="20"/>
            <w:szCs w:val="20"/>
          </w:rPr>
          <w:fldChar w:fldCharType="begin"/>
        </w:r>
        <w:r>
          <w:rPr>
            <w:sz w:val="20"/>
            <w:b/>
            <w:szCs w:val="20"/>
            <w:bCs/>
            <w:rFonts w:ascii="Arial Nova Cond" w:hAnsi="Arial Nova Cond"/>
          </w:rPr>
          <w:instrText xml:space="preserve"> PAGE </w:instrText>
        </w:r>
        <w:r>
          <w:rPr>
            <w:sz w:val="20"/>
            <w:b/>
            <w:szCs w:val="20"/>
            <w:bCs/>
            <w:rFonts w:ascii="Arial Nova Cond" w:hAnsi="Arial Nova Cond"/>
          </w:rPr>
          <w:fldChar w:fldCharType="separate"/>
        </w:r>
        <w:r>
          <w:rPr>
            <w:sz w:val="20"/>
            <w:b/>
            <w:szCs w:val="20"/>
            <w:bCs/>
            <w:rFonts w:ascii="Arial Nova Cond" w:hAnsi="Arial Nova Cond"/>
          </w:rPr>
          <w:t>12</w:t>
        </w:r>
        <w:r>
          <w:rPr>
            <w:sz w:val="20"/>
            <w:b/>
            <w:szCs w:val="20"/>
            <w:bCs/>
            <w:rFonts w:ascii="Arial Nova Cond" w:hAnsi="Arial Nova Cond"/>
          </w:rPr>
          <w:fldChar w:fldCharType="end"/>
        </w:r>
        <w:r>
          <w:rPr>
            <w:rFonts w:ascii="Arial Nova Cond" w:hAnsi="Arial Nova Cond"/>
            <w:sz w:val="20"/>
            <w:szCs w:val="20"/>
          </w:rPr>
          <w:t xml:space="preserve"> sur </w:t>
        </w:r>
        <w:r>
          <w:rPr>
            <w:rFonts w:ascii="Arial Nova Cond" w:hAnsi="Arial Nova Cond"/>
            <w:b/>
            <w:bCs/>
            <w:sz w:val="20"/>
            <w:szCs w:val="20"/>
          </w:rPr>
          <w:fldChar w:fldCharType="begin"/>
        </w:r>
        <w:r>
          <w:rPr>
            <w:sz w:val="20"/>
            <w:b/>
            <w:szCs w:val="20"/>
            <w:bCs/>
            <w:rFonts w:ascii="Arial Nova Cond" w:hAnsi="Arial Nova Cond"/>
          </w:rPr>
          <w:instrText xml:space="preserve"> NUMPAGES </w:instrText>
        </w:r>
        <w:r>
          <w:rPr>
            <w:sz w:val="20"/>
            <w:b/>
            <w:szCs w:val="20"/>
            <w:bCs/>
            <w:rFonts w:ascii="Arial Nova Cond" w:hAnsi="Arial Nova Cond"/>
          </w:rPr>
          <w:fldChar w:fldCharType="separate"/>
        </w:r>
        <w:r>
          <w:rPr>
            <w:sz w:val="20"/>
            <w:b/>
            <w:szCs w:val="20"/>
            <w:bCs/>
            <w:rFonts w:ascii="Arial Nova Cond" w:hAnsi="Arial Nova Cond"/>
          </w:rPr>
          <w:t>12</w:t>
        </w:r>
        <w:r>
          <w:rPr>
            <w:sz w:val="20"/>
            <w:b/>
            <w:szCs w:val="20"/>
            <w:bCs/>
            <w:rFonts w:ascii="Arial Nova Cond" w:hAnsi="Arial Nova Cond"/>
          </w:rPr>
          <w:fldChar w:fldCharType="end"/>
        </w:r>
      </w:p>
    </w:sdtContent>
  </w:sdt>
  <w:p>
    <w:pPr>
      <w:pStyle w:val="Footer"/>
      <w:rPr>
        <w:rFonts w:ascii="Arial Nova Cond Light" w:hAnsi="Arial Nova Cond Light"/>
        <w:sz w:val="20"/>
        <w:szCs w:val="20"/>
      </w:rPr>
    </w:pPr>
    <w:r>
      <w:rPr>
        <w:rFonts w:ascii="Arial Nova Cond Light" w:hAnsi="Arial Nova Cond Light"/>
        <w:sz w:val="20"/>
        <w:szCs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28636285"/>
    </w:sdtPr>
    <w:sdtContent>
      <w:p>
        <w:pPr>
          <w:pStyle w:val="Footer"/>
          <w:jc w:val="center"/>
          <w:rPr>
            <w:rFonts w:ascii="Arial Nova Cond" w:hAnsi="Arial Nova Cond"/>
            <w:sz w:val="20"/>
            <w:szCs w:val="20"/>
          </w:rPr>
        </w:pPr>
        <w:r>
          <w:rPr>
            <w:rFonts w:ascii="Arial Nova Cond" w:hAnsi="Arial Nova Cond"/>
            <w:sz w:val="20"/>
            <w:szCs w:val="20"/>
          </w:rPr>
          <w:t xml:space="preserve">Page </w:t>
        </w:r>
        <w:r>
          <w:rPr>
            <w:rFonts w:ascii="Arial Nova Cond" w:hAnsi="Arial Nova Cond"/>
            <w:b/>
            <w:bCs/>
            <w:sz w:val="20"/>
            <w:szCs w:val="20"/>
          </w:rPr>
          <w:fldChar w:fldCharType="begin"/>
        </w:r>
        <w:r>
          <w:rPr>
            <w:sz w:val="20"/>
            <w:b/>
            <w:szCs w:val="20"/>
            <w:bCs/>
            <w:rFonts w:ascii="Arial Nova Cond" w:hAnsi="Arial Nova Cond"/>
          </w:rPr>
          <w:instrText xml:space="preserve"> PAGE </w:instrText>
        </w:r>
        <w:r>
          <w:rPr>
            <w:sz w:val="20"/>
            <w:b/>
            <w:szCs w:val="20"/>
            <w:bCs/>
            <w:rFonts w:ascii="Arial Nova Cond" w:hAnsi="Arial Nova Cond"/>
          </w:rPr>
          <w:fldChar w:fldCharType="separate"/>
        </w:r>
        <w:r>
          <w:rPr>
            <w:sz w:val="20"/>
            <w:b/>
            <w:szCs w:val="20"/>
            <w:bCs/>
            <w:rFonts w:ascii="Arial Nova Cond" w:hAnsi="Arial Nova Cond"/>
          </w:rPr>
          <w:t>12</w:t>
        </w:r>
        <w:r>
          <w:rPr>
            <w:sz w:val="20"/>
            <w:b/>
            <w:szCs w:val="20"/>
            <w:bCs/>
            <w:rFonts w:ascii="Arial Nova Cond" w:hAnsi="Arial Nova Cond"/>
          </w:rPr>
          <w:fldChar w:fldCharType="end"/>
        </w:r>
        <w:r>
          <w:rPr>
            <w:rFonts w:ascii="Arial Nova Cond" w:hAnsi="Arial Nova Cond"/>
            <w:sz w:val="20"/>
            <w:szCs w:val="20"/>
          </w:rPr>
          <w:t xml:space="preserve"> sur </w:t>
        </w:r>
        <w:r>
          <w:rPr>
            <w:rFonts w:ascii="Arial Nova Cond" w:hAnsi="Arial Nova Cond"/>
            <w:b/>
            <w:bCs/>
            <w:sz w:val="20"/>
            <w:szCs w:val="20"/>
          </w:rPr>
          <w:fldChar w:fldCharType="begin"/>
        </w:r>
        <w:r>
          <w:rPr>
            <w:sz w:val="20"/>
            <w:b/>
            <w:szCs w:val="20"/>
            <w:bCs/>
            <w:rFonts w:ascii="Arial Nova Cond" w:hAnsi="Arial Nova Cond"/>
          </w:rPr>
          <w:instrText xml:space="preserve"> NUMPAGES </w:instrText>
        </w:r>
        <w:r>
          <w:rPr>
            <w:sz w:val="20"/>
            <w:b/>
            <w:szCs w:val="20"/>
            <w:bCs/>
            <w:rFonts w:ascii="Arial Nova Cond" w:hAnsi="Arial Nova Cond"/>
          </w:rPr>
          <w:fldChar w:fldCharType="separate"/>
        </w:r>
        <w:r>
          <w:rPr>
            <w:sz w:val="20"/>
            <w:b/>
            <w:szCs w:val="20"/>
            <w:bCs/>
            <w:rFonts w:ascii="Arial Nova Cond" w:hAnsi="Arial Nova Cond"/>
          </w:rPr>
          <w:t>12</w:t>
        </w:r>
        <w:r>
          <w:rPr>
            <w:sz w:val="20"/>
            <w:b/>
            <w:szCs w:val="20"/>
            <w:bCs/>
            <w:rFonts w:ascii="Arial Nova Cond" w:hAnsi="Arial Nova Cond"/>
          </w:rPr>
          <w:fldChar w:fldCharType="end"/>
        </w:r>
      </w:p>
    </w:sdtContent>
  </w:sdt>
  <w:p>
    <w:pPr>
      <w:pStyle w:val="Footer"/>
      <w:rPr>
        <w:rFonts w:ascii="Arial Nova Cond Light" w:hAnsi="Arial Nova Cond Light"/>
        <w:sz w:val="20"/>
        <w:szCs w:val="20"/>
      </w:rPr>
    </w:pPr>
    <w:r>
      <w:rPr>
        <w:rFonts w:ascii="Arial Nova Cond Light" w:hAnsi="Arial Nova Cond Light"/>
        <w:sz w:val="20"/>
        <w:szCs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8022001" o:spid="shape_0" adj="10800" fillcolor="silver" stroked="f" o:allowincell="f" style="position:absolute;margin-left:-0.7pt;margin-top:117.4pt;width:399.65pt;height:163.25pt;mso-wrap-style:none;v-text-anchor:middle;rotation:315;mso-position-horizontal:center;mso-position-horizontal-relative:margin;mso-position-vertical:center;mso-position-vertical-relative:margin" type="_x0000_t136">
          <v:path textpathok="t"/>
          <v:textpath on="t" fitshape="t" string="Projet" style="font-family:&quot;Calibri&quot;;font-size:1pt" trim="t"/>
          <v:fill o:detectmouseclick="t" type="solid" color2="#3f3f3f" opacity="0.5"/>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3"/>
      <w:numFmt w:val="bullet"/>
      <w:lvlText w:val="-"/>
      <w:lvlJc w:val="left"/>
      <w:pPr>
        <w:tabs>
          <w:tab w:val="num" w:pos="0"/>
        </w:tabs>
        <w:ind w:left="720" w:hanging="360"/>
      </w:pPr>
      <w:rPr>
        <w:rFonts w:ascii="Arial Nova Cond Light" w:hAnsi="Arial Nova Cond Light" w:cs="Arial Nova Cond Light" w:hint="default"/>
        <w:rFonts w:cstheme="majorHAnsi"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3"/>
      <w:numFmt w:val="bullet"/>
      <w:lvlText w:val="-"/>
      <w:lvlJc w:val="left"/>
      <w:pPr>
        <w:tabs>
          <w:tab w:val="num" w:pos="720"/>
        </w:tabs>
        <w:ind w:left="720" w:hanging="360"/>
      </w:pPr>
      <w:rPr>
        <w:rFonts w:ascii="Arial Nova Cond Light" w:hAnsi="Arial Nova Cond Light" w:cs="Arial Nova Cond Light" w:hint="default"/>
        <w:sz w:val="24"/>
        <w:i w:val="false"/>
        <w:b w:val="false"/>
        <w:szCs w:val="24"/>
        <w:rFonts w:cstheme="majorHAnsi" w:eastAsiaTheme="minorHAnsi"/>
        <w:lang w:val="fr-F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4">
    <w:lvl w:ilvl="0">
      <w:start w:val="2"/>
      <w:numFmt w:val="bullet"/>
      <w:lvlText w:val="-"/>
      <w:lvlJc w:val="left"/>
      <w:pPr>
        <w:tabs>
          <w:tab w:val="num" w:pos="0"/>
        </w:tabs>
        <w:ind w:left="720" w:hanging="360"/>
      </w:pPr>
      <w:rPr>
        <w:rFonts w:ascii="Arial Nova Cond" w:hAnsi="Arial Nova Cond" w:cs="Arial Nova Cond"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Heading1">
    <w:name w:val="Heading 1"/>
    <w:basedOn w:val="Normal"/>
    <w:next w:val="Normal"/>
    <w:link w:val="Titre1Car"/>
    <w:uiPriority w:val="9"/>
    <w:qFormat/>
    <w:rsid w:val="002d62aa"/>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2">
    <w:name w:val="Heading 2"/>
    <w:basedOn w:val="Normal"/>
    <w:next w:val="Normal"/>
    <w:link w:val="Titre2Car"/>
    <w:uiPriority w:val="9"/>
    <w:unhideWhenUsed/>
    <w:qFormat/>
    <w:rsid w:val="002d62aa"/>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F5496"/>
      <w:sz w:val="26"/>
      <w:szCs w:val="26"/>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uiPriority w:val="99"/>
    <w:qFormat/>
    <w:rsid w:val="00b810ff"/>
    <w:rPr/>
  </w:style>
  <w:style w:type="character" w:styleId="PieddepageCar" w:customStyle="1">
    <w:name w:val="Pied de page Car"/>
    <w:basedOn w:val="DefaultParagraphFont"/>
    <w:uiPriority w:val="99"/>
    <w:qFormat/>
    <w:rsid w:val="00b810ff"/>
    <w:rPr/>
  </w:style>
  <w:style w:type="character" w:styleId="st1" w:customStyle="1">
    <w:name w:val="st1"/>
    <w:basedOn w:val="DefaultParagraphFont"/>
    <w:qFormat/>
    <w:rsid w:val="00253387"/>
    <w:rPr/>
  </w:style>
  <w:style w:type="character" w:styleId="annotationreference">
    <w:name w:val="annotation reference"/>
    <w:basedOn w:val="DefaultParagraphFont"/>
    <w:uiPriority w:val="99"/>
    <w:semiHidden/>
    <w:unhideWhenUsed/>
    <w:qFormat/>
    <w:rsid w:val="005b6fce"/>
    <w:rPr>
      <w:sz w:val="16"/>
      <w:szCs w:val="16"/>
    </w:rPr>
  </w:style>
  <w:style w:type="character" w:styleId="CommentaireCar" w:customStyle="1">
    <w:name w:val="Commentaire Car"/>
    <w:basedOn w:val="DefaultParagraphFont"/>
    <w:uiPriority w:val="99"/>
    <w:qFormat/>
    <w:rsid w:val="005b6fce"/>
    <w:rPr>
      <w:sz w:val="20"/>
      <w:szCs w:val="20"/>
    </w:rPr>
  </w:style>
  <w:style w:type="character" w:styleId="ObjetducommentaireCar" w:customStyle="1">
    <w:name w:val="Objet du commentaire Car"/>
    <w:basedOn w:val="CommentaireCar"/>
    <w:link w:val="annotationsubject"/>
    <w:uiPriority w:val="99"/>
    <w:semiHidden/>
    <w:qFormat/>
    <w:rsid w:val="005b6fce"/>
    <w:rPr>
      <w:b/>
      <w:bCs/>
      <w:sz w:val="20"/>
      <w:szCs w:val="20"/>
    </w:rPr>
  </w:style>
  <w:style w:type="character" w:styleId="TextedebullesCar" w:customStyle="1">
    <w:name w:val="Texte de bulles Car"/>
    <w:basedOn w:val="DefaultParagraphFont"/>
    <w:link w:val="BalloonText"/>
    <w:uiPriority w:val="99"/>
    <w:semiHidden/>
    <w:qFormat/>
    <w:rsid w:val="005b6fce"/>
    <w:rPr>
      <w:rFonts w:ascii="Segoe UI" w:hAnsi="Segoe UI" w:cs="Segoe UI"/>
      <w:sz w:val="18"/>
      <w:szCs w:val="18"/>
    </w:rPr>
  </w:style>
  <w:style w:type="character" w:styleId="InternetLink">
    <w:name w:val="Internet Link"/>
    <w:basedOn w:val="DefaultParagraphFont"/>
    <w:uiPriority w:val="99"/>
    <w:unhideWhenUsed/>
    <w:qFormat/>
    <w:rsid w:val="0066059a"/>
    <w:rPr>
      <w:color w:val="0000FF"/>
      <w:u w:val="single"/>
    </w:rPr>
  </w:style>
  <w:style w:type="character" w:styleId="txt" w:customStyle="1">
    <w:name w:val="txt"/>
    <w:basedOn w:val="DefaultParagraphFont"/>
    <w:qFormat/>
    <w:rsid w:val="0066059a"/>
    <w:rPr/>
  </w:style>
  <w:style w:type="character" w:styleId="Titre1Car" w:customStyle="1">
    <w:name w:val="Titre 1 Car"/>
    <w:basedOn w:val="DefaultParagraphFont"/>
    <w:uiPriority w:val="9"/>
    <w:qFormat/>
    <w:rsid w:val="002d62aa"/>
    <w:rPr>
      <w:rFonts w:ascii="Calibri Light" w:hAnsi="Calibri Light" w:eastAsia="" w:cs="" w:asciiTheme="majorHAnsi" w:cstheme="majorBidi" w:eastAsiaTheme="majorEastAsia" w:hAnsiTheme="majorHAnsi"/>
      <w:color w:themeColor="accent1" w:themeShade="bf" w:val="2F5496"/>
      <w:sz w:val="32"/>
      <w:szCs w:val="32"/>
    </w:rPr>
  </w:style>
  <w:style w:type="character" w:styleId="Titre2Car" w:customStyle="1">
    <w:name w:val="Titre 2 Car"/>
    <w:basedOn w:val="DefaultParagraphFont"/>
    <w:uiPriority w:val="9"/>
    <w:qFormat/>
    <w:rsid w:val="002d62aa"/>
    <w:rPr>
      <w:rFonts w:ascii="Calibri Light" w:hAnsi="Calibri Light" w:eastAsia="" w:cs="" w:asciiTheme="majorHAnsi" w:cstheme="majorBidi" w:eastAsiaTheme="majorEastAsia" w:hAnsiTheme="majorHAnsi"/>
      <w:color w:themeColor="accent1" w:themeShade="bf" w:val="2F5496"/>
      <w:sz w:val="26"/>
      <w:szCs w:val="26"/>
    </w:rPr>
  </w:style>
  <w:style w:type="character" w:styleId="Hyperlink">
    <w:name w:val="Hyperlink"/>
    <w:rPr>
      <w:color w:val="000080"/>
      <w:u w:val="single"/>
    </w:rPr>
  </w:style>
  <w:style w:type="character" w:styleId="Sautdindex">
    <w:name w:val="Saut d'index"/>
    <w:qForma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HeaderandFooter">
    <w:name w:val="Header and Footer"/>
    <w:basedOn w:val="Normal"/>
    <w:qFormat/>
    <w:pPr/>
    <w:rPr/>
  </w:style>
  <w:style w:type="paragraph" w:styleId="Header">
    <w:name w:val="Header"/>
    <w:basedOn w:val="Normal"/>
    <w:link w:val="En-tteCar"/>
    <w:uiPriority w:val="99"/>
    <w:unhideWhenUsed/>
    <w:rsid w:val="00b810ff"/>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b810ff"/>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34"/>
    <w:qFormat/>
    <w:rsid w:val="00c322c6"/>
    <w:pPr>
      <w:spacing w:before="0" w:after="160"/>
      <w:ind w:left="720"/>
      <w:contextualSpacing/>
    </w:pPr>
    <w:rPr/>
  </w:style>
  <w:style w:type="paragraph" w:styleId="AnnotationText">
    <w:name w:val="Annotation Text"/>
    <w:basedOn w:val="Normal"/>
    <w:link w:val="CommentaireCar"/>
    <w:uiPriority w:val="99"/>
    <w:unhideWhenUsed/>
    <w:rsid w:val="005b6fce"/>
    <w:pPr>
      <w:spacing w:lineRule="auto" w:line="240"/>
    </w:pPr>
    <w:rPr>
      <w:sz w:val="20"/>
      <w:szCs w:val="20"/>
    </w:rPr>
  </w:style>
  <w:style w:type="paragraph" w:styleId="annotationsubject">
    <w:name w:val="annotation subject"/>
    <w:basedOn w:val="AnnotationText"/>
    <w:next w:val="AnnotationText"/>
    <w:link w:val="ObjetducommentaireCar"/>
    <w:uiPriority w:val="99"/>
    <w:semiHidden/>
    <w:unhideWhenUsed/>
    <w:qFormat/>
    <w:rsid w:val="005b6fce"/>
    <w:pPr/>
    <w:rPr>
      <w:b/>
      <w:bCs/>
    </w:rPr>
  </w:style>
  <w:style w:type="paragraph" w:styleId="BalloonText">
    <w:name w:val="Balloon Text"/>
    <w:basedOn w:val="Normal"/>
    <w:link w:val="TextedebullesCar"/>
    <w:uiPriority w:val="99"/>
    <w:semiHidden/>
    <w:unhideWhenUsed/>
    <w:qFormat/>
    <w:rsid w:val="005b6fce"/>
    <w:pPr>
      <w:spacing w:lineRule="auto" w:line="240" w:before="0" w:after="0"/>
    </w:pPr>
    <w:rPr>
      <w:rFonts w:ascii="Segoe UI" w:hAnsi="Segoe UI" w:cs="Segoe UI"/>
      <w:sz w:val="18"/>
      <w:szCs w:val="18"/>
    </w:rPr>
  </w:style>
  <w:style w:type="paragraph" w:styleId="IndexHeading">
    <w:name w:val="Index Heading"/>
    <w:basedOn w:val="Titre"/>
    <w:pPr/>
    <w:rPr/>
  </w:style>
  <w:style w:type="paragraph" w:styleId="TOCHeading">
    <w:name w:val="TOC Heading"/>
    <w:basedOn w:val="Heading1"/>
    <w:next w:val="Normal"/>
    <w:uiPriority w:val="39"/>
    <w:unhideWhenUsed/>
    <w:qFormat/>
    <w:rsid w:val="002d62aa"/>
    <w:pPr>
      <w:outlineLvl w:val="9"/>
    </w:pPr>
    <w:rPr>
      <w:lang w:eastAsia="fr-FR"/>
    </w:rPr>
  </w:style>
  <w:style w:type="paragraph" w:styleId="TOC1">
    <w:name w:val="TOC 1"/>
    <w:basedOn w:val="Normal"/>
    <w:next w:val="Normal"/>
    <w:autoRedefine/>
    <w:uiPriority w:val="39"/>
    <w:unhideWhenUsed/>
    <w:rsid w:val="002d62aa"/>
    <w:pPr>
      <w:tabs>
        <w:tab w:val="clear" w:pos="708"/>
        <w:tab w:val="right" w:pos="9062" w:leader="dot"/>
      </w:tabs>
      <w:spacing w:before="0" w:after="100"/>
    </w:pPr>
    <w:rPr>
      <w:rFonts w:ascii="Arial Nova Cond Light" w:hAnsi="Arial Nova Cond Light" w:eastAsia="Times New Roman" w:cs="Calibri Light" w:cstheme="majorHAnsi"/>
      <w:b/>
      <w:bCs/>
      <w:smallCaps/>
      <w:color w:themeColor="text1" w:val="000000"/>
      <w:lang w:eastAsia="fr-FR"/>
    </w:rPr>
  </w:style>
  <w:style w:type="paragraph" w:styleId="TOC2">
    <w:name w:val="TOC 2"/>
    <w:basedOn w:val="Normal"/>
    <w:next w:val="Normal"/>
    <w:autoRedefine/>
    <w:uiPriority w:val="39"/>
    <w:unhideWhenUsed/>
    <w:rsid w:val="002d62aa"/>
    <w:pPr>
      <w:tabs>
        <w:tab w:val="clear" w:pos="708"/>
        <w:tab w:val="right" w:pos="9062" w:leader="dot"/>
      </w:tabs>
      <w:spacing w:lineRule="auto" w:line="360" w:before="0" w:after="0"/>
      <w:ind w:left="220"/>
    </w:pPr>
    <w:rPr>
      <w:rFonts w:ascii="Arial Nova Cond Light" w:hAnsi="Arial Nova Cond Light"/>
      <w:color w:themeColor="text1" w:val="000000"/>
    </w:rPr>
  </w:style>
  <w:style w:type="paragraph" w:styleId="Revision">
    <w:name w:val="Revision"/>
    <w:uiPriority w:val="99"/>
    <w:semiHidden/>
    <w:qFormat/>
    <w:rsid w:val="00a645b2"/>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190c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teleaccords.travail-emploi.gouv.fr/" TargetMode="External"/><Relationship Id="rId3" Type="http://schemas.openxmlformats.org/officeDocument/2006/relationships/image" Target="media/image1.png"/><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E62DB-04D2-4A5C-9DD6-CBAD93F95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LibreOffice/24.2.5.2$Windows_X86_64 LibreOffice_project/bffef4ea93e59bebbeaf7f431bb02b1a39ee8a59</Application>
  <AppVersion>15.0000</AppVersion>
  <Pages>12</Pages>
  <Words>3912</Words>
  <Characters>20721</Characters>
  <CharactersWithSpaces>24440</CharactersWithSpaces>
  <Paragraphs>200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2026-05-22T11:50:37Z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