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9EB16" w14:textId="77777777" w:rsidR="00C47A0E" w:rsidRPr="00F90609" w:rsidRDefault="00C47A0E" w:rsidP="00C47A0E">
      <w:pPr>
        <w:pBdr>
          <w:top w:val="single" w:sz="4" w:space="1" w:color="auto"/>
          <w:left w:val="single" w:sz="4" w:space="4" w:color="auto"/>
          <w:bottom w:val="single" w:sz="4" w:space="1" w:color="auto"/>
          <w:right w:val="single" w:sz="4" w:space="4" w:color="auto"/>
        </w:pBdr>
        <w:shd w:val="clear" w:color="auto" w:fill="D0CECE"/>
        <w:jc w:val="center"/>
        <w:rPr>
          <w:rFonts w:ascii="Avenir Next LT Pro" w:hAnsi="Avenir Next LT Pro" w:cs="Arial"/>
          <w:b/>
          <w:color w:val="auto"/>
          <w:sz w:val="24"/>
          <w:szCs w:val="22"/>
        </w:rPr>
      </w:pPr>
    </w:p>
    <w:p w14:paraId="47AC80C9" w14:textId="63093030" w:rsidR="00C47A0E" w:rsidRPr="00F90609" w:rsidRDefault="00C47A0E" w:rsidP="006103D6">
      <w:pPr>
        <w:pBdr>
          <w:top w:val="single" w:sz="4" w:space="1" w:color="auto"/>
          <w:left w:val="single" w:sz="4" w:space="4" w:color="auto"/>
          <w:bottom w:val="single" w:sz="4" w:space="1" w:color="auto"/>
          <w:right w:val="single" w:sz="4" w:space="4" w:color="auto"/>
        </w:pBdr>
        <w:shd w:val="clear" w:color="auto" w:fill="D0CECE"/>
        <w:jc w:val="center"/>
        <w:rPr>
          <w:rFonts w:ascii="Avenir Next LT Pro" w:hAnsi="Avenir Next LT Pro" w:cs="Arial"/>
          <w:b/>
          <w:color w:val="auto"/>
          <w:sz w:val="24"/>
          <w:szCs w:val="22"/>
        </w:rPr>
      </w:pPr>
      <w:r w:rsidRPr="00F90609">
        <w:rPr>
          <w:rFonts w:ascii="Avenir Next LT Pro" w:hAnsi="Avenir Next LT Pro" w:cs="Arial"/>
          <w:b/>
          <w:color w:val="auto"/>
          <w:sz w:val="24"/>
          <w:szCs w:val="22"/>
        </w:rPr>
        <w:t xml:space="preserve">Convention collective d’entreprise applicable aux salariés </w:t>
      </w:r>
      <w:r w:rsidR="006103D6" w:rsidRPr="006103D6">
        <w:rPr>
          <w:rFonts w:ascii="Avenir Next LT Pro" w:hAnsi="Avenir Next LT Pro" w:cs="Arial"/>
          <w:b/>
          <w:color w:val="auto"/>
          <w:sz w:val="24"/>
          <w:szCs w:val="22"/>
        </w:rPr>
        <w:t>temporaires de la société WORK IN BTP SAS</w:t>
      </w:r>
    </w:p>
    <w:p w14:paraId="3FD58389" w14:textId="77777777" w:rsidR="00C47A0E" w:rsidRPr="00F90609" w:rsidRDefault="00C47A0E" w:rsidP="00C47A0E">
      <w:pPr>
        <w:pBdr>
          <w:top w:val="single" w:sz="4" w:space="1" w:color="auto"/>
          <w:left w:val="single" w:sz="4" w:space="4" w:color="auto"/>
          <w:bottom w:val="single" w:sz="4" w:space="1" w:color="auto"/>
          <w:right w:val="single" w:sz="4" w:space="4" w:color="auto"/>
        </w:pBdr>
        <w:shd w:val="clear" w:color="auto" w:fill="D0CECE"/>
        <w:jc w:val="center"/>
        <w:rPr>
          <w:rFonts w:ascii="Avenir Next LT Pro" w:hAnsi="Avenir Next LT Pro" w:cs="Arial"/>
          <w:b/>
          <w:color w:val="auto"/>
          <w:sz w:val="24"/>
          <w:szCs w:val="22"/>
        </w:rPr>
      </w:pPr>
    </w:p>
    <w:p w14:paraId="7D23FF20" w14:textId="77777777" w:rsidR="00C47A0E" w:rsidRPr="00F90609" w:rsidRDefault="00C47A0E" w:rsidP="00C47A0E">
      <w:pPr>
        <w:pStyle w:val="En-tte"/>
        <w:tabs>
          <w:tab w:val="clear" w:pos="4536"/>
          <w:tab w:val="clear" w:pos="9072"/>
        </w:tabs>
        <w:rPr>
          <w:rFonts w:ascii="Avenir Next LT Pro" w:hAnsi="Avenir Next LT Pro" w:cs="Arial"/>
          <w:sz w:val="22"/>
          <w:szCs w:val="22"/>
        </w:rPr>
      </w:pPr>
    </w:p>
    <w:p w14:paraId="68FF5F17" w14:textId="77777777" w:rsidR="00C47A0E" w:rsidRPr="00F90609" w:rsidRDefault="00C47A0E" w:rsidP="00C47A0E">
      <w:pPr>
        <w:rPr>
          <w:rFonts w:ascii="Avenir Next LT Pro" w:hAnsi="Avenir Next LT Pro" w:cs="Arial"/>
          <w:b/>
          <w:sz w:val="22"/>
          <w:szCs w:val="22"/>
          <w:u w:val="single"/>
        </w:rPr>
      </w:pPr>
      <w:r w:rsidRPr="00F90609">
        <w:rPr>
          <w:rFonts w:ascii="Avenir Next LT Pro" w:hAnsi="Avenir Next LT Pro" w:cs="Arial"/>
          <w:b/>
          <w:sz w:val="22"/>
          <w:szCs w:val="22"/>
          <w:u w:val="single"/>
        </w:rPr>
        <w:t xml:space="preserve">Entre les soussignés : </w:t>
      </w:r>
    </w:p>
    <w:p w14:paraId="27EFE7EC" w14:textId="77777777" w:rsidR="00C47A0E" w:rsidRPr="00F90609" w:rsidRDefault="00C47A0E" w:rsidP="00C47A0E">
      <w:pPr>
        <w:rPr>
          <w:rFonts w:ascii="Avenir Next LT Pro" w:hAnsi="Avenir Next LT Pro" w:cs="Arial"/>
          <w:b/>
          <w:sz w:val="22"/>
          <w:szCs w:val="22"/>
          <w:u w:val="single"/>
        </w:rPr>
      </w:pPr>
    </w:p>
    <w:p w14:paraId="0B0D0208" w14:textId="77777777" w:rsidR="006103D6" w:rsidRPr="006103D6" w:rsidRDefault="006103D6" w:rsidP="006103D6">
      <w:pPr>
        <w:rPr>
          <w:rFonts w:ascii="Avenir Next LT Pro" w:hAnsi="Avenir Next LT Pro" w:cs="Arial"/>
          <w:b/>
          <w:sz w:val="22"/>
          <w:szCs w:val="22"/>
        </w:rPr>
      </w:pPr>
      <w:r w:rsidRPr="006103D6">
        <w:rPr>
          <w:rFonts w:ascii="Avenir Next LT Pro" w:hAnsi="Avenir Next LT Pro" w:cs="Arial"/>
          <w:b/>
          <w:sz w:val="22"/>
          <w:szCs w:val="22"/>
        </w:rPr>
        <w:t>La société WORK’IN BTP SAS</w:t>
      </w:r>
    </w:p>
    <w:p w14:paraId="0D13A5C8" w14:textId="77777777" w:rsidR="006103D6" w:rsidRPr="006103D6" w:rsidRDefault="006103D6" w:rsidP="006103D6">
      <w:pPr>
        <w:rPr>
          <w:rFonts w:ascii="Avenir Next LT Pro Light" w:hAnsi="Avenir Next LT Pro Light" w:cs="Arial"/>
          <w:sz w:val="22"/>
          <w:szCs w:val="22"/>
        </w:rPr>
      </w:pPr>
      <w:r w:rsidRPr="006103D6">
        <w:rPr>
          <w:rFonts w:ascii="Avenir Next LT Pro Light" w:hAnsi="Avenir Next LT Pro Light" w:cs="Arial"/>
          <w:sz w:val="22"/>
          <w:szCs w:val="22"/>
        </w:rPr>
        <w:t>Immatriculée au RCS de Mulhouse sous le numéro 991 884 685</w:t>
      </w:r>
    </w:p>
    <w:p w14:paraId="45CB97F6" w14:textId="77777777" w:rsidR="006103D6" w:rsidRPr="006103D6" w:rsidRDefault="006103D6" w:rsidP="006103D6">
      <w:pPr>
        <w:rPr>
          <w:rFonts w:ascii="Avenir Next LT Pro Light" w:hAnsi="Avenir Next LT Pro Light" w:cs="Arial"/>
          <w:sz w:val="22"/>
          <w:szCs w:val="22"/>
        </w:rPr>
      </w:pPr>
      <w:r w:rsidRPr="006103D6">
        <w:rPr>
          <w:rFonts w:ascii="Avenir Next LT Pro Light" w:hAnsi="Avenir Next LT Pro Light" w:cs="Arial"/>
          <w:sz w:val="22"/>
          <w:szCs w:val="22"/>
        </w:rPr>
        <w:t>Ayant son siège social 7 rue du Général de Gaulle 68220 HESINGUE</w:t>
      </w:r>
    </w:p>
    <w:p w14:paraId="055FE348" w14:textId="77777777" w:rsidR="00C47A0E" w:rsidRPr="00F90609" w:rsidRDefault="00C47A0E" w:rsidP="00C47A0E">
      <w:pPr>
        <w:pStyle w:val="Titre2"/>
        <w:rPr>
          <w:rFonts w:ascii="Avenir Next LT Pro" w:hAnsi="Avenir Next LT Pro"/>
          <w:b/>
          <w:bCs/>
          <w:i/>
          <w:iCs/>
          <w:szCs w:val="22"/>
        </w:rPr>
      </w:pPr>
      <w:r w:rsidRPr="00F90609">
        <w:rPr>
          <w:rFonts w:ascii="Avenir Next LT Pro" w:hAnsi="Avenir Next LT Pro"/>
          <w:b/>
          <w:bCs/>
          <w:i/>
          <w:iCs/>
          <w:szCs w:val="22"/>
        </w:rPr>
        <w:t>D’une part,</w:t>
      </w:r>
    </w:p>
    <w:p w14:paraId="4A9EFED2" w14:textId="77777777" w:rsidR="00C47A0E" w:rsidRPr="00F90609" w:rsidRDefault="00C47A0E" w:rsidP="00C47A0E">
      <w:pPr>
        <w:rPr>
          <w:rFonts w:ascii="Avenir Next LT Pro" w:hAnsi="Avenir Next LT Pro" w:cs="Arial"/>
          <w:sz w:val="22"/>
          <w:szCs w:val="22"/>
        </w:rPr>
      </w:pPr>
    </w:p>
    <w:p w14:paraId="50A2AAEF" w14:textId="77777777" w:rsidR="00C47A0E" w:rsidRPr="00F90609" w:rsidRDefault="00C47A0E" w:rsidP="00C47A0E">
      <w:pPr>
        <w:rPr>
          <w:rFonts w:ascii="Avenir Next LT Pro" w:hAnsi="Avenir Next LT Pro" w:cs="Arial"/>
          <w:b/>
          <w:sz w:val="22"/>
          <w:szCs w:val="22"/>
          <w:u w:val="single"/>
        </w:rPr>
      </w:pPr>
      <w:r w:rsidRPr="00F90609">
        <w:rPr>
          <w:rFonts w:ascii="Avenir Next LT Pro" w:hAnsi="Avenir Next LT Pro" w:cs="Arial"/>
          <w:b/>
          <w:sz w:val="22"/>
          <w:szCs w:val="22"/>
          <w:u w:val="single"/>
        </w:rPr>
        <w:t>Et</w:t>
      </w:r>
    </w:p>
    <w:p w14:paraId="0B847B34" w14:textId="77777777" w:rsidR="00C47A0E" w:rsidRPr="00F90609" w:rsidRDefault="00C47A0E" w:rsidP="00C47A0E">
      <w:pPr>
        <w:rPr>
          <w:rFonts w:ascii="Avenir Next LT Pro" w:hAnsi="Avenir Next LT Pro" w:cs="Arial"/>
          <w:sz w:val="22"/>
          <w:szCs w:val="22"/>
        </w:rPr>
      </w:pPr>
    </w:p>
    <w:p w14:paraId="74772E56" w14:textId="2BC79DB9" w:rsidR="00C47A0E" w:rsidRPr="00F90609" w:rsidRDefault="00C47A0E" w:rsidP="00C47A0E">
      <w:pPr>
        <w:jc w:val="both"/>
        <w:rPr>
          <w:rFonts w:ascii="Avenir Next LT Pro" w:hAnsi="Avenir Next LT Pro" w:cs="Arial"/>
          <w:b/>
          <w:sz w:val="22"/>
          <w:szCs w:val="22"/>
        </w:rPr>
      </w:pPr>
      <w:r w:rsidRPr="00F90609">
        <w:rPr>
          <w:rFonts w:ascii="Avenir Next LT Pro" w:hAnsi="Avenir Next LT Pro" w:cs="Arial"/>
          <w:b/>
          <w:sz w:val="22"/>
          <w:szCs w:val="22"/>
        </w:rPr>
        <w:t>Les salariés de la société</w:t>
      </w:r>
      <w:r w:rsidR="006103D6">
        <w:rPr>
          <w:rFonts w:ascii="Avenir Next LT Pro" w:hAnsi="Avenir Next LT Pro" w:cs="Arial"/>
          <w:b/>
          <w:sz w:val="22"/>
          <w:szCs w:val="22"/>
        </w:rPr>
        <w:t xml:space="preserve"> WORK’IN BTP SAS </w:t>
      </w:r>
      <w:r w:rsidRPr="00F90609">
        <w:rPr>
          <w:rFonts w:ascii="Avenir Next LT Pro" w:hAnsi="Avenir Next LT Pro" w:cs="Arial"/>
          <w:b/>
          <w:sz w:val="22"/>
          <w:szCs w:val="22"/>
        </w:rPr>
        <w:t xml:space="preserve">à la majorité au moins des deux tiers </w:t>
      </w:r>
    </w:p>
    <w:p w14:paraId="1B399F24" w14:textId="77777777" w:rsidR="00C47A0E" w:rsidRPr="00F90609" w:rsidRDefault="00C47A0E" w:rsidP="00C47A0E">
      <w:pPr>
        <w:pStyle w:val="Titre2"/>
        <w:rPr>
          <w:rFonts w:ascii="Avenir Next LT Pro" w:hAnsi="Avenir Next LT Pro"/>
          <w:szCs w:val="22"/>
        </w:rPr>
      </w:pPr>
    </w:p>
    <w:p w14:paraId="0C9AF256" w14:textId="77777777" w:rsidR="00C47A0E" w:rsidRPr="00F90609" w:rsidRDefault="00C47A0E" w:rsidP="00C47A0E">
      <w:pPr>
        <w:pStyle w:val="Titre2"/>
        <w:rPr>
          <w:rFonts w:ascii="Avenir Next LT Pro" w:hAnsi="Avenir Next LT Pro"/>
          <w:b/>
          <w:bCs/>
          <w:i/>
          <w:iCs/>
          <w:szCs w:val="22"/>
        </w:rPr>
      </w:pPr>
      <w:r w:rsidRPr="00F90609">
        <w:rPr>
          <w:rFonts w:ascii="Avenir Next LT Pro" w:hAnsi="Avenir Next LT Pro"/>
          <w:b/>
          <w:bCs/>
          <w:i/>
          <w:iCs/>
          <w:szCs w:val="22"/>
        </w:rPr>
        <w:t>D’autre part,</w:t>
      </w:r>
    </w:p>
    <w:p w14:paraId="2F4F80F2" w14:textId="77777777" w:rsidR="00C47A0E" w:rsidRPr="00F90609" w:rsidRDefault="00C47A0E" w:rsidP="00C47A0E">
      <w:pPr>
        <w:pStyle w:val="Corpsdetexte"/>
        <w:rPr>
          <w:rFonts w:ascii="Avenir Next LT Pro" w:hAnsi="Avenir Next LT Pro" w:cs="Arial"/>
          <w:b/>
          <w:sz w:val="22"/>
          <w:szCs w:val="22"/>
          <w:u w:val="single"/>
        </w:rPr>
      </w:pPr>
    </w:p>
    <w:p w14:paraId="18128421" w14:textId="77777777" w:rsidR="00C47A0E" w:rsidRPr="00F90609" w:rsidRDefault="00C47A0E" w:rsidP="00C47A0E">
      <w:pPr>
        <w:pStyle w:val="Corpsdetexte"/>
        <w:jc w:val="center"/>
        <w:rPr>
          <w:rFonts w:ascii="Avenir Next LT Pro" w:hAnsi="Avenir Next LT Pro" w:cs="Arial"/>
          <w:b/>
          <w:color w:val="4472C4"/>
          <w:sz w:val="24"/>
          <w:szCs w:val="24"/>
        </w:rPr>
      </w:pPr>
      <w:r w:rsidRPr="00F90609">
        <w:rPr>
          <w:rFonts w:ascii="Avenir Next LT Pro" w:hAnsi="Avenir Next LT Pro" w:cs="Arial"/>
          <w:b/>
          <w:color w:val="4472C4"/>
          <w:sz w:val="24"/>
          <w:szCs w:val="24"/>
        </w:rPr>
        <w:t>PREAMBULE</w:t>
      </w:r>
    </w:p>
    <w:p w14:paraId="1963B304" w14:textId="77777777" w:rsidR="00C47A0E" w:rsidRPr="00F90609" w:rsidRDefault="00C47A0E" w:rsidP="00C47A0E">
      <w:pPr>
        <w:pStyle w:val="Corpsdetexte"/>
        <w:rPr>
          <w:rFonts w:ascii="Avenir Next LT Pro" w:hAnsi="Avenir Next LT Pro" w:cs="Arial"/>
          <w:sz w:val="22"/>
          <w:szCs w:val="22"/>
        </w:rPr>
      </w:pPr>
    </w:p>
    <w:p w14:paraId="20D76FCE" w14:textId="77777777" w:rsidR="00C47A0E" w:rsidRPr="00F90609" w:rsidRDefault="00C47A0E" w:rsidP="00C47A0E">
      <w:pPr>
        <w:pStyle w:val="Corpsdetexte"/>
        <w:rPr>
          <w:rFonts w:ascii="Avenir Next LT Pro" w:hAnsi="Avenir Next LT Pro" w:cs="Arial"/>
          <w:sz w:val="22"/>
          <w:szCs w:val="22"/>
        </w:rPr>
      </w:pPr>
      <w:r w:rsidRPr="00F90609">
        <w:rPr>
          <w:rFonts w:ascii="Avenir Next LT Pro" w:hAnsi="Avenir Next LT Pro" w:cs="Arial"/>
          <w:sz w:val="22"/>
          <w:szCs w:val="22"/>
        </w:rPr>
        <w:t xml:space="preserve">Aux termes des dispositions des articles L. 2232-21, L. 2232-22 et R. 2232-10 à R. 2232-12 du Code du travail, dans les entreprises où l’effectif habituel est inférieur à onze salariés, un projet d’accord portant sur un des thèmes ouverts à la négociation collective d’entreprise, peut être proposé aux salariés. </w:t>
      </w:r>
    </w:p>
    <w:p w14:paraId="03E8F307" w14:textId="77777777" w:rsidR="00C47A0E" w:rsidRPr="00F90609" w:rsidRDefault="00C47A0E" w:rsidP="00C47A0E">
      <w:pPr>
        <w:pStyle w:val="Corpsdetexte"/>
        <w:rPr>
          <w:rFonts w:ascii="Avenir Next LT Pro" w:hAnsi="Avenir Next LT Pro" w:cs="Arial"/>
          <w:sz w:val="22"/>
          <w:szCs w:val="22"/>
        </w:rPr>
      </w:pPr>
    </w:p>
    <w:p w14:paraId="1AC00812" w14:textId="77777777" w:rsidR="00C47A0E" w:rsidRPr="00F90609" w:rsidRDefault="00C47A0E" w:rsidP="00C47A0E">
      <w:pPr>
        <w:pStyle w:val="Corpsdetexte"/>
        <w:rPr>
          <w:rFonts w:ascii="Avenir Next LT Pro" w:hAnsi="Avenir Next LT Pro" w:cs="Arial"/>
          <w:sz w:val="22"/>
          <w:szCs w:val="22"/>
        </w:rPr>
      </w:pPr>
      <w:r w:rsidRPr="00F90609">
        <w:rPr>
          <w:rFonts w:ascii="Avenir Next LT Pro" w:hAnsi="Avenir Next LT Pro" w:cs="Arial"/>
          <w:sz w:val="22"/>
          <w:szCs w:val="22"/>
        </w:rPr>
        <w:t>Lorsque ce projet est approuvé à la majorité des deux tiers des salariés, l’accord est considéré comme valide.</w:t>
      </w:r>
    </w:p>
    <w:p w14:paraId="3ED520E3" w14:textId="77777777" w:rsidR="00C47A0E" w:rsidRDefault="00C47A0E" w:rsidP="00C47A0E">
      <w:pPr>
        <w:pStyle w:val="Corpsdetexte"/>
        <w:rPr>
          <w:rFonts w:ascii="Avenir Next LT Pro" w:hAnsi="Avenir Next LT Pro" w:cs="Arial"/>
          <w:sz w:val="22"/>
          <w:szCs w:val="22"/>
        </w:rPr>
      </w:pPr>
    </w:p>
    <w:p w14:paraId="115B7A43" w14:textId="23FA7C81" w:rsidR="00C47A0E" w:rsidRDefault="00C47A0E" w:rsidP="00C47A0E">
      <w:pPr>
        <w:pStyle w:val="Corpsdetexte"/>
        <w:rPr>
          <w:rFonts w:ascii="Avenir Next LT Pro" w:hAnsi="Avenir Next LT Pro" w:cs="Arial"/>
          <w:sz w:val="22"/>
          <w:szCs w:val="22"/>
        </w:rPr>
      </w:pPr>
      <w:r>
        <w:rPr>
          <w:rFonts w:ascii="Avenir Next LT Pro" w:hAnsi="Avenir Next LT Pro" w:cs="Arial"/>
          <w:sz w:val="22"/>
          <w:szCs w:val="22"/>
        </w:rPr>
        <w:t xml:space="preserve">L’article 9 de l’arrêté du 20 décembre 2002 relatif aux frais professionnels déductibles pour le calcul des cotisations de sécurité sociale précise que l’employeur peut opter pour la déduction forfaitaire spécifique lorsqu’un accord collectif du travail l’a explicitement prévu. </w:t>
      </w:r>
    </w:p>
    <w:p w14:paraId="0B45FE06" w14:textId="77777777" w:rsidR="00C47A0E" w:rsidRDefault="00C47A0E" w:rsidP="00C47A0E">
      <w:pPr>
        <w:pStyle w:val="Corpsdetexte"/>
        <w:rPr>
          <w:rFonts w:ascii="Avenir Next LT Pro" w:hAnsi="Avenir Next LT Pro" w:cs="Arial"/>
          <w:sz w:val="22"/>
          <w:szCs w:val="22"/>
        </w:rPr>
      </w:pPr>
    </w:p>
    <w:p w14:paraId="172EF5D6" w14:textId="77777777" w:rsidR="00C47A0E" w:rsidRPr="00F90609" w:rsidRDefault="00C47A0E" w:rsidP="00C47A0E">
      <w:pPr>
        <w:jc w:val="both"/>
        <w:rPr>
          <w:rFonts w:ascii="Avenir Next LT Pro" w:hAnsi="Avenir Next LT Pro" w:cs="Arial"/>
          <w:sz w:val="22"/>
          <w:szCs w:val="22"/>
        </w:rPr>
      </w:pPr>
      <w:r w:rsidRPr="00F90609">
        <w:rPr>
          <w:rFonts w:ascii="Avenir Next LT Pro" w:hAnsi="Avenir Next LT Pro" w:cs="Arial"/>
          <w:sz w:val="22"/>
          <w:szCs w:val="22"/>
        </w:rPr>
        <w:t>C’est dans ce contexte que le présent accord collectif d’entreprise est soumis à la consultation des salariés de la Société aux fins d’approbation à la majorité des deux-tiers.</w:t>
      </w:r>
    </w:p>
    <w:p w14:paraId="7F99DB6B" w14:textId="77777777" w:rsidR="00C47A0E" w:rsidRPr="00F90609" w:rsidRDefault="00C47A0E" w:rsidP="00C47A0E">
      <w:pPr>
        <w:jc w:val="both"/>
        <w:rPr>
          <w:rFonts w:ascii="Avenir Next LT Pro" w:hAnsi="Avenir Next LT Pro" w:cs="Arial"/>
          <w:color w:val="4472C4"/>
          <w:sz w:val="22"/>
          <w:szCs w:val="22"/>
        </w:rPr>
      </w:pPr>
    </w:p>
    <w:p w14:paraId="25D4EF45" w14:textId="77777777" w:rsidR="00C47A0E" w:rsidRPr="00F90609" w:rsidRDefault="00C47A0E" w:rsidP="00C47A0E">
      <w:pPr>
        <w:jc w:val="both"/>
        <w:rPr>
          <w:rFonts w:ascii="Avenir Next LT Pro" w:hAnsi="Avenir Next LT Pro" w:cs="Arial"/>
          <w:b/>
          <w:color w:val="4472C4"/>
          <w:sz w:val="24"/>
          <w:szCs w:val="24"/>
          <w:highlight w:val="yellow"/>
        </w:rPr>
      </w:pPr>
    </w:p>
    <w:p w14:paraId="74EBE93A" w14:textId="69F5CA53" w:rsidR="00C47A0E" w:rsidRPr="00F90609" w:rsidRDefault="00C47A0E" w:rsidP="00C47A0E">
      <w:pPr>
        <w:jc w:val="both"/>
        <w:rPr>
          <w:rFonts w:ascii="Avenir Next LT Pro" w:hAnsi="Avenir Next LT Pro" w:cs="Arial"/>
          <w:b/>
          <w:color w:val="4472C4"/>
          <w:sz w:val="24"/>
          <w:szCs w:val="24"/>
        </w:rPr>
      </w:pPr>
      <w:r w:rsidRPr="009A57E4">
        <w:rPr>
          <w:rFonts w:ascii="Avenir Next LT Pro" w:hAnsi="Avenir Next LT Pro" w:cs="Arial"/>
          <w:b/>
          <w:color w:val="4472C4"/>
          <w:sz w:val="24"/>
          <w:szCs w:val="24"/>
        </w:rPr>
        <w:t xml:space="preserve">TITRE </w:t>
      </w:r>
      <w:r w:rsidR="006103D6">
        <w:rPr>
          <w:rFonts w:ascii="Avenir Next LT Pro" w:hAnsi="Avenir Next LT Pro" w:cs="Arial"/>
          <w:b/>
          <w:color w:val="4472C4"/>
          <w:sz w:val="24"/>
          <w:szCs w:val="24"/>
        </w:rPr>
        <w:t>1</w:t>
      </w:r>
      <w:r w:rsidRPr="009A57E4">
        <w:rPr>
          <w:rFonts w:ascii="Avenir Next LT Pro" w:hAnsi="Avenir Next LT Pro" w:cs="Arial"/>
          <w:b/>
          <w:color w:val="4472C4"/>
          <w:sz w:val="24"/>
          <w:szCs w:val="24"/>
        </w:rPr>
        <w:t xml:space="preserve"> – SUR LA MISE EN PLACE DE LA DEDUCTION FORFAITAIRE SPECIFIQUE (DFS)</w:t>
      </w:r>
      <w:r w:rsidRPr="00F90609">
        <w:rPr>
          <w:rFonts w:ascii="Avenir Next LT Pro" w:hAnsi="Avenir Next LT Pro" w:cs="Arial"/>
          <w:b/>
          <w:color w:val="4472C4"/>
          <w:sz w:val="24"/>
          <w:szCs w:val="24"/>
        </w:rPr>
        <w:t xml:space="preserve"> </w:t>
      </w:r>
    </w:p>
    <w:p w14:paraId="195F5AFF" w14:textId="77777777" w:rsidR="00C47A0E" w:rsidRPr="00F90609" w:rsidRDefault="00C47A0E" w:rsidP="00C47A0E">
      <w:pPr>
        <w:jc w:val="both"/>
        <w:rPr>
          <w:rFonts w:ascii="Avenir Next LT Pro" w:hAnsi="Avenir Next LT Pro" w:cs="Arial"/>
          <w:b/>
          <w:color w:val="4472C4"/>
          <w:sz w:val="24"/>
          <w:szCs w:val="24"/>
        </w:rPr>
      </w:pPr>
    </w:p>
    <w:p w14:paraId="7A32A51A" w14:textId="77777777" w:rsidR="00C47A0E" w:rsidRPr="00F90609" w:rsidRDefault="00C47A0E" w:rsidP="00C47A0E">
      <w:pPr>
        <w:jc w:val="both"/>
        <w:rPr>
          <w:rFonts w:ascii="Avenir Next LT Pro" w:hAnsi="Avenir Next LT Pro" w:cs="Arial"/>
          <w:b/>
          <w:color w:val="auto"/>
          <w:sz w:val="22"/>
          <w:szCs w:val="22"/>
        </w:rPr>
      </w:pPr>
      <w:r w:rsidRPr="00F90609">
        <w:rPr>
          <w:rFonts w:ascii="Avenir Next LT Pro" w:hAnsi="Avenir Next LT Pro" w:cs="Arial"/>
          <w:b/>
          <w:color w:val="auto"/>
          <w:sz w:val="22"/>
          <w:szCs w:val="22"/>
        </w:rPr>
        <w:t>Propos liminaires</w:t>
      </w:r>
    </w:p>
    <w:p w14:paraId="03F4C6B1" w14:textId="77777777" w:rsidR="00C47A0E" w:rsidRPr="00F90609" w:rsidRDefault="00C47A0E" w:rsidP="00C47A0E">
      <w:pPr>
        <w:jc w:val="both"/>
        <w:rPr>
          <w:rFonts w:ascii="Avenir Next LT Pro" w:hAnsi="Avenir Next LT Pro" w:cs="Arial"/>
          <w:b/>
          <w:color w:val="auto"/>
          <w:sz w:val="22"/>
          <w:szCs w:val="22"/>
        </w:rPr>
      </w:pPr>
    </w:p>
    <w:p w14:paraId="60772BAC" w14:textId="502F9D05" w:rsidR="00C47A0E" w:rsidRPr="00F90609" w:rsidRDefault="00C47A0E" w:rsidP="00C47A0E">
      <w:pPr>
        <w:jc w:val="both"/>
        <w:rPr>
          <w:rFonts w:ascii="Avenir Next LT Pro" w:hAnsi="Avenir Next LT Pro" w:cs="Arial"/>
          <w:color w:val="auto"/>
          <w:sz w:val="22"/>
          <w:szCs w:val="22"/>
        </w:rPr>
      </w:pPr>
      <w:r w:rsidRPr="00177F76">
        <w:rPr>
          <w:rFonts w:ascii="Avenir Next LT Pro" w:hAnsi="Avenir Next LT Pro" w:cs="Arial"/>
          <w:color w:val="auto"/>
          <w:sz w:val="22"/>
          <w:szCs w:val="22"/>
        </w:rPr>
        <w:t xml:space="preserve">La société </w:t>
      </w:r>
      <w:bookmarkStart w:id="0" w:name="_Hlk219910191"/>
      <w:r w:rsidR="006103D6" w:rsidRPr="00177F76">
        <w:rPr>
          <w:rFonts w:ascii="Avenir Next LT Pro" w:hAnsi="Avenir Next LT Pro" w:cs="Arial"/>
          <w:color w:val="auto"/>
          <w:sz w:val="22"/>
          <w:szCs w:val="22"/>
        </w:rPr>
        <w:t xml:space="preserve">WORK’IN BTP SAS </w:t>
      </w:r>
      <w:bookmarkEnd w:id="0"/>
      <w:r w:rsidRPr="00177F76">
        <w:rPr>
          <w:rFonts w:ascii="Avenir Next LT Pro" w:hAnsi="Avenir Next LT Pro" w:cs="Arial"/>
          <w:color w:val="auto"/>
          <w:sz w:val="22"/>
          <w:szCs w:val="22"/>
        </w:rPr>
        <w:t xml:space="preserve">emploie des salariés qui interviennent dans le secteur du bâtiment et des travaux publics, </w:t>
      </w:r>
      <w:r w:rsidR="00054B79" w:rsidRPr="00177F76">
        <w:rPr>
          <w:rFonts w:ascii="Avenir Next LT Pro" w:hAnsi="Avenir Next LT Pro" w:cs="Arial"/>
          <w:color w:val="auto"/>
          <w:sz w:val="22"/>
          <w:szCs w:val="22"/>
        </w:rPr>
        <w:t>[les salariés concernés par la DFS doivent être listés à l’article 5 de l’annexe IV du Code Général des impôts]</w:t>
      </w:r>
      <w:r w:rsidR="00177F76" w:rsidRPr="00177F76">
        <w:rPr>
          <w:rFonts w:ascii="Avenir Next LT Pro" w:hAnsi="Avenir Next LT Pro" w:cs="Arial"/>
          <w:color w:val="auto"/>
          <w:sz w:val="22"/>
          <w:szCs w:val="22"/>
        </w:rPr>
        <w:t xml:space="preserve"> </w:t>
      </w:r>
      <w:r w:rsidRPr="00177F76">
        <w:rPr>
          <w:rFonts w:ascii="Avenir Next LT Pro" w:hAnsi="Avenir Next LT Pro" w:cs="Arial"/>
          <w:color w:val="auto"/>
          <w:sz w:val="22"/>
          <w:szCs w:val="22"/>
        </w:rPr>
        <w:t>qui sont amenés, dans le cadre de leur activité professionnelle, à supporter des frais.</w:t>
      </w:r>
      <w:r w:rsidRPr="00F90609">
        <w:rPr>
          <w:rFonts w:ascii="Avenir Next LT Pro" w:hAnsi="Avenir Next LT Pro" w:cs="Arial"/>
          <w:color w:val="auto"/>
          <w:sz w:val="22"/>
          <w:szCs w:val="22"/>
        </w:rPr>
        <w:t xml:space="preserve"> </w:t>
      </w:r>
    </w:p>
    <w:p w14:paraId="56D3483D" w14:textId="77777777" w:rsidR="00C47A0E" w:rsidRPr="00F90609" w:rsidRDefault="00C47A0E" w:rsidP="00C47A0E">
      <w:pPr>
        <w:jc w:val="both"/>
        <w:rPr>
          <w:rFonts w:ascii="Avenir Next LT Pro" w:hAnsi="Avenir Next LT Pro" w:cs="Arial"/>
          <w:color w:val="auto"/>
          <w:sz w:val="22"/>
          <w:szCs w:val="22"/>
        </w:rPr>
      </w:pPr>
    </w:p>
    <w:p w14:paraId="02873570" w14:textId="77777777" w:rsidR="00C47A0E" w:rsidRPr="00F90609" w:rsidRDefault="00C47A0E" w:rsidP="00C47A0E">
      <w:pPr>
        <w:jc w:val="both"/>
        <w:rPr>
          <w:rFonts w:ascii="Avenir Next LT Pro" w:hAnsi="Avenir Next LT Pro" w:cs="Arial"/>
          <w:color w:val="auto"/>
          <w:sz w:val="22"/>
          <w:szCs w:val="22"/>
        </w:rPr>
      </w:pPr>
      <w:r w:rsidRPr="00F90609">
        <w:rPr>
          <w:rFonts w:ascii="Avenir Next LT Pro" w:hAnsi="Avenir Next LT Pro" w:cs="Arial"/>
          <w:color w:val="auto"/>
          <w:sz w:val="22"/>
          <w:szCs w:val="22"/>
        </w:rPr>
        <w:lastRenderedPageBreak/>
        <w:t xml:space="preserve">Elle entre donc dans le champ d’application des professions prévues à l’article 5 de l’annexe IV du Code général des impôts qui peuvent bénéficier d’une déduction forfaitaire spécifique pour frais professionnels sur le calcul des cotisations de sécurité sociale. </w:t>
      </w:r>
    </w:p>
    <w:p w14:paraId="1819C509" w14:textId="77777777" w:rsidR="00C47A0E" w:rsidRPr="00F90609" w:rsidRDefault="00C47A0E" w:rsidP="00C47A0E">
      <w:pPr>
        <w:jc w:val="both"/>
        <w:rPr>
          <w:rFonts w:ascii="Avenir Next LT Pro" w:hAnsi="Avenir Next LT Pro" w:cs="Arial"/>
          <w:color w:val="auto"/>
          <w:sz w:val="22"/>
          <w:szCs w:val="22"/>
        </w:rPr>
      </w:pPr>
    </w:p>
    <w:p w14:paraId="2FA8985B" w14:textId="77777777" w:rsidR="00C47A0E" w:rsidRPr="00F90609" w:rsidRDefault="00C47A0E" w:rsidP="00C47A0E">
      <w:pPr>
        <w:jc w:val="both"/>
        <w:rPr>
          <w:rFonts w:ascii="Avenir Next LT Pro" w:hAnsi="Avenir Next LT Pro" w:cs="Arial"/>
          <w:color w:val="auto"/>
          <w:sz w:val="22"/>
          <w:szCs w:val="22"/>
        </w:rPr>
      </w:pPr>
      <w:r w:rsidRPr="00F90609">
        <w:rPr>
          <w:rFonts w:ascii="Avenir Next LT Pro" w:hAnsi="Avenir Next LT Pro" w:cs="Arial"/>
          <w:color w:val="auto"/>
          <w:sz w:val="22"/>
          <w:szCs w:val="22"/>
        </w:rPr>
        <w:t xml:space="preserve">Le présent accord vise donc à mettre en place la déduction forfaitaire spécifique pour les salariés concernés. </w:t>
      </w:r>
    </w:p>
    <w:p w14:paraId="71E99A5F" w14:textId="77777777" w:rsidR="00C47A0E" w:rsidRPr="00F90609" w:rsidRDefault="00C47A0E" w:rsidP="00C47A0E">
      <w:pPr>
        <w:jc w:val="both"/>
        <w:rPr>
          <w:rFonts w:ascii="Avenir Next LT Pro" w:hAnsi="Avenir Next LT Pro" w:cs="Arial"/>
          <w:color w:val="auto"/>
          <w:sz w:val="22"/>
          <w:szCs w:val="22"/>
        </w:rPr>
      </w:pPr>
    </w:p>
    <w:p w14:paraId="29D41B02" w14:textId="77777777" w:rsidR="00C47A0E" w:rsidRPr="00F90609" w:rsidRDefault="00C47A0E" w:rsidP="00C47A0E">
      <w:pPr>
        <w:jc w:val="both"/>
        <w:rPr>
          <w:rFonts w:ascii="Avenir Next LT Pro" w:hAnsi="Avenir Next LT Pro" w:cs="Arial"/>
          <w:color w:val="auto"/>
          <w:sz w:val="22"/>
          <w:szCs w:val="22"/>
        </w:rPr>
      </w:pPr>
      <w:r w:rsidRPr="00F90609">
        <w:rPr>
          <w:rFonts w:ascii="Avenir Next LT Pro" w:hAnsi="Avenir Next LT Pro" w:cs="Arial"/>
          <w:color w:val="auto"/>
          <w:sz w:val="22"/>
          <w:szCs w:val="22"/>
        </w:rPr>
        <w:t xml:space="preserve">Cette pratique, même si elle diminue l’assiette de calcul des droits sociaux, permet d’augmenter le salaire net mensuel des salariés en bénéficiant. </w:t>
      </w:r>
    </w:p>
    <w:p w14:paraId="491CF62A" w14:textId="77777777" w:rsidR="00C47A0E" w:rsidRPr="00F90609" w:rsidRDefault="00C47A0E" w:rsidP="00C47A0E">
      <w:pPr>
        <w:jc w:val="both"/>
        <w:rPr>
          <w:rFonts w:ascii="Avenir Next LT Pro" w:hAnsi="Avenir Next LT Pro" w:cs="Arial"/>
          <w:color w:val="auto"/>
          <w:sz w:val="22"/>
          <w:szCs w:val="22"/>
        </w:rPr>
      </w:pPr>
    </w:p>
    <w:p w14:paraId="771C8C4F" w14:textId="14A753BE" w:rsidR="00C47A0E" w:rsidRPr="00F90609" w:rsidRDefault="00C47A0E" w:rsidP="00C47A0E">
      <w:pPr>
        <w:jc w:val="both"/>
        <w:rPr>
          <w:rFonts w:ascii="Avenir Next LT Pro" w:hAnsi="Avenir Next LT Pro" w:cs="Arial"/>
          <w:color w:val="auto"/>
          <w:sz w:val="22"/>
          <w:szCs w:val="22"/>
        </w:rPr>
      </w:pPr>
      <w:r w:rsidRPr="00F90609">
        <w:rPr>
          <w:rFonts w:ascii="Avenir Next LT Pro" w:hAnsi="Avenir Next LT Pro" w:cs="Arial"/>
          <w:color w:val="auto"/>
          <w:sz w:val="22"/>
          <w:szCs w:val="22"/>
        </w:rPr>
        <w:t xml:space="preserve">C’est dans ce contexte que le présent accord collectif d’entreprise est soumis à la consultation des salariés de la société </w:t>
      </w:r>
      <w:r w:rsidR="002137B8" w:rsidRPr="002137B8">
        <w:rPr>
          <w:rFonts w:ascii="Avenir Next LT Pro" w:hAnsi="Avenir Next LT Pro" w:cs="Arial"/>
          <w:color w:val="auto"/>
          <w:sz w:val="22"/>
          <w:szCs w:val="22"/>
        </w:rPr>
        <w:t>WORK’IN BTP SAS</w:t>
      </w:r>
      <w:r>
        <w:rPr>
          <w:rFonts w:ascii="Avenir Next LT Pro" w:hAnsi="Avenir Next LT Pro" w:cs="Arial"/>
          <w:color w:val="auto"/>
          <w:sz w:val="22"/>
          <w:szCs w:val="22"/>
        </w:rPr>
        <w:t xml:space="preserve"> </w:t>
      </w:r>
      <w:r w:rsidRPr="00F90609">
        <w:rPr>
          <w:rFonts w:ascii="Avenir Next LT Pro" w:hAnsi="Avenir Next LT Pro" w:cs="Arial"/>
          <w:color w:val="auto"/>
          <w:sz w:val="22"/>
          <w:szCs w:val="22"/>
        </w:rPr>
        <w:t>aux fins d’approbation à la majorité des deux-tiers.</w:t>
      </w:r>
    </w:p>
    <w:p w14:paraId="1D3FB7D9" w14:textId="77777777" w:rsidR="00C47A0E" w:rsidRDefault="00C47A0E" w:rsidP="00C47A0E">
      <w:pPr>
        <w:jc w:val="both"/>
        <w:rPr>
          <w:rFonts w:ascii="Avenir Next LT Pro" w:hAnsi="Avenir Next LT Pro" w:cs="Arial"/>
          <w:color w:val="auto"/>
          <w:sz w:val="22"/>
          <w:szCs w:val="22"/>
        </w:rPr>
      </w:pPr>
    </w:p>
    <w:p w14:paraId="307CD121" w14:textId="77777777" w:rsidR="00C47A0E" w:rsidRDefault="00C47A0E" w:rsidP="00C47A0E">
      <w:pPr>
        <w:jc w:val="both"/>
        <w:rPr>
          <w:rFonts w:ascii="Avenir Next LT Pro" w:hAnsi="Avenir Next LT Pro" w:cs="Arial"/>
          <w:color w:val="auto"/>
          <w:sz w:val="22"/>
          <w:szCs w:val="22"/>
        </w:rPr>
      </w:pPr>
    </w:p>
    <w:p w14:paraId="3F6FBBE6" w14:textId="77777777" w:rsidR="00C47A0E" w:rsidRPr="00F90609" w:rsidRDefault="00C47A0E" w:rsidP="00C47A0E">
      <w:pPr>
        <w:rPr>
          <w:rFonts w:ascii="Avenir Next LT Pro" w:hAnsi="Avenir Next LT Pro" w:cs="Arial"/>
          <w:b/>
          <w:bCs/>
          <w:sz w:val="22"/>
          <w:szCs w:val="22"/>
        </w:rPr>
      </w:pPr>
      <w:r w:rsidRPr="00F90609">
        <w:rPr>
          <w:rFonts w:ascii="Avenir Next LT Pro" w:hAnsi="Avenir Next LT Pro" w:cs="Arial"/>
          <w:b/>
          <w:bCs/>
          <w:sz w:val="22"/>
          <w:szCs w:val="22"/>
        </w:rPr>
        <w:t xml:space="preserve">Article 1 – Bénéficiaires de la déduction forfaitaire spécifique </w:t>
      </w:r>
    </w:p>
    <w:p w14:paraId="3C884963" w14:textId="77777777" w:rsidR="00C47A0E" w:rsidRPr="00F90609" w:rsidRDefault="00C47A0E" w:rsidP="00C47A0E">
      <w:pPr>
        <w:jc w:val="both"/>
        <w:rPr>
          <w:rFonts w:ascii="Avenir Next LT Pro" w:hAnsi="Avenir Next LT Pro" w:cs="Arial"/>
          <w:sz w:val="22"/>
          <w:szCs w:val="22"/>
        </w:rPr>
      </w:pPr>
    </w:p>
    <w:p w14:paraId="537424D8" w14:textId="3A78789C" w:rsidR="00C47A0E" w:rsidRPr="00F90609" w:rsidRDefault="00C47A0E" w:rsidP="00C47A0E">
      <w:pPr>
        <w:jc w:val="both"/>
        <w:rPr>
          <w:rFonts w:ascii="Avenir Next LT Pro" w:hAnsi="Avenir Next LT Pro" w:cs="Arial"/>
          <w:sz w:val="22"/>
          <w:szCs w:val="22"/>
        </w:rPr>
      </w:pPr>
      <w:r w:rsidRPr="00F90609">
        <w:rPr>
          <w:rFonts w:ascii="Avenir Next LT Pro" w:hAnsi="Avenir Next LT Pro" w:cs="Arial"/>
          <w:sz w:val="22"/>
          <w:szCs w:val="22"/>
        </w:rPr>
        <w:t xml:space="preserve">Il est convenu qu’à compter de l’entrée en vigueur du présent accord, le dispositif de la déduction forfaitaire spécifique pour frais professionnels sera appliqué à l’ensemble du personnel éligible de la </w:t>
      </w:r>
      <w:r w:rsidR="00AF05AB" w:rsidRPr="00F90609">
        <w:rPr>
          <w:rFonts w:ascii="Avenir Next LT Pro" w:hAnsi="Avenir Next LT Pro" w:cs="Arial"/>
          <w:sz w:val="22"/>
          <w:szCs w:val="22"/>
        </w:rPr>
        <w:t xml:space="preserve">Société </w:t>
      </w:r>
      <w:r w:rsidR="00AF05AB" w:rsidRPr="00F90609">
        <w:rPr>
          <w:rFonts w:ascii="Avenir Next LT Pro" w:hAnsi="Avenir Next LT Pro" w:cs="Arial"/>
          <w:color w:val="auto"/>
          <w:sz w:val="22"/>
          <w:szCs w:val="22"/>
        </w:rPr>
        <w:t>WORK’IN</w:t>
      </w:r>
      <w:r w:rsidR="002137B8" w:rsidRPr="002137B8">
        <w:rPr>
          <w:rFonts w:ascii="Avenir Next LT Pro" w:hAnsi="Avenir Next LT Pro" w:cs="Arial"/>
          <w:color w:val="auto"/>
          <w:sz w:val="22"/>
          <w:szCs w:val="22"/>
        </w:rPr>
        <w:t xml:space="preserve"> BTP SAS</w:t>
      </w:r>
      <w:r>
        <w:rPr>
          <w:rFonts w:ascii="Avenir Next LT Pro" w:hAnsi="Avenir Next LT Pro" w:cs="Arial"/>
          <w:color w:val="auto"/>
          <w:sz w:val="22"/>
          <w:szCs w:val="22"/>
        </w:rPr>
        <w:t xml:space="preserve"> </w:t>
      </w:r>
      <w:r w:rsidRPr="00F90609">
        <w:rPr>
          <w:rFonts w:ascii="Avenir Next LT Pro" w:hAnsi="Avenir Next LT Pro" w:cs="Arial"/>
          <w:sz w:val="22"/>
          <w:szCs w:val="22"/>
        </w:rPr>
        <w:t xml:space="preserve">intervenant dans le secteur du bâtiment et des travaux publics, et cela quelle que soit la nature de leur contrat de travail </w:t>
      </w:r>
      <w:r w:rsidRPr="00D91D78">
        <w:rPr>
          <w:rFonts w:ascii="Avenir Next LT Pro" w:hAnsi="Avenir Next LT Pro" w:cs="Arial"/>
          <w:sz w:val="22"/>
          <w:szCs w:val="22"/>
        </w:rPr>
        <w:t>(CDI, mission, CDD, temps partiel, temps plein), y compris pour les salariés concernés</w:t>
      </w:r>
      <w:r w:rsidRPr="00F90609">
        <w:rPr>
          <w:rFonts w:ascii="Avenir Next LT Pro" w:hAnsi="Avenir Next LT Pro" w:cs="Arial"/>
          <w:sz w:val="22"/>
          <w:szCs w:val="22"/>
        </w:rPr>
        <w:t xml:space="preserve"> embauchés après la date de conclusion du présent accord. </w:t>
      </w:r>
    </w:p>
    <w:p w14:paraId="29B6500E" w14:textId="77777777" w:rsidR="00C47A0E" w:rsidRPr="00F90609" w:rsidRDefault="00C47A0E" w:rsidP="00C47A0E">
      <w:pPr>
        <w:jc w:val="both"/>
        <w:rPr>
          <w:rFonts w:ascii="Avenir Next LT Pro" w:hAnsi="Avenir Next LT Pro" w:cs="Arial"/>
          <w:sz w:val="22"/>
          <w:szCs w:val="22"/>
        </w:rPr>
      </w:pPr>
    </w:p>
    <w:p w14:paraId="5229FDE7" w14:textId="77777777" w:rsidR="00C47A0E" w:rsidRPr="00F90609" w:rsidRDefault="00C47A0E" w:rsidP="00C47A0E">
      <w:pPr>
        <w:jc w:val="both"/>
        <w:rPr>
          <w:rFonts w:ascii="Avenir Next LT Pro" w:hAnsi="Avenir Next LT Pro" w:cs="Arial"/>
          <w:b/>
          <w:bCs/>
          <w:sz w:val="22"/>
          <w:szCs w:val="22"/>
        </w:rPr>
      </w:pPr>
      <w:r w:rsidRPr="00F90609">
        <w:rPr>
          <w:rFonts w:ascii="Avenir Next LT Pro" w:hAnsi="Avenir Next LT Pro" w:cs="Arial"/>
          <w:b/>
          <w:bCs/>
          <w:sz w:val="22"/>
          <w:szCs w:val="22"/>
        </w:rPr>
        <w:t xml:space="preserve">Article 2 – Caractère obligatoire de l’accord </w:t>
      </w:r>
    </w:p>
    <w:p w14:paraId="2FFE7870" w14:textId="77777777" w:rsidR="00C47A0E" w:rsidRPr="00F90609" w:rsidRDefault="00C47A0E" w:rsidP="00C47A0E">
      <w:pPr>
        <w:jc w:val="both"/>
        <w:rPr>
          <w:rFonts w:ascii="Avenir Next LT Pro" w:hAnsi="Avenir Next LT Pro" w:cs="Arial"/>
          <w:sz w:val="22"/>
          <w:szCs w:val="22"/>
        </w:rPr>
      </w:pPr>
    </w:p>
    <w:p w14:paraId="505F1B48" w14:textId="3872C481" w:rsidR="00C47A0E" w:rsidRPr="00F90609" w:rsidRDefault="00C47A0E" w:rsidP="00C47A0E">
      <w:pPr>
        <w:jc w:val="both"/>
        <w:rPr>
          <w:rFonts w:ascii="Avenir Next LT Pro" w:hAnsi="Avenir Next LT Pro" w:cs="Arial"/>
          <w:sz w:val="22"/>
          <w:szCs w:val="22"/>
        </w:rPr>
      </w:pPr>
      <w:r w:rsidRPr="00F90609">
        <w:rPr>
          <w:rFonts w:ascii="Avenir Next LT Pro" w:hAnsi="Avenir Next LT Pro" w:cs="Arial"/>
          <w:sz w:val="22"/>
          <w:szCs w:val="22"/>
        </w:rPr>
        <w:t>Tous les membres du personnel entrant dans le champ d’application de l’article 1 ci-dessus seront obligatoirement bénéficiaires du régime d’application de la DFS à compter du 1er janvier 202</w:t>
      </w:r>
      <w:r w:rsidR="00AF05AB">
        <w:rPr>
          <w:rFonts w:ascii="Avenir Next LT Pro" w:hAnsi="Avenir Next LT Pro" w:cs="Arial"/>
          <w:sz w:val="22"/>
          <w:szCs w:val="22"/>
        </w:rPr>
        <w:t>6</w:t>
      </w:r>
      <w:r w:rsidRPr="00F90609">
        <w:rPr>
          <w:rFonts w:ascii="Avenir Next LT Pro" w:hAnsi="Avenir Next LT Pro" w:cs="Arial"/>
          <w:sz w:val="22"/>
          <w:szCs w:val="22"/>
        </w:rPr>
        <w:t xml:space="preserve">, et ne pourront sous aucune raison s’y soustraire. </w:t>
      </w:r>
    </w:p>
    <w:p w14:paraId="6BA674A4" w14:textId="77777777" w:rsidR="00C47A0E" w:rsidRPr="00F90609" w:rsidRDefault="00C47A0E" w:rsidP="00C47A0E">
      <w:pPr>
        <w:jc w:val="both"/>
        <w:rPr>
          <w:rFonts w:ascii="Avenir Next LT Pro" w:hAnsi="Avenir Next LT Pro" w:cs="Arial"/>
          <w:sz w:val="22"/>
          <w:szCs w:val="22"/>
        </w:rPr>
      </w:pPr>
    </w:p>
    <w:p w14:paraId="4E20BB18" w14:textId="4D2C6D1A" w:rsidR="00C47A0E" w:rsidRDefault="00C47A0E" w:rsidP="00C47A0E">
      <w:pPr>
        <w:jc w:val="both"/>
        <w:rPr>
          <w:rFonts w:ascii="Avenir Next LT Pro" w:hAnsi="Avenir Next LT Pro" w:cs="Arial"/>
          <w:sz w:val="22"/>
          <w:szCs w:val="22"/>
        </w:rPr>
      </w:pPr>
      <w:r w:rsidRPr="00F90609">
        <w:rPr>
          <w:rFonts w:ascii="Avenir Next LT Pro" w:hAnsi="Avenir Next LT Pro" w:cs="Arial"/>
          <w:sz w:val="22"/>
          <w:szCs w:val="22"/>
        </w:rPr>
        <w:t xml:space="preserve">Le BOSS prévoit la possibilité, par accord d’entreprise, d’appliquer la DFS sans avoir à établir d’avenant au contrat de travail. </w:t>
      </w:r>
    </w:p>
    <w:p w14:paraId="58B668D3" w14:textId="77777777" w:rsidR="00C47A0E" w:rsidRDefault="00C47A0E" w:rsidP="00C47A0E">
      <w:pPr>
        <w:jc w:val="both"/>
        <w:rPr>
          <w:rFonts w:ascii="Avenir Next LT Pro" w:hAnsi="Avenir Next LT Pro" w:cs="Arial"/>
          <w:sz w:val="22"/>
          <w:szCs w:val="22"/>
        </w:rPr>
      </w:pPr>
    </w:p>
    <w:p w14:paraId="68E05013" w14:textId="77777777" w:rsidR="00C47A0E" w:rsidRPr="00F90609" w:rsidRDefault="00C47A0E" w:rsidP="00C47A0E">
      <w:pPr>
        <w:jc w:val="both"/>
        <w:rPr>
          <w:rFonts w:ascii="Avenir Next LT Pro" w:hAnsi="Avenir Next LT Pro" w:cs="Arial"/>
          <w:sz w:val="22"/>
          <w:szCs w:val="22"/>
        </w:rPr>
      </w:pPr>
    </w:p>
    <w:p w14:paraId="006CD88D" w14:textId="77777777" w:rsidR="00C47A0E" w:rsidRPr="00F90609" w:rsidRDefault="00C47A0E" w:rsidP="00C47A0E">
      <w:pPr>
        <w:jc w:val="both"/>
        <w:rPr>
          <w:rFonts w:ascii="Avenir Next LT Pro" w:hAnsi="Avenir Next LT Pro" w:cs="Arial"/>
          <w:b/>
          <w:bCs/>
          <w:sz w:val="22"/>
          <w:szCs w:val="22"/>
        </w:rPr>
      </w:pPr>
      <w:r w:rsidRPr="00F90609">
        <w:rPr>
          <w:rFonts w:ascii="Avenir Next LT Pro" w:hAnsi="Avenir Next LT Pro" w:cs="Arial"/>
          <w:b/>
          <w:bCs/>
          <w:sz w:val="22"/>
          <w:szCs w:val="22"/>
        </w:rPr>
        <w:t xml:space="preserve">Article 3 – Application de la déduction forfaitaire spécifique pour frais professionnels </w:t>
      </w:r>
    </w:p>
    <w:p w14:paraId="6ABC3F0F" w14:textId="77777777" w:rsidR="00C47A0E" w:rsidRPr="00F90609" w:rsidRDefault="00C47A0E" w:rsidP="00C47A0E">
      <w:pPr>
        <w:jc w:val="both"/>
        <w:rPr>
          <w:rFonts w:ascii="Avenir Next LT Pro" w:hAnsi="Avenir Next LT Pro" w:cs="Arial"/>
          <w:sz w:val="22"/>
          <w:szCs w:val="22"/>
        </w:rPr>
      </w:pPr>
    </w:p>
    <w:p w14:paraId="52CC183D" w14:textId="77777777" w:rsidR="00C47A0E" w:rsidRPr="00F90609" w:rsidRDefault="00C47A0E" w:rsidP="00C47A0E">
      <w:pPr>
        <w:jc w:val="both"/>
        <w:rPr>
          <w:rFonts w:ascii="Avenir Next LT Pro" w:hAnsi="Avenir Next LT Pro" w:cs="Arial"/>
          <w:sz w:val="22"/>
          <w:szCs w:val="22"/>
        </w:rPr>
      </w:pPr>
      <w:r w:rsidRPr="00F90609">
        <w:rPr>
          <w:rFonts w:ascii="Avenir Next LT Pro" w:hAnsi="Avenir Next LT Pro" w:cs="Arial"/>
          <w:sz w:val="22"/>
          <w:szCs w:val="22"/>
        </w:rPr>
        <w:t xml:space="preserve">La DFS consiste à calculer l‘ensemble des cotisations sociales sur une assiette abattue (voir ci-après pour les taux d’abattement). </w:t>
      </w:r>
    </w:p>
    <w:p w14:paraId="7ACAAFC7" w14:textId="77777777" w:rsidR="00C47A0E" w:rsidRPr="00F90609" w:rsidRDefault="00C47A0E" w:rsidP="00C47A0E">
      <w:pPr>
        <w:jc w:val="both"/>
        <w:rPr>
          <w:rFonts w:ascii="Avenir Next LT Pro" w:hAnsi="Avenir Next LT Pro" w:cs="Arial"/>
          <w:sz w:val="22"/>
          <w:szCs w:val="22"/>
        </w:rPr>
      </w:pPr>
    </w:p>
    <w:p w14:paraId="0A97A8A5" w14:textId="40B58030" w:rsidR="00C47A0E" w:rsidRPr="000562B3" w:rsidRDefault="00C47A0E" w:rsidP="000562B3">
      <w:pPr>
        <w:pStyle w:val="Default"/>
        <w:jc w:val="both"/>
        <w:rPr>
          <w:rFonts w:cs="Arial"/>
          <w:sz w:val="22"/>
          <w:szCs w:val="22"/>
        </w:rPr>
      </w:pPr>
      <w:r w:rsidRPr="000562B3">
        <w:rPr>
          <w:rFonts w:cs="Arial"/>
          <w:color w:val="auto"/>
          <w:sz w:val="22"/>
          <w:szCs w:val="22"/>
        </w:rPr>
        <w:t xml:space="preserve">Au </w:t>
      </w:r>
      <w:r w:rsidR="002137B8" w:rsidRPr="000562B3">
        <w:rPr>
          <w:rFonts w:cs="Arial"/>
          <w:color w:val="auto"/>
          <w:sz w:val="22"/>
          <w:szCs w:val="22"/>
        </w:rPr>
        <w:t>1</w:t>
      </w:r>
      <w:r w:rsidR="002137B8" w:rsidRPr="000562B3">
        <w:rPr>
          <w:rFonts w:cs="Arial"/>
          <w:color w:val="auto"/>
          <w:sz w:val="22"/>
          <w:szCs w:val="22"/>
          <w:vertAlign w:val="superscript"/>
        </w:rPr>
        <w:t>er</w:t>
      </w:r>
      <w:r w:rsidR="002137B8" w:rsidRPr="000562B3">
        <w:rPr>
          <w:rFonts w:cs="Arial"/>
          <w:color w:val="auto"/>
          <w:sz w:val="22"/>
          <w:szCs w:val="22"/>
        </w:rPr>
        <w:t xml:space="preserve"> janvier 2026</w:t>
      </w:r>
      <w:r w:rsidRPr="000562B3">
        <w:rPr>
          <w:rFonts w:cs="Arial"/>
          <w:color w:val="auto"/>
          <w:sz w:val="22"/>
          <w:szCs w:val="22"/>
        </w:rPr>
        <w:t>, le taux d’abattement applicable</w:t>
      </w:r>
      <w:r w:rsidR="000562B3" w:rsidRPr="000562B3">
        <w:rPr>
          <w:rFonts w:cs="Arial"/>
          <w:color w:val="auto"/>
          <w:sz w:val="22"/>
          <w:szCs w:val="22"/>
        </w:rPr>
        <w:t xml:space="preserve"> est de </w:t>
      </w:r>
      <w:r w:rsidR="002137B8" w:rsidRPr="000562B3">
        <w:rPr>
          <w:rFonts w:cs="Arial"/>
          <w:sz w:val="22"/>
          <w:szCs w:val="22"/>
        </w:rPr>
        <w:t>7</w:t>
      </w:r>
      <w:r w:rsidRPr="000562B3">
        <w:rPr>
          <w:rFonts w:cs="Arial"/>
          <w:sz w:val="22"/>
          <w:szCs w:val="22"/>
        </w:rPr>
        <w:t> % pour les métiers de la construction</w:t>
      </w:r>
      <w:r w:rsidR="000562B3" w:rsidRPr="000562B3">
        <w:rPr>
          <w:rFonts w:cs="Arial"/>
          <w:sz w:val="22"/>
          <w:szCs w:val="22"/>
        </w:rPr>
        <w:t>.</w:t>
      </w:r>
    </w:p>
    <w:p w14:paraId="3B6FD888" w14:textId="77777777" w:rsidR="000562B3" w:rsidRDefault="000562B3" w:rsidP="000562B3">
      <w:pPr>
        <w:pStyle w:val="Default"/>
        <w:jc w:val="both"/>
        <w:rPr>
          <w:rFonts w:cs="Arial"/>
          <w:sz w:val="22"/>
          <w:szCs w:val="22"/>
          <w:highlight w:val="yellow"/>
        </w:rPr>
      </w:pPr>
    </w:p>
    <w:p w14:paraId="26D8D1B7" w14:textId="77777777" w:rsidR="00C47A0E" w:rsidRPr="00F90609" w:rsidRDefault="00C47A0E" w:rsidP="00C47A0E">
      <w:pPr>
        <w:jc w:val="both"/>
        <w:rPr>
          <w:rFonts w:ascii="Avenir Next LT Pro" w:hAnsi="Avenir Next LT Pro" w:cs="Arial"/>
          <w:sz w:val="22"/>
          <w:szCs w:val="22"/>
        </w:rPr>
      </w:pPr>
      <w:r w:rsidRPr="00F90609">
        <w:rPr>
          <w:rFonts w:ascii="Avenir Next LT Pro" w:hAnsi="Avenir Next LT Pro" w:cs="Arial"/>
          <w:sz w:val="22"/>
          <w:szCs w:val="22"/>
        </w:rPr>
        <w:t xml:space="preserve">Cet abattement s’opère sur la rémunération brute du salarié. </w:t>
      </w:r>
    </w:p>
    <w:p w14:paraId="66F22CB9" w14:textId="77777777" w:rsidR="00C47A0E" w:rsidRPr="00F90609" w:rsidRDefault="00C47A0E" w:rsidP="00C47A0E">
      <w:pPr>
        <w:jc w:val="both"/>
        <w:rPr>
          <w:rFonts w:ascii="Avenir Next LT Pro" w:hAnsi="Avenir Next LT Pro" w:cs="Arial"/>
          <w:sz w:val="22"/>
          <w:szCs w:val="22"/>
        </w:rPr>
      </w:pPr>
    </w:p>
    <w:p w14:paraId="73AAADD7" w14:textId="77777777" w:rsidR="00C47A0E" w:rsidRPr="00F90609" w:rsidRDefault="00C47A0E" w:rsidP="00C47A0E">
      <w:pPr>
        <w:jc w:val="both"/>
        <w:rPr>
          <w:rFonts w:ascii="Avenir Next LT Pro" w:hAnsi="Avenir Next LT Pro" w:cs="Arial"/>
          <w:sz w:val="22"/>
          <w:szCs w:val="22"/>
        </w:rPr>
      </w:pPr>
      <w:r w:rsidRPr="00F90609">
        <w:rPr>
          <w:rFonts w:ascii="Avenir Next LT Pro" w:hAnsi="Avenir Next LT Pro" w:cs="Arial"/>
          <w:sz w:val="22"/>
          <w:szCs w:val="22"/>
        </w:rPr>
        <w:t xml:space="preserve">L’application de la déduction forfaitaire spécifique pour frais professionnels ne peut avoir pour conséquence de ramener l’assiette de calcul des cotisations en deçà du SMIC. </w:t>
      </w:r>
    </w:p>
    <w:p w14:paraId="75DBFBE0" w14:textId="77777777" w:rsidR="00C47A0E" w:rsidRPr="00F90609" w:rsidRDefault="00C47A0E" w:rsidP="00C47A0E">
      <w:pPr>
        <w:jc w:val="both"/>
        <w:rPr>
          <w:rFonts w:ascii="Avenir Next LT Pro" w:hAnsi="Avenir Next LT Pro" w:cs="Arial"/>
          <w:sz w:val="22"/>
          <w:szCs w:val="22"/>
        </w:rPr>
      </w:pPr>
    </w:p>
    <w:p w14:paraId="135ABA70" w14:textId="77777777" w:rsidR="00C47A0E" w:rsidRPr="00F90609" w:rsidRDefault="00C47A0E" w:rsidP="00C47A0E">
      <w:pPr>
        <w:jc w:val="both"/>
        <w:rPr>
          <w:rFonts w:ascii="Avenir Next LT Pro" w:hAnsi="Avenir Next LT Pro" w:cs="Arial"/>
          <w:sz w:val="22"/>
          <w:szCs w:val="22"/>
        </w:rPr>
      </w:pPr>
      <w:r w:rsidRPr="00F90609">
        <w:rPr>
          <w:rFonts w:ascii="Avenir Next LT Pro" w:hAnsi="Avenir Next LT Pro" w:cs="Arial"/>
          <w:sz w:val="22"/>
          <w:szCs w:val="22"/>
        </w:rPr>
        <w:t xml:space="preserve">Le montant de l’abattement est plafonné par salarié et par année civile à 7 600 €. </w:t>
      </w:r>
    </w:p>
    <w:p w14:paraId="1AAF0A1F" w14:textId="77777777" w:rsidR="00C47A0E" w:rsidRDefault="00C47A0E" w:rsidP="00C47A0E">
      <w:pPr>
        <w:jc w:val="both"/>
        <w:rPr>
          <w:rFonts w:ascii="Avenir Next LT Pro" w:hAnsi="Avenir Next LT Pro" w:cs="Arial"/>
          <w:sz w:val="22"/>
          <w:szCs w:val="22"/>
        </w:rPr>
      </w:pPr>
    </w:p>
    <w:p w14:paraId="224D051C" w14:textId="77777777" w:rsidR="000562B3" w:rsidRDefault="000562B3" w:rsidP="00C47A0E">
      <w:pPr>
        <w:jc w:val="both"/>
        <w:rPr>
          <w:rFonts w:ascii="Avenir Next LT Pro" w:hAnsi="Avenir Next LT Pro" w:cs="Arial"/>
          <w:sz w:val="22"/>
          <w:szCs w:val="22"/>
        </w:rPr>
      </w:pPr>
    </w:p>
    <w:p w14:paraId="7B36D008" w14:textId="77777777" w:rsidR="000562B3" w:rsidRDefault="000562B3" w:rsidP="00C47A0E">
      <w:pPr>
        <w:jc w:val="both"/>
        <w:rPr>
          <w:rFonts w:ascii="Avenir Next LT Pro" w:hAnsi="Avenir Next LT Pro" w:cs="Arial"/>
          <w:sz w:val="22"/>
          <w:szCs w:val="22"/>
        </w:rPr>
      </w:pPr>
    </w:p>
    <w:p w14:paraId="6D45BEDE" w14:textId="77777777" w:rsidR="000562B3" w:rsidRDefault="000562B3" w:rsidP="00C47A0E">
      <w:pPr>
        <w:jc w:val="both"/>
        <w:rPr>
          <w:rFonts w:ascii="Avenir Next LT Pro" w:hAnsi="Avenir Next LT Pro" w:cs="Arial"/>
          <w:sz w:val="22"/>
          <w:szCs w:val="22"/>
        </w:rPr>
      </w:pPr>
    </w:p>
    <w:p w14:paraId="644D4835" w14:textId="77777777" w:rsidR="000562B3" w:rsidRPr="00F90609" w:rsidRDefault="000562B3" w:rsidP="00C47A0E">
      <w:pPr>
        <w:jc w:val="both"/>
        <w:rPr>
          <w:rFonts w:ascii="Avenir Next LT Pro" w:hAnsi="Avenir Next LT Pro" w:cs="Arial"/>
          <w:sz w:val="22"/>
          <w:szCs w:val="22"/>
        </w:rPr>
      </w:pPr>
    </w:p>
    <w:p w14:paraId="4823F9EA" w14:textId="77777777" w:rsidR="00C47A0E" w:rsidRPr="00F90609" w:rsidRDefault="00C47A0E" w:rsidP="00C47A0E">
      <w:pPr>
        <w:jc w:val="both"/>
        <w:rPr>
          <w:rFonts w:ascii="Avenir Next LT Pro" w:hAnsi="Avenir Next LT Pro" w:cs="Arial"/>
          <w:sz w:val="22"/>
          <w:szCs w:val="22"/>
        </w:rPr>
      </w:pPr>
      <w:r w:rsidRPr="00F90609">
        <w:rPr>
          <w:rFonts w:ascii="Avenir Next LT Pro" w:hAnsi="Avenir Next LT Pro" w:cs="Arial"/>
          <w:sz w:val="22"/>
          <w:szCs w:val="22"/>
        </w:rPr>
        <w:t>Le dispositif de la DFS entraîne les effets suivants :</w:t>
      </w:r>
    </w:p>
    <w:p w14:paraId="273757C2" w14:textId="77777777" w:rsidR="00C47A0E" w:rsidRPr="00F90609" w:rsidRDefault="00C47A0E" w:rsidP="00C47A0E">
      <w:pPr>
        <w:jc w:val="both"/>
        <w:rPr>
          <w:rFonts w:ascii="Avenir Next LT Pro" w:hAnsi="Avenir Next LT Pro" w:cs="Arial"/>
          <w:sz w:val="22"/>
          <w:szCs w:val="22"/>
        </w:rPr>
      </w:pPr>
    </w:p>
    <w:p w14:paraId="112E6779" w14:textId="77777777" w:rsidR="00C47A0E" w:rsidRPr="00001EAA" w:rsidRDefault="00C47A0E" w:rsidP="00C47A0E">
      <w:pPr>
        <w:pStyle w:val="Paragraphedeliste"/>
        <w:numPr>
          <w:ilvl w:val="1"/>
          <w:numId w:val="3"/>
        </w:numPr>
        <w:jc w:val="both"/>
        <w:rPr>
          <w:rFonts w:ascii="Avenir Next LT Pro" w:hAnsi="Avenir Next LT Pro" w:cs="Arial"/>
          <w:sz w:val="22"/>
          <w:szCs w:val="22"/>
        </w:rPr>
      </w:pPr>
      <w:proofErr w:type="gramStart"/>
      <w:r w:rsidRPr="00001EAA">
        <w:rPr>
          <w:rFonts w:ascii="Avenir Next LT Pro" w:hAnsi="Avenir Next LT Pro" w:cs="Arial"/>
          <w:sz w:val="22"/>
          <w:szCs w:val="22"/>
        </w:rPr>
        <w:t>salaire</w:t>
      </w:r>
      <w:proofErr w:type="gramEnd"/>
      <w:r w:rsidRPr="00001EAA">
        <w:rPr>
          <w:rFonts w:ascii="Avenir Next LT Pro" w:hAnsi="Avenir Next LT Pro" w:cs="Arial"/>
          <w:sz w:val="22"/>
          <w:szCs w:val="22"/>
        </w:rPr>
        <w:t xml:space="preserve"> net plus élevé, </w:t>
      </w:r>
    </w:p>
    <w:p w14:paraId="3C445710" w14:textId="77777777" w:rsidR="00C47A0E" w:rsidRPr="00001EAA" w:rsidRDefault="00C47A0E" w:rsidP="00C47A0E">
      <w:pPr>
        <w:pStyle w:val="Paragraphedeliste"/>
        <w:ind w:left="1440"/>
        <w:rPr>
          <w:rFonts w:ascii="Avenir Next LT Pro" w:hAnsi="Avenir Next LT Pro" w:cs="Arial"/>
          <w:sz w:val="22"/>
          <w:szCs w:val="22"/>
        </w:rPr>
      </w:pPr>
    </w:p>
    <w:p w14:paraId="24CCCCF1" w14:textId="77777777" w:rsidR="00C47A0E" w:rsidRPr="00001EAA" w:rsidRDefault="00C47A0E" w:rsidP="00C47A0E">
      <w:pPr>
        <w:pStyle w:val="Paragraphedeliste"/>
        <w:numPr>
          <w:ilvl w:val="1"/>
          <w:numId w:val="3"/>
        </w:numPr>
        <w:jc w:val="both"/>
        <w:rPr>
          <w:rFonts w:ascii="Avenir Next LT Pro" w:hAnsi="Avenir Next LT Pro" w:cs="Arial"/>
          <w:sz w:val="22"/>
          <w:szCs w:val="22"/>
        </w:rPr>
      </w:pPr>
      <w:proofErr w:type="gramStart"/>
      <w:r w:rsidRPr="00001EAA">
        <w:rPr>
          <w:rFonts w:ascii="Avenir Next LT Pro" w:hAnsi="Avenir Next LT Pro" w:cs="Arial"/>
          <w:sz w:val="22"/>
          <w:szCs w:val="22"/>
        </w:rPr>
        <w:t>cotisations</w:t>
      </w:r>
      <w:proofErr w:type="gramEnd"/>
      <w:r w:rsidRPr="00001EAA">
        <w:rPr>
          <w:rFonts w:ascii="Avenir Next LT Pro" w:hAnsi="Avenir Next LT Pro" w:cs="Arial"/>
          <w:sz w:val="22"/>
          <w:szCs w:val="22"/>
        </w:rPr>
        <w:t xml:space="preserve"> sociales salariales et patronales moins élevées, cette baisse des cotisations entraînant une baisse relative des droits afférents en termes de retraite, d’indemnisation en cas de maladie, et d’indemnisation chômage (calculs réalisés sur le brut abattu). </w:t>
      </w:r>
    </w:p>
    <w:p w14:paraId="15B07F91" w14:textId="77777777" w:rsidR="00001EAA" w:rsidRDefault="00001EAA" w:rsidP="00C47A0E">
      <w:pPr>
        <w:jc w:val="both"/>
        <w:rPr>
          <w:rFonts w:ascii="Avenir Next LT Pro" w:hAnsi="Avenir Next LT Pro" w:cs="Arial"/>
          <w:sz w:val="22"/>
          <w:szCs w:val="22"/>
        </w:rPr>
      </w:pPr>
    </w:p>
    <w:p w14:paraId="5FDF0201" w14:textId="25324C94" w:rsidR="00C47A0E" w:rsidRPr="00F90609" w:rsidRDefault="00C47A0E" w:rsidP="00C47A0E">
      <w:pPr>
        <w:jc w:val="both"/>
        <w:rPr>
          <w:rFonts w:ascii="Avenir Next LT Pro" w:hAnsi="Avenir Next LT Pro" w:cs="Arial"/>
          <w:sz w:val="22"/>
          <w:szCs w:val="22"/>
        </w:rPr>
      </w:pPr>
      <w:r w:rsidRPr="00F90609">
        <w:rPr>
          <w:rFonts w:ascii="Avenir Next LT Pro" w:hAnsi="Avenir Next LT Pro" w:cs="Arial"/>
          <w:sz w:val="22"/>
          <w:szCs w:val="22"/>
        </w:rPr>
        <w:t xml:space="preserve">Il importe de préciser que l’application de la DFS n’impacte pas la mutuelle, la prévoyance, ou le maintien du complément employeur en cas d’arrêt de travail. </w:t>
      </w:r>
    </w:p>
    <w:p w14:paraId="095CD302" w14:textId="77777777" w:rsidR="00C47A0E" w:rsidRDefault="00C47A0E" w:rsidP="00C47A0E">
      <w:pPr>
        <w:jc w:val="both"/>
        <w:rPr>
          <w:rFonts w:ascii="Avenir Next LT Pro" w:hAnsi="Avenir Next LT Pro" w:cs="Arial"/>
          <w:sz w:val="22"/>
          <w:szCs w:val="22"/>
        </w:rPr>
      </w:pPr>
    </w:p>
    <w:p w14:paraId="4917A3C1" w14:textId="77777777" w:rsidR="00C47A0E" w:rsidRPr="00F90609" w:rsidRDefault="00C47A0E" w:rsidP="00C47A0E">
      <w:pPr>
        <w:jc w:val="both"/>
        <w:rPr>
          <w:rFonts w:ascii="Avenir Next LT Pro" w:hAnsi="Avenir Next LT Pro" w:cs="Arial"/>
          <w:sz w:val="22"/>
          <w:szCs w:val="22"/>
        </w:rPr>
      </w:pPr>
    </w:p>
    <w:p w14:paraId="2AF20D83" w14:textId="77777777" w:rsidR="00C47A0E" w:rsidRPr="00F90609" w:rsidRDefault="00C47A0E" w:rsidP="00C47A0E">
      <w:pPr>
        <w:jc w:val="both"/>
        <w:rPr>
          <w:rFonts w:ascii="Avenir Next LT Pro" w:hAnsi="Avenir Next LT Pro" w:cs="Arial"/>
          <w:b/>
          <w:bCs/>
          <w:sz w:val="22"/>
          <w:szCs w:val="22"/>
        </w:rPr>
      </w:pPr>
      <w:r w:rsidRPr="00F90609">
        <w:rPr>
          <w:rFonts w:ascii="Avenir Next LT Pro" w:hAnsi="Avenir Next LT Pro" w:cs="Arial"/>
          <w:b/>
          <w:bCs/>
          <w:sz w:val="22"/>
          <w:szCs w:val="22"/>
        </w:rPr>
        <w:t xml:space="preserve">Article 4 – Modalités de réduction progressive du taux d’abattement de déduction forfaitaire spécifique pour frais professionnels </w:t>
      </w:r>
    </w:p>
    <w:p w14:paraId="22FD31BC" w14:textId="77777777" w:rsidR="00C47A0E" w:rsidRPr="00F90609" w:rsidRDefault="00C47A0E" w:rsidP="00C47A0E">
      <w:pPr>
        <w:jc w:val="both"/>
        <w:rPr>
          <w:rFonts w:ascii="Avenir Next LT Pro" w:hAnsi="Avenir Next LT Pro" w:cs="Arial"/>
          <w:sz w:val="22"/>
          <w:szCs w:val="22"/>
        </w:rPr>
      </w:pPr>
    </w:p>
    <w:p w14:paraId="6669B649" w14:textId="6EFC21CD" w:rsidR="00C47A0E" w:rsidRPr="00F90609" w:rsidRDefault="00C47A0E" w:rsidP="00C47A0E">
      <w:pPr>
        <w:pStyle w:val="NormalWeb"/>
        <w:shd w:val="clear" w:color="auto" w:fill="FFFFFF"/>
        <w:spacing w:before="0" w:beforeAutospacing="0"/>
        <w:jc w:val="both"/>
        <w:rPr>
          <w:rFonts w:ascii="Avenir Next LT Pro" w:hAnsi="Avenir Next LT Pro" w:cs="Arial"/>
          <w:sz w:val="22"/>
          <w:szCs w:val="22"/>
        </w:rPr>
      </w:pPr>
      <w:r w:rsidRPr="00F90609">
        <w:rPr>
          <w:rFonts w:ascii="Avenir Next LT Pro" w:hAnsi="Avenir Next LT Pro" w:cs="Arial"/>
          <w:sz w:val="22"/>
          <w:szCs w:val="22"/>
        </w:rPr>
        <w:t xml:space="preserve">Le taux d’abattement de la déduction forfaire spécifique </w:t>
      </w:r>
      <w:r w:rsidR="00FE6DC9">
        <w:rPr>
          <w:rFonts w:ascii="Avenir Next LT Pro" w:hAnsi="Avenir Next LT Pro" w:cs="Arial"/>
          <w:sz w:val="22"/>
          <w:szCs w:val="22"/>
        </w:rPr>
        <w:t xml:space="preserve">sera </w:t>
      </w:r>
      <w:r w:rsidRPr="00F90609">
        <w:rPr>
          <w:rFonts w:ascii="Avenir Next LT Pro" w:hAnsi="Avenir Next LT Pro" w:cs="Arial"/>
          <w:sz w:val="22"/>
          <w:szCs w:val="22"/>
        </w:rPr>
        <w:t>réduit</w:t>
      </w:r>
      <w:r w:rsidR="00FE6DC9">
        <w:rPr>
          <w:rFonts w:ascii="Avenir Next LT Pro" w:hAnsi="Avenir Next LT Pro" w:cs="Arial"/>
          <w:sz w:val="22"/>
          <w:szCs w:val="22"/>
        </w:rPr>
        <w:t xml:space="preserve"> </w:t>
      </w:r>
      <w:r w:rsidRPr="00F90609">
        <w:rPr>
          <w:rFonts w:ascii="Avenir Next LT Pro" w:hAnsi="Avenir Next LT Pro" w:cs="Arial"/>
          <w:sz w:val="22"/>
          <w:szCs w:val="22"/>
        </w:rPr>
        <w:t>chaque année selon les modalités suivantes :</w:t>
      </w:r>
    </w:p>
    <w:p w14:paraId="3E03EA73" w14:textId="64AFA747" w:rsidR="00C47A0E" w:rsidRPr="00F90609" w:rsidRDefault="00C47A0E" w:rsidP="00C47A0E">
      <w:pPr>
        <w:numPr>
          <w:ilvl w:val="0"/>
          <w:numId w:val="9"/>
        </w:numPr>
        <w:shd w:val="clear" w:color="auto" w:fill="FFFFFF"/>
        <w:spacing w:before="100" w:beforeAutospacing="1" w:after="100" w:afterAutospacing="1"/>
        <w:jc w:val="both"/>
        <w:rPr>
          <w:rFonts w:ascii="Avenir Next LT Pro" w:hAnsi="Avenir Next LT Pro" w:cs="Arial"/>
          <w:sz w:val="22"/>
          <w:szCs w:val="22"/>
        </w:rPr>
      </w:pPr>
      <w:r w:rsidRPr="00F90609">
        <w:rPr>
          <w:rFonts w:ascii="Avenir Next LT Pro" w:hAnsi="Avenir Next LT Pro" w:cs="Arial"/>
          <w:sz w:val="22"/>
          <w:szCs w:val="22"/>
        </w:rPr>
        <w:t>Pour la construction, à compter du 1er janvier 2024, le taux de déduction forfaitaire spécifique est réduit de 1 point chaque année, et de 1,5 % les deux dernières années, jusqu’à sa suppression à partir du 1er janvier 2032</w:t>
      </w:r>
      <w:r w:rsidR="00025176">
        <w:rPr>
          <w:rFonts w:ascii="Avenir Next LT Pro" w:hAnsi="Avenir Next LT Pro" w:cs="Arial"/>
          <w:sz w:val="22"/>
          <w:szCs w:val="22"/>
        </w:rPr>
        <w:t> ;</w:t>
      </w:r>
    </w:p>
    <w:p w14:paraId="29430BAE" w14:textId="7F872DAC" w:rsidR="00A00860" w:rsidRDefault="00C47A0E" w:rsidP="00C47A0E">
      <w:pPr>
        <w:jc w:val="both"/>
        <w:rPr>
          <w:rFonts w:ascii="Avenir Next LT Pro" w:hAnsi="Avenir Next LT Pro" w:cs="Arial"/>
          <w:sz w:val="22"/>
          <w:szCs w:val="22"/>
        </w:rPr>
      </w:pPr>
      <w:r w:rsidRPr="00F90609">
        <w:rPr>
          <w:rFonts w:ascii="Avenir Next LT Pro" w:hAnsi="Avenir Next LT Pro" w:cs="Arial"/>
          <w:sz w:val="22"/>
          <w:szCs w:val="22"/>
        </w:rPr>
        <w:t>L’article 2310 du BOSS prévoit que pour accompagner la suppression progressive de la DFS, son bénéfice est admis</w:t>
      </w:r>
      <w:r w:rsidR="00A00860">
        <w:rPr>
          <w:rFonts w:ascii="Avenir Next LT Pro" w:hAnsi="Avenir Next LT Pro" w:cs="Arial"/>
          <w:sz w:val="22"/>
          <w:szCs w:val="22"/>
        </w:rPr>
        <w:t> </w:t>
      </w:r>
      <w:r w:rsidR="00A00860" w:rsidRPr="00F90609">
        <w:rPr>
          <w:rFonts w:ascii="Avenir Next LT Pro" w:hAnsi="Avenir Next LT Pro" w:cs="Arial"/>
          <w:sz w:val="22"/>
          <w:szCs w:val="22"/>
        </w:rPr>
        <w:t>même en l’absence de frais professionnels réellement supportés par le salarié</w:t>
      </w:r>
      <w:r w:rsidR="00A00860">
        <w:rPr>
          <w:rFonts w:ascii="Avenir Next LT Pro" w:hAnsi="Avenir Next LT Pro" w:cs="Arial"/>
          <w:sz w:val="22"/>
          <w:szCs w:val="22"/>
        </w:rPr>
        <w:t xml:space="preserve"> : </w:t>
      </w:r>
    </w:p>
    <w:p w14:paraId="5488F56B" w14:textId="77777777" w:rsidR="00A00860" w:rsidRDefault="00A00860" w:rsidP="00C47A0E">
      <w:pPr>
        <w:jc w:val="both"/>
        <w:rPr>
          <w:rFonts w:ascii="Avenir Next LT Pro" w:hAnsi="Avenir Next LT Pro" w:cs="Arial"/>
          <w:sz w:val="22"/>
          <w:szCs w:val="22"/>
        </w:rPr>
      </w:pPr>
    </w:p>
    <w:p w14:paraId="2B4F2BE8" w14:textId="6B32E150" w:rsidR="00C47A0E" w:rsidRPr="00B83A4A" w:rsidRDefault="00C47A0E" w:rsidP="00A00860">
      <w:pPr>
        <w:pStyle w:val="Paragraphedeliste"/>
        <w:numPr>
          <w:ilvl w:val="0"/>
          <w:numId w:val="10"/>
        </w:numPr>
        <w:jc w:val="both"/>
        <w:rPr>
          <w:rFonts w:ascii="Avenir Next LT Pro" w:hAnsi="Avenir Next LT Pro" w:cs="Arial"/>
          <w:sz w:val="22"/>
          <w:szCs w:val="22"/>
        </w:rPr>
      </w:pPr>
      <w:proofErr w:type="gramStart"/>
      <w:r w:rsidRPr="00B83A4A">
        <w:rPr>
          <w:rFonts w:ascii="Avenir Next LT Pro" w:hAnsi="Avenir Next LT Pro" w:cs="Arial"/>
          <w:sz w:val="22"/>
          <w:szCs w:val="22"/>
        </w:rPr>
        <w:t>depuis</w:t>
      </w:r>
      <w:proofErr w:type="gramEnd"/>
      <w:r w:rsidRPr="00B83A4A">
        <w:rPr>
          <w:rFonts w:ascii="Avenir Next LT Pro" w:hAnsi="Avenir Next LT Pro" w:cs="Arial"/>
          <w:sz w:val="22"/>
          <w:szCs w:val="22"/>
        </w:rPr>
        <w:t xml:space="preserve"> le </w:t>
      </w:r>
      <w:r w:rsidR="00A00860" w:rsidRPr="00B83A4A">
        <w:rPr>
          <w:rFonts w:ascii="Avenir Next LT Pro" w:hAnsi="Avenir Next LT Pro" w:cs="Arial"/>
          <w:sz w:val="22"/>
          <w:szCs w:val="22"/>
        </w:rPr>
        <w:t>1</w:t>
      </w:r>
      <w:r w:rsidR="00A00860" w:rsidRPr="00B83A4A">
        <w:rPr>
          <w:rFonts w:ascii="Avenir Next LT Pro" w:hAnsi="Avenir Next LT Pro" w:cs="Arial"/>
          <w:sz w:val="22"/>
          <w:szCs w:val="22"/>
          <w:vertAlign w:val="superscript"/>
        </w:rPr>
        <w:t>er</w:t>
      </w:r>
      <w:r w:rsidR="00A00860" w:rsidRPr="00B83A4A">
        <w:rPr>
          <w:rFonts w:ascii="Avenir Next LT Pro" w:hAnsi="Avenir Next LT Pro" w:cs="Arial"/>
          <w:sz w:val="22"/>
          <w:szCs w:val="22"/>
        </w:rPr>
        <w:t xml:space="preserve"> </w:t>
      </w:r>
      <w:r w:rsidRPr="00B83A4A">
        <w:rPr>
          <w:rFonts w:ascii="Avenir Next LT Pro" w:hAnsi="Avenir Next LT Pro" w:cs="Arial"/>
          <w:sz w:val="22"/>
          <w:szCs w:val="22"/>
        </w:rPr>
        <w:t>janvier 202</w:t>
      </w:r>
      <w:r w:rsidR="00063869" w:rsidRPr="00B83A4A">
        <w:rPr>
          <w:rFonts w:ascii="Avenir Next LT Pro" w:hAnsi="Avenir Next LT Pro" w:cs="Arial"/>
          <w:sz w:val="22"/>
          <w:szCs w:val="22"/>
        </w:rPr>
        <w:t>2</w:t>
      </w:r>
      <w:r w:rsidRPr="00B83A4A">
        <w:rPr>
          <w:rFonts w:ascii="Avenir Next LT Pro" w:hAnsi="Avenir Next LT Pro" w:cs="Arial"/>
          <w:sz w:val="22"/>
          <w:szCs w:val="22"/>
        </w:rPr>
        <w:t xml:space="preserve"> dans le secteur du bâtiment et des travaux publics, </w:t>
      </w:r>
    </w:p>
    <w:p w14:paraId="578B1D16" w14:textId="6A6798DF" w:rsidR="00A00860" w:rsidRPr="00B83A4A" w:rsidRDefault="00A00860" w:rsidP="00F95A69">
      <w:pPr>
        <w:pStyle w:val="Paragraphedeliste"/>
        <w:jc w:val="both"/>
        <w:rPr>
          <w:rFonts w:ascii="Avenir Next LT Pro" w:hAnsi="Avenir Next LT Pro" w:cs="Arial"/>
          <w:sz w:val="22"/>
          <w:szCs w:val="22"/>
        </w:rPr>
      </w:pPr>
    </w:p>
    <w:p w14:paraId="175434BB" w14:textId="77777777" w:rsidR="00C47A0E" w:rsidRPr="00B83A4A" w:rsidRDefault="00C47A0E" w:rsidP="00C47A0E">
      <w:pPr>
        <w:jc w:val="both"/>
        <w:rPr>
          <w:rFonts w:ascii="Avenir Next LT Pro" w:hAnsi="Avenir Next LT Pro" w:cs="Arial"/>
          <w:sz w:val="22"/>
          <w:szCs w:val="22"/>
        </w:rPr>
      </w:pPr>
    </w:p>
    <w:p w14:paraId="1477AE6C" w14:textId="4D9F5A7C" w:rsidR="00C47A0E" w:rsidRPr="00F90609" w:rsidRDefault="00C47A0E" w:rsidP="00C47A0E">
      <w:pPr>
        <w:jc w:val="both"/>
        <w:rPr>
          <w:rFonts w:ascii="Avenir Next LT Pro" w:hAnsi="Avenir Next LT Pro" w:cs="Arial"/>
          <w:sz w:val="22"/>
          <w:szCs w:val="22"/>
        </w:rPr>
      </w:pPr>
      <w:r w:rsidRPr="00B83A4A">
        <w:rPr>
          <w:rFonts w:ascii="Avenir Next LT Pro" w:hAnsi="Avenir Next LT Pro" w:cs="Arial"/>
          <w:sz w:val="22"/>
          <w:szCs w:val="22"/>
        </w:rPr>
        <w:t xml:space="preserve">Il est également toléré, toujours dans le secteur </w:t>
      </w:r>
      <w:r w:rsidR="00981609" w:rsidRPr="00B83A4A">
        <w:rPr>
          <w:rFonts w:ascii="Avenir Next LT Pro" w:hAnsi="Avenir Next LT Pro" w:cs="Arial"/>
          <w:sz w:val="22"/>
          <w:szCs w:val="22"/>
        </w:rPr>
        <w:t>du</w:t>
      </w:r>
      <w:r w:rsidRPr="00B83A4A">
        <w:rPr>
          <w:rFonts w:ascii="Avenir Next LT Pro" w:hAnsi="Avenir Next LT Pro" w:cs="Arial"/>
          <w:sz w:val="22"/>
          <w:szCs w:val="22"/>
        </w:rPr>
        <w:t xml:space="preserve"> bâtiment et des travaux publics</w:t>
      </w:r>
      <w:r w:rsidR="00D32386" w:rsidRPr="00B83A4A">
        <w:rPr>
          <w:rFonts w:ascii="Avenir Next LT Pro" w:hAnsi="Avenir Next LT Pro" w:cs="Arial"/>
          <w:sz w:val="22"/>
          <w:szCs w:val="22"/>
        </w:rPr>
        <w:t xml:space="preserve">, </w:t>
      </w:r>
      <w:r w:rsidRPr="00B83A4A">
        <w:rPr>
          <w:rFonts w:ascii="Avenir Next LT Pro" w:hAnsi="Avenir Next LT Pro" w:cs="Arial"/>
          <w:sz w:val="22"/>
          <w:szCs w:val="22"/>
        </w:rPr>
        <w:t xml:space="preserve">et conformément à l’article 2320 du BOSS, que depuis </w:t>
      </w:r>
      <w:r w:rsidR="00B83A4A" w:rsidRPr="00B83A4A">
        <w:rPr>
          <w:rFonts w:ascii="Avenir Next LT Pro" w:hAnsi="Avenir Next LT Pro" w:cs="Arial"/>
          <w:sz w:val="22"/>
          <w:szCs w:val="22"/>
        </w:rPr>
        <w:t>le</w:t>
      </w:r>
      <w:r w:rsidR="00981609" w:rsidRPr="00B83A4A">
        <w:rPr>
          <w:rFonts w:ascii="Avenir Next LT Pro" w:hAnsi="Avenir Next LT Pro" w:cs="Arial"/>
          <w:sz w:val="22"/>
          <w:szCs w:val="22"/>
        </w:rPr>
        <w:t xml:space="preserve"> 1</w:t>
      </w:r>
      <w:r w:rsidR="00981609" w:rsidRPr="00B83A4A">
        <w:rPr>
          <w:rFonts w:ascii="Avenir Next LT Pro" w:hAnsi="Avenir Next LT Pro" w:cs="Arial"/>
          <w:sz w:val="22"/>
          <w:szCs w:val="22"/>
          <w:vertAlign w:val="superscript"/>
        </w:rPr>
        <w:t>er</w:t>
      </w:r>
      <w:r w:rsidR="00981609" w:rsidRPr="00B83A4A">
        <w:rPr>
          <w:rFonts w:ascii="Avenir Next LT Pro" w:hAnsi="Avenir Next LT Pro" w:cs="Arial"/>
          <w:sz w:val="22"/>
          <w:szCs w:val="22"/>
        </w:rPr>
        <w:t xml:space="preserve"> janvier 2022</w:t>
      </w:r>
      <w:r w:rsidR="00B83A4A" w:rsidRPr="00B83A4A">
        <w:rPr>
          <w:rFonts w:ascii="Avenir Next LT Pro" w:hAnsi="Avenir Next LT Pro" w:cs="Arial"/>
          <w:sz w:val="22"/>
          <w:szCs w:val="22"/>
        </w:rPr>
        <w:t xml:space="preserve"> </w:t>
      </w:r>
      <w:r w:rsidRPr="00B83A4A">
        <w:rPr>
          <w:rFonts w:ascii="Avenir Next LT Pro" w:hAnsi="Avenir Next LT Pro" w:cs="Arial"/>
          <w:sz w:val="22"/>
          <w:szCs w:val="22"/>
        </w:rPr>
        <w:t>l’ensemble des rembourse</w:t>
      </w:r>
      <w:r w:rsidR="005825A0" w:rsidRPr="00B83A4A">
        <w:rPr>
          <w:rFonts w:ascii="Avenir Next LT Pro" w:hAnsi="Avenir Next LT Pro" w:cs="Arial"/>
          <w:sz w:val="22"/>
          <w:szCs w:val="22"/>
        </w:rPr>
        <w:t>ments</w:t>
      </w:r>
      <w:r w:rsidRPr="00B83A4A">
        <w:rPr>
          <w:rFonts w:ascii="Avenir Next LT Pro" w:hAnsi="Avenir Next LT Pro" w:cs="Arial"/>
          <w:sz w:val="22"/>
          <w:szCs w:val="22"/>
        </w:rPr>
        <w:t xml:space="preserve"> de frais professionnels peut faire l’objet d’un cumul avec la déduction forfaitaire spécifique.</w:t>
      </w:r>
      <w:r w:rsidRPr="00F90609">
        <w:rPr>
          <w:rFonts w:ascii="Avenir Next LT Pro" w:hAnsi="Avenir Next LT Pro" w:cs="Arial"/>
          <w:sz w:val="22"/>
          <w:szCs w:val="22"/>
        </w:rPr>
        <w:t xml:space="preserve"> </w:t>
      </w:r>
    </w:p>
    <w:p w14:paraId="4E6B1975" w14:textId="77777777" w:rsidR="00C47A0E" w:rsidRPr="00F90609" w:rsidRDefault="00C47A0E" w:rsidP="00C47A0E">
      <w:pPr>
        <w:jc w:val="both"/>
        <w:rPr>
          <w:rFonts w:ascii="Avenir Next LT Pro" w:hAnsi="Avenir Next LT Pro" w:cs="Arial"/>
          <w:sz w:val="22"/>
          <w:szCs w:val="22"/>
        </w:rPr>
      </w:pPr>
    </w:p>
    <w:p w14:paraId="7DBC8E7E" w14:textId="77777777" w:rsidR="00C47A0E" w:rsidRPr="00F90609" w:rsidRDefault="00C47A0E" w:rsidP="00C47A0E">
      <w:pPr>
        <w:jc w:val="both"/>
        <w:rPr>
          <w:rFonts w:ascii="Avenir Next LT Pro" w:hAnsi="Avenir Next LT Pro" w:cs="Arial"/>
          <w:sz w:val="22"/>
          <w:szCs w:val="22"/>
        </w:rPr>
      </w:pPr>
      <w:r w:rsidRPr="00F90609">
        <w:rPr>
          <w:rFonts w:ascii="Avenir Next LT Pro" w:hAnsi="Avenir Next LT Pro" w:cs="Arial"/>
          <w:sz w:val="22"/>
          <w:szCs w:val="22"/>
        </w:rPr>
        <w:t xml:space="preserve">Il est donc admis que les frais professionnels ne soient pas intégrés dans l’assiette des cotisations sociales avant l’application de la DFS. </w:t>
      </w:r>
    </w:p>
    <w:p w14:paraId="6AA447B3" w14:textId="77777777" w:rsidR="00C47A0E" w:rsidRPr="00F90609" w:rsidRDefault="00C47A0E" w:rsidP="00C47A0E">
      <w:pPr>
        <w:jc w:val="both"/>
        <w:rPr>
          <w:rFonts w:ascii="Avenir Next LT Pro" w:hAnsi="Avenir Next LT Pro" w:cs="Arial"/>
          <w:b/>
          <w:color w:val="4472C4"/>
          <w:sz w:val="24"/>
          <w:szCs w:val="24"/>
        </w:rPr>
      </w:pPr>
    </w:p>
    <w:p w14:paraId="3B5F958A" w14:textId="27D9254C" w:rsidR="00C47A0E" w:rsidRPr="00F90609" w:rsidRDefault="00C47A0E" w:rsidP="00C47A0E">
      <w:pPr>
        <w:jc w:val="both"/>
        <w:rPr>
          <w:rFonts w:ascii="Avenir Next LT Pro" w:hAnsi="Avenir Next LT Pro" w:cs="Arial"/>
          <w:b/>
          <w:color w:val="4472C4"/>
          <w:sz w:val="24"/>
          <w:szCs w:val="24"/>
        </w:rPr>
      </w:pPr>
      <w:r w:rsidRPr="00F90609">
        <w:rPr>
          <w:rFonts w:ascii="Avenir Next LT Pro" w:hAnsi="Avenir Next LT Pro" w:cs="Arial"/>
          <w:b/>
          <w:color w:val="4472C4"/>
          <w:sz w:val="24"/>
          <w:szCs w:val="24"/>
        </w:rPr>
        <w:t xml:space="preserve">TITRE </w:t>
      </w:r>
      <w:r w:rsidR="005825A0">
        <w:rPr>
          <w:rFonts w:ascii="Avenir Next LT Pro" w:hAnsi="Avenir Next LT Pro" w:cs="Arial"/>
          <w:b/>
          <w:color w:val="4472C4"/>
          <w:sz w:val="24"/>
          <w:szCs w:val="24"/>
        </w:rPr>
        <w:t>2</w:t>
      </w:r>
      <w:r w:rsidRPr="00F90609">
        <w:rPr>
          <w:rFonts w:ascii="Avenir Next LT Pro" w:hAnsi="Avenir Next LT Pro" w:cs="Arial"/>
          <w:b/>
          <w:color w:val="4472C4"/>
          <w:sz w:val="24"/>
          <w:szCs w:val="24"/>
        </w:rPr>
        <w:t xml:space="preserve"> – MODALITES D’APPLICATION DE L’ACCORD</w:t>
      </w:r>
    </w:p>
    <w:p w14:paraId="5CF89E1B" w14:textId="77777777" w:rsidR="00C47A0E" w:rsidRPr="00F90609" w:rsidRDefault="00C47A0E" w:rsidP="00C47A0E">
      <w:pPr>
        <w:jc w:val="both"/>
        <w:rPr>
          <w:rFonts w:ascii="Avenir Next LT Pro" w:hAnsi="Avenir Next LT Pro"/>
          <w:b/>
          <w:sz w:val="22"/>
          <w:szCs w:val="22"/>
        </w:rPr>
      </w:pPr>
    </w:p>
    <w:p w14:paraId="48D65CE2" w14:textId="77777777" w:rsidR="00C47A0E" w:rsidRPr="00F90609" w:rsidRDefault="00C47A0E" w:rsidP="00C47A0E">
      <w:pPr>
        <w:jc w:val="both"/>
        <w:rPr>
          <w:rFonts w:ascii="Avenir Next LT Pro" w:eastAsia="Calibri" w:hAnsi="Avenir Next LT Pro" w:cs="Arial"/>
          <w:b/>
          <w:sz w:val="22"/>
          <w:szCs w:val="22"/>
        </w:rPr>
      </w:pPr>
      <w:r w:rsidRPr="00F90609">
        <w:rPr>
          <w:rFonts w:ascii="Avenir Next LT Pro" w:eastAsia="Calibri" w:hAnsi="Avenir Next LT Pro" w:cs="Arial"/>
          <w:b/>
          <w:sz w:val="22"/>
          <w:szCs w:val="22"/>
        </w:rPr>
        <w:t>Article 1 - Conclusion de l’accord</w:t>
      </w:r>
    </w:p>
    <w:p w14:paraId="62B6133B" w14:textId="77777777" w:rsidR="00C47A0E" w:rsidRPr="00F90609" w:rsidRDefault="00C47A0E" w:rsidP="00C47A0E">
      <w:pPr>
        <w:jc w:val="both"/>
        <w:rPr>
          <w:rFonts w:ascii="Avenir Next LT Pro" w:eastAsia="Calibri" w:hAnsi="Avenir Next LT Pro" w:cs="Arial"/>
          <w:b/>
          <w:sz w:val="22"/>
          <w:szCs w:val="22"/>
          <w:u w:val="single"/>
        </w:rPr>
      </w:pPr>
    </w:p>
    <w:p w14:paraId="7E0CA30F" w14:textId="77777777" w:rsidR="00C47A0E" w:rsidRPr="00F90609" w:rsidRDefault="00C47A0E" w:rsidP="00C47A0E">
      <w:pPr>
        <w:jc w:val="both"/>
        <w:rPr>
          <w:rFonts w:ascii="Avenir Next LT Pro" w:eastAsia="Calibri" w:hAnsi="Avenir Next LT Pro" w:cs="Arial"/>
          <w:sz w:val="22"/>
          <w:szCs w:val="22"/>
        </w:rPr>
      </w:pPr>
      <w:r w:rsidRPr="00F90609">
        <w:rPr>
          <w:rFonts w:ascii="Avenir Next LT Pro" w:eastAsia="Calibri" w:hAnsi="Avenir Next LT Pro" w:cs="Arial"/>
          <w:sz w:val="22"/>
          <w:szCs w:val="22"/>
        </w:rPr>
        <w:t>Conformément aux dispositions visées dans le préambule, cet accord a été soumis à l’approbation des salariés.</w:t>
      </w:r>
    </w:p>
    <w:p w14:paraId="45D8747B" w14:textId="77777777" w:rsidR="00C47A0E" w:rsidRPr="00F90609" w:rsidRDefault="00C47A0E" w:rsidP="00C47A0E">
      <w:pPr>
        <w:jc w:val="both"/>
        <w:rPr>
          <w:rFonts w:ascii="Avenir Next LT Pro" w:eastAsia="Calibri" w:hAnsi="Avenir Next LT Pro" w:cs="Arial"/>
          <w:sz w:val="22"/>
          <w:szCs w:val="22"/>
        </w:rPr>
      </w:pPr>
    </w:p>
    <w:p w14:paraId="1BF95A3E" w14:textId="2DBA6353" w:rsidR="00C47A0E" w:rsidRPr="00F90609" w:rsidRDefault="00C47A0E" w:rsidP="00C47A0E">
      <w:pPr>
        <w:jc w:val="both"/>
        <w:rPr>
          <w:rFonts w:ascii="Avenir Next LT Pro" w:eastAsia="Calibri" w:hAnsi="Avenir Next LT Pro" w:cs="Arial"/>
          <w:sz w:val="22"/>
          <w:szCs w:val="22"/>
        </w:rPr>
      </w:pPr>
      <w:r w:rsidRPr="00F90609">
        <w:rPr>
          <w:rFonts w:ascii="Avenir Next LT Pro" w:eastAsia="Calibri" w:hAnsi="Avenir Next LT Pro" w:cs="Arial"/>
          <w:sz w:val="22"/>
          <w:szCs w:val="22"/>
        </w:rPr>
        <w:t>A l’issue de la consultation prévue par les articles L. 2232-21, L. 2232-22 et R. 2232-10 à R. 2232-12 le présent accord a été validé par au minimum les deux tiers des salariés des salariés.</w:t>
      </w:r>
    </w:p>
    <w:p w14:paraId="4807C1E8" w14:textId="77777777" w:rsidR="00C47A0E" w:rsidRPr="00F90609" w:rsidRDefault="00C47A0E" w:rsidP="00C47A0E">
      <w:pPr>
        <w:jc w:val="both"/>
        <w:rPr>
          <w:rFonts w:ascii="Avenir Next LT Pro" w:eastAsia="Calibri" w:hAnsi="Avenir Next LT Pro" w:cs="Arial"/>
          <w:sz w:val="22"/>
          <w:szCs w:val="22"/>
        </w:rPr>
      </w:pPr>
    </w:p>
    <w:p w14:paraId="6CA6C2C3" w14:textId="77777777" w:rsidR="00C47A0E" w:rsidRPr="00F90609" w:rsidRDefault="00C47A0E" w:rsidP="00C47A0E">
      <w:pPr>
        <w:jc w:val="both"/>
        <w:rPr>
          <w:rFonts w:ascii="Avenir Next LT Pro" w:eastAsia="Calibri" w:hAnsi="Avenir Next LT Pro" w:cs="Arial"/>
          <w:sz w:val="22"/>
          <w:szCs w:val="22"/>
        </w:rPr>
      </w:pPr>
      <w:r w:rsidRPr="00F90609">
        <w:rPr>
          <w:rFonts w:ascii="Avenir Next LT Pro" w:eastAsia="Calibri" w:hAnsi="Avenir Next LT Pro" w:cs="Arial"/>
          <w:sz w:val="22"/>
          <w:szCs w:val="22"/>
        </w:rPr>
        <w:t>Cet accord est donc valide et entrera en vigueur conformément aux dispositions légales, à compter du lendemain de son dépôt auprès des services compétents.</w:t>
      </w:r>
    </w:p>
    <w:p w14:paraId="548A98BE" w14:textId="77777777" w:rsidR="00C47A0E" w:rsidRPr="00F90609" w:rsidRDefault="00C47A0E" w:rsidP="00C47A0E">
      <w:pPr>
        <w:jc w:val="both"/>
        <w:rPr>
          <w:rFonts w:ascii="Avenir Next LT Pro" w:eastAsia="Calibri" w:hAnsi="Avenir Next LT Pro" w:cs="Arial"/>
          <w:sz w:val="22"/>
          <w:szCs w:val="22"/>
        </w:rPr>
      </w:pPr>
    </w:p>
    <w:p w14:paraId="64128C0F" w14:textId="77777777" w:rsidR="00C47A0E" w:rsidRPr="00F90609" w:rsidRDefault="00C47A0E" w:rsidP="00C47A0E">
      <w:pPr>
        <w:jc w:val="both"/>
        <w:rPr>
          <w:rFonts w:ascii="Avenir Next LT Pro" w:eastAsia="Calibri" w:hAnsi="Avenir Next LT Pro" w:cs="Arial"/>
          <w:sz w:val="22"/>
          <w:szCs w:val="22"/>
        </w:rPr>
      </w:pPr>
    </w:p>
    <w:p w14:paraId="36940FE4" w14:textId="77777777" w:rsidR="00C47A0E" w:rsidRPr="00F90609" w:rsidRDefault="00C47A0E" w:rsidP="00C47A0E">
      <w:pPr>
        <w:jc w:val="both"/>
        <w:rPr>
          <w:rFonts w:ascii="Avenir Next LT Pro" w:eastAsia="Calibri" w:hAnsi="Avenir Next LT Pro" w:cs="Arial"/>
          <w:sz w:val="22"/>
          <w:szCs w:val="22"/>
        </w:rPr>
      </w:pPr>
    </w:p>
    <w:p w14:paraId="69325BA4" w14:textId="77777777" w:rsidR="00C47A0E" w:rsidRPr="00F90609" w:rsidRDefault="00C47A0E" w:rsidP="00C47A0E">
      <w:pPr>
        <w:jc w:val="both"/>
        <w:rPr>
          <w:rFonts w:ascii="Avenir Next LT Pro" w:eastAsia="Calibri" w:hAnsi="Avenir Next LT Pro"/>
          <w:b/>
          <w:sz w:val="22"/>
          <w:szCs w:val="22"/>
        </w:rPr>
      </w:pPr>
      <w:r w:rsidRPr="00F90609">
        <w:rPr>
          <w:rFonts w:ascii="Avenir Next LT Pro" w:eastAsia="Calibri" w:hAnsi="Avenir Next LT Pro" w:cs="Arial"/>
          <w:b/>
          <w:sz w:val="22"/>
          <w:szCs w:val="22"/>
        </w:rPr>
        <w:t>Article 2 - Suivi de l’accord</w:t>
      </w:r>
    </w:p>
    <w:p w14:paraId="4BF29D29" w14:textId="77777777" w:rsidR="00C47A0E" w:rsidRPr="00F90609" w:rsidRDefault="00C47A0E" w:rsidP="00C47A0E">
      <w:pPr>
        <w:jc w:val="both"/>
        <w:rPr>
          <w:rFonts w:ascii="Avenir Next LT Pro" w:eastAsia="Calibri" w:hAnsi="Avenir Next LT Pro" w:cs="Arial"/>
          <w:sz w:val="22"/>
          <w:szCs w:val="22"/>
        </w:rPr>
      </w:pPr>
    </w:p>
    <w:p w14:paraId="35840E07" w14:textId="77777777" w:rsidR="00C47A0E" w:rsidRPr="00F90609" w:rsidRDefault="00C47A0E" w:rsidP="00C47A0E">
      <w:pPr>
        <w:jc w:val="both"/>
        <w:rPr>
          <w:rFonts w:ascii="Avenir Next LT Pro" w:eastAsia="Calibri" w:hAnsi="Avenir Next LT Pro" w:cs="Arial"/>
          <w:sz w:val="22"/>
          <w:szCs w:val="22"/>
        </w:rPr>
      </w:pPr>
      <w:r w:rsidRPr="00F90609">
        <w:rPr>
          <w:rFonts w:ascii="Avenir Next LT Pro" w:eastAsia="Calibri" w:hAnsi="Avenir Next LT Pro" w:cs="Arial"/>
          <w:sz w:val="22"/>
          <w:szCs w:val="22"/>
        </w:rPr>
        <w:t>Le suivi de l’application du présent Accord sera organisé de la manière suivante.</w:t>
      </w:r>
    </w:p>
    <w:p w14:paraId="261AFE1B" w14:textId="77777777" w:rsidR="00C47A0E" w:rsidRPr="00F90609" w:rsidRDefault="00C47A0E" w:rsidP="00C47A0E">
      <w:pPr>
        <w:jc w:val="both"/>
        <w:rPr>
          <w:rFonts w:ascii="Avenir Next LT Pro" w:eastAsia="Calibri" w:hAnsi="Avenir Next LT Pro" w:cs="Arial"/>
          <w:sz w:val="22"/>
          <w:szCs w:val="22"/>
        </w:rPr>
      </w:pPr>
    </w:p>
    <w:p w14:paraId="74932A4C" w14:textId="77777777" w:rsidR="00C47A0E" w:rsidRPr="00F90609" w:rsidRDefault="00C47A0E" w:rsidP="00C47A0E">
      <w:pPr>
        <w:jc w:val="both"/>
        <w:rPr>
          <w:rFonts w:ascii="Avenir Next LT Pro" w:eastAsia="Calibri" w:hAnsi="Avenir Next LT Pro" w:cs="Arial"/>
          <w:sz w:val="22"/>
          <w:szCs w:val="22"/>
        </w:rPr>
      </w:pPr>
      <w:r w:rsidRPr="00F90609">
        <w:rPr>
          <w:rFonts w:ascii="Avenir Next LT Pro" w:eastAsia="Calibri" w:hAnsi="Avenir Next LT Pro" w:cs="Arial"/>
          <w:sz w:val="22"/>
          <w:szCs w:val="22"/>
        </w:rPr>
        <w:t>Il sera établi tous les deux ans un rapport contenant le nombre de contrats de travail temporaire conclu pour un emploi saisonnier ou un emploi d’usage constant n’ayant pas bénéficié de l’indemnité de fin de mission conformément au présent accord.</w:t>
      </w:r>
    </w:p>
    <w:p w14:paraId="4CCA934E" w14:textId="77777777" w:rsidR="00C47A0E" w:rsidRPr="00F90609" w:rsidRDefault="00C47A0E" w:rsidP="00C47A0E">
      <w:pPr>
        <w:jc w:val="both"/>
        <w:rPr>
          <w:rFonts w:ascii="Avenir Next LT Pro" w:eastAsia="Calibri" w:hAnsi="Avenir Next LT Pro" w:cs="Arial"/>
          <w:color w:val="auto"/>
          <w:sz w:val="22"/>
          <w:szCs w:val="22"/>
          <w:lang w:eastAsia="en-US"/>
        </w:rPr>
      </w:pPr>
    </w:p>
    <w:p w14:paraId="1281EE2E" w14:textId="77777777" w:rsidR="00C47A0E" w:rsidRPr="00F90609" w:rsidRDefault="00C47A0E" w:rsidP="00C47A0E">
      <w:pPr>
        <w:jc w:val="both"/>
        <w:rPr>
          <w:rFonts w:ascii="Avenir Next LT Pro" w:eastAsia="Calibri" w:hAnsi="Avenir Next LT Pro" w:cs="Arial"/>
          <w:sz w:val="22"/>
          <w:szCs w:val="22"/>
        </w:rPr>
      </w:pPr>
      <w:r w:rsidRPr="00F90609">
        <w:rPr>
          <w:rFonts w:ascii="Avenir Next LT Pro" w:eastAsia="Calibri" w:hAnsi="Avenir Next LT Pro" w:cs="Arial"/>
          <w:sz w:val="22"/>
          <w:szCs w:val="22"/>
        </w:rPr>
        <w:t>Ce rapport sera transmis aux représentants du personnel s’ils existent, ces derniers ayant un rôle de suivi de la mise en œuvre des dispositions du présent accord en proximité avec les salariés et de leur bonne application.</w:t>
      </w:r>
    </w:p>
    <w:p w14:paraId="1D9B2232" w14:textId="77777777" w:rsidR="00C47A0E" w:rsidRPr="00F90609" w:rsidRDefault="00C47A0E" w:rsidP="00C47A0E">
      <w:pPr>
        <w:jc w:val="both"/>
        <w:rPr>
          <w:rFonts w:ascii="Avenir Next LT Pro" w:eastAsia="Calibri" w:hAnsi="Avenir Next LT Pro" w:cs="Arial"/>
          <w:sz w:val="22"/>
          <w:szCs w:val="22"/>
        </w:rPr>
      </w:pPr>
    </w:p>
    <w:p w14:paraId="637B9694" w14:textId="77777777" w:rsidR="00C47A0E" w:rsidRPr="00F90609" w:rsidRDefault="00C47A0E" w:rsidP="00C47A0E">
      <w:pPr>
        <w:jc w:val="both"/>
        <w:rPr>
          <w:rFonts w:ascii="Avenir Next LT Pro" w:eastAsia="Calibri" w:hAnsi="Avenir Next LT Pro" w:cs="Arial"/>
          <w:b/>
          <w:sz w:val="22"/>
          <w:szCs w:val="22"/>
        </w:rPr>
      </w:pPr>
      <w:r w:rsidRPr="00F90609">
        <w:rPr>
          <w:rFonts w:ascii="Avenir Next LT Pro" w:eastAsia="Calibri" w:hAnsi="Avenir Next LT Pro"/>
          <w:b/>
          <w:sz w:val="22"/>
          <w:szCs w:val="22"/>
        </w:rPr>
        <w:t>Article 3 -</w:t>
      </w:r>
      <w:r w:rsidRPr="00F90609">
        <w:rPr>
          <w:rFonts w:ascii="Avenir Next LT Pro" w:eastAsia="Calibri" w:hAnsi="Avenir Next LT Pro" w:cs="Arial"/>
          <w:b/>
          <w:sz w:val="22"/>
          <w:szCs w:val="22"/>
        </w:rPr>
        <w:t xml:space="preserve"> Modification de l’accord </w:t>
      </w:r>
    </w:p>
    <w:p w14:paraId="174C915F" w14:textId="77777777" w:rsidR="00C47A0E" w:rsidRPr="00F90609" w:rsidRDefault="00C47A0E" w:rsidP="00C47A0E">
      <w:pPr>
        <w:jc w:val="both"/>
        <w:rPr>
          <w:rFonts w:ascii="Avenir Next LT Pro" w:eastAsia="Calibri" w:hAnsi="Avenir Next LT Pro" w:cs="Arial"/>
          <w:sz w:val="22"/>
          <w:szCs w:val="22"/>
        </w:rPr>
      </w:pPr>
    </w:p>
    <w:p w14:paraId="6F71A8AC" w14:textId="77777777" w:rsidR="00C47A0E" w:rsidRPr="00F90609" w:rsidRDefault="00C47A0E" w:rsidP="00C47A0E">
      <w:pPr>
        <w:jc w:val="both"/>
        <w:rPr>
          <w:rFonts w:ascii="Avenir Next LT Pro" w:eastAsia="Calibri" w:hAnsi="Avenir Next LT Pro" w:cs="Arial"/>
          <w:sz w:val="22"/>
          <w:szCs w:val="22"/>
        </w:rPr>
      </w:pPr>
      <w:r w:rsidRPr="00F90609">
        <w:rPr>
          <w:rFonts w:ascii="Avenir Next LT Pro" w:eastAsia="Calibri" w:hAnsi="Avenir Next LT Pro" w:cs="Arial"/>
          <w:sz w:val="22"/>
          <w:szCs w:val="22"/>
        </w:rPr>
        <w:t>Tout évènement modifiant les dispositions du présent accord et qui ferait l’objet d’un accord entre les parties signataires donnera lieu à l’établissement d’un avenant.</w:t>
      </w:r>
    </w:p>
    <w:p w14:paraId="7660D367" w14:textId="77777777" w:rsidR="00C47A0E" w:rsidRPr="00F90609" w:rsidRDefault="00C47A0E" w:rsidP="00C47A0E">
      <w:pPr>
        <w:jc w:val="both"/>
        <w:rPr>
          <w:rFonts w:ascii="Avenir Next LT Pro" w:eastAsia="Calibri" w:hAnsi="Avenir Next LT Pro" w:cs="Arial"/>
          <w:sz w:val="22"/>
          <w:szCs w:val="22"/>
        </w:rPr>
      </w:pPr>
    </w:p>
    <w:p w14:paraId="7B9B1F9C" w14:textId="77777777" w:rsidR="00C47A0E" w:rsidRPr="005825A0" w:rsidRDefault="00C47A0E" w:rsidP="00C47A0E">
      <w:pPr>
        <w:pStyle w:val="Titre2"/>
        <w:jc w:val="both"/>
        <w:rPr>
          <w:rFonts w:ascii="Avenir Next LT Pro" w:eastAsia="Calibri" w:hAnsi="Avenir Next LT Pro" w:cs="Arial"/>
          <w:b/>
          <w:color w:val="000000"/>
          <w:sz w:val="22"/>
          <w:szCs w:val="22"/>
        </w:rPr>
      </w:pPr>
      <w:r w:rsidRPr="005825A0">
        <w:rPr>
          <w:rFonts w:ascii="Avenir Next LT Pro" w:eastAsia="Calibri" w:hAnsi="Avenir Next LT Pro" w:cs="Arial"/>
          <w:b/>
          <w:color w:val="000000"/>
          <w:sz w:val="22"/>
          <w:szCs w:val="22"/>
        </w:rPr>
        <w:t>Article 4 - Durée de l’accord</w:t>
      </w:r>
    </w:p>
    <w:p w14:paraId="091893FE" w14:textId="77777777" w:rsidR="00C47A0E" w:rsidRPr="00F90609" w:rsidRDefault="00C47A0E" w:rsidP="00C47A0E">
      <w:pPr>
        <w:autoSpaceDE w:val="0"/>
        <w:autoSpaceDN w:val="0"/>
        <w:adjustRightInd w:val="0"/>
        <w:jc w:val="both"/>
        <w:rPr>
          <w:rFonts w:ascii="Avenir Next LT Pro" w:eastAsia="Calibri" w:hAnsi="Avenir Next LT Pro" w:cs="Arial"/>
          <w:b/>
          <w:sz w:val="22"/>
          <w:szCs w:val="22"/>
          <w:u w:val="single"/>
        </w:rPr>
      </w:pPr>
    </w:p>
    <w:p w14:paraId="0EF2358B" w14:textId="77777777" w:rsidR="00C47A0E" w:rsidRPr="00F90609" w:rsidRDefault="00C47A0E" w:rsidP="00C47A0E">
      <w:pPr>
        <w:jc w:val="both"/>
        <w:rPr>
          <w:rFonts w:ascii="Avenir Next LT Pro" w:eastAsia="Calibri" w:hAnsi="Avenir Next LT Pro"/>
          <w:bCs/>
          <w:sz w:val="22"/>
          <w:szCs w:val="22"/>
        </w:rPr>
      </w:pPr>
      <w:r w:rsidRPr="00F90609">
        <w:rPr>
          <w:rFonts w:ascii="Avenir Next LT Pro" w:eastAsia="Calibri" w:hAnsi="Avenir Next LT Pro" w:cs="Arial"/>
          <w:sz w:val="22"/>
          <w:szCs w:val="22"/>
        </w:rPr>
        <w:t xml:space="preserve">Le présent accord est conclu pour une durée indéterminée. Il entrera en vigueur le </w:t>
      </w:r>
      <w:r w:rsidRPr="00F90609">
        <w:rPr>
          <w:rFonts w:ascii="Avenir Next LT Pro" w:eastAsia="Calibri" w:hAnsi="Avenir Next LT Pro"/>
          <w:bCs/>
          <w:sz w:val="22"/>
          <w:szCs w:val="22"/>
        </w:rPr>
        <w:t>lendemain de son dépôt auprès des services compétents.</w:t>
      </w:r>
    </w:p>
    <w:p w14:paraId="7CFCC6CC" w14:textId="77777777" w:rsidR="00C47A0E" w:rsidRDefault="00C47A0E" w:rsidP="00C47A0E">
      <w:pPr>
        <w:jc w:val="both"/>
        <w:rPr>
          <w:rFonts w:ascii="Avenir Next LT Pro" w:eastAsia="Calibri" w:hAnsi="Avenir Next LT Pro"/>
          <w:bCs/>
          <w:sz w:val="22"/>
          <w:szCs w:val="22"/>
        </w:rPr>
      </w:pPr>
    </w:p>
    <w:p w14:paraId="08636DE2" w14:textId="77777777" w:rsidR="00C47A0E" w:rsidRPr="005825A0" w:rsidRDefault="00C47A0E" w:rsidP="00C47A0E">
      <w:pPr>
        <w:pStyle w:val="Titre2"/>
        <w:jc w:val="both"/>
        <w:rPr>
          <w:rFonts w:ascii="Avenir Next LT Pro" w:eastAsia="Calibri" w:hAnsi="Avenir Next LT Pro" w:cs="Arial"/>
          <w:b/>
          <w:color w:val="000000"/>
          <w:sz w:val="22"/>
          <w:szCs w:val="22"/>
        </w:rPr>
      </w:pPr>
      <w:r w:rsidRPr="005825A0">
        <w:rPr>
          <w:rFonts w:ascii="Avenir Next LT Pro" w:eastAsia="Calibri" w:hAnsi="Avenir Next LT Pro" w:cs="Arial"/>
          <w:b/>
          <w:color w:val="000000"/>
          <w:sz w:val="22"/>
          <w:szCs w:val="22"/>
        </w:rPr>
        <w:t>Article 5 - Révision de l’accord</w:t>
      </w:r>
    </w:p>
    <w:p w14:paraId="697B2E9F" w14:textId="77777777" w:rsidR="00C47A0E" w:rsidRPr="00F90609" w:rsidRDefault="00C47A0E" w:rsidP="00C47A0E">
      <w:pPr>
        <w:autoSpaceDE w:val="0"/>
        <w:autoSpaceDN w:val="0"/>
        <w:adjustRightInd w:val="0"/>
        <w:jc w:val="both"/>
        <w:rPr>
          <w:rFonts w:ascii="Avenir Next LT Pro" w:eastAsia="Calibri" w:hAnsi="Avenir Next LT Pro" w:cs="Arial"/>
          <w:sz w:val="22"/>
          <w:szCs w:val="22"/>
        </w:rPr>
      </w:pPr>
    </w:p>
    <w:p w14:paraId="35B87A74" w14:textId="77777777" w:rsidR="00C47A0E" w:rsidRPr="00F90609" w:rsidRDefault="00C47A0E" w:rsidP="00C47A0E">
      <w:pPr>
        <w:jc w:val="both"/>
        <w:rPr>
          <w:rFonts w:ascii="Avenir Next LT Pro" w:eastAsia="Calibri" w:hAnsi="Avenir Next LT Pro" w:cs="Arial"/>
          <w:sz w:val="22"/>
          <w:szCs w:val="22"/>
        </w:rPr>
      </w:pPr>
      <w:r w:rsidRPr="00F90609">
        <w:rPr>
          <w:rFonts w:ascii="Avenir Next LT Pro" w:eastAsia="Calibri" w:hAnsi="Avenir Next LT Pro" w:cs="Arial"/>
          <w:sz w:val="22"/>
          <w:szCs w:val="22"/>
        </w:rPr>
        <w:t>Le présent accord pourra faire l’objet d’une révision dans les conditions prévues par les articles L. 2261-7-1 et L. 2261-8 du Code du travail.</w:t>
      </w:r>
    </w:p>
    <w:p w14:paraId="013E952D" w14:textId="77777777" w:rsidR="00C47A0E" w:rsidRDefault="00C47A0E" w:rsidP="00C47A0E">
      <w:pPr>
        <w:jc w:val="both"/>
        <w:rPr>
          <w:rFonts w:ascii="Avenir Next LT Pro" w:eastAsia="Calibri" w:hAnsi="Avenir Next LT Pro" w:cs="Arial"/>
          <w:sz w:val="22"/>
          <w:szCs w:val="22"/>
        </w:rPr>
      </w:pPr>
    </w:p>
    <w:p w14:paraId="58ED9B70" w14:textId="77777777" w:rsidR="00C47A0E" w:rsidRPr="005825A0" w:rsidRDefault="00C47A0E" w:rsidP="00C47A0E">
      <w:pPr>
        <w:pStyle w:val="Titre2"/>
        <w:jc w:val="both"/>
        <w:rPr>
          <w:rFonts w:ascii="Avenir Next LT Pro" w:eastAsia="Calibri" w:hAnsi="Avenir Next LT Pro" w:cs="Arial"/>
          <w:b/>
          <w:color w:val="000000"/>
          <w:sz w:val="22"/>
          <w:szCs w:val="22"/>
        </w:rPr>
      </w:pPr>
      <w:r w:rsidRPr="005825A0">
        <w:rPr>
          <w:rFonts w:ascii="Avenir Next LT Pro" w:eastAsia="Calibri" w:hAnsi="Avenir Next LT Pro" w:cs="Arial"/>
          <w:b/>
          <w:color w:val="000000"/>
          <w:sz w:val="22"/>
          <w:szCs w:val="22"/>
        </w:rPr>
        <w:t>Article 6 - Dénonciation</w:t>
      </w:r>
    </w:p>
    <w:p w14:paraId="2E710B74" w14:textId="77777777" w:rsidR="00C47A0E" w:rsidRPr="00F90609" w:rsidRDefault="00C47A0E" w:rsidP="00C47A0E">
      <w:pPr>
        <w:autoSpaceDE w:val="0"/>
        <w:autoSpaceDN w:val="0"/>
        <w:adjustRightInd w:val="0"/>
        <w:jc w:val="both"/>
        <w:rPr>
          <w:rFonts w:ascii="Avenir Next LT Pro" w:eastAsia="Calibri" w:hAnsi="Avenir Next LT Pro" w:cs="Arial"/>
          <w:b/>
          <w:sz w:val="22"/>
          <w:szCs w:val="22"/>
          <w:u w:val="single"/>
        </w:rPr>
      </w:pPr>
    </w:p>
    <w:p w14:paraId="41D1386F" w14:textId="77777777" w:rsidR="00C47A0E" w:rsidRDefault="00C47A0E" w:rsidP="00C47A0E">
      <w:pPr>
        <w:jc w:val="both"/>
        <w:rPr>
          <w:rFonts w:ascii="Avenir Next LT Pro" w:eastAsia="Calibri" w:hAnsi="Avenir Next LT Pro" w:cs="Arial"/>
          <w:sz w:val="22"/>
          <w:szCs w:val="22"/>
        </w:rPr>
      </w:pPr>
      <w:r w:rsidRPr="00F90609">
        <w:rPr>
          <w:rFonts w:ascii="Avenir Next LT Pro" w:eastAsia="Calibri" w:hAnsi="Avenir Next LT Pro" w:cs="Arial"/>
          <w:sz w:val="22"/>
          <w:szCs w:val="22"/>
        </w:rPr>
        <w:t>Le présent accord, conclu sans limitation de durée, pourra être dénoncé à tout moment par l’une ou l’autre des parties signataires sous réserve de respecter un préavis de 3 mois en application de l’article L. 2261-9 du Code du travail. Cette dénonciation devra être notifiée à l’ensemble des autres signataires par lettre recommandée avec accusé de réception. De ce cas, de nouvelles négociations seront ouvertes.</w:t>
      </w:r>
    </w:p>
    <w:p w14:paraId="358F44EB" w14:textId="77777777" w:rsidR="00B83A4A" w:rsidRPr="00F90609" w:rsidRDefault="00B83A4A" w:rsidP="00C47A0E">
      <w:pPr>
        <w:jc w:val="both"/>
        <w:rPr>
          <w:rFonts w:ascii="Avenir Next LT Pro" w:eastAsia="Calibri" w:hAnsi="Avenir Next LT Pro" w:cs="Arial"/>
          <w:sz w:val="22"/>
          <w:szCs w:val="22"/>
        </w:rPr>
      </w:pPr>
    </w:p>
    <w:p w14:paraId="126EC541" w14:textId="77777777" w:rsidR="00C47A0E" w:rsidRPr="00F90609" w:rsidRDefault="00C47A0E" w:rsidP="00C47A0E">
      <w:pPr>
        <w:jc w:val="both"/>
        <w:rPr>
          <w:rFonts w:ascii="Avenir Next LT Pro" w:eastAsia="Calibri" w:hAnsi="Avenir Next LT Pro" w:cs="Arial"/>
          <w:sz w:val="22"/>
          <w:szCs w:val="22"/>
        </w:rPr>
      </w:pPr>
    </w:p>
    <w:p w14:paraId="3E921AAA" w14:textId="77777777" w:rsidR="00C47A0E" w:rsidRPr="005825A0" w:rsidRDefault="00C47A0E" w:rsidP="00C47A0E">
      <w:pPr>
        <w:autoSpaceDE w:val="0"/>
        <w:autoSpaceDN w:val="0"/>
        <w:adjustRightInd w:val="0"/>
        <w:jc w:val="both"/>
        <w:rPr>
          <w:rFonts w:ascii="Avenir Next LT Pro" w:eastAsia="Calibri" w:hAnsi="Avenir Next LT Pro" w:cs="Arial"/>
          <w:b/>
          <w:sz w:val="22"/>
          <w:szCs w:val="22"/>
        </w:rPr>
      </w:pPr>
      <w:r w:rsidRPr="005825A0">
        <w:rPr>
          <w:rFonts w:ascii="Avenir Next LT Pro" w:eastAsia="Calibri" w:hAnsi="Avenir Next LT Pro" w:cs="Arial"/>
          <w:b/>
          <w:sz w:val="22"/>
          <w:szCs w:val="22"/>
        </w:rPr>
        <w:t>Article 7 - Publicité</w:t>
      </w:r>
    </w:p>
    <w:p w14:paraId="0615D39D" w14:textId="77777777" w:rsidR="00C47A0E" w:rsidRPr="00F90609" w:rsidRDefault="00C47A0E" w:rsidP="00C47A0E">
      <w:pPr>
        <w:jc w:val="both"/>
        <w:rPr>
          <w:rFonts w:ascii="Avenir Next LT Pro" w:eastAsia="Calibri" w:hAnsi="Avenir Next LT Pro" w:cs="Arial"/>
          <w:sz w:val="22"/>
          <w:szCs w:val="22"/>
        </w:rPr>
      </w:pPr>
    </w:p>
    <w:p w14:paraId="0E63D813" w14:textId="7BFC9EC4" w:rsidR="00C47A0E" w:rsidRPr="00F90609" w:rsidRDefault="00C47A0E" w:rsidP="00C47A0E">
      <w:pPr>
        <w:jc w:val="both"/>
        <w:rPr>
          <w:rFonts w:ascii="Avenir Next LT Pro" w:hAnsi="Avenir Next LT Pro"/>
          <w:b/>
          <w:sz w:val="22"/>
          <w:szCs w:val="22"/>
        </w:rPr>
      </w:pPr>
      <w:r w:rsidRPr="00F90609">
        <w:rPr>
          <w:rFonts w:ascii="Avenir Next LT Pro" w:eastAsia="Calibri" w:hAnsi="Avenir Next LT Pro"/>
          <w:sz w:val="22"/>
          <w:szCs w:val="22"/>
        </w:rPr>
        <w:t xml:space="preserve">Conformément aux dispositions légales, cet accord fera l’objet d’un dépôt dématérialisé sur la plateforme de téléprocédure du ministère du travail « </w:t>
      </w:r>
      <w:proofErr w:type="spellStart"/>
      <w:r w:rsidRPr="00F90609">
        <w:rPr>
          <w:rFonts w:ascii="Avenir Next LT Pro" w:eastAsia="Calibri" w:hAnsi="Avenir Next LT Pro"/>
          <w:sz w:val="22"/>
          <w:szCs w:val="22"/>
        </w:rPr>
        <w:t>TéléAccords</w:t>
      </w:r>
      <w:proofErr w:type="spellEnd"/>
      <w:r w:rsidRPr="00F90609">
        <w:rPr>
          <w:rFonts w:ascii="Avenir Next LT Pro" w:eastAsia="Calibri" w:hAnsi="Avenir Next LT Pro"/>
          <w:sz w:val="22"/>
          <w:szCs w:val="22"/>
        </w:rPr>
        <w:t xml:space="preserve"> » et d’un dépôt sur format papier au Secrétariat – Greffe du Conseil de prud’hommes de </w:t>
      </w:r>
      <w:r w:rsidR="00D5518A">
        <w:rPr>
          <w:rFonts w:ascii="Avenir Next LT Pro" w:eastAsia="Calibri" w:hAnsi="Avenir Next LT Pro"/>
          <w:sz w:val="22"/>
          <w:szCs w:val="22"/>
        </w:rPr>
        <w:t>MULHOUSE</w:t>
      </w:r>
      <w:r w:rsidR="002360EA" w:rsidRPr="002E040A">
        <w:rPr>
          <w:rFonts w:ascii="Avenir Next LT Pro" w:eastAsia="Calibri" w:hAnsi="Avenir Next LT Pro"/>
          <w:sz w:val="22"/>
          <w:szCs w:val="22"/>
          <w:highlight w:val="yellow"/>
        </w:rPr>
        <w:t>.</w:t>
      </w:r>
    </w:p>
    <w:p w14:paraId="68D33581" w14:textId="77777777" w:rsidR="00C47A0E" w:rsidRPr="00F90609" w:rsidRDefault="00C47A0E" w:rsidP="00C47A0E">
      <w:pPr>
        <w:pStyle w:val="En-tte"/>
        <w:tabs>
          <w:tab w:val="clear" w:pos="4536"/>
          <w:tab w:val="clear" w:pos="9072"/>
        </w:tabs>
        <w:rPr>
          <w:rFonts w:ascii="Avenir Next LT Pro" w:hAnsi="Avenir Next LT Pro"/>
          <w:sz w:val="22"/>
          <w:szCs w:val="22"/>
        </w:rPr>
      </w:pPr>
    </w:p>
    <w:p w14:paraId="09B8819D" w14:textId="30F0ABB7" w:rsidR="00C47A0E" w:rsidRPr="00F90609" w:rsidRDefault="00C47A0E" w:rsidP="00C47A0E">
      <w:pPr>
        <w:pStyle w:val="En-tte"/>
        <w:tabs>
          <w:tab w:val="clear" w:pos="4536"/>
          <w:tab w:val="clear" w:pos="9072"/>
        </w:tabs>
        <w:rPr>
          <w:rFonts w:ascii="Avenir Next LT Pro" w:hAnsi="Avenir Next LT Pro"/>
          <w:sz w:val="22"/>
          <w:szCs w:val="22"/>
        </w:rPr>
      </w:pPr>
      <w:r w:rsidRPr="00F90609">
        <w:rPr>
          <w:rFonts w:ascii="Avenir Next LT Pro" w:hAnsi="Avenir Next LT Pro"/>
          <w:sz w:val="22"/>
          <w:szCs w:val="22"/>
        </w:rPr>
        <w:t xml:space="preserve">Fait à </w:t>
      </w:r>
      <w:r w:rsidR="00F77689">
        <w:rPr>
          <w:rFonts w:ascii="Avenir Next LT Pro" w:hAnsi="Avenir Next LT Pro"/>
          <w:sz w:val="22"/>
          <w:szCs w:val="22"/>
        </w:rPr>
        <w:t>Mulhouse</w:t>
      </w:r>
      <w:r w:rsidRPr="00F90609">
        <w:rPr>
          <w:rFonts w:ascii="Avenir Next LT Pro" w:hAnsi="Avenir Next LT Pro"/>
          <w:sz w:val="22"/>
          <w:szCs w:val="22"/>
        </w:rPr>
        <w:t>, le</w:t>
      </w:r>
      <w:r w:rsidR="00D5518A">
        <w:rPr>
          <w:rFonts w:ascii="Avenir Next LT Pro" w:hAnsi="Avenir Next LT Pro"/>
          <w:sz w:val="22"/>
          <w:szCs w:val="22"/>
        </w:rPr>
        <w:t xml:space="preserve"> </w:t>
      </w:r>
      <w:r w:rsidR="008D2CFE">
        <w:rPr>
          <w:rFonts w:ascii="Avenir Next LT Pro" w:hAnsi="Avenir Next LT Pro"/>
          <w:sz w:val="22"/>
          <w:szCs w:val="22"/>
        </w:rPr>
        <w:t>16/02/2026</w:t>
      </w:r>
    </w:p>
    <w:p w14:paraId="103845AE" w14:textId="77777777" w:rsidR="00C47A0E" w:rsidRPr="00F90609" w:rsidRDefault="00C47A0E" w:rsidP="00C47A0E">
      <w:pPr>
        <w:rPr>
          <w:rFonts w:ascii="Avenir Next LT Pro" w:hAnsi="Avenir Next LT Pro"/>
          <w:b/>
          <w:sz w:val="22"/>
          <w:szCs w:val="22"/>
          <w:u w:val="single"/>
        </w:rPr>
      </w:pPr>
    </w:p>
    <w:p w14:paraId="59D5E818" w14:textId="13B729FB" w:rsidR="00C47A0E" w:rsidRPr="00F90609" w:rsidRDefault="00C47A0E" w:rsidP="00C47A0E">
      <w:pPr>
        <w:rPr>
          <w:rFonts w:ascii="Avenir Next LT Pro" w:hAnsi="Avenir Next LT Pro"/>
          <w:b/>
          <w:sz w:val="22"/>
          <w:szCs w:val="22"/>
          <w:u w:val="single"/>
        </w:rPr>
      </w:pPr>
      <w:r w:rsidRPr="00F90609">
        <w:rPr>
          <w:rFonts w:ascii="Avenir Next LT Pro" w:hAnsi="Avenir Next LT Pro"/>
          <w:b/>
          <w:sz w:val="22"/>
          <w:szCs w:val="22"/>
          <w:u w:val="single"/>
        </w:rPr>
        <w:t xml:space="preserve">Pour la société </w:t>
      </w:r>
      <w:r w:rsidR="00B75898" w:rsidRPr="00B75898">
        <w:rPr>
          <w:rFonts w:ascii="Avenir Next LT Pro" w:hAnsi="Avenir Next LT Pro"/>
          <w:b/>
          <w:sz w:val="22"/>
          <w:szCs w:val="22"/>
          <w:u w:val="single"/>
        </w:rPr>
        <w:t>WORK’IN BTP SAS</w:t>
      </w:r>
    </w:p>
    <w:p w14:paraId="00348E73" w14:textId="77777777" w:rsidR="00C47A0E" w:rsidRPr="00F90609" w:rsidRDefault="00C47A0E" w:rsidP="00C47A0E">
      <w:pPr>
        <w:rPr>
          <w:rFonts w:ascii="Avenir Next LT Pro" w:hAnsi="Avenir Next LT Pro"/>
          <w:sz w:val="22"/>
          <w:szCs w:val="22"/>
        </w:rPr>
      </w:pPr>
    </w:p>
    <w:sectPr w:rsidR="00C47A0E" w:rsidRPr="00F90609">
      <w:head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26CA8" w14:textId="77777777" w:rsidR="004A2DAA" w:rsidRDefault="004A2DAA">
      <w:r>
        <w:separator/>
      </w:r>
    </w:p>
  </w:endnote>
  <w:endnote w:type="continuationSeparator" w:id="0">
    <w:p w14:paraId="28A452BC" w14:textId="77777777" w:rsidR="004A2DAA" w:rsidRDefault="004A2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venir Next LT Pro">
    <w:charset w:val="00"/>
    <w:family w:val="swiss"/>
    <w:pitch w:val="variable"/>
    <w:sig w:usb0="800000EF" w:usb1="5000204A" w:usb2="00000000" w:usb3="00000000" w:csb0="00000093" w:csb1="00000000"/>
  </w:font>
  <w:font w:name="Avenir Next LT Pro Light">
    <w:charset w:val="00"/>
    <w:family w:val="swiss"/>
    <w:pitch w:val="variable"/>
    <w:sig w:usb0="A00000EF" w:usb1="5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66E4F" w14:textId="77777777" w:rsidR="00C47A0E" w:rsidRPr="00C32973" w:rsidRDefault="00C47A0E">
    <w:pPr>
      <w:pStyle w:val="Pieddepage"/>
      <w:jc w:val="center"/>
      <w:rPr>
        <w:rFonts w:ascii="Avenir Next LT Pro" w:hAnsi="Avenir Next LT Pro"/>
        <w:sz w:val="18"/>
        <w:szCs w:val="18"/>
      </w:rPr>
    </w:pPr>
    <w:r w:rsidRPr="00C32973">
      <w:rPr>
        <w:rFonts w:ascii="Avenir Next LT Pro" w:hAnsi="Avenir Next LT Pro"/>
        <w:sz w:val="18"/>
        <w:szCs w:val="18"/>
      </w:rPr>
      <w:t xml:space="preserve">Page </w:t>
    </w:r>
    <w:r w:rsidRPr="00C32973">
      <w:rPr>
        <w:rFonts w:ascii="Avenir Next LT Pro" w:hAnsi="Avenir Next LT Pro"/>
        <w:b/>
        <w:bCs/>
        <w:sz w:val="18"/>
        <w:szCs w:val="18"/>
      </w:rPr>
      <w:fldChar w:fldCharType="begin"/>
    </w:r>
    <w:r w:rsidRPr="00C32973">
      <w:rPr>
        <w:rFonts w:ascii="Avenir Next LT Pro" w:hAnsi="Avenir Next LT Pro"/>
        <w:b/>
        <w:bCs/>
        <w:sz w:val="18"/>
        <w:szCs w:val="18"/>
      </w:rPr>
      <w:instrText>PAGE</w:instrText>
    </w:r>
    <w:r w:rsidRPr="00C32973">
      <w:rPr>
        <w:rFonts w:ascii="Avenir Next LT Pro" w:hAnsi="Avenir Next LT Pro"/>
        <w:b/>
        <w:bCs/>
        <w:sz w:val="18"/>
        <w:szCs w:val="18"/>
      </w:rPr>
      <w:fldChar w:fldCharType="separate"/>
    </w:r>
    <w:r w:rsidRPr="00C32973">
      <w:rPr>
        <w:rFonts w:ascii="Avenir Next LT Pro" w:hAnsi="Avenir Next LT Pro"/>
        <w:b/>
        <w:bCs/>
        <w:sz w:val="18"/>
        <w:szCs w:val="18"/>
      </w:rPr>
      <w:t>2</w:t>
    </w:r>
    <w:r w:rsidRPr="00C32973">
      <w:rPr>
        <w:rFonts w:ascii="Avenir Next LT Pro" w:hAnsi="Avenir Next LT Pro"/>
        <w:b/>
        <w:bCs/>
        <w:sz w:val="18"/>
        <w:szCs w:val="18"/>
      </w:rPr>
      <w:fldChar w:fldCharType="end"/>
    </w:r>
    <w:r w:rsidRPr="00C32973">
      <w:rPr>
        <w:rFonts w:ascii="Avenir Next LT Pro" w:hAnsi="Avenir Next LT Pro"/>
        <w:sz w:val="18"/>
        <w:szCs w:val="18"/>
      </w:rPr>
      <w:t xml:space="preserve"> sur </w:t>
    </w:r>
    <w:r w:rsidRPr="00C32973">
      <w:rPr>
        <w:rFonts w:ascii="Avenir Next LT Pro" w:hAnsi="Avenir Next LT Pro"/>
        <w:b/>
        <w:bCs/>
        <w:sz w:val="18"/>
        <w:szCs w:val="18"/>
      </w:rPr>
      <w:fldChar w:fldCharType="begin"/>
    </w:r>
    <w:r w:rsidRPr="00C32973">
      <w:rPr>
        <w:rFonts w:ascii="Avenir Next LT Pro" w:hAnsi="Avenir Next LT Pro"/>
        <w:b/>
        <w:bCs/>
        <w:sz w:val="18"/>
        <w:szCs w:val="18"/>
      </w:rPr>
      <w:instrText>NUMPAGES</w:instrText>
    </w:r>
    <w:r w:rsidRPr="00C32973">
      <w:rPr>
        <w:rFonts w:ascii="Avenir Next LT Pro" w:hAnsi="Avenir Next LT Pro"/>
        <w:b/>
        <w:bCs/>
        <w:sz w:val="18"/>
        <w:szCs w:val="18"/>
      </w:rPr>
      <w:fldChar w:fldCharType="separate"/>
    </w:r>
    <w:r w:rsidRPr="00C32973">
      <w:rPr>
        <w:rFonts w:ascii="Avenir Next LT Pro" w:hAnsi="Avenir Next LT Pro"/>
        <w:b/>
        <w:bCs/>
        <w:sz w:val="18"/>
        <w:szCs w:val="18"/>
      </w:rPr>
      <w:t>2</w:t>
    </w:r>
    <w:r w:rsidRPr="00C32973">
      <w:rPr>
        <w:rFonts w:ascii="Avenir Next LT Pro" w:hAnsi="Avenir Next LT Pro"/>
        <w:b/>
        <w:bCs/>
        <w:sz w:val="18"/>
        <w:szCs w:val="18"/>
      </w:rPr>
      <w:fldChar w:fldCharType="end"/>
    </w:r>
  </w:p>
  <w:p w14:paraId="260287E5" w14:textId="77777777" w:rsidR="00C47A0E" w:rsidRDefault="00C47A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7C0D2" w14:textId="77777777" w:rsidR="004A2DAA" w:rsidRDefault="004A2DAA">
      <w:r>
        <w:separator/>
      </w:r>
    </w:p>
  </w:footnote>
  <w:footnote w:type="continuationSeparator" w:id="0">
    <w:p w14:paraId="05AD6A85" w14:textId="77777777" w:rsidR="004A2DAA" w:rsidRDefault="004A2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2CB7F" w14:textId="77777777" w:rsidR="00C47A0E" w:rsidRDefault="00C47A0E">
    <w:pPr>
      <w:pStyle w:val="En-tte"/>
      <w:framePr w:wrap="around" w:vAnchor="text" w:hAnchor="margin" w:xAlign="center" w:y="1"/>
      <w:rPr>
        <w:rStyle w:val="Numrodepage"/>
        <w:rFonts w:eastAsiaTheme="majorEastAsia"/>
      </w:rPr>
    </w:pPr>
    <w:r>
      <w:rPr>
        <w:rStyle w:val="Numrodepage"/>
        <w:rFonts w:eastAsiaTheme="majorEastAsia"/>
      </w:rPr>
      <w:fldChar w:fldCharType="begin"/>
    </w:r>
    <w:r>
      <w:rPr>
        <w:rStyle w:val="Numrodepage"/>
        <w:rFonts w:eastAsiaTheme="majorEastAsia"/>
      </w:rPr>
      <w:instrText xml:space="preserve">PAGE  </w:instrText>
    </w:r>
    <w:r>
      <w:rPr>
        <w:rStyle w:val="Numrodepage"/>
        <w:rFonts w:eastAsiaTheme="majorEastAsia"/>
      </w:rPr>
      <w:fldChar w:fldCharType="end"/>
    </w:r>
  </w:p>
  <w:p w14:paraId="20258627" w14:textId="77777777" w:rsidR="00C47A0E" w:rsidRDefault="00C47A0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959D6"/>
    <w:multiLevelType w:val="hybridMultilevel"/>
    <w:tmpl w:val="00E48ED0"/>
    <w:lvl w:ilvl="0" w:tplc="8E5CF134">
      <w:start w:val="2"/>
      <w:numFmt w:val="bullet"/>
      <w:lvlText w:val="-"/>
      <w:lvlJc w:val="left"/>
      <w:pPr>
        <w:ind w:left="720" w:hanging="360"/>
      </w:pPr>
      <w:rPr>
        <w:rFonts w:ascii="Cambria" w:eastAsia="Calibri"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72040E"/>
    <w:multiLevelType w:val="hybridMultilevel"/>
    <w:tmpl w:val="740205B2"/>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7AB26CE"/>
    <w:multiLevelType w:val="hybridMultilevel"/>
    <w:tmpl w:val="ECA28E2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DA0682"/>
    <w:multiLevelType w:val="hybridMultilevel"/>
    <w:tmpl w:val="D2441EA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D887127"/>
    <w:multiLevelType w:val="hybridMultilevel"/>
    <w:tmpl w:val="85FCA0F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F982834"/>
    <w:multiLevelType w:val="hybridMultilevel"/>
    <w:tmpl w:val="073CFEC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10971C1"/>
    <w:multiLevelType w:val="hybridMultilevel"/>
    <w:tmpl w:val="97F4E964"/>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75E47D2C"/>
    <w:multiLevelType w:val="hybridMultilevel"/>
    <w:tmpl w:val="BF48DD1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6724595"/>
    <w:multiLevelType w:val="hybridMultilevel"/>
    <w:tmpl w:val="9930684A"/>
    <w:lvl w:ilvl="0" w:tplc="040C000D">
      <w:start w:val="1"/>
      <w:numFmt w:val="bullet"/>
      <w:lvlText w:val=""/>
      <w:lvlJc w:val="left"/>
      <w:pPr>
        <w:ind w:left="720" w:hanging="360"/>
      </w:pPr>
      <w:rPr>
        <w:rFonts w:ascii="Wingdings" w:hAnsi="Wingdings" w:hint="default"/>
      </w:rPr>
    </w:lvl>
    <w:lvl w:ilvl="1" w:tplc="3FF4EA78">
      <w:numFmt w:val="bullet"/>
      <w:lvlText w:val="-"/>
      <w:lvlJc w:val="left"/>
      <w:pPr>
        <w:ind w:left="1440" w:hanging="360"/>
      </w:pPr>
      <w:rPr>
        <w:rFonts w:ascii="Century Gothic" w:eastAsia="Times New Roman" w:hAnsi="Century Gothic"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A8A4B8E"/>
    <w:multiLevelType w:val="hybridMultilevel"/>
    <w:tmpl w:val="AED839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61250425">
    <w:abstractNumId w:val="2"/>
  </w:num>
  <w:num w:numId="2" w16cid:durableId="2027553628">
    <w:abstractNumId w:val="5"/>
  </w:num>
  <w:num w:numId="3" w16cid:durableId="204678977">
    <w:abstractNumId w:val="8"/>
  </w:num>
  <w:num w:numId="4" w16cid:durableId="303197749">
    <w:abstractNumId w:val="4"/>
  </w:num>
  <w:num w:numId="5" w16cid:durableId="273098673">
    <w:abstractNumId w:val="3"/>
  </w:num>
  <w:num w:numId="6" w16cid:durableId="2128117376">
    <w:abstractNumId w:val="7"/>
  </w:num>
  <w:num w:numId="7" w16cid:durableId="1492256466">
    <w:abstractNumId w:val="0"/>
  </w:num>
  <w:num w:numId="8" w16cid:durableId="1741518507">
    <w:abstractNumId w:val="1"/>
  </w:num>
  <w:num w:numId="9" w16cid:durableId="1266575030">
    <w:abstractNumId w:val="6"/>
  </w:num>
  <w:num w:numId="10" w16cid:durableId="11100036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A0E"/>
    <w:rsid w:val="00001EAA"/>
    <w:rsid w:val="00022515"/>
    <w:rsid w:val="00025176"/>
    <w:rsid w:val="00054B79"/>
    <w:rsid w:val="000562B3"/>
    <w:rsid w:val="00063869"/>
    <w:rsid w:val="00177F76"/>
    <w:rsid w:val="001D2DA4"/>
    <w:rsid w:val="002009BA"/>
    <w:rsid w:val="002137B8"/>
    <w:rsid w:val="002360EA"/>
    <w:rsid w:val="00250F13"/>
    <w:rsid w:val="002D4693"/>
    <w:rsid w:val="002E040A"/>
    <w:rsid w:val="00301125"/>
    <w:rsid w:val="00317F0C"/>
    <w:rsid w:val="00323FDC"/>
    <w:rsid w:val="003854D2"/>
    <w:rsid w:val="003C1C6B"/>
    <w:rsid w:val="004A28B7"/>
    <w:rsid w:val="004A2DAA"/>
    <w:rsid w:val="005825A0"/>
    <w:rsid w:val="005E7CA6"/>
    <w:rsid w:val="005F0448"/>
    <w:rsid w:val="006103D6"/>
    <w:rsid w:val="00731AAB"/>
    <w:rsid w:val="0076468A"/>
    <w:rsid w:val="008D2CFE"/>
    <w:rsid w:val="00981609"/>
    <w:rsid w:val="00A00860"/>
    <w:rsid w:val="00AF05AB"/>
    <w:rsid w:val="00B75898"/>
    <w:rsid w:val="00B83A4A"/>
    <w:rsid w:val="00C334E0"/>
    <w:rsid w:val="00C47A0E"/>
    <w:rsid w:val="00CA7392"/>
    <w:rsid w:val="00D32386"/>
    <w:rsid w:val="00D50652"/>
    <w:rsid w:val="00D5518A"/>
    <w:rsid w:val="00D91BB7"/>
    <w:rsid w:val="00D91D78"/>
    <w:rsid w:val="00D95E6D"/>
    <w:rsid w:val="00DC1403"/>
    <w:rsid w:val="00DF2FFA"/>
    <w:rsid w:val="00F77689"/>
    <w:rsid w:val="00F95A69"/>
    <w:rsid w:val="00F97CE9"/>
    <w:rsid w:val="00FE6DC9"/>
    <w:rsid w:val="00FF0D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0795E"/>
  <w15:chartTrackingRefBased/>
  <w15:docId w15:val="{BC0B3588-63F2-4D7A-B730-339A18BC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A0E"/>
    <w:pPr>
      <w:spacing w:after="0" w:line="240" w:lineRule="auto"/>
    </w:pPr>
    <w:rPr>
      <w:rFonts w:ascii="Arial" w:eastAsia="Times New Roman" w:hAnsi="Arial" w:cs="Times New Roman"/>
      <w:color w:val="000000"/>
      <w:kern w:val="0"/>
      <w:sz w:val="20"/>
      <w:szCs w:val="20"/>
      <w:lang w:eastAsia="fr-FR"/>
      <w14:ligatures w14:val="none"/>
    </w:rPr>
  </w:style>
  <w:style w:type="paragraph" w:styleId="Titre1">
    <w:name w:val="heading 1"/>
    <w:basedOn w:val="Normal"/>
    <w:next w:val="Normal"/>
    <w:link w:val="Titre1Car"/>
    <w:uiPriority w:val="9"/>
    <w:qFormat/>
    <w:rsid w:val="00C47A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nhideWhenUsed/>
    <w:qFormat/>
    <w:rsid w:val="00C47A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47A0E"/>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47A0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47A0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47A0E"/>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47A0E"/>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47A0E"/>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47A0E"/>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47A0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C47A0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47A0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47A0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47A0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47A0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47A0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47A0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47A0E"/>
    <w:rPr>
      <w:rFonts w:eastAsiaTheme="majorEastAsia" w:cstheme="majorBidi"/>
      <w:color w:val="272727" w:themeColor="text1" w:themeTint="D8"/>
    </w:rPr>
  </w:style>
  <w:style w:type="paragraph" w:styleId="Titre">
    <w:name w:val="Title"/>
    <w:basedOn w:val="Normal"/>
    <w:next w:val="Normal"/>
    <w:link w:val="TitreCar"/>
    <w:uiPriority w:val="10"/>
    <w:qFormat/>
    <w:rsid w:val="00C47A0E"/>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47A0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47A0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47A0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47A0E"/>
    <w:pPr>
      <w:spacing w:before="160"/>
      <w:jc w:val="center"/>
    </w:pPr>
    <w:rPr>
      <w:i/>
      <w:iCs/>
      <w:color w:val="404040" w:themeColor="text1" w:themeTint="BF"/>
    </w:rPr>
  </w:style>
  <w:style w:type="character" w:customStyle="1" w:styleId="CitationCar">
    <w:name w:val="Citation Car"/>
    <w:basedOn w:val="Policepardfaut"/>
    <w:link w:val="Citation"/>
    <w:uiPriority w:val="29"/>
    <w:rsid w:val="00C47A0E"/>
    <w:rPr>
      <w:i/>
      <w:iCs/>
      <w:color w:val="404040" w:themeColor="text1" w:themeTint="BF"/>
    </w:rPr>
  </w:style>
  <w:style w:type="paragraph" w:styleId="Paragraphedeliste">
    <w:name w:val="List Paragraph"/>
    <w:basedOn w:val="Normal"/>
    <w:uiPriority w:val="34"/>
    <w:qFormat/>
    <w:rsid w:val="00C47A0E"/>
    <w:pPr>
      <w:ind w:left="720"/>
      <w:contextualSpacing/>
    </w:pPr>
  </w:style>
  <w:style w:type="character" w:styleId="Accentuationintense">
    <w:name w:val="Intense Emphasis"/>
    <w:basedOn w:val="Policepardfaut"/>
    <w:uiPriority w:val="21"/>
    <w:qFormat/>
    <w:rsid w:val="00C47A0E"/>
    <w:rPr>
      <w:i/>
      <w:iCs/>
      <w:color w:val="0F4761" w:themeColor="accent1" w:themeShade="BF"/>
    </w:rPr>
  </w:style>
  <w:style w:type="paragraph" w:styleId="Citationintense">
    <w:name w:val="Intense Quote"/>
    <w:basedOn w:val="Normal"/>
    <w:next w:val="Normal"/>
    <w:link w:val="CitationintenseCar"/>
    <w:uiPriority w:val="30"/>
    <w:qFormat/>
    <w:rsid w:val="00C47A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47A0E"/>
    <w:rPr>
      <w:i/>
      <w:iCs/>
      <w:color w:val="0F4761" w:themeColor="accent1" w:themeShade="BF"/>
    </w:rPr>
  </w:style>
  <w:style w:type="character" w:styleId="Rfrenceintense">
    <w:name w:val="Intense Reference"/>
    <w:basedOn w:val="Policepardfaut"/>
    <w:uiPriority w:val="32"/>
    <w:qFormat/>
    <w:rsid w:val="00C47A0E"/>
    <w:rPr>
      <w:b/>
      <w:bCs/>
      <w:smallCaps/>
      <w:color w:val="0F4761" w:themeColor="accent1" w:themeShade="BF"/>
      <w:spacing w:val="5"/>
    </w:rPr>
  </w:style>
  <w:style w:type="paragraph" w:styleId="Corpsdetexte">
    <w:name w:val="Body Text"/>
    <w:basedOn w:val="Normal"/>
    <w:link w:val="CorpsdetexteCar"/>
    <w:semiHidden/>
    <w:rsid w:val="00C47A0E"/>
    <w:pPr>
      <w:jc w:val="both"/>
    </w:pPr>
  </w:style>
  <w:style w:type="character" w:customStyle="1" w:styleId="CorpsdetexteCar">
    <w:name w:val="Corps de texte Car"/>
    <w:basedOn w:val="Policepardfaut"/>
    <w:link w:val="Corpsdetexte"/>
    <w:semiHidden/>
    <w:rsid w:val="00C47A0E"/>
    <w:rPr>
      <w:rFonts w:ascii="Arial" w:eastAsia="Times New Roman" w:hAnsi="Arial" w:cs="Times New Roman"/>
      <w:color w:val="000000"/>
      <w:kern w:val="0"/>
      <w:sz w:val="20"/>
      <w:szCs w:val="20"/>
      <w:lang w:eastAsia="fr-FR"/>
      <w14:ligatures w14:val="none"/>
    </w:rPr>
  </w:style>
  <w:style w:type="paragraph" w:styleId="Corpsdetexte2">
    <w:name w:val="Body Text 2"/>
    <w:basedOn w:val="Normal"/>
    <w:link w:val="Corpsdetexte2Car"/>
    <w:semiHidden/>
    <w:rsid w:val="00C47A0E"/>
    <w:pPr>
      <w:jc w:val="both"/>
    </w:pPr>
    <w:rPr>
      <w:sz w:val="16"/>
    </w:rPr>
  </w:style>
  <w:style w:type="character" w:customStyle="1" w:styleId="Corpsdetexte2Car">
    <w:name w:val="Corps de texte 2 Car"/>
    <w:basedOn w:val="Policepardfaut"/>
    <w:link w:val="Corpsdetexte2"/>
    <w:semiHidden/>
    <w:rsid w:val="00C47A0E"/>
    <w:rPr>
      <w:rFonts w:ascii="Arial" w:eastAsia="Times New Roman" w:hAnsi="Arial" w:cs="Times New Roman"/>
      <w:color w:val="000000"/>
      <w:kern w:val="0"/>
      <w:sz w:val="16"/>
      <w:szCs w:val="20"/>
      <w:lang w:eastAsia="fr-FR"/>
      <w14:ligatures w14:val="none"/>
    </w:rPr>
  </w:style>
  <w:style w:type="paragraph" w:styleId="Pieddepage">
    <w:name w:val="footer"/>
    <w:basedOn w:val="Normal"/>
    <w:link w:val="PieddepageCar"/>
    <w:uiPriority w:val="99"/>
    <w:rsid w:val="00C47A0E"/>
    <w:pPr>
      <w:tabs>
        <w:tab w:val="center" w:pos="4536"/>
        <w:tab w:val="right" w:pos="9072"/>
      </w:tabs>
    </w:pPr>
    <w:rPr>
      <w:rFonts w:cs="Arial"/>
      <w:color w:val="auto"/>
      <w:sz w:val="22"/>
      <w:szCs w:val="24"/>
    </w:rPr>
  </w:style>
  <w:style w:type="character" w:customStyle="1" w:styleId="PieddepageCar">
    <w:name w:val="Pied de page Car"/>
    <w:basedOn w:val="Policepardfaut"/>
    <w:link w:val="Pieddepage"/>
    <w:uiPriority w:val="99"/>
    <w:rsid w:val="00C47A0E"/>
    <w:rPr>
      <w:rFonts w:ascii="Arial" w:eastAsia="Times New Roman" w:hAnsi="Arial" w:cs="Arial"/>
      <w:kern w:val="0"/>
      <w:sz w:val="22"/>
      <w:lang w:eastAsia="fr-FR"/>
      <w14:ligatures w14:val="none"/>
    </w:rPr>
  </w:style>
  <w:style w:type="paragraph" w:styleId="En-tte">
    <w:name w:val="header"/>
    <w:basedOn w:val="Normal"/>
    <w:link w:val="En-tteCar"/>
    <w:semiHidden/>
    <w:rsid w:val="00C47A0E"/>
    <w:pPr>
      <w:tabs>
        <w:tab w:val="center" w:pos="4536"/>
        <w:tab w:val="right" w:pos="9072"/>
      </w:tabs>
    </w:pPr>
  </w:style>
  <w:style w:type="character" w:customStyle="1" w:styleId="En-tteCar">
    <w:name w:val="En-tête Car"/>
    <w:basedOn w:val="Policepardfaut"/>
    <w:link w:val="En-tte"/>
    <w:semiHidden/>
    <w:rsid w:val="00C47A0E"/>
    <w:rPr>
      <w:rFonts w:ascii="Arial" w:eastAsia="Times New Roman" w:hAnsi="Arial" w:cs="Times New Roman"/>
      <w:color w:val="000000"/>
      <w:kern w:val="0"/>
      <w:sz w:val="20"/>
      <w:szCs w:val="20"/>
      <w:lang w:eastAsia="fr-FR"/>
      <w14:ligatures w14:val="none"/>
    </w:rPr>
  </w:style>
  <w:style w:type="character" w:styleId="Numrodepage">
    <w:name w:val="page number"/>
    <w:basedOn w:val="Policepardfaut"/>
    <w:semiHidden/>
    <w:rsid w:val="00C47A0E"/>
  </w:style>
  <w:style w:type="character" w:styleId="Marquedecommentaire">
    <w:name w:val="annotation reference"/>
    <w:uiPriority w:val="99"/>
    <w:semiHidden/>
    <w:unhideWhenUsed/>
    <w:rsid w:val="00C47A0E"/>
    <w:rPr>
      <w:sz w:val="16"/>
      <w:szCs w:val="16"/>
    </w:rPr>
  </w:style>
  <w:style w:type="paragraph" w:styleId="Commentaire">
    <w:name w:val="annotation text"/>
    <w:basedOn w:val="Normal"/>
    <w:link w:val="CommentaireCar"/>
    <w:uiPriority w:val="99"/>
    <w:unhideWhenUsed/>
    <w:rsid w:val="00C47A0E"/>
    <w:pPr>
      <w:spacing w:after="200"/>
      <w:jc w:val="both"/>
    </w:pPr>
    <w:rPr>
      <w:rFonts w:ascii="Calibri" w:eastAsia="Calibri" w:hAnsi="Calibri"/>
      <w:color w:val="auto"/>
      <w:lang w:eastAsia="en-US"/>
    </w:rPr>
  </w:style>
  <w:style w:type="character" w:customStyle="1" w:styleId="CommentaireCar">
    <w:name w:val="Commentaire Car"/>
    <w:basedOn w:val="Policepardfaut"/>
    <w:link w:val="Commentaire"/>
    <w:uiPriority w:val="99"/>
    <w:rsid w:val="00C47A0E"/>
    <w:rPr>
      <w:rFonts w:ascii="Calibri" w:eastAsia="Calibri" w:hAnsi="Calibri" w:cs="Times New Roman"/>
      <w:kern w:val="0"/>
      <w:sz w:val="20"/>
      <w:szCs w:val="20"/>
      <w14:ligatures w14:val="none"/>
    </w:rPr>
  </w:style>
  <w:style w:type="paragraph" w:styleId="NormalWeb">
    <w:name w:val="Normal (Web)"/>
    <w:basedOn w:val="Normal"/>
    <w:uiPriority w:val="99"/>
    <w:unhideWhenUsed/>
    <w:rsid w:val="00C47A0E"/>
    <w:pPr>
      <w:spacing w:before="100" w:beforeAutospacing="1" w:after="100" w:afterAutospacing="1"/>
    </w:pPr>
    <w:rPr>
      <w:rFonts w:ascii="Times New Roman" w:hAnsi="Times New Roman"/>
      <w:color w:val="auto"/>
      <w:sz w:val="24"/>
      <w:szCs w:val="24"/>
    </w:rPr>
  </w:style>
  <w:style w:type="paragraph" w:customStyle="1" w:styleId="Default">
    <w:name w:val="Default"/>
    <w:rsid w:val="00C47A0E"/>
    <w:pPr>
      <w:autoSpaceDE w:val="0"/>
      <w:autoSpaceDN w:val="0"/>
      <w:adjustRightInd w:val="0"/>
      <w:spacing w:after="0" w:line="240" w:lineRule="auto"/>
    </w:pPr>
    <w:rPr>
      <w:rFonts w:ascii="Avenir Next LT Pro" w:eastAsia="Times New Roman" w:hAnsi="Avenir Next LT Pro" w:cs="Avenir Next LT Pro"/>
      <w:color w:val="000000"/>
      <w:kern w:val="0"/>
      <w:lang w:eastAsia="fr-FR"/>
      <w14:ligatures w14:val="none"/>
    </w:rPr>
  </w:style>
  <w:style w:type="paragraph" w:styleId="Rvision">
    <w:name w:val="Revision"/>
    <w:hidden/>
    <w:uiPriority w:val="99"/>
    <w:semiHidden/>
    <w:rsid w:val="005825A0"/>
    <w:pPr>
      <w:spacing w:after="0" w:line="240" w:lineRule="auto"/>
    </w:pPr>
    <w:rPr>
      <w:rFonts w:ascii="Arial" w:eastAsia="Times New Roman" w:hAnsi="Arial" w:cs="Times New Roman"/>
      <w:color w:val="000000"/>
      <w:kern w:val="0"/>
      <w:sz w:val="2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345d09f-a685-493b-8c84-fd37372ed6be">
      <Terms xmlns="http://schemas.microsoft.com/office/infopath/2007/PartnerControls"/>
    </lcf76f155ced4ddcb4097134ff3c332f>
    <TaxCatchAll xmlns="c54c3cf3-c5ff-4eaf-a2b9-fefc640a83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EA5CE666036E46ACB1DADA7D756ACD" ma:contentTypeVersion="17" ma:contentTypeDescription="Create a new document." ma:contentTypeScope="" ma:versionID="1d00c62b5ca5d8b15940d206bf5edcb8">
  <xsd:schema xmlns:xsd="http://www.w3.org/2001/XMLSchema" xmlns:xs="http://www.w3.org/2001/XMLSchema" xmlns:p="http://schemas.microsoft.com/office/2006/metadata/properties" xmlns:ns2="f345d09f-a685-493b-8c84-fd37372ed6be" xmlns:ns3="c54c3cf3-c5ff-4eaf-a2b9-fefc640a83c9" targetNamespace="http://schemas.microsoft.com/office/2006/metadata/properties" ma:root="true" ma:fieldsID="5aada35758d06c7263447a5a9f14d126" ns2:_="" ns3:_="">
    <xsd:import namespace="f345d09f-a685-493b-8c84-fd37372ed6be"/>
    <xsd:import namespace="c54c3cf3-c5ff-4eaf-a2b9-fefc640a83c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5d09f-a685-493b-8c84-fd37372ed6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84fa0e6-2ef4-43cc-97a8-c7dbbb96b9d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54c3cf3-c5ff-4eaf-a2b9-fefc640a83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6a6f355-a5a7-4382-a9e2-fbb52dd16ca6}" ma:internalName="TaxCatchAll" ma:showField="CatchAllData" ma:web="c54c3cf3-c5ff-4eaf-a2b9-fefc640a83c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3528F-04B5-44FB-B2E9-AE5F3BCA31FF}">
  <ds:schemaRefs>
    <ds:schemaRef ds:uri="http://schemas.microsoft.com/office/2006/metadata/properties"/>
    <ds:schemaRef ds:uri="http://schemas.microsoft.com/office/infopath/2007/PartnerControls"/>
    <ds:schemaRef ds:uri="f345d09f-a685-493b-8c84-fd37372ed6be"/>
    <ds:schemaRef ds:uri="c54c3cf3-c5ff-4eaf-a2b9-fefc640a83c9"/>
  </ds:schemaRefs>
</ds:datastoreItem>
</file>

<file path=customXml/itemProps2.xml><?xml version="1.0" encoding="utf-8"?>
<ds:datastoreItem xmlns:ds="http://schemas.openxmlformats.org/officeDocument/2006/customXml" ds:itemID="{236F76D4-AC65-4B53-8D2A-D0E9C4820806}">
  <ds:schemaRefs>
    <ds:schemaRef ds:uri="http://schemas.microsoft.com/sharepoint/v3/contenttype/forms"/>
  </ds:schemaRefs>
</ds:datastoreItem>
</file>

<file path=customXml/itemProps3.xml><?xml version="1.0" encoding="utf-8"?>
<ds:datastoreItem xmlns:ds="http://schemas.openxmlformats.org/officeDocument/2006/customXml" ds:itemID="{B38D3BCD-0004-4743-AB49-D8E71DAC9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45d09f-a685-493b-8c84-fd37372ed6be"/>
    <ds:schemaRef ds:uri="c54c3cf3-c5ff-4eaf-a2b9-fefc640a83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1269</Words>
  <Characters>6985</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GUILLOT - Optima Avocats</dc:creator>
  <cp:keywords/>
  <dc:description/>
  <cp:lastModifiedBy>Linda SCHLEER - WORKING SPIRIT</cp:lastModifiedBy>
  <cp:revision>2</cp:revision>
  <dcterms:created xsi:type="dcterms:W3CDTF">2026-03-03T10:27:00Z</dcterms:created>
  <dcterms:modified xsi:type="dcterms:W3CDTF">2026-03-03T10:27:00Z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0x01010021EA5CE666036E46ACB1DADA7D756ACD</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