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Procès-verbal d’accord NAO du 27/02/2026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1" w:sz="4" w:val="single"/>
          <w:bottom w:color="000000" w:space="1" w:sz="4" w:val="single"/>
        </w:pBdr>
        <w:tabs>
          <w:tab w:val="left" w:leader="none" w:pos="3240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Objet :          </w:t>
        <w:tab/>
        <w:t xml:space="preserve">Réunion Négociations Annuelles Obligatoires</w:t>
      </w:r>
    </w:p>
    <w:p w:rsidR="00000000" w:rsidDel="00000000" w:rsidP="00000000" w:rsidRDefault="00000000" w:rsidRPr="00000000" w14:paraId="00000003">
      <w:pPr>
        <w:tabs>
          <w:tab w:val="left" w:leader="none" w:pos="3240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Date :</w:t>
        <w:tab/>
        <w:t xml:space="preserve">27/02/2026</w:t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bottom w:color="000000" w:space="1" w:sz="4" w:val="single"/>
        </w:pBdr>
        <w:tabs>
          <w:tab w:val="left" w:leader="none" w:pos="3240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Lieu :</w:t>
        <w:tab/>
        <w:t xml:space="preserve">Altkirch</w:t>
      </w:r>
    </w:p>
    <w:p w:rsidR="00000000" w:rsidDel="00000000" w:rsidP="00000000" w:rsidRDefault="00000000" w:rsidRPr="00000000" w14:paraId="00000005">
      <w:pPr>
        <w:pBdr>
          <w:bottom w:color="000000" w:space="1" w:sz="4" w:val="single"/>
        </w:pBdr>
        <w:tabs>
          <w:tab w:val="left" w:leader="none" w:pos="3240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Présidé par :</w:t>
        <w:tab/>
        <w:t xml:space="preserve">… / …</w:t>
      </w:r>
    </w:p>
    <w:p w:rsidR="00000000" w:rsidDel="00000000" w:rsidP="00000000" w:rsidRDefault="00000000" w:rsidRPr="00000000" w14:paraId="00000006">
      <w:pPr>
        <w:tabs>
          <w:tab w:val="left" w:leader="none" w:pos="1440"/>
          <w:tab w:val="left" w:leader="none" w:pos="3240"/>
          <w:tab w:val="left" w:leader="none" w:pos="7560"/>
          <w:tab w:val="left" w:leader="none" w:pos="8280"/>
        </w:tabs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440"/>
          <w:tab w:val="left" w:leader="none" w:pos="3240"/>
          <w:tab w:val="left" w:leader="none" w:pos="7560"/>
          <w:tab w:val="left" w:leader="none" w:pos="8280"/>
        </w:tabs>
        <w:rPr>
          <w:rFonts w:ascii="Arial" w:cs="Arial" w:eastAsia="Arial" w:hAnsi="Arial"/>
          <w:b w:val="1"/>
          <w:bCs w:val="1"/>
          <w:sz w:val="22"/>
          <w:szCs w:val="22"/>
        </w:rPr>
      </w:pPr>
      <w:bookmarkStart w:colFirst="0" w:colLast="0" w:name="_552vqjp1deu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Participants :</w:t>
        <w:tab/>
        <w:tab/>
        <w:tab/>
      </w:r>
    </w:p>
    <w:p w:rsidR="00000000" w:rsidDel="00000000" w:rsidP="00000000" w:rsidRDefault="00000000" w:rsidRPr="00000000" w14:paraId="00000008">
      <w:pPr>
        <w:tabs>
          <w:tab w:val="left" w:leader="none" w:pos="3240"/>
          <w:tab w:val="left" w:leader="none" w:pos="4680"/>
          <w:tab w:val="left" w:leader="none" w:pos="7740"/>
          <w:tab w:val="left" w:leader="none" w:pos="846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Représentant syndical CFDT :</w:t>
        <w:tab/>
        <w:tab/>
        <w:t xml:space="preserve">…</w:t>
      </w:r>
    </w:p>
    <w:p w:rsidR="00000000" w:rsidDel="00000000" w:rsidP="00000000" w:rsidRDefault="00000000" w:rsidRPr="00000000" w14:paraId="00000009">
      <w:pPr>
        <w:tabs>
          <w:tab w:val="left" w:leader="none" w:pos="3240"/>
          <w:tab w:val="left" w:leader="none" w:pos="4680"/>
          <w:tab w:val="left" w:leader="none" w:pos="7740"/>
          <w:tab w:val="left" w:leader="none" w:pos="846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Invités CFDT :</w:t>
        <w:tab/>
        <w:tab/>
        <w:t xml:space="preserve">… &amp; …</w:t>
      </w:r>
    </w:p>
    <w:p w:rsidR="00000000" w:rsidDel="00000000" w:rsidP="00000000" w:rsidRDefault="00000000" w:rsidRPr="00000000" w14:paraId="0000000A">
      <w:pPr>
        <w:tabs>
          <w:tab w:val="left" w:leader="none" w:pos="3240"/>
          <w:tab w:val="left" w:leader="none" w:pos="4680"/>
          <w:tab w:val="left" w:leader="none" w:pos="7740"/>
          <w:tab w:val="left" w:leader="none" w:pos="846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3240"/>
          <w:tab w:val="left" w:leader="none" w:pos="4680"/>
          <w:tab w:val="left" w:leader="none" w:pos="7740"/>
          <w:tab w:val="left" w:leader="none" w:pos="846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Représentant syndical CFE-CGC :</w:t>
        <w:tab/>
        <w:t xml:space="preserve">…</w:t>
        <w:tab/>
      </w:r>
    </w:p>
    <w:p w:rsidR="00000000" w:rsidDel="00000000" w:rsidP="00000000" w:rsidRDefault="00000000" w:rsidRPr="00000000" w14:paraId="0000000C">
      <w:pPr>
        <w:tabs>
          <w:tab w:val="left" w:leader="none" w:pos="3240"/>
          <w:tab w:val="left" w:leader="none" w:pos="4680"/>
          <w:tab w:val="left" w:leader="none" w:pos="7740"/>
          <w:tab w:val="left" w:leader="none" w:pos="846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Invités CFE-CGC :</w:t>
        <w:tab/>
        <w:tab/>
        <w:t xml:space="preserve">… &amp; …</w:t>
      </w:r>
    </w:p>
    <w:p w:rsidR="00000000" w:rsidDel="00000000" w:rsidP="00000000" w:rsidRDefault="00000000" w:rsidRPr="00000000" w14:paraId="0000000D">
      <w:pPr>
        <w:pBdr>
          <w:bottom w:color="000000" w:space="1" w:sz="4" w:val="single"/>
        </w:pBdr>
        <w:tabs>
          <w:tab w:val="left" w:leader="none" w:pos="3240"/>
          <w:tab w:val="left" w:leader="none" w:pos="4680"/>
          <w:tab w:val="left" w:leader="none" w:pos="7740"/>
          <w:tab w:val="left" w:leader="none" w:pos="846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Dans le cadre de 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Négociation Annuelle Obligatoire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(NAO), la Direction et les Organisations Syndicales se sont réunies les 16 et 27 février 2026.</w:t>
      </w:r>
    </w:p>
    <w:p w:rsidR="00000000" w:rsidDel="00000000" w:rsidP="00000000" w:rsidRDefault="00000000" w:rsidRPr="00000000" w14:paraId="00000011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Au cours de ces deux réunions, les partenaires sociaux ont notamment échangé sur les thèmes relatifs aux salaires, à l’emploi et aux résultats financiers.</w:t>
      </w:r>
    </w:p>
    <w:p w:rsidR="00000000" w:rsidDel="00000000" w:rsidP="00000000" w:rsidRDefault="00000000" w:rsidRPr="00000000" w14:paraId="00000013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 2025, Altkirch a bénéficié de la bascule des volumes des marchés Suisse et Allemand de 121 kt, ce qui nous a permis d’augmenter notre CA de 21%. Le marché local reste très en dessous des niveaux historiques. En 2026, nous retournons sur notre marché local.</w:t>
      </w:r>
    </w:p>
    <w:p w:rsidR="00000000" w:rsidDel="00000000" w:rsidP="00000000" w:rsidRDefault="00000000" w:rsidRPr="00000000" w14:paraId="00000015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Nous n’avons pas atteint le HAL 85 qui était un de nos objectifs principaux, entraînant des conséquences durables pour l’avenir.</w:t>
      </w:r>
    </w:p>
    <w:p w:rsidR="00000000" w:rsidDel="00000000" w:rsidP="00000000" w:rsidRDefault="00000000" w:rsidRPr="00000000" w14:paraId="00000016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Il y a par ailleurs une forte incertitude sur les prévisions d’activité pour les années à venir en France dans un contexte d’excédent de clinker sur toute la zone CEW.</w:t>
      </w:r>
    </w:p>
    <w:p w:rsidR="00000000" w:rsidDel="00000000" w:rsidP="00000000" w:rsidRDefault="00000000" w:rsidRPr="00000000" w14:paraId="00000017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 2026, 4 challenges se présentent à nous pour assurer notre futur :</w:t>
      </w:r>
    </w:p>
    <w:p w:rsidR="00000000" w:rsidDel="00000000" w:rsidP="00000000" w:rsidRDefault="00000000" w:rsidRPr="00000000" w14:paraId="00000019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Compenser la perte financière due à la non atteinte du HAL 85 en 2025, nos quotas gratuits sont donc revus à la baisse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Réaliser un plan d’économie sur les coûts fixes de 1 M€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Monter en puissance la production de l’argile calcinée (# 40kt) au détriment du clinker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Maîtriser l'opération de notre four et broyeurs (TSR, ARM, Cons. Électrique et Thermique, MTBF, NAI) pour maintenir un coût variable compétitif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Lancer la commercialisation et la production d’un ciment de type CEM II/C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ind w:left="7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Préparer l’usine et son organisation à l’après clinker</w:t>
      </w:r>
    </w:p>
    <w:p w:rsidR="00000000" w:rsidDel="00000000" w:rsidP="00000000" w:rsidRDefault="00000000" w:rsidRPr="00000000" w14:paraId="00000020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Après des discussions fructueuses, les 2 organisations syndicales (CFDT et CFE-CGC) se sont accordées sur les mesures suivantes, applicables rétroactivement au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1er janvier 2026.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center" w:leader="none" w:pos="4703"/>
          <w:tab w:val="right" w:leader="none" w:pos="9406"/>
        </w:tabs>
        <w:spacing w:line="28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5831530" cy="32385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3153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Pour Holcim Haut-Rhin 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Président du CSE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Pour les organisations syndicales 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 syndicat CFDT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 syndicat CFE-CGC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</w:t>
      </w: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899" w:orient="portrait"/>
      <w:pgMar w:bottom="1361" w:top="2268" w:left="1361" w:right="1361" w:header="1021" w:footer="851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60" w:lineRule="auto"/>
      <w:ind w:left="0" w:right="0" w:firstLine="0"/>
      <w:jc w:val="both"/>
      <w:rPr>
        <w:rFonts w:ascii="Times" w:cs="Times" w:eastAsia="Times" w:hAnsi="Time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60" w:lineRule="auto"/>
      <w:ind w:left="0" w:right="0" w:firstLine="0"/>
      <w:jc w:val="both"/>
      <w:rPr>
        <w:rFonts w:ascii="Times" w:cs="Times" w:eastAsia="Times" w:hAnsi="Time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  <w:tab w:val="right" w:leader="none" w:pos="-510"/>
        <w:tab w:val="left" w:leader="none" w:pos="0"/>
        <w:tab w:val="center" w:leader="none" w:pos="4092"/>
      </w:tabs>
      <w:spacing w:after="0" w:before="0" w:line="240" w:lineRule="auto"/>
      <w:ind w:left="-992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  <w:tbl>
    <w:tblPr>
      <w:tblStyle w:val="Table1"/>
      <w:tblW w:w="11908.0" w:type="dxa"/>
      <w:jc w:val="left"/>
      <w:tblLayout w:type="fixed"/>
      <w:tblLook w:val="0000"/>
    </w:tblPr>
    <w:tblGrid>
      <w:gridCol w:w="11908"/>
      <w:tblGridChange w:id="0">
        <w:tblGrid>
          <w:gridCol w:w="11908"/>
        </w:tblGrid>
      </w:tblGridChange>
    </w:tblGrid>
    <w:tr>
      <w:trPr>
        <w:cantSplit w:val="1"/>
        <w:tblHeader w:val="0"/>
      </w:trPr>
      <w:tc>
        <w:tcPr/>
        <w:p w:rsidR="00000000" w:rsidDel="00000000" w:rsidP="00000000" w:rsidRDefault="00000000" w:rsidRPr="00000000" w14:paraId="0000003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703"/>
              <w:tab w:val="right" w:leader="none" w:pos="9406"/>
            </w:tabs>
            <w:spacing w:after="0" w:before="0" w:line="200" w:lineRule="auto"/>
            <w:ind w:left="0" w:right="0" w:firstLine="0"/>
            <w:jc w:val="both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blHeader w:val="0"/>
      </w:trPr>
      <w:tc>
        <w:tcPr/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703"/>
              <w:tab w:val="right" w:leader="none" w:pos="9406"/>
              <w:tab w:val="left" w:leader="none" w:pos="7938"/>
            </w:tabs>
            <w:spacing w:after="0" w:before="0" w:line="200" w:lineRule="auto"/>
            <w:ind w:left="0" w:right="0" w:firstLine="0"/>
            <w:jc w:val="both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blHeader w:val="0"/>
      </w:trPr>
      <w:tc>
        <w:tcPr/>
        <w:p w:rsidR="00000000" w:rsidDel="00000000" w:rsidP="00000000" w:rsidRDefault="00000000" w:rsidRPr="00000000" w14:paraId="0000003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520"/>
              <w:tab w:val="center" w:leader="none" w:pos="4536"/>
              <w:tab w:val="right" w:leader="none" w:pos="9072"/>
            </w:tabs>
            <w:jc w:val="both"/>
            <w:rPr>
              <w:rFonts w:ascii="Arial" w:cs="Arial" w:eastAsia="Arial" w:hAnsi="Arial"/>
              <w:b w:val="1"/>
              <w:bCs w:val="1"/>
              <w:sz w:val="15"/>
              <w:szCs w:val="15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5"/>
              <w:szCs w:val="15"/>
              <w:rtl w:val="0"/>
            </w:rPr>
            <w:t xml:space="preserve">Holcim Haut-Rhin S.A.S</w:t>
          </w:r>
        </w:p>
        <w:p w:rsidR="00000000" w:rsidDel="00000000" w:rsidP="00000000" w:rsidRDefault="00000000" w:rsidRPr="00000000" w14:paraId="0000004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520"/>
              <w:tab w:val="center" w:leader="none" w:pos="4536"/>
              <w:tab w:val="right" w:leader="none" w:pos="9072"/>
            </w:tabs>
            <w:jc w:val="both"/>
            <w:rPr>
              <w:rFonts w:ascii="Arial" w:cs="Arial" w:eastAsia="Arial" w:hAnsi="Arial"/>
              <w:sz w:val="15"/>
              <w:szCs w:val="15"/>
            </w:rPr>
          </w:pPr>
          <w:r w:rsidDel="00000000" w:rsidR="00000000" w:rsidRPr="00000000">
            <w:rPr>
              <w:rFonts w:ascii="Arial" w:cs="Arial" w:eastAsia="Arial" w:hAnsi="Arial"/>
              <w:sz w:val="15"/>
              <w:szCs w:val="15"/>
              <w:rtl w:val="0"/>
            </w:rPr>
            <w:t xml:space="preserve">Usine d’Altkirch</w:t>
          </w:r>
        </w:p>
        <w:p w:rsidR="00000000" w:rsidDel="00000000" w:rsidP="00000000" w:rsidRDefault="00000000" w:rsidRPr="00000000" w14:paraId="0000004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520"/>
              <w:tab w:val="center" w:leader="none" w:pos="4536"/>
              <w:tab w:val="right" w:leader="none" w:pos="9072"/>
            </w:tabs>
            <w:jc w:val="both"/>
            <w:rPr>
              <w:rFonts w:ascii="Arial" w:cs="Arial" w:eastAsia="Arial" w:hAnsi="Arial"/>
              <w:sz w:val="15"/>
              <w:szCs w:val="15"/>
            </w:rPr>
          </w:pPr>
          <w:r w:rsidDel="00000000" w:rsidR="00000000" w:rsidRPr="00000000">
            <w:rPr>
              <w:rFonts w:ascii="Arial" w:cs="Arial" w:eastAsia="Arial" w:hAnsi="Arial"/>
              <w:sz w:val="15"/>
              <w:szCs w:val="15"/>
              <w:rtl w:val="0"/>
            </w:rPr>
            <w:t xml:space="preserve">1 Route de Thann</w:t>
          </w:r>
        </w:p>
        <w:p w:rsidR="00000000" w:rsidDel="00000000" w:rsidP="00000000" w:rsidRDefault="00000000" w:rsidRPr="00000000" w14:paraId="0000004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520"/>
              <w:tab w:val="center" w:leader="none" w:pos="4536"/>
              <w:tab w:val="right" w:leader="none" w:pos="9072"/>
            </w:tabs>
            <w:jc w:val="both"/>
            <w:rPr>
              <w:rFonts w:ascii="Arial" w:cs="Arial" w:eastAsia="Arial" w:hAnsi="Arial"/>
              <w:sz w:val="15"/>
              <w:szCs w:val="15"/>
            </w:rPr>
          </w:pPr>
          <w:r w:rsidDel="00000000" w:rsidR="00000000" w:rsidRPr="00000000">
            <w:rPr>
              <w:rFonts w:ascii="Arial" w:cs="Arial" w:eastAsia="Arial" w:hAnsi="Arial"/>
              <w:sz w:val="15"/>
              <w:szCs w:val="15"/>
              <w:rtl w:val="0"/>
            </w:rPr>
            <w:t xml:space="preserve">BP 21</w:t>
          </w:r>
        </w:p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703"/>
              <w:tab w:val="right" w:leader="none" w:pos="9406"/>
              <w:tab w:val="left" w:leader="none" w:pos="7938"/>
            </w:tabs>
            <w:spacing w:after="0" w:before="0" w:line="200" w:lineRule="auto"/>
            <w:ind w:left="0" w:right="0" w:firstLine="0"/>
            <w:jc w:val="both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5"/>
              <w:szCs w:val="15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5"/>
              <w:szCs w:val="15"/>
              <w:u w:val="none"/>
              <w:shd w:fill="auto" w:val="clear"/>
              <w:vertAlign w:val="baseline"/>
              <w:rtl w:val="0"/>
            </w:rPr>
            <w:t xml:space="preserve">68131 Altkirch Cedex</w:t>
          </w:r>
        </w:p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703"/>
              <w:tab w:val="right" w:leader="none" w:pos="9406"/>
              <w:tab w:val="left" w:leader="none" w:pos="7938"/>
            </w:tabs>
            <w:spacing w:after="0" w:before="0" w:line="200" w:lineRule="auto"/>
            <w:ind w:left="0" w:right="0" w:firstLine="0"/>
            <w:jc w:val="both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blHeader w:val="0"/>
      </w:trPr>
      <w:tc>
        <w:tcPr/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703"/>
              <w:tab w:val="right" w:leader="none" w:pos="9406"/>
              <w:tab w:val="left" w:leader="none" w:pos="7938"/>
            </w:tabs>
            <w:spacing w:after="0" w:before="0" w:line="200" w:lineRule="auto"/>
            <w:ind w:left="0" w:right="0" w:firstLine="0"/>
            <w:jc w:val="both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  <w:tab w:val="left" w:leader="none" w:pos="7938"/>
      </w:tabs>
      <w:spacing w:after="0" w:before="0" w:line="190" w:lineRule="auto"/>
      <w:ind w:left="0" w:right="-1029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" w:cs="Times" w:eastAsia="Times" w:hAnsi="Times"/>
        <w:b w:val="0"/>
        <w:bCs w:val="0"/>
        <w:i w:val="0"/>
        <w:iCs w:val="0"/>
        <w:smallCaps w:val="0"/>
        <w:strike w:val="0"/>
        <w:color w:val="000000"/>
        <w:sz w:val="15"/>
        <w:szCs w:val="15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align>right</wp:align>
          </wp:positionH>
          <wp:positionV relativeFrom="topMargin">
            <wp:posOffset>361866</wp:posOffset>
          </wp:positionV>
          <wp:extent cx="2160000" cy="5004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60000" cy="5004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