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media/hdphoto1.wdp" ContentType="image/vnd.ms-photo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Calibri" w:hAnsi="Calibri" w:eastAsia="Calibri" w:cs="Calibri" w:cstheme="minorHAnsi"/>
          <w:b/>
          <w:iCs/>
          <w:color w:val="000000"/>
          <w:sz w:val="28"/>
          <w:szCs w:val="28"/>
        </w:rPr>
      </w:pPr>
      <w:r>
        <w:rPr>
          <w:rFonts w:eastAsia="Calibri" w:cs="Calibri" w:cstheme="minorHAnsi" w:ascii="Calibri" w:hAnsi="Calibri"/>
          <w:b/>
          <w:iCs/>
          <w:color w:val="000000"/>
          <w:sz w:val="28"/>
          <w:szCs w:val="28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Calibri" w:hAnsi="Calibri" w:eastAsia="Calibri" w:cs="Calibri" w:cstheme="minorHAnsi"/>
          <w:b/>
          <w:iCs/>
          <w:color w:val="000000"/>
          <w:sz w:val="28"/>
          <w:szCs w:val="28"/>
        </w:rPr>
      </w:pPr>
      <w:r>
        <w:rPr>
          <w:rFonts w:eastAsia="Calibri" w:cs="Calibri" w:ascii="Calibri" w:hAnsi="Calibri" w:cstheme="minorHAnsi"/>
          <w:b/>
          <w:iCs/>
          <w:color w:val="000000"/>
          <w:sz w:val="28"/>
          <w:szCs w:val="28"/>
        </w:rPr>
        <w:t xml:space="preserve">NEGOCIATIONS ANNUELLES OBLIGATOIRES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Calibri" w:hAnsi="Calibri" w:eastAsia="Calibri" w:cs="Calibri" w:cstheme="minorHAnsi"/>
          <w:b/>
          <w:iCs/>
          <w:color w:val="000000"/>
          <w:sz w:val="28"/>
          <w:szCs w:val="28"/>
        </w:rPr>
      </w:pPr>
      <w:r>
        <w:rPr>
          <w:rFonts w:eastAsia="Calibri" w:cs="Calibri" w:ascii="Calibri" w:hAnsi="Calibri" w:cstheme="minorHAnsi"/>
          <w:b/>
          <w:iCs/>
          <w:color w:val="000000"/>
          <w:sz w:val="28"/>
          <w:szCs w:val="28"/>
        </w:rPr>
        <w:t>PORTANT SUR LES REMUNERATIONS, LE TEMPS DE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Calibri" w:hAnsi="Calibri" w:eastAsia="Calibri" w:cs="Calibri" w:cstheme="minorHAnsi"/>
          <w:b/>
          <w:iCs/>
          <w:color w:val="000000"/>
          <w:sz w:val="28"/>
          <w:szCs w:val="28"/>
        </w:rPr>
      </w:pPr>
      <w:r>
        <w:rPr>
          <w:rFonts w:eastAsia="Calibri" w:cs="Calibri" w:ascii="Calibri" w:hAnsi="Calibri" w:cstheme="minorHAnsi"/>
          <w:b/>
          <w:iCs/>
          <w:color w:val="000000"/>
          <w:sz w:val="28"/>
          <w:szCs w:val="28"/>
        </w:rPr>
        <w:t>TRAVAIL ET LE PARTAGE DE LA VALEUR AJOUTEE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Calibri" w:hAnsi="Calibri" w:eastAsia="Calibri" w:cs="Calibri" w:cstheme="minorHAnsi"/>
          <w:b/>
          <w:iCs/>
          <w:color w:val="000000"/>
          <w:sz w:val="28"/>
          <w:szCs w:val="28"/>
        </w:rPr>
      </w:pPr>
      <w:r>
        <w:rPr>
          <w:rFonts w:eastAsia="Calibri" w:cs="Calibri" w:cstheme="minorHAnsi" w:ascii="Calibri" w:hAnsi="Calibri"/>
          <w:b/>
          <w:iCs/>
          <w:color w:val="000000"/>
          <w:sz w:val="28"/>
          <w:szCs w:val="28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Calibri" w:hAnsi="Calibri" w:eastAsia="Calibri" w:cs="Calibri" w:cstheme="minorHAnsi"/>
          <w:b/>
          <w:iCs/>
          <w:color w:val="000000"/>
          <w:sz w:val="28"/>
          <w:szCs w:val="28"/>
        </w:rPr>
      </w:pPr>
      <w:r>
        <w:rPr>
          <w:rFonts w:eastAsia="Calibri" w:cs="Calibri" w:ascii="Calibri" w:hAnsi="Calibri" w:cstheme="minorHAnsi"/>
          <w:b/>
          <w:iCs/>
          <w:sz w:val="28"/>
          <w:szCs w:val="28"/>
        </w:rPr>
        <w:t xml:space="preserve">PROCES-VERBAL D’ACCORD - </w:t>
      </w:r>
      <w:r>
        <w:rPr>
          <w:rFonts w:eastAsia="Calibri" w:cs="Calibri" w:ascii="Calibri" w:hAnsi="Calibri" w:cstheme="minorHAnsi"/>
          <w:b/>
          <w:iCs/>
          <w:color w:val="000000"/>
          <w:sz w:val="28"/>
          <w:szCs w:val="28"/>
        </w:rPr>
        <w:t>NAO 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Calibri" w:hAnsi="Calibri" w:eastAsia="Calibri" w:cs="Calibri" w:cstheme="minorHAnsi"/>
          <w:b/>
          <w:iCs/>
          <w:color w:themeColor="text1" w:val="000000"/>
          <w:sz w:val="28"/>
          <w:szCs w:val="28"/>
        </w:rPr>
      </w:pPr>
      <w:r>
        <w:rPr>
          <w:rFonts w:eastAsia="Calibri" w:cs="Calibri" w:ascii="Calibri" w:hAnsi="Calibri" w:cstheme="minorHAnsi"/>
          <w:b/>
          <w:iCs/>
          <w:color w:val="000000"/>
          <w:sz w:val="28"/>
          <w:szCs w:val="28"/>
        </w:rPr>
        <w:t xml:space="preserve">du </w:t>
      </w:r>
      <w:r>
        <w:rPr>
          <w:rFonts w:eastAsia="Calibri" w:cs="Calibri" w:ascii="Calibri" w:hAnsi="Calibri" w:cstheme="minorHAnsi"/>
          <w:b/>
          <w:iCs/>
          <w:sz w:val="28"/>
          <w:szCs w:val="28"/>
        </w:rPr>
        <w:t xml:space="preserve">24 mars </w:t>
      </w:r>
      <w:r>
        <w:rPr>
          <w:rFonts w:eastAsia="Calibri" w:cs="Calibri" w:ascii="Calibri" w:hAnsi="Calibri" w:cstheme="minorHAnsi"/>
          <w:b/>
          <w:iCs/>
          <w:color w:themeColor="text1" w:val="000000"/>
          <w:sz w:val="28"/>
          <w:szCs w:val="28"/>
        </w:rPr>
        <w:t>2026</w:t>
      </w:r>
    </w:p>
    <w:p>
      <w:pPr>
        <w:pStyle w:val="Normal"/>
        <w:jc w:val="both"/>
        <w:rPr>
          <w:rFonts w:ascii="Calibri" w:hAnsi="Calibri" w:eastAsia="Calibri" w:cs="Calibri" w:cstheme="minorHAnsi"/>
          <w:b/>
          <w:iCs/>
          <w:color w:val="000000"/>
        </w:rPr>
      </w:pPr>
      <w:r>
        <w:rPr>
          <w:rFonts w:eastAsia="Calibri" w:cs="Calibri" w:cstheme="minorHAnsi" w:ascii="Calibri" w:hAnsi="Calibri"/>
          <w:b/>
          <w:iCs/>
          <w:color w:val="000000"/>
        </w:rPr>
      </w:r>
    </w:p>
    <w:p>
      <w:pPr>
        <w:pStyle w:val="Normal"/>
        <w:jc w:val="both"/>
        <w:rPr>
          <w:rFonts w:eastAsia="Calibri" w:cs="Calibri" w:cstheme="minorHAnsi"/>
          <w:b/>
          <w:iCs/>
          <w:color w:val="000000"/>
        </w:rPr>
      </w:pPr>
      <w:r>
        <w:rPr>
          <w:rFonts w:eastAsia="Calibri" w:cs="Calibri" w:cstheme="minorHAnsi"/>
          <w:b/>
          <w:iCs/>
          <w:color w:val="000000"/>
        </w:rPr>
      </w:r>
    </w:p>
    <w:p>
      <w:pPr>
        <w:pStyle w:val="Normal"/>
        <w:jc w:val="both"/>
        <w:rPr>
          <w:rFonts w:eastAsia="Calibri" w:cs="Calibri" w:cstheme="minorHAnsi"/>
          <w:bCs/>
          <w:iCs/>
          <w:color w:val="000000"/>
        </w:rPr>
      </w:pPr>
      <w:r>
        <w:rPr>
          <w:rFonts w:eastAsia="Calibri" w:cs="Calibri" w:cstheme="minorHAnsi"/>
          <w:bCs/>
          <w:iCs/>
          <w:color w:val="000000"/>
        </w:rPr>
        <w:t xml:space="preserve">Des négociations ont été engagées entre la Société CENTRE BEDDING et la délégation syndicale CGT, représentée par </w:t>
      </w:r>
      <w:r>
        <w:rPr>
          <w:rFonts w:eastAsia="Calibri" w:cs="Calibri" w:cstheme="minorHAnsi"/>
          <w:bCs/>
          <w:iCs/>
          <w:color w:val="000000"/>
        </w:rPr>
        <w:t>XXX</w:t>
      </w:r>
      <w:r>
        <w:rPr>
          <w:rFonts w:eastAsia="Calibri" w:cs="Calibri" w:cstheme="minorHAnsi"/>
          <w:bCs/>
          <w:iCs/>
          <w:color w:val="000000"/>
        </w:rPr>
        <w:t xml:space="preserve">, lors de plusieurs réunions qui se sont déroulées respectivement les 19/02/2026, 03/03/2026, 12/03/2026 </w:t>
      </w:r>
      <w:r>
        <w:rPr>
          <w:rFonts w:eastAsia="Calibri" w:cs="Calibri" w:cstheme="minorHAnsi"/>
          <w:bCs/>
          <w:iCs/>
        </w:rPr>
        <w:t xml:space="preserve">et 23/03/2026 </w:t>
      </w:r>
      <w:r>
        <w:rPr>
          <w:rFonts w:eastAsia="Calibri" w:cs="Calibri" w:cstheme="minorHAnsi"/>
          <w:bCs/>
          <w:iCs/>
          <w:color w:val="000000"/>
        </w:rPr>
        <w:t>dans le cadre des dispositions des articles L.2242-1 et suivants du Code du travail. Les négociations s’inscrivent dans un contexte économique d’entreprise connu par tous.</w:t>
      </w:r>
    </w:p>
    <w:p>
      <w:pPr>
        <w:pStyle w:val="Normal"/>
        <w:jc w:val="both"/>
        <w:rPr>
          <w:rFonts w:eastAsia="Calibri" w:cs="Calibri" w:cstheme="minorHAnsi"/>
          <w:bCs/>
          <w:iCs/>
          <w:color w:val="000000"/>
        </w:rPr>
      </w:pPr>
      <w:r>
        <w:rPr>
          <w:rFonts w:eastAsia="Calibri" w:cs="Calibri" w:cstheme="minorHAnsi"/>
          <w:bCs/>
          <w:iCs/>
          <w:color w:val="000000"/>
        </w:rPr>
      </w:r>
    </w:p>
    <w:p>
      <w:pPr>
        <w:pStyle w:val="Normal"/>
        <w:jc w:val="both"/>
        <w:rPr>
          <w:rFonts w:eastAsia="Calibri" w:cs="Calibri" w:cstheme="minorHAnsi"/>
          <w:bCs/>
          <w:iCs/>
          <w:color w:val="000000"/>
        </w:rPr>
      </w:pPr>
      <w:r>
        <w:rPr>
          <w:rFonts w:eastAsia="Calibri" w:cs="Calibri" w:cstheme="minorHAnsi"/>
          <w:bCs/>
          <w:iCs/>
          <w:color w:val="000000"/>
        </w:rPr>
        <w:t xml:space="preserve">A l'issue de ces réunions entre la Direction et l’organisation syndicale appelée à la négociation, la Direction a dressé le présent protocole d'accord soumis à la signature de l’organisation syndicale représentative. </w:t>
      </w:r>
    </w:p>
    <w:p>
      <w:pPr>
        <w:pStyle w:val="Normal"/>
        <w:jc w:val="both"/>
        <w:rPr>
          <w:rFonts w:eastAsia="Calibri" w:cs="Calibri" w:cstheme="minorHAnsi"/>
          <w:bCs/>
          <w:iCs/>
          <w:color w:val="000000"/>
        </w:rPr>
      </w:pPr>
      <w:r>
        <w:rPr>
          <w:rFonts w:eastAsia="Calibri" w:cs="Calibri" w:cstheme="minorHAnsi"/>
          <w:bCs/>
          <w:iCs/>
          <w:color w:val="000000"/>
        </w:rPr>
      </w:r>
    </w:p>
    <w:p>
      <w:pPr>
        <w:pStyle w:val="Normal"/>
        <w:jc w:val="both"/>
        <w:rPr>
          <w:rFonts w:eastAsia="Calibri" w:cs="Calibri" w:cstheme="minorHAnsi"/>
          <w:b/>
          <w:iCs/>
          <w:color w:val="000000"/>
          <w:u w:val="single"/>
        </w:rPr>
      </w:pPr>
      <w:r>
        <w:rPr>
          <w:rFonts w:eastAsia="Calibri" w:cs="Calibri" w:cstheme="minorHAnsi"/>
          <w:b/>
          <w:iCs/>
          <w:color w:val="000000"/>
          <w:u w:val="single"/>
        </w:rPr>
        <w:t xml:space="preserve">Article 1 : CHAMP D'APPLICATION : </w:t>
      </w:r>
    </w:p>
    <w:p>
      <w:pPr>
        <w:pStyle w:val="Normal"/>
        <w:jc w:val="both"/>
        <w:rPr>
          <w:rFonts w:eastAsia="Calibri" w:cs="Calibri" w:cstheme="minorHAnsi"/>
          <w:b/>
          <w:iCs/>
          <w:color w:val="000000"/>
        </w:rPr>
      </w:pPr>
      <w:r>
        <w:rPr>
          <w:rFonts w:eastAsia="Calibri" w:cs="Calibri" w:cstheme="minorHAnsi"/>
          <w:b/>
          <w:iCs/>
          <w:color w:val="000000"/>
        </w:rPr>
      </w:r>
    </w:p>
    <w:p>
      <w:pPr>
        <w:pStyle w:val="Normal"/>
        <w:jc w:val="both"/>
        <w:rPr>
          <w:rFonts w:eastAsia="Calibri" w:cs="Calibri" w:cstheme="minorHAnsi"/>
          <w:bCs/>
          <w:iCs/>
          <w:color w:val="000000"/>
        </w:rPr>
      </w:pPr>
      <w:r>
        <w:rPr>
          <w:rFonts w:eastAsia="Calibri" w:cs="Calibri" w:cstheme="minorHAnsi"/>
          <w:bCs/>
          <w:iCs/>
          <w:color w:val="000000"/>
        </w:rPr>
        <w:t xml:space="preserve">Le présent protocole </w:t>
      </w:r>
      <w:r>
        <w:rPr>
          <w:rFonts w:eastAsia="Calibri" w:cs="Calibri" w:cstheme="minorHAnsi"/>
          <w:bCs/>
          <w:iCs/>
        </w:rPr>
        <w:t xml:space="preserve">d’accord s'applique </w:t>
      </w:r>
      <w:r>
        <w:rPr>
          <w:rFonts w:eastAsia="Calibri" w:cs="Calibri" w:cstheme="minorHAnsi"/>
          <w:bCs/>
          <w:iCs/>
          <w:color w:val="000000"/>
        </w:rPr>
        <w:t xml:space="preserve">à la Société CENTRE BEDDING. </w:t>
      </w:r>
    </w:p>
    <w:p>
      <w:pPr>
        <w:pStyle w:val="Normal"/>
        <w:jc w:val="both"/>
        <w:rPr>
          <w:rFonts w:eastAsia="Calibri" w:cs="Calibri" w:cstheme="minorHAnsi"/>
          <w:bCs/>
          <w:iCs/>
          <w:color w:val="000000"/>
        </w:rPr>
      </w:pPr>
      <w:r>
        <w:rPr>
          <w:rFonts w:eastAsia="Calibri" w:cs="Calibri" w:cstheme="minorHAnsi"/>
          <w:bCs/>
          <w:iCs/>
          <w:color w:val="000000"/>
        </w:rPr>
      </w:r>
    </w:p>
    <w:p>
      <w:pPr>
        <w:pStyle w:val="Normal"/>
        <w:jc w:val="both"/>
        <w:rPr>
          <w:rFonts w:eastAsia="Calibri" w:cs="Calibri" w:cstheme="minorHAnsi"/>
          <w:b/>
          <w:iCs/>
          <w:color w:val="000000"/>
          <w:u w:val="single"/>
        </w:rPr>
      </w:pPr>
      <w:r>
        <w:rPr>
          <w:rFonts w:eastAsia="Calibri" w:cs="Calibri" w:cstheme="minorHAnsi"/>
          <w:b/>
          <w:iCs/>
          <w:color w:val="000000"/>
          <w:u w:val="single"/>
        </w:rPr>
        <w:t xml:space="preserve">Article 2 : MESURES NEGOCIEES </w:t>
      </w:r>
    </w:p>
    <w:p>
      <w:pPr>
        <w:pStyle w:val="Normal"/>
        <w:jc w:val="both"/>
        <w:rPr>
          <w:rFonts w:eastAsia="Calibri" w:cs="Calibri" w:cstheme="minorHAnsi"/>
          <w:b/>
          <w:iCs/>
          <w:color w:val="000000"/>
        </w:rPr>
      </w:pPr>
      <w:r>
        <w:rPr>
          <w:rFonts w:eastAsia="Calibri" w:cs="Calibri" w:cstheme="minorHAnsi"/>
          <w:b/>
          <w:iCs/>
          <w:color w:val="000000"/>
        </w:rPr>
      </w:r>
    </w:p>
    <w:p>
      <w:pPr>
        <w:pStyle w:val="Normal"/>
        <w:jc w:val="both"/>
        <w:rPr>
          <w:rFonts w:eastAsia="Calibri" w:cs="Calibri" w:cstheme="minorHAnsi"/>
          <w:bCs/>
          <w:iCs/>
          <w:color w:val="000000"/>
        </w:rPr>
      </w:pPr>
      <w:r>
        <w:rPr>
          <w:rFonts w:eastAsia="Calibri" w:cs="Calibri" w:cstheme="minorHAnsi"/>
          <w:bCs/>
          <w:iCs/>
          <w:color w:val="000000"/>
        </w:rPr>
        <w:t>Après négociations et concessions réciproques, les parties ont décidé d'appliquer :</w:t>
      </w:r>
    </w:p>
    <w:p>
      <w:pPr>
        <w:pStyle w:val="Normal"/>
        <w:jc w:val="both"/>
        <w:rPr>
          <w:rFonts w:eastAsia="Calibri" w:cs="Calibri" w:cstheme="minorHAnsi"/>
          <w:bCs/>
          <w:iCs/>
          <w:color w:val="000000"/>
        </w:rPr>
      </w:pPr>
      <w:r>
        <w:rPr>
          <w:rFonts w:eastAsia="Calibri" w:cs="Calibri" w:cstheme="minorHAnsi"/>
          <w:bCs/>
          <w:iCs/>
          <w:color w:val="000000"/>
        </w:rPr>
      </w:r>
    </w:p>
    <w:p>
      <w:pPr>
        <w:pStyle w:val="Normal"/>
        <w:spacing w:lineRule="auto" w:line="259" w:before="0" w:after="160"/>
        <w:contextualSpacing/>
        <w:rPr>
          <w:rFonts w:cs="Calibri" w:cstheme="minorHAnsi"/>
          <w:b/>
          <w:bCs/>
        </w:rPr>
      </w:pPr>
      <w:r>
        <w:rPr>
          <w:rFonts w:eastAsia="Times New Roman" w:cs="Calibri" w:cstheme="minorHAnsi"/>
          <w:b/>
          <w:bCs/>
          <w:lang w:eastAsia="fr-FR"/>
        </w:rPr>
        <w:t>A compter du 1</w:t>
      </w:r>
      <w:r>
        <w:rPr>
          <w:rFonts w:eastAsia="Times New Roman" w:cs="Calibri" w:cstheme="minorHAnsi"/>
          <w:b/>
          <w:bCs/>
          <w:vertAlign w:val="superscript"/>
          <w:lang w:eastAsia="fr-FR"/>
        </w:rPr>
        <w:t>er</w:t>
      </w:r>
      <w:r>
        <w:rPr>
          <w:rFonts w:eastAsia="Times New Roman" w:cs="Calibri" w:cstheme="minorHAnsi"/>
          <w:b/>
          <w:bCs/>
          <w:lang w:eastAsia="fr-FR"/>
        </w:rPr>
        <w:t xml:space="preserve"> avril 2026 : </w:t>
      </w:r>
    </w:p>
    <w:p>
      <w:pPr>
        <w:pStyle w:val="Normal"/>
        <w:jc w:val="both"/>
        <w:rPr>
          <w:rFonts w:eastAsia="Times New Roman" w:cs="Calibri" w:cstheme="minorHAnsi"/>
          <w:lang w:eastAsia="fr-FR"/>
        </w:rPr>
      </w:pPr>
      <w:r>
        <w:rPr>
          <w:rFonts w:eastAsia="Times New Roman" w:cs="Calibri" w:cstheme="minorHAnsi"/>
          <w:lang w:eastAsia="fr-FR"/>
        </w:rPr>
      </w:r>
    </w:p>
    <w:p>
      <w:pPr>
        <w:pStyle w:val="ListParagraph"/>
        <w:numPr>
          <w:ilvl w:val="0"/>
          <w:numId w:val="3"/>
        </w:numPr>
        <w:spacing w:lineRule="auto" w:line="259" w:before="0" w:after="0"/>
        <w:contextualSpacing/>
        <w:jc w:val="both"/>
        <w:rPr>
          <w:rFonts w:ascii="Calibri" w:hAnsi="Calibri" w:cs="Calibri" w:asciiTheme="minorHAnsi" w:cstheme="minorHAnsi" w:hAnsiTheme="minorHAnsi"/>
          <w:b/>
          <w:bCs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bCs/>
          <w:sz w:val="22"/>
          <w:szCs w:val="22"/>
        </w:rPr>
        <w:t xml:space="preserve">Pour les salariés non-cadres de l’entreprise : </w:t>
      </w:r>
    </w:p>
    <w:p>
      <w:pPr>
        <w:pStyle w:val="Normal"/>
        <w:spacing w:lineRule="auto" w:line="259" w:before="0" w:after="0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  <w:t>Une augmentation générale de 1% sur le salaire mensuel brut de base des salariés non-cadres.</w:t>
      </w:r>
    </w:p>
    <w:p>
      <w:pPr>
        <w:pStyle w:val="Normal"/>
        <w:spacing w:lineRule="auto" w:line="259" w:before="0" w:after="0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ListParagraph"/>
        <w:numPr>
          <w:ilvl w:val="0"/>
          <w:numId w:val="3"/>
        </w:numPr>
        <w:spacing w:lineRule="auto" w:line="259" w:before="0" w:after="0"/>
        <w:contextualSpacing/>
        <w:jc w:val="both"/>
        <w:rPr>
          <w:rFonts w:ascii="Calibri" w:hAnsi="Calibri" w:cs="Calibri" w:asciiTheme="minorHAnsi" w:cstheme="minorHAnsi" w:hAnsiTheme="minorHAnsi"/>
          <w:b/>
          <w:bCs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bCs/>
          <w:sz w:val="22"/>
          <w:szCs w:val="22"/>
        </w:rPr>
        <w:t xml:space="preserve">Pour les salariés cadres de l’entreprise : </w:t>
      </w:r>
    </w:p>
    <w:p>
      <w:pPr>
        <w:pStyle w:val="Normal"/>
        <w:spacing w:before="0" w:after="240"/>
        <w:jc w:val="both"/>
        <w:rPr>
          <w:rFonts w:eastAsia="Times New Roman" w:cs="Calibri" w:cstheme="minorHAnsi"/>
          <w:lang w:eastAsia="fr-FR"/>
        </w:rPr>
      </w:pPr>
      <w:r>
        <w:rPr>
          <w:rFonts w:eastAsia="Times New Roman" w:cs="Calibri" w:cstheme="minorHAnsi"/>
          <w:lang w:eastAsia="fr-FR"/>
        </w:rPr>
        <w:t xml:space="preserve">Une enveloppe d’augmentations individuelles, représentant 0,5% de la masse salariale brute de base des cadres, à répartir entre les salariés cadres de l’entreprise. </w:t>
      </w:r>
    </w:p>
    <w:p>
      <w:pPr>
        <w:pStyle w:val="Normal"/>
        <w:spacing w:before="0" w:after="240"/>
        <w:jc w:val="both"/>
        <w:rPr>
          <w:rFonts w:eastAsia="Times New Roman" w:cs="Calibri" w:cstheme="minorHAnsi"/>
          <w:b/>
          <w:bCs/>
          <w:lang w:eastAsia="fr-FR"/>
        </w:rPr>
      </w:pPr>
      <w:r>
        <w:rPr>
          <w:rFonts w:eastAsia="Times New Roman" w:cs="Calibri" w:cstheme="minorHAnsi"/>
          <w:b/>
          <w:bCs/>
          <w:lang w:eastAsia="fr-FR"/>
        </w:rPr>
        <w:t>Autre thème : Intéressement</w:t>
      </w:r>
    </w:p>
    <w:p>
      <w:pPr>
        <w:pStyle w:val="Normal"/>
        <w:spacing w:before="0" w:after="240"/>
        <w:jc w:val="both"/>
        <w:rPr>
          <w:rFonts w:eastAsia="Times New Roman" w:cs="Calibri" w:cstheme="minorHAnsi"/>
          <w:lang w:eastAsia="fr-FR"/>
        </w:rPr>
      </w:pPr>
      <w:r>
        <w:rPr>
          <w:rFonts w:eastAsia="Times New Roman" w:cs="Calibri" w:cstheme="minorHAnsi"/>
          <w:lang w:eastAsia="fr-FR"/>
        </w:rPr>
        <w:t>Un accord d’intéressement a été conclu le 27 juin 2024, pour la période 2024 à 2026, les critères restent inchangés, en revanche, il est d’ores et déjà convenu que le seuil des critères sera échangé, d’ici fin juin 2026, au titre de l’année civile 2026.</w:t>
      </w:r>
    </w:p>
    <w:p>
      <w:pPr>
        <w:pStyle w:val="Normal"/>
        <w:jc w:val="both"/>
        <w:rPr>
          <w:rFonts w:eastAsia="Calibri" w:cs="Calibri" w:cstheme="minorHAnsi"/>
          <w:b/>
          <w:iCs/>
          <w:color w:val="000000"/>
          <w:u w:val="single"/>
        </w:rPr>
      </w:pPr>
      <w:r>
        <w:rPr>
          <w:rFonts w:eastAsia="Calibri" w:cs="Calibri" w:cstheme="minorHAnsi"/>
          <w:b/>
          <w:iCs/>
          <w:color w:val="000000"/>
          <w:u w:val="single"/>
        </w:rPr>
      </w:r>
    </w:p>
    <w:p>
      <w:pPr>
        <w:pStyle w:val="Normal"/>
        <w:jc w:val="both"/>
        <w:rPr>
          <w:rFonts w:eastAsia="Calibri" w:cs="Calibri" w:cstheme="minorHAnsi"/>
          <w:b/>
          <w:iCs/>
          <w:color w:val="000000"/>
          <w:u w:val="single"/>
        </w:rPr>
      </w:pPr>
      <w:r>
        <w:rPr>
          <w:rFonts w:eastAsia="Calibri" w:cs="Calibri" w:cstheme="minorHAnsi"/>
          <w:b/>
          <w:iCs/>
          <w:color w:val="000000"/>
          <w:u w:val="single"/>
        </w:rPr>
        <w:t>Article 3 : THEMES ABORDES ET INDICATEURS PRESENTES :</w:t>
      </w:r>
    </w:p>
    <w:p>
      <w:pPr>
        <w:pStyle w:val="Normal"/>
        <w:jc w:val="both"/>
        <w:rPr>
          <w:rFonts w:eastAsia="Calibri" w:cs="Calibri" w:cstheme="minorHAnsi"/>
          <w:b/>
          <w:iCs/>
          <w:color w:val="000000"/>
        </w:rPr>
      </w:pPr>
      <w:r>
        <w:rPr>
          <w:rFonts w:eastAsia="Calibri" w:cs="Calibri" w:cstheme="minorHAnsi"/>
          <w:b/>
          <w:iCs/>
          <w:color w:val="000000"/>
        </w:rPr>
      </w:r>
    </w:p>
    <w:p>
      <w:pPr>
        <w:pStyle w:val="Normal"/>
        <w:jc w:val="both"/>
        <w:rPr>
          <w:rFonts w:eastAsia="Calibri" w:cs="Calibri" w:cstheme="minorHAnsi"/>
          <w:bCs/>
          <w:iCs/>
          <w:color w:val="000000"/>
        </w:rPr>
      </w:pPr>
      <w:r>
        <w:rPr>
          <w:rFonts w:eastAsia="Calibri" w:cs="Calibri" w:cstheme="minorHAnsi"/>
          <w:bCs/>
          <w:iCs/>
          <w:color w:val="000000"/>
        </w:rPr>
        <w:t xml:space="preserve">Dans le cadre de Négociation Annuelle Obligatoire, les thèmes suivants ont été abordés et des indicateurs ont été présentés : </w:t>
      </w:r>
    </w:p>
    <w:p>
      <w:pPr>
        <w:pStyle w:val="Normal"/>
        <w:jc w:val="both"/>
        <w:rPr>
          <w:rFonts w:eastAsia="Calibri" w:cs="Calibri" w:cstheme="minorHAnsi"/>
          <w:bCs/>
          <w:iCs/>
          <w:color w:val="000000"/>
        </w:rPr>
      </w:pPr>
      <w:r>
        <w:rPr>
          <w:rFonts w:eastAsia="Calibri" w:cs="Calibri" w:cstheme="minorHAnsi"/>
          <w:bCs/>
          <w:iCs/>
          <w:color w:val="000000"/>
        </w:rPr>
      </w:r>
    </w:p>
    <w:p>
      <w:pPr>
        <w:pStyle w:val="Normal"/>
        <w:jc w:val="both"/>
        <w:rPr>
          <w:rFonts w:eastAsia="Calibri" w:cs="Calibri" w:cstheme="minorHAnsi"/>
          <w:bCs/>
          <w:iCs/>
          <w:color w:val="000000"/>
        </w:rPr>
      </w:pPr>
      <w:r>
        <w:rPr>
          <w:rFonts w:eastAsia="Calibri" w:cs="Calibri" w:cstheme="minorHAnsi"/>
          <w:bCs/>
          <w:iCs/>
          <w:color w:val="000000"/>
        </w:rPr>
      </w:r>
    </w:p>
    <w:p>
      <w:pPr>
        <w:pStyle w:val="Normal"/>
        <w:jc w:val="both"/>
        <w:rPr>
          <w:rFonts w:eastAsia="Calibri" w:cs="Calibri" w:cstheme="minorHAnsi"/>
          <w:bCs/>
          <w:iCs/>
          <w:color w:val="000000"/>
        </w:rPr>
      </w:pPr>
      <w:r>
        <w:rPr>
          <w:rFonts w:eastAsia="Calibri" w:cs="Calibri" w:cstheme="minorHAnsi"/>
          <w:bCs/>
          <w:iCs/>
          <w:color w:val="000000"/>
        </w:rPr>
      </w:r>
    </w:p>
    <w:p>
      <w:pPr>
        <w:pStyle w:val="Normal"/>
        <w:numPr>
          <w:ilvl w:val="0"/>
          <w:numId w:val="2"/>
        </w:numPr>
        <w:spacing w:lineRule="auto" w:line="259" w:before="0" w:after="160"/>
        <w:contextualSpacing/>
        <w:jc w:val="both"/>
        <w:rPr>
          <w:rFonts w:eastAsia="Calibri" w:cs="Calibri" w:cstheme="minorHAnsi"/>
          <w:bCs/>
          <w:iCs/>
          <w:color w:val="000000"/>
        </w:rPr>
      </w:pPr>
      <w:r>
        <w:rPr>
          <w:rFonts w:eastAsia="Calibri" w:cs="Calibri" w:cstheme="minorHAnsi"/>
          <w:bCs/>
          <w:iCs/>
          <w:color w:val="000000"/>
        </w:rPr>
        <w:t>Rémunération,</w:t>
      </w:r>
    </w:p>
    <w:p>
      <w:pPr>
        <w:pStyle w:val="Normal"/>
        <w:numPr>
          <w:ilvl w:val="0"/>
          <w:numId w:val="2"/>
        </w:numPr>
        <w:spacing w:lineRule="auto" w:line="259" w:before="0" w:after="160"/>
        <w:contextualSpacing/>
        <w:jc w:val="both"/>
        <w:rPr>
          <w:rFonts w:eastAsia="Calibri" w:cs="Calibri" w:cstheme="minorHAnsi"/>
          <w:bCs/>
          <w:iCs/>
          <w:color w:val="000000"/>
        </w:rPr>
      </w:pPr>
      <w:r>
        <w:rPr>
          <w:rFonts w:eastAsia="Calibri" w:cs="Calibri" w:cstheme="minorHAnsi"/>
          <w:bCs/>
          <w:iCs/>
          <w:color w:val="000000"/>
        </w:rPr>
        <w:t>Temps de travail,</w:t>
      </w:r>
    </w:p>
    <w:p>
      <w:pPr>
        <w:pStyle w:val="Normal"/>
        <w:numPr>
          <w:ilvl w:val="0"/>
          <w:numId w:val="2"/>
        </w:numPr>
        <w:spacing w:lineRule="auto" w:line="259" w:before="0" w:after="160"/>
        <w:contextualSpacing/>
        <w:jc w:val="both"/>
        <w:rPr>
          <w:rFonts w:eastAsia="Calibri" w:cs="Calibri" w:cstheme="minorHAnsi"/>
          <w:bCs/>
          <w:iCs/>
          <w:color w:val="000000"/>
        </w:rPr>
      </w:pPr>
      <w:r>
        <w:rPr>
          <w:rFonts w:eastAsia="Calibri" w:cs="Calibri" w:cstheme="minorHAnsi"/>
          <w:bCs/>
          <w:iCs/>
          <w:color w:val="000000"/>
        </w:rPr>
        <w:t>Partage de la valeur ajoutée dans l'entreprise (salaires effectifs, durée et organisation du temps de travail, etc…)</w:t>
      </w:r>
    </w:p>
    <w:p>
      <w:pPr>
        <w:pStyle w:val="Normal"/>
        <w:numPr>
          <w:ilvl w:val="0"/>
          <w:numId w:val="2"/>
        </w:numPr>
        <w:spacing w:lineRule="auto" w:line="259" w:before="0" w:after="160"/>
        <w:contextualSpacing/>
        <w:jc w:val="both"/>
        <w:rPr>
          <w:rFonts w:eastAsia="Calibri" w:cs="Calibri" w:cstheme="minorHAnsi"/>
          <w:bCs/>
          <w:iCs/>
          <w:color w:val="000000"/>
        </w:rPr>
      </w:pPr>
      <w:r>
        <w:rPr>
          <w:rFonts w:cs="Calibri" w:cstheme="minorHAnsi"/>
        </w:rPr>
        <w:t>Dans le cadre de la négociation Femme-Hommes nous avons la volonté de rattrapage dans le temps de la différence salaire à poste équivalent et promotions</w:t>
      </w:r>
    </w:p>
    <w:p>
      <w:pPr>
        <w:pStyle w:val="Normal"/>
        <w:numPr>
          <w:ilvl w:val="0"/>
          <w:numId w:val="1"/>
        </w:numPr>
        <w:spacing w:lineRule="auto" w:line="259" w:before="0" w:after="160"/>
        <w:contextualSpacing/>
        <w:jc w:val="both"/>
        <w:rPr>
          <w:rFonts w:eastAsia="Calibri" w:cs="Calibri" w:cstheme="minorHAnsi"/>
          <w:bCs/>
          <w:iCs/>
          <w:color w:val="000000"/>
        </w:rPr>
      </w:pPr>
      <w:r>
        <w:rPr>
          <w:rFonts w:eastAsia="Calibri" w:cs="Calibri" w:cstheme="minorHAnsi"/>
          <w:bCs/>
          <w:iCs/>
          <w:color w:val="000000"/>
        </w:rPr>
        <w:t>Qualité de vie au travail</w:t>
      </w:r>
    </w:p>
    <w:p>
      <w:pPr>
        <w:pStyle w:val="Normal"/>
        <w:ind w:start="4680"/>
        <w:jc w:val="both"/>
        <w:rPr>
          <w:rFonts w:eastAsia="Calibri" w:cs="Calibri" w:cstheme="minorHAnsi"/>
          <w:b/>
          <w:iCs/>
          <w:color w:val="000000"/>
        </w:rPr>
      </w:pPr>
      <w:r>
        <w:rPr>
          <w:rFonts w:eastAsia="Calibri" w:cs="Calibri" w:cstheme="minorHAnsi"/>
          <w:b/>
          <w:iCs/>
          <w:color w:val="000000"/>
        </w:rPr>
      </w:r>
    </w:p>
    <w:p>
      <w:pPr>
        <w:pStyle w:val="Normal"/>
        <w:rPr>
          <w:rFonts w:cs="Calibri" w:cstheme="minorHAnsi"/>
          <w:b/>
          <w:bCs/>
          <w:color w:val="000000"/>
          <w:u w:val="single"/>
        </w:rPr>
      </w:pPr>
      <w:r>
        <w:rPr>
          <w:rFonts w:cs="Calibri" w:cstheme="minorHAnsi"/>
          <w:b/>
          <w:bCs/>
          <w:color w:val="000000"/>
          <w:u w:val="single"/>
        </w:rPr>
        <w:t xml:space="preserve">Article 4 : PUBLICITE </w:t>
      </w:r>
    </w:p>
    <w:p>
      <w:pPr>
        <w:pStyle w:val="Normal"/>
        <w:rPr>
          <w:rFonts w:cs="Calibri" w:cstheme="minorHAnsi"/>
          <w:b/>
          <w:bCs/>
          <w:color w:val="000000"/>
        </w:rPr>
      </w:pPr>
      <w:r>
        <w:rPr>
          <w:rFonts w:cs="Calibri" w:cstheme="minorHAnsi"/>
          <w:b/>
          <w:bCs/>
          <w:color w:val="000000"/>
        </w:rPr>
      </w:r>
    </w:p>
    <w:p>
      <w:pPr>
        <w:pStyle w:val="Normal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 xml:space="preserve">Le présent procès-verbal donnera lieu à dépôt dans les conditions prévues à l'article D.2231-2 du Code du travail, à savoir dépôt en deux exemplaires, dont l'un sous forme électronique, à la </w:t>
      </w:r>
      <w:r>
        <w:rPr>
          <w:rFonts w:cs="Calibri" w:cstheme="minorHAnsi"/>
        </w:rPr>
        <w:t>DREETS</w:t>
      </w:r>
      <w:r>
        <w:rPr>
          <w:rFonts w:cs="Calibri" w:cstheme="minorHAnsi"/>
          <w:color w:val="000000"/>
        </w:rPr>
        <w:t xml:space="preserve"> compétente, et un exemplaire au Secrétariat-greffe du Conseil de Prud'hommes du lieu de conclusion du procès-verbal. </w:t>
      </w:r>
    </w:p>
    <w:p>
      <w:pPr>
        <w:pStyle w:val="Normal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 xml:space="preserve">Le procès-verbal donnera lieu à affichage. </w:t>
      </w:r>
    </w:p>
    <w:p>
      <w:pPr>
        <w:pStyle w:val="Normal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  <w:t>A Mer, le 24 mars 2026.</w:t>
      </w:r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  <w:t>Fait en 3 exemplaires originaux.</w:t>
      </w:r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rPr>
          <w:rFonts w:cs="Calibri" w:cstheme="minorHAnsi"/>
          <w:b/>
          <w:bCs/>
          <w:color w:val="000000"/>
        </w:rPr>
      </w:pPr>
      <w:r>
        <w:rPr>
          <w:rFonts w:cs="Calibri" w:cstheme="minorHAnsi"/>
          <w:b/>
          <w:bCs/>
          <w:color w:val="000000"/>
        </w:rPr>
        <w:t>Pour la Direction de la société Centre Bedding,</w:t>
      </w:r>
    </w:p>
    <w:p>
      <w:pPr>
        <w:pStyle w:val="Normal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XXX</w:t>
      </w:r>
      <w:r>
        <w:rPr>
          <w:rFonts w:cs="Calibri" w:cstheme="minorHAnsi"/>
          <w:color w:val="000000"/>
        </w:rPr>
        <w:t>, en qualité de Directeur d’Usine</w:t>
      </w:r>
    </w:p>
    <w:p>
      <w:pPr>
        <w:pStyle w:val="Normal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rPr>
          <w:rFonts w:cs="Calibri" w:cstheme="minorHAnsi"/>
          <w:b/>
          <w:bCs/>
          <w:color w:val="000000"/>
        </w:rPr>
      </w:pPr>
      <w:r>
        <w:rPr>
          <w:rFonts w:cs="Calibri" w:cstheme="minorHAnsi"/>
          <w:b/>
          <w:bCs/>
          <w:color w:val="000000"/>
        </w:rPr>
        <w:t>Pour l’organisation syndicale représentative,</w:t>
      </w:r>
    </w:p>
    <w:p>
      <w:pPr>
        <w:pStyle w:val="Normal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 xml:space="preserve">Pour le syndicat CGT, représenté par </w:t>
      </w:r>
      <w:r>
        <w:rPr>
          <w:rFonts w:cs="Calibri" w:cstheme="minorHAnsi"/>
          <w:color w:val="000000"/>
        </w:rPr>
        <w:t>XXX</w:t>
      </w:r>
      <w:r>
        <w:rPr>
          <w:rFonts w:cs="Calibri" w:cstheme="minorHAnsi"/>
          <w:color w:val="000000"/>
        </w:rPr>
        <w:t>, dûment habilité</w:t>
      </w:r>
    </w:p>
    <w:p>
      <w:pPr>
        <w:pStyle w:val="Normal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jc w:val="both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jc w:val="both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jc w:val="both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jc w:val="both"/>
        <w:rPr>
          <w:rFonts w:cs="Calibri" w:cstheme="minorHAnsi"/>
        </w:rPr>
      </w:pPr>
      <w:r>
        <w:rPr>
          <w:rFonts w:cs="Calibri" w:cstheme="minorHAnsi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1134" w:gutter="0" w:header="454" w:top="1134" w:footer="454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libri">
    <w:charset w:val="01"/>
    <w:family w:val="auto"/>
    <w:pitch w:val="default"/>
  </w:font>
  <w:font w:name="Segoe UI">
    <w:charset w:val="01"/>
    <w:family w:val="swiss"/>
    <w:pitch w:val="default"/>
  </w:font>
  <w:font w:name="Myriad Pro">
    <w:charset w:val="01"/>
    <w:family w:val="swiss"/>
    <w:pitch w:val="default"/>
  </w:font>
  <w:font w:name="Times New Roman">
    <w:charset w:val="01"/>
    <w:family w:val="roman"/>
    <w:pitch w:val="default"/>
  </w:font>
  <w:font w:name="Marianne">
    <w:charset w:val="01"/>
    <w:family w:val="auto"/>
    <w:pitch w:val="default"/>
  </w:font>
  <w:font w:name="New York">
    <w:charset w:val="01"/>
    <w:family w:val="roman"/>
    <w:pitch w:val="default"/>
  </w:font>
  <w:font w:name="Helvetica">
    <w:altName w:val="Arial"/>
    <w:charset w:val="01"/>
    <w:family w:val="swiss"/>
    <w:pitch w:val="default"/>
  </w:font>
  <w:font w:name="Arial">
    <w:charset w:val="01"/>
    <w:family w:val="swiss"/>
    <w:pitch w:val="default"/>
  </w:font>
  <w:font w:name="Calibri">
    <w:charset w:val="01"/>
    <w:family w:val="swiss"/>
    <w:pitch w:val="default"/>
  </w:font>
  <w:font w:name="Founders Grotesk Text Light">
    <w:charset w:val="01"/>
    <w:family w:val="auto"/>
    <w:pitch w:val="default"/>
  </w:font>
  <w:font w:name="Poppins Medium">
    <w:charset w:val="01"/>
    <w:family w:val="auto"/>
    <w:pitch w:val="default"/>
  </w:font>
  <w:font w:name="HelveticaNeueLT Std">
    <w:charset w:val="01"/>
    <w:family w:val="swiss"/>
    <w:pitch w:val="default"/>
  </w:font>
  <w:font w:name="Poppins Medium">
    <w:charset w:val="01"/>
    <w:family w:val="swiss"/>
    <w:pitch w:val="default"/>
  </w:font>
  <w:font w:name="Calibri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</w:r>
  </w:p>
  <w:p>
    <w:pPr>
      <w:pStyle w:val="Footer"/>
      <w:jc w:val="center"/>
      <w:rPr>
        <w:rFonts w:ascii="Poppins Medium" w:hAnsi="Poppins Medium" w:cs="Poppins Medium"/>
        <w:bCs/>
        <w:sz w:val="18"/>
        <w:szCs w:val="18"/>
      </w:rPr>
    </w:pPr>
    <w:r>
      <mc:AlternateContent>
        <mc:Choice Requires="wps">
          <w:drawing>
            <wp:anchor behindDoc="1" distT="0" distB="9525" distL="0" distR="9525" simplePos="0" locked="0" layoutInCell="0" allowOverlap="1" relativeHeight="5" wp14:anchorId="0B3322C4">
              <wp:simplePos x="0" y="0"/>
              <wp:positionH relativeFrom="page">
                <wp:posOffset>6162675</wp:posOffset>
              </wp:positionH>
              <wp:positionV relativeFrom="paragraph">
                <wp:posOffset>-201930</wp:posOffset>
              </wp:positionV>
              <wp:extent cx="1381125" cy="1381125"/>
              <wp:effectExtent l="0" t="0" r="0" b="0"/>
              <wp:wrapNone/>
              <wp:docPr id="1" name="Image 547722472" descr="Une image contenant cercle, Graphique&#10;&#10;Description générée automatiquement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Image 547722472" descr="Une image contenant cercle, Graphique&#10;&#10;Description générée automatiquement"/>
                      <pic:cNvPicPr/>
                    </pic:nvPicPr>
                    <pic:blipFill>
                      <a:blip r:embed="rId1">
                        <a:grayscl/>
                        <a:extLst>
                          <a:ext uri="{BEBA8EAE-BF5A-486C-A8C5-ECC9F3942E4B}">
                            <a14:imgProps xmlns:a14="http://schemas.microsoft.com/office/drawing/2010/main">
                              <a14:imgLayer r:embed="rId2">
                                <a14:imgEffect>
                                  <a14:colorTemperature colorTemp="5900"/>
                                </a14:imgEffect>
                              </a14:imgLayer>
                            </a14:imgProps>
                          </a:ext>
                        </a:extLst>
                      </a:blip>
                      <a:srcRect l="0" t="0" r="50870" b="50862"/>
                      <a:stretch/>
                    </pic:blipFill>
                    <pic:spPr>
                      <a:xfrm>
                        <a:off x="0" y="0"/>
                        <a:ext cx="1380960" cy="13809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stroked="f" o:allowincell="f" style="position:absolute;margin-left:485.25pt;margin-top:-15.9pt;width:108.7pt;height:108.7pt;mso-wrap-style:none;v-text-anchor:middle;mso-position-horizontal-relative:page" wp14:anchorId="0B3322C4" type="_x0000_t75">
              <v:imagedata r:id="rId3" o:detectmouseclick="t"/>
              <v:stroke color="#3465a4" joinstyle="round" endcap="flat"/>
              <w10:wrap type="none"/>
            </v:shape>
          </w:pict>
        </mc:Fallback>
      </mc:AlternateContent>
    </w:r>
    <w:r>
      <w:rPr>
        <w:rFonts w:cs="Poppins Medium" w:ascii="Poppins Medium" w:hAnsi="Poppins Medium"/>
        <w:bCs/>
        <w:sz w:val="18"/>
        <w:szCs w:val="18"/>
      </w:rPr>
      <w:t>CENTRE BEDDING</w:t>
      <w:br/>
    </w:r>
    <w:r>
      <w:rPr>
        <w:rFonts w:ascii="HelveticaNeueLT Std" w:hAnsi="HelveticaNeueLT Std"/>
        <w:sz w:val="18"/>
        <w:szCs w:val="18"/>
      </w:rPr>
      <w:t>Société par Actions Simplifiée au capital de 1.000 Euros</w:t>
    </w:r>
  </w:p>
  <w:p>
    <w:pPr>
      <w:pStyle w:val="Footer"/>
      <w:jc w:val="center"/>
      <w:rPr>
        <w:rFonts w:ascii="HelveticaNeueLT Std" w:hAnsi="HelveticaNeueLT Std"/>
        <w:sz w:val="18"/>
        <w:szCs w:val="18"/>
      </w:rPr>
    </w:pPr>
    <w:r>
      <w:rPr>
        <w:rFonts w:ascii="HelveticaNeueLT Std" w:hAnsi="HelveticaNeueLT Std"/>
        <w:sz w:val="18"/>
        <w:szCs w:val="18"/>
      </w:rPr>
      <w:t>Siège social : 30 rue Proudhon – Bâtiment 106 – 93210 SAINT-DENIS</w:t>
    </w:r>
  </w:p>
  <w:p>
    <w:pPr>
      <w:pStyle w:val="Footer"/>
      <w:jc w:val="center"/>
      <w:rPr>
        <w:rFonts w:ascii="HelveticaNeueLT Std" w:hAnsi="HelveticaNeueLT Std"/>
        <w:sz w:val="18"/>
        <w:szCs w:val="18"/>
      </w:rPr>
    </w:pPr>
    <w:r>
      <w:rPr>
        <w:rFonts w:ascii="HelveticaNeueLT Std" w:hAnsi="HelveticaNeueLT Std"/>
        <w:sz w:val="18"/>
        <w:szCs w:val="18"/>
      </w:rPr>
      <w:t>RCS BOBIGNY 820.273.860</w:t>
      <w:br/>
    </w:r>
  </w:p>
  <w:p>
    <w:pPr>
      <w:pStyle w:val="Footer"/>
      <w:jc w:val="center"/>
      <w:rPr>
        <w:rFonts w:ascii="Founders Grotesk Text Light" w:hAnsi="Founders Grotesk Text Light"/>
        <w:sz w:val="18"/>
        <w:szCs w:val="18"/>
      </w:rPr>
    </w:pPr>
    <w:r>
      <w:rPr/>
      <w:drawing>
        <wp:inline distT="0" distB="0" distL="0" distR="0">
          <wp:extent cx="1571625" cy="175895"/>
          <wp:effectExtent l="0" t="0" r="0" b="0"/>
          <wp:docPr id="3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1"/>
                  <pic:cNvPicPr>
                    <a:picLocks noChangeAspect="1" noChangeArrowheads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175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</w:r>
  </w:p>
  <w:p>
    <w:pPr>
      <w:pStyle w:val="Footer"/>
      <w:jc w:val="center"/>
      <w:rPr>
        <w:rFonts w:ascii="Poppins Medium" w:hAnsi="Poppins Medium" w:cs="Poppins Medium"/>
        <w:bCs/>
        <w:sz w:val="18"/>
        <w:szCs w:val="18"/>
      </w:rPr>
    </w:pPr>
    <w:r>
      <mc:AlternateContent>
        <mc:Choice Requires="wps">
          <w:drawing>
            <wp:anchor behindDoc="1" distT="0" distB="9525" distL="0" distR="9525" simplePos="0" locked="0" layoutInCell="0" allowOverlap="1" relativeHeight="5" wp14:anchorId="0B3322C4">
              <wp:simplePos x="0" y="0"/>
              <wp:positionH relativeFrom="page">
                <wp:posOffset>6162675</wp:posOffset>
              </wp:positionH>
              <wp:positionV relativeFrom="paragraph">
                <wp:posOffset>-201930</wp:posOffset>
              </wp:positionV>
              <wp:extent cx="1381125" cy="1381125"/>
              <wp:effectExtent l="0" t="0" r="0" b="0"/>
              <wp:wrapNone/>
              <wp:docPr id="4" name="Image 547722472" descr="Une image contenant cercle, Graphique&#10;&#10;Description générée automatiquement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Image 547722472" descr="Une image contenant cercle, Graphique&#10;&#10;Description générée automatiquement"/>
                      <pic:cNvPicPr/>
                    </pic:nvPicPr>
                    <pic:blipFill>
                      <a:blip r:embed="rId1">
                        <a:grayscl/>
                        <a:extLst>
                          <a:ext uri="{BEBA8EAE-BF5A-486C-A8C5-ECC9F3942E4B}">
                            <a14:imgProps xmlns:a14="http://schemas.microsoft.com/office/drawing/2010/main">
                              <a14:imgLayer r:embed="rId2">
                                <a14:imgEffect>
                                  <a14:colorTemperature colorTemp="5900"/>
                                </a14:imgEffect>
                              </a14:imgLayer>
                            </a14:imgProps>
                          </a:ext>
                        </a:extLst>
                      </a:blip>
                      <a:srcRect l="0" t="0" r="50870" b="50862"/>
                      <a:stretch/>
                    </pic:blipFill>
                    <pic:spPr>
                      <a:xfrm>
                        <a:off x="0" y="0"/>
                        <a:ext cx="1380960" cy="13809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 id="shape_0" stroked="f" o:allowincell="f" style="position:absolute;margin-left:485.25pt;margin-top:-15.9pt;width:108.7pt;height:108.7pt;mso-wrap-style:none;v-text-anchor:middle;mso-position-horizontal-relative:page" wp14:anchorId="0B3322C4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  <w:r>
      <w:rPr>
        <w:rFonts w:cs="Poppins Medium" w:ascii="Poppins Medium" w:hAnsi="Poppins Medium"/>
        <w:bCs/>
        <w:sz w:val="18"/>
        <w:szCs w:val="18"/>
      </w:rPr>
      <w:t>CENTRE BEDDING</w:t>
      <w:br/>
    </w:r>
    <w:r>
      <w:rPr>
        <w:rFonts w:ascii="HelveticaNeueLT Std" w:hAnsi="HelveticaNeueLT Std"/>
        <w:sz w:val="18"/>
        <w:szCs w:val="18"/>
      </w:rPr>
      <w:t>Société par Actions Simplifiée au capital de 1.000 Euros</w:t>
    </w:r>
  </w:p>
  <w:p>
    <w:pPr>
      <w:pStyle w:val="Footer"/>
      <w:jc w:val="center"/>
      <w:rPr>
        <w:rFonts w:ascii="HelveticaNeueLT Std" w:hAnsi="HelveticaNeueLT Std"/>
        <w:sz w:val="18"/>
        <w:szCs w:val="18"/>
      </w:rPr>
    </w:pPr>
    <w:r>
      <w:rPr>
        <w:rFonts w:ascii="HelveticaNeueLT Std" w:hAnsi="HelveticaNeueLT Std"/>
        <w:sz w:val="18"/>
        <w:szCs w:val="18"/>
      </w:rPr>
      <w:t>Siège social : 30 rue Proudhon – Bâtiment 106 – 93210 SAINT-DENIS</w:t>
    </w:r>
  </w:p>
  <w:p>
    <w:pPr>
      <w:pStyle w:val="Footer"/>
      <w:jc w:val="center"/>
      <w:rPr>
        <w:rFonts w:ascii="HelveticaNeueLT Std" w:hAnsi="HelveticaNeueLT Std"/>
        <w:sz w:val="18"/>
        <w:szCs w:val="18"/>
      </w:rPr>
    </w:pPr>
    <w:r>
      <w:rPr>
        <w:rFonts w:ascii="HelveticaNeueLT Std" w:hAnsi="HelveticaNeueLT Std"/>
        <w:sz w:val="18"/>
        <w:szCs w:val="18"/>
      </w:rPr>
      <w:t>RCS BOBIGNY 820.273.860</w:t>
      <w:br/>
    </w:r>
  </w:p>
  <w:p>
    <w:pPr>
      <w:pStyle w:val="Footer"/>
      <w:jc w:val="center"/>
      <w:rPr>
        <w:rFonts w:ascii="Founders Grotesk Text Light" w:hAnsi="Founders Grotesk Text Light"/>
        <w:sz w:val="18"/>
        <w:szCs w:val="18"/>
      </w:rPr>
    </w:pPr>
    <w:r>
      <w:rPr/>
      <w:drawing>
        <wp:inline distT="0" distB="0" distL="0" distR="0">
          <wp:extent cx="1571625" cy="175895"/>
          <wp:effectExtent l="0" t="0" r="0" b="0"/>
          <wp:docPr id="6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1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175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Founders Grotesk Text Light" w:hAnsi="Founders Grotesk Text Light"/>
        <w:b/>
        <w:sz w:val="44"/>
        <w:szCs w:val="44"/>
      </w:rPr>
    </w:pPr>
    <w:r>
      <w:rPr>
        <w:rFonts w:ascii="Founders Grotesk Text Light" w:hAnsi="Founders Grotesk Text Light"/>
        <w:b/>
        <w:sz w:val="44"/>
        <w:szCs w:val="44"/>
      </w:rPr>
      <w:t>CENTRE BEDDING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Founders Grotesk Text Light" w:hAnsi="Founders Grotesk Text Light"/>
        <w:b/>
        <w:sz w:val="44"/>
        <w:szCs w:val="44"/>
      </w:rPr>
    </w:pPr>
    <w:r>
      <w:rPr>
        <w:rFonts w:ascii="Founders Grotesk Text Light" w:hAnsi="Founders Grotesk Text Light"/>
        <w:b/>
        <w:sz w:val="44"/>
        <w:szCs w:val="44"/>
      </w:rPr>
      <w:t>CENTRE BEDDING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2"/>
      <w:numFmt w:val="bullet"/>
      <w:lvlText w:val="-"/>
      <w:lvlJc w:val="start"/>
      <w:pPr>
        <w:tabs>
          <w:tab w:val="num" w:pos="0"/>
        </w:tabs>
        <w:ind w:star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2"/>
      <w:numFmt w:val="bullet"/>
      <w:lvlText w:val="-"/>
      <w:lvlJc w:val="start"/>
      <w:pPr>
        <w:tabs>
          <w:tab w:val="num" w:pos="0"/>
        </w:tabs>
        <w:ind w:star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86f6c"/>
    <w:pPr>
      <w:widowControl/>
      <w:bidi w:val="0"/>
      <w:spacing w:lineRule="auto" w:line="240" w:before="0" w:after="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-tteCar" w:customStyle="1">
    <w:name w:val="En-tête Car"/>
    <w:basedOn w:val="DefaultParagraphFont"/>
    <w:uiPriority w:val="99"/>
    <w:qFormat/>
    <w:rsid w:val="00015323"/>
    <w:rPr/>
  </w:style>
  <w:style w:type="character" w:styleId="PieddepageCar" w:customStyle="1">
    <w:name w:val="Pied de page Car"/>
    <w:basedOn w:val="DefaultParagraphFont"/>
    <w:qFormat/>
    <w:rsid w:val="00015323"/>
    <w:rPr/>
  </w:style>
  <w:style w:type="character" w:styleId="TextedebullesCar" w:customStyle="1">
    <w:name w:val="Texte de bulles Car"/>
    <w:basedOn w:val="DefaultParagraphFont"/>
    <w:link w:val="BalloonText"/>
    <w:uiPriority w:val="99"/>
    <w:semiHidden/>
    <w:qFormat/>
    <w:rsid w:val="00015323"/>
    <w:rPr>
      <w:rFonts w:ascii="Segoe UI" w:hAnsi="Segoe UI" w:cs="Segoe UI"/>
      <w:sz w:val="18"/>
      <w:szCs w:val="18"/>
    </w:rPr>
  </w:style>
  <w:style w:type="character" w:styleId="AdovaCar" w:customStyle="1">
    <w:name w:val="Adova Car"/>
    <w:basedOn w:val="DefaultParagraphFont"/>
    <w:link w:val="Adova"/>
    <w:qFormat/>
    <w:rsid w:val="00866448"/>
    <w:rPr>
      <w:rFonts w:ascii="Myriad Pro" w:hAnsi="Myriad Pro"/>
    </w:rPr>
  </w:style>
  <w:style w:type="character" w:styleId="PageNumber">
    <w:name w:val="page number"/>
    <w:basedOn w:val="DefaultParagraphFont"/>
    <w:uiPriority w:val="99"/>
    <w:unhideWhenUsed/>
    <w:rsid w:val="00cc6a68"/>
    <w:rPr/>
  </w:style>
  <w:style w:type="character" w:styleId="NotedebasdepageCar" w:customStyle="1">
    <w:name w:val="Note de bas de page Car"/>
    <w:basedOn w:val="DefaultParagraphFont"/>
    <w:uiPriority w:val="99"/>
    <w:semiHidden/>
    <w:qFormat/>
    <w:rsid w:val="00003379"/>
    <w:rPr>
      <w:sz w:val="20"/>
      <w:szCs w:val="20"/>
    </w:rPr>
  </w:style>
  <w:style w:type="character" w:styleId="Caractresdenotedebasdepage">
    <w:name w:val="Caractères de note de bas de page"/>
    <w:basedOn w:val="DefaultParagraphFont"/>
    <w:uiPriority w:val="99"/>
    <w:semiHidden/>
    <w:unhideWhenUsed/>
    <w:qFormat/>
    <w:rsid w:val="0000337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alutationsCar" w:customStyle="1">
    <w:name w:val="Salutations Car"/>
    <w:basedOn w:val="DefaultParagraphFont"/>
    <w:uiPriority w:val="99"/>
    <w:semiHidden/>
    <w:qFormat/>
    <w:rsid w:val="00571507"/>
    <w:rPr>
      <w:rFonts w:ascii="Times New Roman" w:hAnsi="Times New Roman" w:cs="Times New Roman"/>
      <w:lang w:eastAsia="de-DE"/>
    </w:rPr>
  </w:style>
  <w:style w:type="character" w:styleId="Hyperlink">
    <w:name w:val="Hyperlink"/>
    <w:rsid w:val="0079340e"/>
    <w:rPr>
      <w:color w:val="0000FF"/>
      <w:u w:val="single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Marianne" w:hAnsi="Marianne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Marianne" w:hAnsi="Marianne"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Marianne" w:hAnsi="Marianne" w:cs="Arial"/>
    </w:rPr>
  </w:style>
  <w:style w:type="paragraph" w:styleId="En-tteetpieddepage">
    <w:name w:val="En-tête et pied de page"/>
    <w:basedOn w:val="Normal"/>
    <w:qFormat/>
    <w:pPr/>
    <w:rPr/>
  </w:style>
  <w:style w:type="paragraph" w:styleId="Header">
    <w:name w:val="header"/>
    <w:basedOn w:val="Normal"/>
    <w:link w:val="En-tteCar"/>
    <w:uiPriority w:val="99"/>
    <w:unhideWhenUsed/>
    <w:rsid w:val="00015323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PieddepageCar"/>
    <w:unhideWhenUsed/>
    <w:rsid w:val="00015323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xtedebullesCar"/>
    <w:uiPriority w:val="99"/>
    <w:semiHidden/>
    <w:unhideWhenUsed/>
    <w:qFormat/>
    <w:rsid w:val="00015323"/>
    <w:pPr/>
    <w:rPr>
      <w:rFonts w:ascii="Segoe UI" w:hAnsi="Segoe UI" w:cs="Segoe UI"/>
      <w:sz w:val="18"/>
      <w:szCs w:val="18"/>
    </w:rPr>
  </w:style>
  <w:style w:type="paragraph" w:styleId="Adova" w:customStyle="1">
    <w:name w:val="Adova"/>
    <w:basedOn w:val="Normal"/>
    <w:link w:val="AdovaCar"/>
    <w:qFormat/>
    <w:rsid w:val="00866448"/>
    <w:pPr/>
    <w:rPr>
      <w:rFonts w:ascii="Myriad Pro" w:hAnsi="Myriad Pro"/>
    </w:rPr>
  </w:style>
  <w:style w:type="paragraph" w:styleId="FootnoteText">
    <w:name w:val="footnote text"/>
    <w:basedOn w:val="Normal"/>
    <w:link w:val="NotedebasdepageCar"/>
    <w:uiPriority w:val="99"/>
    <w:semiHidden/>
    <w:unhideWhenUsed/>
    <w:rsid w:val="00003379"/>
    <w:pPr/>
    <w:rPr>
      <w:sz w:val="20"/>
      <w:szCs w:val="20"/>
    </w:rPr>
  </w:style>
  <w:style w:type="paragraph" w:styleId="Salutation">
    <w:name w:val="Salutation"/>
    <w:basedOn w:val="Normal"/>
    <w:link w:val="SalutationsCar"/>
    <w:uiPriority w:val="99"/>
    <w:semiHidden/>
    <w:unhideWhenUsed/>
    <w:rsid w:val="00571507"/>
    <w:pPr>
      <w:snapToGrid w:val="false"/>
      <w:spacing w:lineRule="atLeast" w:line="300" w:before="120" w:after="120"/>
      <w:jc w:val="both"/>
    </w:pPr>
    <w:rPr>
      <w:rFonts w:ascii="Times New Roman" w:hAnsi="Times New Roman" w:cs="Times New Roman"/>
      <w:lang w:eastAsia="de-DE"/>
    </w:rPr>
  </w:style>
  <w:style w:type="paragraph" w:styleId="ListParagraph">
    <w:name w:val="List Paragraph"/>
    <w:basedOn w:val="Normal"/>
    <w:uiPriority w:val="34"/>
    <w:qFormat/>
    <w:rsid w:val="0079340e"/>
    <w:pPr>
      <w:ind w:start="708"/>
    </w:pPr>
    <w:rPr>
      <w:rFonts w:ascii="New York" w:hAnsi="New York" w:eastAsia="Times New Roman" w:cs="Times New Roman"/>
      <w:sz w:val="24"/>
      <w:szCs w:val="20"/>
      <w:lang w:eastAsia="fr-FR"/>
    </w:rPr>
  </w:style>
  <w:style w:type="paragraph" w:styleId="Premention3" w:customStyle="1">
    <w:name w:val="Premention3"/>
    <w:basedOn w:val="Normal"/>
    <w:qFormat/>
    <w:rsid w:val="00d86f6c"/>
    <w:pPr>
      <w:spacing w:before="250" w:after="0"/>
      <w:ind w:start="2835" w:end="397"/>
      <w:jc w:val="both"/>
    </w:pPr>
    <w:rPr>
      <w:rFonts w:ascii="Helvetica" w:hAnsi="Helvetica" w:eastAsia="Times New Roman" w:cs="Helvetica"/>
      <w:sz w:val="17"/>
      <w:szCs w:val="17"/>
      <w:lang w:eastAsia="fr-FR"/>
    </w:rPr>
  </w:style>
  <w:style w:type="paragraph" w:styleId="Corpsdetexte" w:customStyle="1">
    <w:name w:val="Corps  de  texte"/>
    <w:basedOn w:val="Normal"/>
    <w:next w:val="Normal"/>
    <w:qFormat/>
    <w:rsid w:val="00d86f6c"/>
    <w:pPr>
      <w:spacing w:lineRule="auto" w:line="288" w:before="120" w:after="120"/>
      <w:jc w:val="both"/>
    </w:pPr>
    <w:rPr>
      <w:rFonts w:ascii="Arial" w:hAnsi="Arial" w:eastAsia="Times New Roman" w:cs="Arial"/>
      <w:sz w:val="20"/>
      <w:szCs w:val="20"/>
      <w:lang w:eastAsia="fr-FR"/>
    </w:rPr>
  </w:style>
  <w:style w:type="paragraph" w:styleId="en-ttefiche" w:customStyle="1">
    <w:name w:val="en-tête fiche"/>
    <w:basedOn w:val="Normal"/>
    <w:next w:val="Normal"/>
    <w:qFormat/>
    <w:rsid w:val="00d86f6c"/>
    <w:pPr>
      <w:spacing w:before="120" w:after="120"/>
      <w:jc w:val="both"/>
    </w:pPr>
    <w:rPr>
      <w:rFonts w:ascii="Arial" w:hAnsi="Arial" w:eastAsia="Times New Roman" w:cs="Arial"/>
      <w:b/>
      <w:bCs/>
      <w:sz w:val="20"/>
      <w:szCs w:val="20"/>
      <w:lang w:eastAsia="fr-FR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rsid w:val="001554fb"/>
    <w:pPr>
      <w:spacing w:after="0" w:line="240" w:lineRule="auto"/>
    </w:pPr>
    <w:rPr>
      <w:sz w:val="20"/>
      <w:szCs w:val="20"/>
      <w:lang w:eastAsia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13" Type="http://schemas.openxmlformats.org/officeDocument/2006/relationships/customXml" Target="../customXml/item2.xml"/><Relationship Id="rId14" Type="http://schemas.openxmlformats.org/officeDocument/2006/relationships/customXml" Target="../customXml/item3.xml"/><Relationship Id="rId15" Type="http://schemas.openxmlformats.org/officeDocument/2006/relationships/customXml" Target="../customXml/item4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microsoft.com/office/2007/relationships/hdphoto" Target="media/hdphoto1.wdp"/><Relationship Id="rId3" Type="http://schemas.openxmlformats.org/officeDocument/2006/relationships/image" Target="media/image1.png"/><Relationship Id="rId4" Type="http://schemas.openxmlformats.org/officeDocument/2006/relationships/image" Target="media/image2.pn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1.png"/><Relationship Id="rId3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17A3CD7157414EA015C0ADD2A9C9A5" ma:contentTypeVersion="12" ma:contentTypeDescription="Crée un document." ma:contentTypeScope="" ma:versionID="146dccbd67da468dbbd7e1ee2072fc5c">
  <xsd:schema xmlns:xsd="http://www.w3.org/2001/XMLSchema" xmlns:xs="http://www.w3.org/2001/XMLSchema" xmlns:p="http://schemas.microsoft.com/office/2006/metadata/properties" xmlns:ns2="9d387211-a964-4b0d-8be5-90a24ceed331" xmlns:ns3="0dca6ac4-deea-4c63-a2a0-3f15e170e92a" targetNamespace="http://schemas.microsoft.com/office/2006/metadata/properties" ma:root="true" ma:fieldsID="68743272d4e3af6d89e175286dacee59" ns2:_="" ns3:_="">
    <xsd:import namespace="9d387211-a964-4b0d-8be5-90a24ceed331"/>
    <xsd:import namespace="0dca6ac4-deea-4c63-a2a0-3f15e170e9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387211-a964-4b0d-8be5-90a24ceed3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e8958dbf-bcd6-4ab9-9970-77fc906c0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ca6ac4-deea-4c63-a2a0-3f15e170e92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2b9cd78-75d1-429b-867a-699bae048b2e}" ma:internalName="TaxCatchAll" ma:showField="CatchAllData" ma:web="0dca6ac4-deea-4c63-a2a0-3f15e170e9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387211-a964-4b0d-8be5-90a24ceed331">
      <Terms xmlns="http://schemas.microsoft.com/office/infopath/2007/PartnerControls"/>
    </lcf76f155ced4ddcb4097134ff3c332f>
    <TaxCatchAll xmlns="0dca6ac4-deea-4c63-a2a0-3f15e170e92a" xsi:nil="true"/>
  </documentManagement>
</p:properties>
</file>

<file path=customXml/itemProps1.xml><?xml version="1.0" encoding="utf-8"?>
<ds:datastoreItem xmlns:ds="http://schemas.openxmlformats.org/officeDocument/2006/customXml" ds:itemID="{E8714C08-D664-4890-A674-178917CAC8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2AC462-C2DA-4253-91DC-C05C0530B4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387211-a964-4b0d-8be5-90a24ceed331"/>
    <ds:schemaRef ds:uri="0dca6ac4-deea-4c63-a2a0-3f15e170e9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44876E-0F42-47AF-8356-A276C043DF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887B34-B81B-41FE-B0D4-99D969B7A5B2}">
  <ds:schemaRefs>
    <ds:schemaRef ds:uri="http://schemas.microsoft.com/office/2006/metadata/properties"/>
    <ds:schemaRef ds:uri="http://schemas.microsoft.com/office/infopath/2007/PartnerControls"/>
    <ds:schemaRef ds:uri="9d387211-a964-4b0d-8be5-90a24ceed331"/>
    <ds:schemaRef ds:uri="0dca6ac4-deea-4c63-a2a0-3f15e170e92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2</Pages>
  <Words>465</Words>
  <Characters>2535</Characters>
  <CharactersWithSpaces>2971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fr-FR</dc:language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0x0101005B17A3CD7157414EA015C0ADD2A9C9A5</vt:lpwstr>
  </property>
  <property fmtid="{D5CDD505-2E9C-101B-9397-08002B2CF9AE}" pid="4" name="MediaServiceImageTags">
    <vt:lpwstr/>
  </property>
  <property fmtid="{D5CDD505-2E9C-101B-9397-08002B2CF9AE}" pid="5" name="Order">
    <vt:r8>87000</vt:r8>
  </property>
  <property fmtid="{D5CDD505-2E9C-101B-9397-08002B2CF9AE}" pid="6" name="TemplateUrl">
    <vt:lpwstr/>
  </property>
  <property fmtid="{D5CDD505-2E9C-101B-9397-08002B2CF9AE}" pid="7" name="TriggerFlowInfo">
    <vt:lpwstr/>
  </property>
  <property fmtid="{D5CDD505-2E9C-101B-9397-08002B2CF9AE}" pid="8" name="_ExtendedDescription">
    <vt:lpwstr/>
  </property>
  <property fmtid="{D5CDD505-2E9C-101B-9397-08002B2CF9AE}" pid="9" name="xd_ProgID">
    <vt:lpwstr/>
  </property>
  <property fmtid="{D5CDD505-2E9C-101B-9397-08002B2CF9AE}" pid="10" name="xd_Signature">
    <vt:bool>0</vt:bool>
  </property>
</Properties>
</file>