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media/image2.jpeg" ContentType="image/jpeg"/>
  <Override PartName="/word/media/image3.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footer3.xml.rels" ContentType="application/vnd.openxmlformats-package.relationships+xml"/>
  <Override PartName="/word/_rels/header2.xml.rels" ContentType="application/vnd.openxmlformats-package.relationships+xml"/>
  <Override PartName="/word/_rels/footer2.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8"/>
          <w:tab w:val="left" w:pos="2520" w:leader="none"/>
        </w:tabs>
        <w:ind w:left="-360" w:right="42"/>
        <w:jc w:val="both"/>
        <w:rPr>
          <w:rFonts w:ascii="Arial" w:hAnsi="Arial" w:cs="Arial"/>
          <w:b/>
        </w:rPr>
      </w:pPr>
      <w:r>
        <w:rPr>
          <w:rFonts w:cs="Arial" w:ascii="Arial" w:hAnsi="Arial"/>
          <w:b/>
        </w:rPr>
      </w:r>
    </w:p>
    <w:p>
      <w:pPr>
        <w:pStyle w:val="Normal"/>
        <w:tabs>
          <w:tab w:val="clear" w:pos="708"/>
          <w:tab w:val="left" w:pos="2520" w:leader="none"/>
        </w:tabs>
        <w:ind w:left="-360" w:right="42"/>
        <w:jc w:val="both"/>
        <w:rPr>
          <w:rFonts w:ascii="Arial" w:hAnsi="Arial" w:cs="Arial"/>
          <w:b/>
        </w:rPr>
      </w:pPr>
      <w:r>
        <w:rPr>
          <w:rFonts w:cs="Arial" w:ascii="Arial" w:hAnsi="Arial"/>
          <w:b/>
        </w:rPr>
      </w:r>
    </w:p>
    <w:p>
      <w:pPr>
        <w:pStyle w:val="Normal"/>
        <w:tabs>
          <w:tab w:val="clear" w:pos="708"/>
          <w:tab w:val="left" w:pos="2520" w:leader="none"/>
        </w:tabs>
        <w:ind w:left="-360" w:right="42"/>
        <w:jc w:val="both"/>
        <w:rPr>
          <w:rFonts w:ascii="Arial" w:hAnsi="Arial" w:cs="Arial"/>
        </w:rPr>
      </w:pPr>
      <w:r>
        <w:rPr>
          <w:rFonts w:cs="Arial" w:ascii="Arial" w:hAnsi="Arial"/>
          <w:b/>
        </w:rPr>
        <w:t>La société SEMAT</w:t>
      </w:r>
      <w:r>
        <w:rPr>
          <w:rFonts w:cs="Arial" w:ascii="Arial" w:hAnsi="Arial"/>
        </w:rPr>
        <w:t>, société anonyme au capital de 5 847 451 euros, ayant son siège social à LA ROCHELLE (17028) – 335 Avenue Jean Guiton, immatriculée au RCS de LA ROCHELLE sous le numéro 778 128 162 et à l’URSSAF de la Charente-Maritime sous le numéro 17 0405505017.</w:t>
      </w:r>
    </w:p>
    <w:p>
      <w:pPr>
        <w:pStyle w:val="Normal"/>
        <w:ind w:left="-360" w:right="42"/>
        <w:jc w:val="both"/>
        <w:rPr>
          <w:rFonts w:ascii="Arial" w:hAnsi="Arial" w:cs="Arial"/>
        </w:rPr>
      </w:pPr>
      <w:r>
        <w:rPr>
          <w:rFonts w:cs="Arial" w:ascii="Arial" w:hAnsi="Arial"/>
        </w:rPr>
        <w:t>Représentée par , en qualité de Directeur Général de ladite société.</w:t>
      </w:r>
    </w:p>
    <w:p>
      <w:pPr>
        <w:pStyle w:val="Normal"/>
        <w:ind w:left="-360" w:right="42"/>
        <w:jc w:val="both"/>
        <w:rPr>
          <w:rFonts w:ascii="Arial" w:hAnsi="Arial" w:cs="Arial"/>
        </w:rPr>
      </w:pPr>
      <w:r>
        <w:rPr>
          <w:rFonts w:cs="Arial" w:ascii="Arial" w:hAnsi="Arial"/>
        </w:rPr>
        <w:t>Ci-après dénommée « la société ».</w:t>
      </w:r>
    </w:p>
    <w:p>
      <w:pPr>
        <w:pStyle w:val="Normal"/>
        <w:ind w:firstLine="360" w:left="6720" w:right="42"/>
        <w:jc w:val="both"/>
        <w:rPr>
          <w:rFonts w:ascii="Arial" w:hAnsi="Arial" w:cs="Arial"/>
          <w:b/>
        </w:rPr>
      </w:pPr>
      <w:r>
        <w:rPr>
          <w:rFonts w:cs="Arial" w:ascii="Arial" w:hAnsi="Arial"/>
          <w:b/>
        </w:rPr>
        <w:t>D’UNE PART</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ind w:left="-360"/>
        <w:jc w:val="both"/>
        <w:rPr>
          <w:rFonts w:ascii="Arial" w:hAnsi="Arial" w:cs="Arial"/>
          <w:b/>
        </w:rPr>
      </w:pPr>
      <w:r>
        <w:rPr>
          <w:rFonts w:cs="Arial" w:ascii="Arial" w:hAnsi="Arial"/>
          <w:b/>
        </w:rPr>
      </w:r>
    </w:p>
    <w:p>
      <w:pPr>
        <w:pStyle w:val="Normal"/>
        <w:ind w:left="-360"/>
        <w:jc w:val="both"/>
        <w:rPr>
          <w:rFonts w:ascii="Arial" w:hAnsi="Arial" w:cs="Arial"/>
          <w:b/>
        </w:rPr>
      </w:pPr>
      <w:r>
        <w:rPr>
          <w:rFonts w:cs="Arial" w:ascii="Arial" w:hAnsi="Arial"/>
          <w:b/>
        </w:rPr>
        <w:t xml:space="preserve">ET </w:t>
      </w:r>
    </w:p>
    <w:p>
      <w:pPr>
        <w:pStyle w:val="Normal"/>
        <w:spacing w:lineRule="auto" w:line="480" w:before="0" w:after="0"/>
        <w:ind w:left="-360"/>
        <w:jc w:val="both"/>
        <w:rPr>
          <w:rFonts w:ascii="Arial" w:hAnsi="Arial" w:cs="Arial"/>
          <w:b/>
        </w:rPr>
      </w:pPr>
      <w:r>
        <w:rPr>
          <w:rFonts w:cs="Arial" w:ascii="Arial" w:hAnsi="Arial"/>
          <w:b/>
        </w:rPr>
        <w:t>Le Comité Social et Economique</w:t>
      </w:r>
    </w:p>
    <w:p>
      <w:pPr>
        <w:pStyle w:val="Normal"/>
        <w:spacing w:before="0" w:after="0"/>
        <w:ind w:left="-360"/>
        <w:jc w:val="both"/>
        <w:rPr>
          <w:rFonts w:ascii="Arial" w:hAnsi="Arial" w:cs="Arial"/>
          <w:bCs/>
        </w:rPr>
      </w:pPr>
      <w:r>
        <w:rPr>
          <w:rFonts w:cs="Arial" w:ascii="Arial" w:hAnsi="Arial"/>
          <w:bCs/>
        </w:rPr>
        <w:t>Ayant voté à la majorité des membres présents, au cours de la réunion du 18 juillet 2025 dont le procès-verbal est annexé au présent accord, représenté par  secrétaire du CSE en vertu du mandat reçu à cet effet au cours de la réunion.</w:t>
      </w:r>
    </w:p>
    <w:p>
      <w:pPr>
        <w:pStyle w:val="Normal"/>
        <w:spacing w:before="0" w:after="0"/>
        <w:jc w:val="both"/>
        <w:rPr>
          <w:rFonts w:ascii="Arial" w:hAnsi="Arial" w:cs="Arial"/>
          <w:b/>
        </w:rPr>
      </w:pPr>
      <w:r>
        <w:rPr>
          <w:rFonts w:cs="Arial" w:ascii="Arial" w:hAnsi="Arial"/>
          <w:b/>
        </w:rPr>
      </w:r>
    </w:p>
    <w:p>
      <w:pPr>
        <w:pStyle w:val="Normal"/>
        <w:spacing w:before="0" w:after="0"/>
        <w:ind w:firstLine="720" w:left="6480"/>
        <w:jc w:val="both"/>
        <w:rPr>
          <w:rFonts w:ascii="Arial" w:hAnsi="Arial" w:cs="Arial"/>
          <w:b/>
        </w:rPr>
      </w:pPr>
      <w:r>
        <w:rPr>
          <w:rFonts w:cs="Arial" w:ascii="Arial" w:hAnsi="Arial"/>
          <w:b/>
        </w:rPr>
        <w:t xml:space="preserve">D’AUTRE PART </w:t>
      </w:r>
    </w:p>
    <w:p>
      <w:pPr>
        <w:pStyle w:val="Normal"/>
        <w:spacing w:before="0" w:after="0"/>
        <w:jc w:val="both"/>
        <w:rPr>
          <w:rFonts w:ascii="Arial" w:hAnsi="Arial" w:cs="Arial"/>
        </w:rPr>
      </w:pPr>
      <w:r>
        <w:rPr>
          <w:rFonts w:cs="Arial" w:ascii="Arial" w:hAnsi="Arial"/>
        </w:rPr>
      </w:r>
    </w:p>
    <w:p>
      <w:pPr>
        <w:pStyle w:val="Normal"/>
        <w:spacing w:before="0" w:after="0"/>
        <w:rPr>
          <w:rFonts w:ascii="Arial" w:hAnsi="Arial" w:cs="Arial"/>
          <w:bCs/>
        </w:rPr>
      </w:pPr>
      <w:r>
        <w:rPr>
          <w:rFonts w:cs="Arial" w:ascii="Arial" w:hAnsi="Arial"/>
          <w:bCs/>
        </w:rPr>
      </w:r>
      <w:r>
        <w:br w:type="page"/>
      </w:r>
    </w:p>
    <w:p>
      <w:pPr>
        <w:pStyle w:val="Normal"/>
        <w:spacing w:lineRule="auto" w:line="240" w:before="0" w:after="0"/>
        <w:jc w:val="center"/>
        <w:rPr>
          <w:rFonts w:ascii="Arial" w:hAnsi="Arial" w:cs="Arial"/>
          <w:b/>
          <w:bCs/>
          <w:sz w:val="24"/>
          <w:szCs w:val="24"/>
        </w:rPr>
      </w:pPr>
      <w:r>
        <w:rPr>
          <w:rFonts w:cs="Arial" w:ascii="Arial" w:hAnsi="Arial"/>
          <w:b/>
          <w:bCs/>
          <w:sz w:val="24"/>
          <w:szCs w:val="24"/>
        </w:rPr>
        <w:t>ACCORD DE MISE EN PLACE DE LA PRIME DE PARTAGE DE LA VALEUR</w:t>
      </w:r>
    </w:p>
    <w:p>
      <w:pPr>
        <w:pStyle w:val="Normal"/>
        <w:spacing w:lineRule="auto" w:line="240" w:before="0" w:after="0"/>
        <w:jc w:val="center"/>
        <w:rPr>
          <w:b/>
          <w:bCs/>
          <w:sz w:val="24"/>
          <w:szCs w:val="24"/>
        </w:rPr>
      </w:pPr>
      <w:r>
        <w:rPr>
          <w:b/>
          <w:bCs/>
          <w:sz w:val="24"/>
          <w:szCs w:val="24"/>
        </w:rPr>
      </w:r>
    </w:p>
    <w:p>
      <w:pPr>
        <w:pStyle w:val="Normal"/>
        <w:spacing w:lineRule="auto" w:line="240" w:before="0" w:after="0"/>
        <w:rPr/>
      </w:pPr>
      <w:r>
        <w:rPr/>
      </w:r>
    </w:p>
    <w:p>
      <w:pPr>
        <w:pStyle w:val="Normal"/>
        <w:spacing w:lineRule="auto" w:line="240" w:before="0" w:after="0"/>
        <w:rPr>
          <w:b/>
          <w:bCs/>
        </w:rPr>
      </w:pPr>
      <w:r>
        <w:rPr>
          <w:rFonts w:cs="Arial" w:ascii="Arial" w:hAnsi="Arial"/>
          <w:b/>
          <w:bCs/>
        </w:rPr>
        <w:t>Préambule</w:t>
      </w:r>
    </w:p>
    <w:p>
      <w:pPr>
        <w:pStyle w:val="ElAppp"/>
        <w:spacing w:before="75" w:after="75"/>
        <w:ind w:left="15" w:right="15"/>
        <w:rPr>
          <w:sz w:val="22"/>
          <w:szCs w:val="22"/>
        </w:rPr>
      </w:pPr>
      <w:r>
        <w:rPr>
          <w:sz w:val="22"/>
          <w:szCs w:val="22"/>
        </w:rPr>
        <w:t>Par le présent accord, les parties traduisent la volonté d'utiliser la faculté offerte par l'article 1</w:t>
      </w:r>
      <w:r>
        <w:rPr>
          <w:sz w:val="22"/>
          <w:szCs w:val="22"/>
          <w:vertAlign w:val="superscript"/>
        </w:rPr>
        <w:t>er</w:t>
      </w:r>
      <w:r>
        <w:rPr>
          <w:sz w:val="22"/>
          <w:szCs w:val="22"/>
        </w:rPr>
        <w:t xml:space="preserve"> de la loi n° 2022-1158 du 16 août 2022 portant mesures d'urgence pour la protection du pouvoir d'achat en attribuant une prime de partage de la valeur exonérée de cotisations et contributions sociales, dans les conditions prévues par la loi précitée et selon les modalités fixées ci-après.</w:t>
      </w:r>
    </w:p>
    <w:p>
      <w:pPr>
        <w:pStyle w:val="Normal"/>
        <w:spacing w:lineRule="auto" w:line="240" w:before="0" w:after="0"/>
        <w:rPr>
          <w:b/>
          <w:bCs/>
          <w:sz w:val="24"/>
          <w:szCs w:val="24"/>
        </w:rPr>
      </w:pPr>
      <w:r>
        <w:rPr>
          <w:b/>
          <w:bCs/>
          <w:sz w:val="24"/>
          <w:szCs w:val="24"/>
        </w:rPr>
      </w:r>
    </w:p>
    <w:p>
      <w:pPr>
        <w:pStyle w:val="Normal"/>
        <w:spacing w:lineRule="auto" w:line="240" w:before="0" w:after="0"/>
        <w:rPr>
          <w:rFonts w:ascii="Arial" w:hAnsi="Arial" w:cs="Arial"/>
          <w:b/>
          <w:bCs/>
        </w:rPr>
      </w:pPr>
      <w:r>
        <w:rPr>
          <w:rFonts w:cs="Arial" w:ascii="Arial" w:hAnsi="Arial"/>
          <w:b/>
          <w:bCs/>
        </w:rPr>
        <w:t>ARTICLE 1 – CHAMP D’APPLICATION ET SALARIES BENEFICIAIRES</w:t>
      </w:r>
    </w:p>
    <w:p>
      <w:pPr>
        <w:pStyle w:val="Normal"/>
        <w:spacing w:lineRule="auto" w:line="240" w:before="0" w:after="0"/>
        <w:rPr>
          <w:b/>
          <w:bCs/>
          <w:sz w:val="24"/>
          <w:szCs w:val="24"/>
        </w:rPr>
      </w:pPr>
      <w:r>
        <w:rPr>
          <w:b/>
          <w:bCs/>
          <w:sz w:val="24"/>
          <w:szCs w:val="24"/>
        </w:rPr>
      </w:r>
    </w:p>
    <w:p>
      <w:pPr>
        <w:pStyle w:val="ElAppp"/>
        <w:spacing w:before="75" w:after="75"/>
        <w:ind w:left="15" w:right="15"/>
        <w:rPr>
          <w:sz w:val="22"/>
          <w:szCs w:val="22"/>
        </w:rPr>
      </w:pPr>
      <w:r>
        <w:rPr>
          <w:sz w:val="22"/>
          <w:szCs w:val="22"/>
        </w:rPr>
        <w:t xml:space="preserve">La prime de partage de la valeur est attribuée aux salariés titulaires d'un contrat de travail en cours à la date de versement de la prime, soit le 25 septembre 2025.  </w:t>
      </w:r>
    </w:p>
    <w:p>
      <w:pPr>
        <w:pStyle w:val="Normal"/>
        <w:spacing w:lineRule="auto" w:line="240" w:before="0" w:after="0"/>
        <w:rPr>
          <w:rFonts w:ascii="Arial" w:hAnsi="Arial" w:cs="Arial"/>
          <w:b/>
          <w:bCs/>
        </w:rPr>
      </w:pPr>
      <w:r>
        <w:rPr>
          <w:rFonts w:eastAsia="Arial" w:cs="Arial" w:ascii="Arial" w:hAnsi="Arial"/>
          <w:lang w:eastAsia="fr-FR"/>
        </w:rPr>
        <w:br/>
      </w:r>
      <w:r>
        <w:rPr>
          <w:rFonts w:cs="Arial" w:ascii="Arial" w:hAnsi="Arial"/>
          <w:b/>
          <w:bCs/>
        </w:rPr>
        <w:t>ARTICLE 2 – MONTANT DE LA PRIME DE PARTAGE DE LA VALEUR</w:t>
      </w:r>
    </w:p>
    <w:p>
      <w:pPr>
        <w:pStyle w:val="Normal"/>
        <w:spacing w:lineRule="auto" w:line="240" w:before="0" w:after="0"/>
        <w:rPr>
          <w:rFonts w:ascii="Arial" w:hAnsi="Arial" w:cs="Arial"/>
          <w:b/>
          <w:bCs/>
        </w:rPr>
      </w:pPr>
      <w:r>
        <w:rPr>
          <w:rFonts w:cs="Arial" w:ascii="Arial" w:hAnsi="Arial"/>
          <w:b/>
          <w:bCs/>
        </w:rPr>
      </w:r>
    </w:p>
    <w:p>
      <w:pPr>
        <w:pStyle w:val="Normal"/>
        <w:spacing w:lineRule="auto" w:line="240" w:before="0" w:after="0"/>
        <w:rPr>
          <w:rFonts w:ascii="Arial" w:hAnsi="Arial" w:cs="Arial"/>
        </w:rPr>
      </w:pPr>
      <w:r>
        <w:rPr>
          <w:rFonts w:cs="Arial" w:ascii="Arial" w:hAnsi="Arial"/>
        </w:rPr>
        <w:t>Il est convenu de verser une prime de partage de valeur de la valeur, non reconductible, de 550€ par salarié.</w:t>
      </w:r>
    </w:p>
    <w:p>
      <w:pPr>
        <w:pStyle w:val="Normal"/>
        <w:spacing w:lineRule="auto" w:line="240" w:before="0" w:after="0"/>
        <w:rPr>
          <w:rFonts w:ascii="Arial" w:hAnsi="Arial" w:eastAsia="Times New Roman" w:cs="Arial"/>
        </w:rPr>
      </w:pPr>
      <w:r>
        <w:rPr>
          <w:rFonts w:eastAsia="Times New Roman" w:cs="Arial" w:ascii="Arial" w:hAnsi="Arial"/>
        </w:rPr>
        <w:t>Le montant visé ci-avant est fixé pour les salariés présents durant les 12 mois précédant la date de versement de la prime. Sont considérés comme temps de présence assimilé à du temps de travail les salariés absents dans le cadre des congés suivants :</w:t>
      </w:r>
    </w:p>
    <w:p>
      <w:pPr>
        <w:pStyle w:val="spip"/>
        <w:numPr>
          <w:ilvl w:val="0"/>
          <w:numId w:val="1"/>
        </w:numPr>
        <w:spacing w:before="280" w:after="0"/>
        <w:jc w:val="both"/>
        <w:rPr>
          <w:rFonts w:ascii="Arial" w:hAnsi="Arial" w:eastAsia="Times New Roman" w:cs="Arial"/>
          <w:sz w:val="22"/>
          <w:szCs w:val="22"/>
        </w:rPr>
      </w:pPr>
      <w:r>
        <w:rPr>
          <w:rFonts w:eastAsia="Times New Roman" w:cs="Arial" w:ascii="Arial" w:hAnsi="Arial"/>
          <w:sz w:val="22"/>
          <w:szCs w:val="22"/>
        </w:rPr>
        <w:t>Congés payés, congés supplémentaires d’ancienneté,RTT,</w:t>
      </w:r>
    </w:p>
    <w:p>
      <w:pPr>
        <w:pStyle w:val="spip"/>
        <w:numPr>
          <w:ilvl w:val="0"/>
          <w:numId w:val="1"/>
        </w:numPr>
        <w:spacing w:before="0" w:after="0"/>
        <w:jc w:val="both"/>
        <w:rPr>
          <w:rFonts w:ascii="Arial" w:hAnsi="Arial" w:eastAsia="Times New Roman" w:cs="Arial"/>
          <w:sz w:val="22"/>
          <w:szCs w:val="22"/>
        </w:rPr>
      </w:pPr>
      <w:r>
        <w:rPr>
          <w:rFonts w:eastAsia="Times New Roman" w:cs="Arial" w:ascii="Arial" w:hAnsi="Arial"/>
          <w:sz w:val="22"/>
          <w:szCs w:val="22"/>
        </w:rPr>
        <w:t xml:space="preserve">congé de maternité, de paternité </w:t>
      </w:r>
      <w:bookmarkStart w:id="0" w:name="_Hlk80955141"/>
      <w:r>
        <w:rPr>
          <w:rFonts w:eastAsia="Times New Roman" w:cs="Arial" w:ascii="Arial" w:hAnsi="Arial"/>
          <w:sz w:val="22"/>
          <w:szCs w:val="22"/>
        </w:rPr>
        <w:t xml:space="preserve">et d’accueil de l’enfant ou </w:t>
      </w:r>
      <w:bookmarkEnd w:id="0"/>
      <w:r>
        <w:rPr>
          <w:rFonts w:eastAsia="Times New Roman" w:cs="Arial" w:ascii="Arial" w:hAnsi="Arial"/>
          <w:sz w:val="22"/>
          <w:szCs w:val="22"/>
        </w:rPr>
        <w:t>d'adoption,</w:t>
      </w:r>
    </w:p>
    <w:p>
      <w:pPr>
        <w:pStyle w:val="spip"/>
        <w:numPr>
          <w:ilvl w:val="0"/>
          <w:numId w:val="1"/>
        </w:numPr>
        <w:spacing w:before="0" w:after="0"/>
        <w:jc w:val="both"/>
        <w:rPr>
          <w:rFonts w:ascii="Arial" w:hAnsi="Arial" w:eastAsia="Times New Roman" w:cs="Arial"/>
          <w:sz w:val="22"/>
          <w:szCs w:val="22"/>
        </w:rPr>
      </w:pPr>
      <w:r>
        <w:rPr>
          <w:rFonts w:eastAsia="Times New Roman" w:cs="Arial" w:ascii="Arial" w:hAnsi="Arial"/>
          <w:sz w:val="22"/>
          <w:szCs w:val="22"/>
        </w:rPr>
        <w:t>congé parental d'éducation, qu'il soit à temps plein ou à temps partiel,</w:t>
      </w:r>
    </w:p>
    <w:p>
      <w:pPr>
        <w:pStyle w:val="spip"/>
        <w:numPr>
          <w:ilvl w:val="0"/>
          <w:numId w:val="1"/>
        </w:numPr>
        <w:spacing w:before="0" w:after="0"/>
        <w:jc w:val="both"/>
        <w:rPr>
          <w:rFonts w:ascii="Arial" w:hAnsi="Arial" w:eastAsia="Times New Roman" w:cs="Arial"/>
          <w:sz w:val="22"/>
          <w:szCs w:val="22"/>
        </w:rPr>
      </w:pPr>
      <w:r>
        <w:rPr>
          <w:rFonts w:eastAsia="Times New Roman" w:cs="Arial" w:ascii="Arial" w:hAnsi="Arial"/>
          <w:sz w:val="22"/>
          <w:szCs w:val="22"/>
        </w:rPr>
        <w:t>congé pour enfant malade,</w:t>
      </w:r>
    </w:p>
    <w:p>
      <w:pPr>
        <w:pStyle w:val="spip"/>
        <w:numPr>
          <w:ilvl w:val="0"/>
          <w:numId w:val="1"/>
        </w:numPr>
        <w:spacing w:before="0" w:after="0"/>
        <w:jc w:val="both"/>
        <w:rPr>
          <w:rFonts w:ascii="Arial" w:hAnsi="Arial" w:eastAsia="Times New Roman" w:cs="Arial"/>
          <w:sz w:val="22"/>
          <w:szCs w:val="22"/>
        </w:rPr>
      </w:pPr>
      <w:r>
        <w:rPr>
          <w:rFonts w:eastAsia="Times New Roman" w:cs="Arial" w:ascii="Arial" w:hAnsi="Arial"/>
          <w:sz w:val="22"/>
          <w:szCs w:val="22"/>
        </w:rPr>
        <w:t>congé de présence parentale,</w:t>
      </w:r>
    </w:p>
    <w:p>
      <w:pPr>
        <w:pStyle w:val="spip"/>
        <w:numPr>
          <w:ilvl w:val="0"/>
          <w:numId w:val="1"/>
        </w:numPr>
        <w:spacing w:before="0" w:after="280"/>
        <w:jc w:val="both"/>
        <w:rPr>
          <w:rFonts w:ascii="Arial" w:hAnsi="Arial" w:eastAsia="Times New Roman" w:cs="Arial"/>
          <w:sz w:val="22"/>
          <w:szCs w:val="22"/>
        </w:rPr>
      </w:pPr>
      <w:r>
        <w:rPr>
          <w:rFonts w:eastAsia="Times New Roman" w:cs="Arial" w:ascii="Arial" w:hAnsi="Arial"/>
          <w:sz w:val="22"/>
          <w:szCs w:val="22"/>
        </w:rPr>
        <w:t>congé acquis par don de jours de repos au titre d’un enfant décédé ou gravement malade.</w:t>
      </w:r>
    </w:p>
    <w:p>
      <w:pPr>
        <w:pStyle w:val="Normal"/>
        <w:jc w:val="both"/>
        <w:rPr>
          <w:rFonts w:ascii="Arial" w:hAnsi="Arial" w:cs="Arial"/>
        </w:rPr>
      </w:pPr>
      <w:r>
        <w:rPr>
          <w:rFonts w:eastAsia="Times New Roman" w:cs="Arial" w:ascii="Arial" w:hAnsi="Arial"/>
        </w:rPr>
        <w:t xml:space="preserve">Si le bénéficiaire n'a pas été présent durant toute cette période ou a été absent pour un motif autre que ceux visés ci-avant, le montant de sa prime est réduit à due proportion. </w:t>
      </w:r>
      <w:r>
        <w:rPr>
          <w:rFonts w:cs="Arial" w:ascii="Arial" w:hAnsi="Arial"/>
        </w:rPr>
        <w:t>Seront considérés comme absences, les périodes résultant de maladie, de congé individuel de formation, de congés sans solde, de jours de mises à pied disciplinaires, de congés sabbatiques.</w:t>
      </w:r>
    </w:p>
    <w:p>
      <w:pPr>
        <w:pStyle w:val="Normal"/>
        <w:spacing w:lineRule="auto" w:line="240" w:before="0" w:after="0"/>
        <w:rPr>
          <w:rFonts w:ascii="Arial" w:hAnsi="Arial" w:cs="Arial"/>
          <w:b/>
          <w:bCs/>
        </w:rPr>
      </w:pPr>
      <w:r>
        <w:rPr>
          <w:rFonts w:cs="Arial" w:ascii="Arial" w:hAnsi="Arial"/>
          <w:b/>
          <w:bCs/>
        </w:rPr>
        <w:t>ARTICLE 3 – BENEFICIAIRES</w:t>
      </w:r>
    </w:p>
    <w:p>
      <w:pPr>
        <w:pStyle w:val="Normal"/>
        <w:spacing w:lineRule="auto" w:line="240" w:before="0" w:after="0"/>
        <w:rPr>
          <w:rFonts w:ascii="Arial" w:hAnsi="Arial" w:cs="Arial"/>
          <w:b/>
          <w:bCs/>
        </w:rPr>
      </w:pPr>
      <w:r>
        <w:rPr>
          <w:rFonts w:cs="Arial" w:ascii="Arial" w:hAnsi="Arial"/>
          <w:b/>
          <w:bCs/>
        </w:rPr>
      </w:r>
    </w:p>
    <w:p>
      <w:pPr>
        <w:pStyle w:val="texte"/>
        <w:rPr>
          <w:rFonts w:eastAsia="Times New Roman"/>
          <w:color w:themeColor="text1" w:val="000000"/>
          <w:szCs w:val="22"/>
        </w:rPr>
      </w:pPr>
      <w:r>
        <w:rPr>
          <w:rFonts w:eastAsia="Times New Roman"/>
          <w:szCs w:val="22"/>
        </w:rPr>
        <w:t>Outre les conditions d’attribution de la prime de partage de la valeur exposées à l’article 1</w:t>
      </w:r>
      <w:r>
        <w:rPr>
          <w:rFonts w:eastAsia="Times New Roman"/>
          <w:szCs w:val="22"/>
          <w:vertAlign w:val="superscript"/>
        </w:rPr>
        <w:t>er</w:t>
      </w:r>
      <w:r>
        <w:rPr>
          <w:rFonts w:eastAsia="Times New Roman"/>
          <w:szCs w:val="22"/>
        </w:rPr>
        <w:t xml:space="preserve">, cette dernière sera attribuée aux salariés titulaires d'un contrat de travail en cours à la date de versement </w:t>
      </w:r>
      <w:r>
        <w:rPr>
          <w:rFonts w:eastAsia="Times New Roman"/>
          <w:color w:themeColor="text1" w:val="000000"/>
          <w:szCs w:val="22"/>
        </w:rPr>
        <w:t xml:space="preserve">de la prime </w:t>
      </w:r>
      <w:r>
        <w:rPr>
          <w:rFonts w:eastAsia="Times New Roman"/>
          <w:szCs w:val="22"/>
        </w:rPr>
        <w:t xml:space="preserve">ayant une rémunération </w:t>
      </w:r>
      <w:r>
        <w:rPr>
          <w:rFonts w:eastAsia="Times New Roman"/>
          <w:color w:themeColor="text1" w:val="000000"/>
          <w:szCs w:val="22"/>
        </w:rPr>
        <w:t>brute totale</w:t>
      </w:r>
      <w:r>
        <w:rPr>
          <w:rFonts w:eastAsia="Times New Roman"/>
          <w:szCs w:val="22"/>
        </w:rPr>
        <w:t xml:space="preserve"> inférieure à 3 fois le SMIC annuel </w:t>
      </w:r>
      <w:r>
        <w:rPr>
          <w:szCs w:val="22"/>
        </w:rPr>
        <w:t>calculée sur les 12 mois précédant la date de versement.</w:t>
      </w:r>
    </w:p>
    <w:p>
      <w:pPr>
        <w:pStyle w:val="texte"/>
        <w:rPr>
          <w:rFonts w:eastAsia="Times New Roman"/>
          <w:color w:themeColor="text1" w:val="000000"/>
          <w:szCs w:val="22"/>
        </w:rPr>
      </w:pPr>
      <w:r>
        <w:rPr>
          <w:rFonts w:eastAsia="Times New Roman"/>
          <w:color w:themeColor="text1" w:val="000000"/>
          <w:szCs w:val="22"/>
        </w:rPr>
      </w:r>
    </w:p>
    <w:p>
      <w:pPr>
        <w:pStyle w:val="Normal"/>
        <w:jc w:val="both"/>
        <w:rPr>
          <w:rFonts w:ascii="Arial" w:hAnsi="Arial" w:cs="Arial"/>
        </w:rPr>
      </w:pPr>
      <w:r>
        <w:rPr>
          <w:rFonts w:cs="Arial" w:ascii="Arial" w:hAnsi="Arial"/>
        </w:rPr>
        <w:t xml:space="preserve">La prime sera proratisée pour les salariés à temps partiel suivant leur horaire contractuel au prorata temporis de leur durée de présence au-cours de la période de référence. </w:t>
      </w:r>
    </w:p>
    <w:p>
      <w:pPr>
        <w:pStyle w:val="texte"/>
        <w:rPr>
          <w:rFonts w:eastAsia="Times New Roman"/>
          <w:color w:themeColor="text1" w:val="000000"/>
          <w:szCs w:val="22"/>
        </w:rPr>
      </w:pPr>
      <w:r>
        <w:rPr>
          <w:rFonts w:eastAsia="Times New Roman"/>
          <w:color w:themeColor="text1" w:val="000000"/>
          <w:szCs w:val="22"/>
        </w:rPr>
      </w:r>
    </w:p>
    <w:p>
      <w:pPr>
        <w:pStyle w:val="Normal"/>
        <w:spacing w:lineRule="auto" w:line="240" w:before="0" w:after="0"/>
        <w:rPr>
          <w:rFonts w:ascii="Arial" w:hAnsi="Arial" w:cs="Arial"/>
          <w:lang w:eastAsia="fr-FR"/>
        </w:rPr>
      </w:pPr>
      <w:r>
        <w:rPr>
          <w:rFonts w:cs="Arial" w:ascii="Arial" w:hAnsi="Arial"/>
        </w:rPr>
        <w:t xml:space="preserve">La prime de partage de la valeur sera également versée aux salariés intérimaires </w:t>
      </w:r>
      <w:r>
        <w:rPr>
          <w:rFonts w:cs="Arial" w:ascii="Arial" w:hAnsi="Arial"/>
          <w:lang w:eastAsia="fr-FR"/>
        </w:rPr>
        <w:t>dans les conditions prévues par le présent accord.</w:t>
      </w:r>
    </w:p>
    <w:p>
      <w:pPr>
        <w:pStyle w:val="Normal"/>
        <w:spacing w:lineRule="auto" w:line="240" w:before="0" w:after="0"/>
        <w:rPr>
          <w:rFonts w:ascii="Arial" w:hAnsi="Arial" w:cs="Arial"/>
          <w:lang w:eastAsia="fr-FR"/>
        </w:rPr>
      </w:pPr>
      <w:r>
        <w:rPr>
          <w:rFonts w:cs="Arial" w:ascii="Arial" w:hAnsi="Arial"/>
          <w:lang w:eastAsia="fr-FR"/>
        </w:rPr>
      </w:r>
    </w:p>
    <w:p>
      <w:pPr>
        <w:pStyle w:val="Normal"/>
        <w:spacing w:lineRule="auto" w:line="240" w:before="0" w:after="0"/>
        <w:rPr>
          <w:rFonts w:ascii="Arial" w:hAnsi="Arial" w:cs="Arial"/>
          <w:lang w:eastAsia="fr-FR"/>
        </w:rPr>
      </w:pPr>
      <w:r>
        <w:rPr>
          <w:rFonts w:cs="Arial" w:ascii="Arial" w:hAnsi="Arial"/>
          <w:b/>
          <w:bCs/>
        </w:rPr>
        <w:t>ARTICLE 4 – PRINCIPE DE NON-SUBSTITUTION</w:t>
      </w:r>
    </w:p>
    <w:p>
      <w:pPr>
        <w:pStyle w:val="Normal"/>
        <w:spacing w:lineRule="auto" w:line="240" w:before="0" w:after="0"/>
        <w:jc w:val="both"/>
        <w:rPr>
          <w:rFonts w:cs="Calibri" w:cstheme="minorHAnsi"/>
          <w:bCs/>
          <w:lang w:eastAsia="fr-FR"/>
        </w:rPr>
      </w:pPr>
      <w:r>
        <w:rPr>
          <w:rFonts w:cs="Calibri" w:cstheme="minorHAnsi"/>
          <w:bCs/>
          <w:lang w:eastAsia="fr-FR"/>
        </w:rPr>
      </w:r>
    </w:p>
    <w:p>
      <w:pPr>
        <w:pStyle w:val="Normal"/>
        <w:spacing w:lineRule="auto" w:line="240" w:before="0" w:after="0"/>
        <w:jc w:val="both"/>
        <w:rPr>
          <w:rFonts w:ascii="Arial" w:hAnsi="Arial" w:cs="Arial"/>
          <w:bCs/>
          <w:lang w:eastAsia="fr-FR"/>
        </w:rPr>
      </w:pPr>
      <w:r>
        <w:rPr>
          <w:rFonts w:cs="Arial" w:ascii="Arial" w:hAnsi="Arial"/>
          <w:bCs/>
          <w:lang w:eastAsia="fr-FR"/>
        </w:rPr>
        <w:t>Dans le cadre de cet accord, les Parties rappellent leur attachement au principe de non-substitution et précisent que la prime de partage de la valeur (ci-après désignée « prime PPV ») ne peut se substituer à des augmentations de rémunération ni à des primes prévues par un accord salarial, le contrat de travail ou les usages en vigueur dans l’entreprise. Elle ne peut non plus se substituer à aucun des éléments de rémunération au sens de l’article L. 242-1 du Code de la sécurité sociale versés par l’employeur ou qui deviennent obligatoires en vertu de règles légales, contractuelles ou d’usage.</w:t>
      </w:r>
    </w:p>
    <w:p>
      <w:pPr>
        <w:pStyle w:val="Normal"/>
        <w:spacing w:lineRule="auto" w:line="240" w:before="0" w:after="0"/>
        <w:rPr>
          <w:rFonts w:ascii="Arial" w:hAnsi="Arial" w:cs="Arial"/>
          <w:b/>
          <w:bCs/>
        </w:rPr>
      </w:pPr>
      <w:r>
        <w:rPr>
          <w:rFonts w:cs="Arial" w:ascii="Arial" w:hAnsi="Arial"/>
          <w:b/>
          <w:bCs/>
        </w:rPr>
      </w:r>
    </w:p>
    <w:p>
      <w:pPr>
        <w:pStyle w:val="Normal"/>
        <w:spacing w:lineRule="auto" w:line="240" w:before="0" w:after="0"/>
        <w:rPr>
          <w:rFonts w:ascii="Arial" w:hAnsi="Arial" w:cs="Arial"/>
          <w:b/>
          <w:bCs/>
        </w:rPr>
      </w:pPr>
      <w:r>
        <w:rPr>
          <w:rFonts w:cs="Arial" w:ascii="Arial" w:hAnsi="Arial"/>
          <w:b/>
          <w:bCs/>
        </w:rPr>
        <w:t>ARTICLE 5 – REGIME SOCIAL ET FISCAL</w:t>
      </w:r>
    </w:p>
    <w:p>
      <w:pPr>
        <w:pStyle w:val="Normal"/>
        <w:spacing w:lineRule="auto" w:line="240" w:before="0" w:after="0"/>
        <w:rPr>
          <w:rFonts w:ascii="Arial" w:hAnsi="Arial" w:cs="Arial"/>
          <w:b/>
          <w:bCs/>
        </w:rPr>
      </w:pPr>
      <w:r>
        <w:rPr>
          <w:rFonts w:cs="Arial" w:ascii="Arial" w:hAnsi="Arial"/>
          <w:b/>
          <w:bCs/>
        </w:rPr>
      </w:r>
    </w:p>
    <w:p>
      <w:pPr>
        <w:pStyle w:val="Normal"/>
        <w:spacing w:lineRule="auto" w:line="240" w:before="0" w:after="0"/>
        <w:rPr>
          <w:rFonts w:ascii="Arial" w:hAnsi="Arial" w:cs="Arial"/>
        </w:rPr>
      </w:pPr>
      <w:r>
        <w:rPr>
          <w:rFonts w:cs="Arial" w:ascii="Arial" w:hAnsi="Arial"/>
        </w:rPr>
        <w:t>Le montant prévu à l’article 2 est exonéré (indépendamment de la rémunération du salarié), de toutes les cotisations sociales d’origines légale ou conventionnelle à la charge du salarié et de l’employeur ainsi que des participations, taxes et contributions prévues à l’article 235 bis du code général des Impôts et à l’article L.6131-1 du code du travail.</w:t>
      </w:r>
    </w:p>
    <w:p>
      <w:pPr>
        <w:pStyle w:val="Normal"/>
        <w:spacing w:lineRule="auto" w:line="240" w:before="0" w:after="0"/>
        <w:rPr>
          <w:rFonts w:ascii="Arial" w:hAnsi="Arial" w:cs="Arial"/>
        </w:rPr>
      </w:pPr>
      <w:r>
        <w:rPr>
          <w:rFonts w:cs="Arial" w:ascii="Arial" w:hAnsi="Arial"/>
        </w:rPr>
      </w:r>
    </w:p>
    <w:p>
      <w:pPr>
        <w:pStyle w:val="Normal"/>
        <w:spacing w:lineRule="auto" w:line="240" w:before="0" w:after="0"/>
        <w:rPr>
          <w:rFonts w:ascii="Arial" w:hAnsi="Arial" w:cs="Arial"/>
        </w:rPr>
      </w:pPr>
      <w:r>
        <w:rPr>
          <w:rFonts w:cs="Arial" w:ascii="Arial" w:hAnsi="Arial"/>
        </w:rPr>
        <w:t>Elle demeure en revanche soumise à :</w:t>
      </w:r>
    </w:p>
    <w:p>
      <w:pPr>
        <w:pStyle w:val="Normal"/>
        <w:spacing w:lineRule="auto" w:line="240" w:before="0" w:after="0"/>
        <w:rPr>
          <w:rFonts w:ascii="Arial" w:hAnsi="Arial" w:cs="Arial"/>
        </w:rPr>
      </w:pPr>
      <w:r>
        <w:rPr>
          <w:rFonts w:cs="Arial" w:ascii="Arial" w:hAnsi="Arial"/>
        </w:rPr>
      </w:r>
    </w:p>
    <w:p>
      <w:pPr>
        <w:pStyle w:val="ListParagraph"/>
        <w:numPr>
          <w:ilvl w:val="0"/>
          <w:numId w:val="2"/>
        </w:numPr>
        <w:spacing w:lineRule="auto" w:line="240" w:before="0" w:after="0"/>
        <w:contextualSpacing/>
        <w:rPr>
          <w:rFonts w:ascii="Arial" w:hAnsi="Arial" w:cs="Arial"/>
        </w:rPr>
      </w:pPr>
      <w:r>
        <w:rPr>
          <w:rFonts w:cs="Arial" w:ascii="Arial" w:hAnsi="Arial"/>
        </w:rPr>
        <w:t>CSG et CRDS,</w:t>
      </w:r>
    </w:p>
    <w:p>
      <w:pPr>
        <w:pStyle w:val="ListParagraph"/>
        <w:numPr>
          <w:ilvl w:val="0"/>
          <w:numId w:val="2"/>
        </w:numPr>
        <w:spacing w:lineRule="auto" w:line="240" w:before="0" w:after="0"/>
        <w:contextualSpacing/>
        <w:rPr>
          <w:rFonts w:ascii="Arial" w:hAnsi="Arial" w:cs="Arial"/>
        </w:rPr>
      </w:pPr>
      <w:r>
        <w:rPr>
          <w:rFonts w:cs="Arial" w:ascii="Arial" w:hAnsi="Arial"/>
        </w:rPr>
        <w:t>Impôt sur le revenu sauf en cas d’affectation sur un plan d’épargne salariale ou retraite dans la limite de 3000€ ou 6000€.</w:t>
      </w:r>
    </w:p>
    <w:p>
      <w:pPr>
        <w:pStyle w:val="Normal"/>
        <w:spacing w:lineRule="auto" w:line="240" w:before="0" w:after="0"/>
        <w:rPr>
          <w:rFonts w:ascii="Arial" w:hAnsi="Arial" w:cs="Arial"/>
        </w:rPr>
      </w:pPr>
      <w:r>
        <w:rPr>
          <w:rFonts w:cs="Arial" w:ascii="Arial" w:hAnsi="Arial"/>
        </w:rPr>
      </w:r>
    </w:p>
    <w:p>
      <w:pPr>
        <w:pStyle w:val="Normal"/>
        <w:spacing w:lineRule="auto" w:line="240" w:before="0" w:after="0"/>
        <w:rPr>
          <w:rFonts w:ascii="Arial" w:hAnsi="Arial" w:cs="Arial"/>
        </w:rPr>
      </w:pPr>
      <w:r>
        <w:rPr>
          <w:rFonts w:cs="Arial" w:ascii="Arial" w:hAnsi="Arial"/>
        </w:rPr>
        <w:t>La prime de partage de la valeur est incluse dans le montant du revenu fiscal de référence défini au 1° du IV de l’article 1417 du code général des Impôts, pour le calcul des prestations sociales.</w:t>
      </w:r>
    </w:p>
    <w:p>
      <w:pPr>
        <w:pStyle w:val="Normal"/>
        <w:spacing w:lineRule="auto" w:line="240" w:before="0" w:after="0"/>
        <w:rPr>
          <w:rFonts w:ascii="Arial" w:hAnsi="Arial" w:cs="Arial"/>
        </w:rPr>
      </w:pPr>
      <w:r>
        <w:rPr>
          <w:rFonts w:cs="Arial" w:ascii="Arial" w:hAnsi="Arial"/>
        </w:rPr>
      </w:r>
    </w:p>
    <w:p>
      <w:pPr>
        <w:pStyle w:val="Normal"/>
        <w:spacing w:lineRule="auto" w:line="240" w:before="0" w:after="0"/>
        <w:rPr>
          <w:rFonts w:ascii="Arial" w:hAnsi="Arial" w:cs="Arial"/>
          <w:b/>
          <w:bCs/>
        </w:rPr>
      </w:pPr>
      <w:r>
        <w:rPr>
          <w:rFonts w:cs="Arial" w:ascii="Arial" w:hAnsi="Arial"/>
          <w:b/>
          <w:bCs/>
        </w:rPr>
        <w:t>ARTICLE 6 – DUREE DE L’ACCORD</w:t>
      </w:r>
    </w:p>
    <w:p>
      <w:pPr>
        <w:pStyle w:val="Normal"/>
        <w:spacing w:lineRule="auto" w:line="240" w:before="0" w:after="0"/>
        <w:rPr>
          <w:rFonts w:ascii="Arial" w:hAnsi="Arial" w:cs="Arial"/>
        </w:rPr>
      </w:pPr>
      <w:r>
        <w:rPr>
          <w:rFonts w:cs="Arial" w:ascii="Arial" w:hAnsi="Arial"/>
        </w:rPr>
      </w:r>
    </w:p>
    <w:p>
      <w:pPr>
        <w:pStyle w:val="Normal"/>
        <w:spacing w:lineRule="auto" w:line="240" w:before="0" w:after="0"/>
        <w:rPr>
          <w:rFonts w:ascii="Arial" w:hAnsi="Arial" w:cs="Arial"/>
        </w:rPr>
      </w:pPr>
      <w:r>
        <w:rPr>
          <w:rFonts w:cs="Arial" w:ascii="Arial" w:hAnsi="Arial"/>
        </w:rPr>
        <w:t>Le présent accord est conclu pour une durée déterminée de trois mois à compter de son entrée en vigueur.</w:t>
      </w:r>
    </w:p>
    <w:p>
      <w:pPr>
        <w:pStyle w:val="Normal"/>
        <w:spacing w:lineRule="auto" w:line="240" w:before="0" w:after="0"/>
        <w:rPr>
          <w:rFonts w:ascii="Arial" w:hAnsi="Arial" w:cs="Arial"/>
        </w:rPr>
      </w:pPr>
      <w:r>
        <w:rPr>
          <w:rFonts w:cs="Arial" w:ascii="Arial" w:hAnsi="Arial"/>
        </w:rPr>
      </w:r>
    </w:p>
    <w:p>
      <w:pPr>
        <w:pStyle w:val="Normal"/>
        <w:spacing w:lineRule="auto" w:line="240" w:before="0" w:after="0"/>
        <w:rPr>
          <w:rFonts w:ascii="Arial" w:hAnsi="Arial" w:cs="Arial"/>
          <w:b/>
          <w:bCs/>
        </w:rPr>
      </w:pPr>
      <w:r>
        <w:rPr>
          <w:rFonts w:cs="Arial" w:ascii="Arial" w:hAnsi="Arial"/>
          <w:b/>
          <w:bCs/>
        </w:rPr>
        <w:t>ARTICLE 7 – FORMALITES DE NOTIFICATION, PUBLICITE ET DE DEPOT</w:t>
      </w:r>
    </w:p>
    <w:p>
      <w:pPr>
        <w:pStyle w:val="Normal"/>
        <w:spacing w:lineRule="auto" w:line="240" w:before="0" w:after="0"/>
        <w:rPr>
          <w:rFonts w:ascii="Arial" w:hAnsi="Arial" w:cs="Arial"/>
          <w:b/>
          <w:bCs/>
        </w:rPr>
      </w:pPr>
      <w:r>
        <w:rPr>
          <w:rFonts w:cs="Arial" w:ascii="Arial" w:hAnsi="Arial"/>
          <w:b/>
          <w:bCs/>
        </w:rPr>
      </w:r>
    </w:p>
    <w:p>
      <w:pPr>
        <w:pStyle w:val="ElAppp"/>
        <w:spacing w:before="75" w:after="75"/>
        <w:ind w:left="15" w:right="15"/>
        <w:rPr>
          <w:sz w:val="22"/>
          <w:szCs w:val="22"/>
        </w:rPr>
      </w:pPr>
      <w:r>
        <w:rPr>
          <w:sz w:val="22"/>
          <w:szCs w:val="22"/>
        </w:rPr>
        <w:t>Conformément à l’article L.2231-5 du code du travail, le présent accord sera notifié à chacune des organisations représentatives.</w:t>
      </w:r>
    </w:p>
    <w:p>
      <w:pPr>
        <w:pStyle w:val="ElAppp"/>
        <w:spacing w:before="75" w:after="75"/>
        <w:ind w:left="15" w:right="15"/>
        <w:rPr>
          <w:sz w:val="22"/>
          <w:szCs w:val="22"/>
        </w:rPr>
      </w:pPr>
      <w:r>
        <w:rPr>
          <w:sz w:val="22"/>
          <w:szCs w:val="22"/>
        </w:rPr>
      </w:r>
    </w:p>
    <w:p>
      <w:pPr>
        <w:pStyle w:val="ElAppp"/>
        <w:spacing w:before="75" w:after="75"/>
        <w:ind w:left="15" w:right="15"/>
        <w:rPr>
          <w:sz w:val="22"/>
          <w:szCs w:val="22"/>
        </w:rPr>
      </w:pPr>
      <w:r>
        <w:rPr>
          <w:sz w:val="22"/>
          <w:szCs w:val="22"/>
        </w:rPr>
        <w:t xml:space="preserve">Le présent accord sera déposé par l'entreprise sur la plateforme Télé Accords du ministère du travail. </w:t>
      </w:r>
    </w:p>
    <w:p>
      <w:pPr>
        <w:pStyle w:val="ElAppp"/>
        <w:spacing w:before="75" w:after="75"/>
        <w:ind w:left="15" w:right="15"/>
        <w:rPr>
          <w:sz w:val="22"/>
          <w:szCs w:val="22"/>
        </w:rPr>
      </w:pPr>
      <w:r>
        <w:rPr>
          <w:sz w:val="22"/>
          <w:szCs w:val="22"/>
        </w:rPr>
      </w:r>
    </w:p>
    <w:p>
      <w:pPr>
        <w:pStyle w:val="ElAppp"/>
        <w:spacing w:before="75" w:after="75"/>
        <w:ind w:left="15" w:right="15"/>
        <w:rPr>
          <w:sz w:val="22"/>
          <w:szCs w:val="22"/>
        </w:rPr>
      </w:pPr>
      <w:r>
        <w:rPr>
          <w:sz w:val="22"/>
          <w:szCs w:val="22"/>
        </w:rPr>
        <w:t>Un exemplaire sera également déposé au greffe du conseil de prud'hommes de la Rochelle.</w:t>
      </w:r>
    </w:p>
    <w:p>
      <w:pPr>
        <w:pStyle w:val="ElAppp"/>
        <w:spacing w:before="75" w:after="75"/>
        <w:ind w:left="15" w:right="15"/>
        <w:rPr>
          <w:sz w:val="22"/>
          <w:szCs w:val="22"/>
        </w:rPr>
      </w:pPr>
      <w:r>
        <w:rPr>
          <w:sz w:val="22"/>
          <w:szCs w:val="22"/>
        </w:rPr>
      </w:r>
    </w:p>
    <w:p>
      <w:pPr>
        <w:pStyle w:val="ElAppp"/>
        <w:spacing w:before="75" w:after="75"/>
        <w:ind w:left="15" w:right="15"/>
        <w:rPr>
          <w:sz w:val="22"/>
          <w:szCs w:val="22"/>
        </w:rPr>
      </w:pPr>
      <w:r>
        <w:rPr>
          <w:sz w:val="22"/>
          <w:szCs w:val="22"/>
        </w:rPr>
        <w:t>Fait à La Rochelle, le 18 juillet 2025</w:t>
      </w:r>
    </w:p>
    <w:p>
      <w:pPr>
        <w:pStyle w:val="Normal"/>
        <w:spacing w:lineRule="auto" w:line="240" w:before="0" w:after="0"/>
        <w:rPr>
          <w:rFonts w:ascii="Arial" w:hAnsi="Arial" w:cs="Arial"/>
        </w:rPr>
      </w:pPr>
      <w:r>
        <w:rPr>
          <w:rFonts w:cs="Arial" w:ascii="Arial" w:hAnsi="Arial"/>
        </w:rPr>
      </w:r>
    </w:p>
    <w:p>
      <w:pPr>
        <w:pStyle w:val="Normal"/>
        <w:spacing w:lineRule="auto" w:line="240" w:before="0" w:after="0"/>
        <w:rPr>
          <w:rFonts w:ascii="Arial" w:hAnsi="Arial" w:cs="Arial"/>
        </w:rPr>
      </w:pPr>
      <w:r>
        <w:rPr>
          <w:rFonts w:cs="Arial" w:ascii="Arial" w:hAnsi="Arial"/>
        </w:rPr>
        <w:t xml:space="preserve">Pour la société :  </w:t>
        <w:tab/>
        <w:tab/>
        <w:tab/>
        <w:tab/>
        <w:tab/>
        <w:tab/>
        <w:tab/>
        <w:t>Pour le CSE :</w:t>
      </w:r>
    </w:p>
    <w:p>
      <w:pPr>
        <w:pStyle w:val="Normal"/>
        <w:spacing w:lineRule="auto" w:line="240" w:before="0" w:after="0"/>
        <w:rPr>
          <w:rFonts w:ascii="Arial" w:hAnsi="Arial" w:cs="Arial"/>
        </w:rPr>
      </w:pPr>
      <w:r>
        <w:rPr>
          <w:rFonts w:cs="Arial" w:ascii="Arial" w:hAnsi="Arial"/>
        </w:rPr>
      </w:r>
    </w:p>
    <w:p>
      <w:pPr>
        <w:pStyle w:val="Normal"/>
        <w:spacing w:lineRule="auto" w:line="240" w:before="0" w:after="0"/>
        <w:rPr>
          <w:rFonts w:ascii="Arial" w:hAnsi="Arial" w:cs="Arial"/>
        </w:rPr>
      </w:pPr>
      <w:r>
        <w:rPr>
          <w:rFonts w:cs="Arial" w:ascii="Arial" w:hAnsi="Arial"/>
          <w:b/>
          <w:bCs/>
        </w:rPr>
        <w:t xml:space="preserve">                                                     </w:t>
      </w:r>
    </w:p>
    <w:p>
      <w:pPr>
        <w:pStyle w:val="Normal"/>
        <w:spacing w:lineRule="auto" w:line="240" w:before="0" w:after="0"/>
        <w:rPr>
          <w:rFonts w:ascii="Arial" w:hAnsi="Arial" w:eastAsia="VAG Rounded Std" w:cs="Arial"/>
          <w:b/>
          <w:color w:val="000000"/>
          <w:sz w:val="40"/>
          <w:szCs w:val="24"/>
          <w:lang w:eastAsia="fr-FR"/>
        </w:rPr>
      </w:pPr>
      <w:r>
        <w:rPr>
          <w:rFonts w:cs="Arial" w:ascii="Arial" w:hAnsi="Arial"/>
          <w:bCs/>
        </w:rPr>
        <w:t>Directeur Général</w:t>
        <w:tab/>
        <w:tab/>
        <w:tab/>
        <w:tab/>
        <w:tab/>
        <w:tab/>
        <w:tab/>
        <w:t>Secrétaire du CSE</w:t>
        <w:tab/>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873" w:right="873" w:gutter="0" w:header="1871" w:top="1928" w:footer="1871" w:bottom="1928"/>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VAG Rounded Std">
    <w:charset w:val="01"/>
    <w:family w:val="auto"/>
    <w:pitch w:val="default"/>
  </w:font>
  <w:font w:name="Consolas">
    <w:charset w:val="01"/>
    <w:family w:val="auto"/>
    <w:pitch w:val="default"/>
  </w:font>
  <w:font w:name="Marianne">
    <w:charset w:val="01"/>
    <w:family w:val="auto"/>
    <w:pitch w:val="default"/>
  </w:font>
  <w:font w:name="Arial">
    <w:charset w:val="01"/>
    <w:family w:val="auto"/>
    <w:pitch w:val="default"/>
  </w:font>
  <w:font w:name="Arial Unicode MS">
    <w:charset w:val="01"/>
    <w:family w:val="auto"/>
    <w:pitch w:val="default"/>
  </w:font>
  <w:font w:name="Times New Roman">
    <w:charset w:val="01"/>
    <w:family w:val="auto"/>
    <w:pitch w:val="default"/>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drawing>
        <wp:anchor behindDoc="1" distT="0" distB="0" distL="0" distR="0" simplePos="0" locked="0" layoutInCell="0" allowOverlap="1" relativeHeight="7">
          <wp:simplePos x="0" y="0"/>
          <wp:positionH relativeFrom="margin">
            <wp:align>center</wp:align>
          </wp:positionH>
          <wp:positionV relativeFrom="paragraph">
            <wp:posOffset>57785</wp:posOffset>
          </wp:positionV>
          <wp:extent cx="7577455" cy="1297940"/>
          <wp:effectExtent l="0" t="0" r="0" b="0"/>
          <wp:wrapNone/>
          <wp:docPr id="3" name="Imag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
                  <pic:cNvPicPr>
                    <a:picLocks noChangeAspect="1" noChangeArrowheads="1"/>
                  </pic:cNvPicPr>
                </pic:nvPicPr>
                <pic:blipFill>
                  <a:blip r:embed="rId1"/>
                  <a:stretch>
                    <a:fillRect/>
                  </a:stretch>
                </pic:blipFill>
                <pic:spPr bwMode="auto">
                  <a:xfrm>
                    <a:off x="0" y="0"/>
                    <a:ext cx="7577455" cy="1297940"/>
                  </a:xfrm>
                  <a:prstGeom prst="rect">
                    <a:avLst/>
                  </a:prstGeom>
                </pic:spPr>
              </pic:pic>
            </a:graphicData>
          </a:graphic>
        </wp:anchor>
      </w:drawing>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drawing>
        <wp:anchor behindDoc="1" distT="0" distB="0" distL="0" distR="0" simplePos="0" locked="0" layoutInCell="0" allowOverlap="1" relativeHeight="3">
          <wp:simplePos x="0" y="0"/>
          <wp:positionH relativeFrom="margin">
            <wp:align>center</wp:align>
          </wp:positionH>
          <wp:positionV relativeFrom="paragraph">
            <wp:posOffset>19685</wp:posOffset>
          </wp:positionV>
          <wp:extent cx="7596505" cy="1332230"/>
          <wp:effectExtent l="0" t="0" r="0" b="0"/>
          <wp:wrapNone/>
          <wp:docPr id="4" name="Imag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2" descr=""/>
                  <pic:cNvPicPr>
                    <a:picLocks noChangeAspect="1" noChangeArrowheads="1"/>
                  </pic:cNvPicPr>
                </pic:nvPicPr>
                <pic:blipFill>
                  <a:blip r:embed="rId1"/>
                  <a:stretch>
                    <a:fillRect/>
                  </a:stretch>
                </pic:blipFill>
                <pic:spPr bwMode="auto">
                  <a:xfrm>
                    <a:off x="0" y="0"/>
                    <a:ext cx="7596505" cy="1332230"/>
                  </a:xfrm>
                  <a:prstGeom prst="rect">
                    <a:avLst/>
                  </a:prstGeom>
                </pic:spPr>
              </pic:pic>
            </a:graphicData>
          </a:graphic>
        </wp:anchor>
      </w:drawing>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0" allowOverlap="1" relativeHeight="5">
          <wp:simplePos x="0" y="0"/>
          <wp:positionH relativeFrom="margin">
            <wp:posOffset>-554355</wp:posOffset>
          </wp:positionH>
          <wp:positionV relativeFrom="margin">
            <wp:posOffset>-1348105</wp:posOffset>
          </wp:positionV>
          <wp:extent cx="7598410" cy="1314450"/>
          <wp:effectExtent l="0" t="0" r="0" b="0"/>
          <wp:wrapNone/>
          <wp:docPr id="1" name="Imag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5" descr=""/>
                  <pic:cNvPicPr>
                    <a:picLocks noChangeAspect="1" noChangeArrowheads="1"/>
                  </pic:cNvPicPr>
                </pic:nvPicPr>
                <pic:blipFill>
                  <a:blip r:embed="rId1"/>
                  <a:stretch>
                    <a:fillRect/>
                  </a:stretch>
                </pic:blipFill>
                <pic:spPr bwMode="auto">
                  <a:xfrm>
                    <a:off x="0" y="0"/>
                    <a:ext cx="7598410" cy="1314450"/>
                  </a:xfrm>
                  <a:prstGeom prst="rect">
                    <a:avLst/>
                  </a:prstGeom>
                </pic:spPr>
              </pic:pic>
            </a:graphicData>
          </a:graphic>
        </wp:anchor>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0" allowOverlap="1" relativeHeight="2">
          <wp:simplePos x="0" y="0"/>
          <wp:positionH relativeFrom="margin">
            <wp:align>center</wp:align>
          </wp:positionH>
          <wp:positionV relativeFrom="paragraph">
            <wp:posOffset>-1178560</wp:posOffset>
          </wp:positionV>
          <wp:extent cx="7598410" cy="1314450"/>
          <wp:effectExtent l="0" t="0" r="0" b="0"/>
          <wp:wrapNone/>
          <wp:docPr id="2" name="Imag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1" descr=""/>
                  <pic:cNvPicPr>
                    <a:picLocks noChangeAspect="1" noChangeArrowheads="1"/>
                  </pic:cNvPicPr>
                </pic:nvPicPr>
                <pic:blipFill>
                  <a:blip r:embed="rId1"/>
                  <a:stretch>
                    <a:fillRect/>
                  </a:stretch>
                </pic:blipFill>
                <pic:spPr bwMode="auto">
                  <a:xfrm>
                    <a:off x="0" y="0"/>
                    <a:ext cx="7598410" cy="131445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fr-FR"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01780"/>
    <w:pPr>
      <w:widowControl/>
      <w:bidi w:val="0"/>
      <w:spacing w:lineRule="auto" w:line="259" w:before="0" w:after="160"/>
      <w:jc w:val="left"/>
    </w:pPr>
    <w:rPr>
      <w:rFonts w:ascii="Calibri" w:hAnsi="Calibri" w:eastAsia="Calibri" w:cs=""/>
      <w:color w:val="auto"/>
      <w:kern w:val="0"/>
      <w:sz w:val="22"/>
      <w:szCs w:val="22"/>
      <w:lang w:val="fr-FR" w:eastAsia="en-US" w:bidi="ar-SA"/>
      <w14:ligatures w14:val="none"/>
    </w:rPr>
  </w:style>
  <w:style w:type="paragraph" w:styleId="Heading1">
    <w:name w:val="Heading 1"/>
    <w:next w:val="Normal"/>
    <w:link w:val="Titre1Car"/>
    <w:uiPriority w:val="9"/>
    <w:qFormat/>
    <w:rsid w:val="00402293"/>
    <w:pPr>
      <w:keepNext w:val="true"/>
      <w:keepLines/>
      <w:widowControl/>
      <w:bidi w:val="0"/>
      <w:spacing w:lineRule="auto" w:line="259" w:before="0" w:after="0"/>
      <w:ind w:left="662"/>
      <w:jc w:val="center"/>
      <w:outlineLvl w:val="0"/>
    </w:pPr>
    <w:rPr>
      <w:rFonts w:ascii="VAG Rounded Std" w:hAnsi="VAG Rounded Std" w:eastAsia="VAG Rounded Std" w:cs="VAG Rounded Std"/>
      <w:b/>
      <w:color w:val="000000"/>
      <w:kern w:val="2"/>
      <w:sz w:val="40"/>
      <w:szCs w:val="24"/>
      <w:lang w:eastAsia="fr-FR" w:val="fr-FR" w:bidi="ar-SA"/>
    </w:rPr>
  </w:style>
  <w:style w:type="character" w:styleId="DefaultParagraphFont" w:default="1">
    <w:name w:val="Default Paragraph Font"/>
    <w:uiPriority w:val="1"/>
    <w:semiHidden/>
    <w:unhideWhenUsed/>
    <w:qFormat/>
    <w:rPr/>
  </w:style>
  <w:style w:type="character" w:styleId="En-tteCar" w:customStyle="1">
    <w:name w:val="En-tête Car"/>
    <w:basedOn w:val="DefaultParagraphFont"/>
    <w:uiPriority w:val="99"/>
    <w:qFormat/>
    <w:rsid w:val="002d3b90"/>
    <w:rPr/>
  </w:style>
  <w:style w:type="character" w:styleId="PieddepageCar" w:customStyle="1">
    <w:name w:val="Pied de page Car"/>
    <w:basedOn w:val="DefaultParagraphFont"/>
    <w:uiPriority w:val="99"/>
    <w:qFormat/>
    <w:rsid w:val="002d3b90"/>
    <w:rPr/>
  </w:style>
  <w:style w:type="character" w:styleId="Titre1Car" w:customStyle="1">
    <w:name w:val="Titre 1 Car"/>
    <w:basedOn w:val="DefaultParagraphFont"/>
    <w:uiPriority w:val="9"/>
    <w:qFormat/>
    <w:rsid w:val="00402293"/>
    <w:rPr>
      <w:rFonts w:ascii="VAG Rounded Std" w:hAnsi="VAG Rounded Std" w:eastAsia="VAG Rounded Std" w:cs="VAG Rounded Std"/>
      <w:b/>
      <w:color w:val="000000"/>
      <w:sz w:val="40"/>
      <w:szCs w:val="24"/>
      <w:lang w:eastAsia="fr-FR"/>
    </w:rPr>
  </w:style>
  <w:style w:type="character" w:styleId="TextebrutCar" w:customStyle="1">
    <w:name w:val="Texte brut Car"/>
    <w:basedOn w:val="DefaultParagraphFont"/>
    <w:link w:val="PlainText"/>
    <w:uiPriority w:val="99"/>
    <w:semiHidden/>
    <w:qFormat/>
    <w:rsid w:val="00e27729"/>
    <w:rPr>
      <w:rFonts w:ascii="Consolas" w:hAnsi="Consolas"/>
      <w:kern w:val="0"/>
      <w:sz w:val="21"/>
      <w:szCs w:val="21"/>
      <w14:ligatures w14:val="none"/>
    </w:rPr>
  </w:style>
  <w:style w:type="character" w:styleId="ElApptexteDP02" w:customStyle="1">
    <w:name w:val="ElApp_texteDP02"/>
    <w:qFormat/>
    <w:rsid w:val="00cc4694"/>
    <w:rPr>
      <w:color w:val="ED171F"/>
    </w:rPr>
  </w:style>
  <w:style w:type="character" w:styleId="ElApplarge" w:customStyle="1">
    <w:name w:val="ElApp_large"/>
    <w:qFormat/>
    <w:rsid w:val="00cc4694"/>
    <w:rPr>
      <w:sz w:val="27"/>
      <w:szCs w:val="27"/>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arianne" w:hAnsi="Marianne" w:cs="Lucida Sans"/>
    </w:rPr>
  </w:style>
  <w:style w:type="paragraph" w:styleId="Caption">
    <w:name w:val="Caption"/>
    <w:basedOn w:val="Normal"/>
    <w:qFormat/>
    <w:pPr>
      <w:suppressLineNumbers/>
      <w:spacing w:before="120" w:after="120"/>
    </w:pPr>
    <w:rPr>
      <w:rFonts w:ascii="Marianne" w:hAnsi="Marianne" w:cs="Lucida Sans"/>
      <w:i/>
      <w:iCs/>
      <w:sz w:val="24"/>
      <w:szCs w:val="24"/>
    </w:rPr>
  </w:style>
  <w:style w:type="paragraph" w:styleId="Index">
    <w:name w:val="Index"/>
    <w:basedOn w:val="Normal"/>
    <w:qFormat/>
    <w:pPr>
      <w:suppressLineNumbers/>
    </w:pPr>
    <w:rPr>
      <w:rFonts w:ascii="Marianne" w:hAnsi="Marianne" w:cs="Lucida Sans"/>
    </w:rPr>
  </w:style>
  <w:style w:type="paragraph" w:styleId="HeaderandFooter">
    <w:name w:val="Header and Footer"/>
    <w:basedOn w:val="Normal"/>
    <w:qFormat/>
    <w:pPr/>
    <w:rPr/>
  </w:style>
  <w:style w:type="paragraph" w:styleId="Header">
    <w:name w:val="Header"/>
    <w:basedOn w:val="Normal"/>
    <w:link w:val="En-tteCar"/>
    <w:uiPriority w:val="99"/>
    <w:unhideWhenUsed/>
    <w:rsid w:val="002d3b90"/>
    <w:pPr>
      <w:tabs>
        <w:tab w:val="clear" w:pos="708"/>
        <w:tab w:val="center" w:pos="4536" w:leader="none"/>
        <w:tab w:val="right" w:pos="9072" w:leader="none"/>
      </w:tabs>
      <w:spacing w:lineRule="auto" w:line="240" w:before="0" w:after="0"/>
    </w:pPr>
    <w:rPr>
      <w:kern w:val="2"/>
      <w14:ligatures w14:val="standardContextual"/>
    </w:rPr>
  </w:style>
  <w:style w:type="paragraph" w:styleId="Footer">
    <w:name w:val="Footer"/>
    <w:basedOn w:val="Normal"/>
    <w:link w:val="PieddepageCar"/>
    <w:uiPriority w:val="99"/>
    <w:unhideWhenUsed/>
    <w:rsid w:val="002d3b90"/>
    <w:pPr>
      <w:tabs>
        <w:tab w:val="clear" w:pos="708"/>
        <w:tab w:val="center" w:pos="4536" w:leader="none"/>
        <w:tab w:val="right" w:pos="9072" w:leader="none"/>
      </w:tabs>
      <w:spacing w:lineRule="auto" w:line="240" w:before="0" w:after="0"/>
    </w:pPr>
    <w:rPr>
      <w:kern w:val="2"/>
      <w14:ligatures w14:val="standardContextual"/>
    </w:rPr>
  </w:style>
  <w:style w:type="paragraph" w:styleId="ListParagraph">
    <w:name w:val="List Paragraph"/>
    <w:basedOn w:val="Normal"/>
    <w:uiPriority w:val="34"/>
    <w:qFormat/>
    <w:rsid w:val="006924cf"/>
    <w:pPr>
      <w:spacing w:before="0" w:after="160"/>
      <w:ind w:left="720"/>
      <w:contextualSpacing/>
    </w:pPr>
    <w:rPr>
      <w:kern w:val="2"/>
      <w14:ligatures w14:val="standardContextual"/>
    </w:rPr>
  </w:style>
  <w:style w:type="paragraph" w:styleId="ElAppp" w:customStyle="1">
    <w:name w:val="ElApp_p"/>
    <w:basedOn w:val="Normal"/>
    <w:qFormat/>
    <w:rsid w:val="00261dbc"/>
    <w:pPr>
      <w:spacing w:lineRule="auto" w:line="240" w:before="0" w:after="0"/>
    </w:pPr>
    <w:rPr>
      <w:rFonts w:ascii="Arial" w:hAnsi="Arial" w:eastAsia="Arial" w:cs="Arial"/>
      <w:sz w:val="15"/>
      <w:szCs w:val="15"/>
      <w:lang w:eastAsia="fr-FR"/>
    </w:rPr>
  </w:style>
  <w:style w:type="paragraph" w:styleId="spip" w:customStyle="1">
    <w:name w:val="spip"/>
    <w:basedOn w:val="Normal"/>
    <w:qFormat/>
    <w:rsid w:val="00402738"/>
    <w:pPr>
      <w:spacing w:lineRule="auto" w:line="240" w:beforeAutospacing="1" w:afterAutospacing="1"/>
    </w:pPr>
    <w:rPr>
      <w:rFonts w:ascii="Arial Unicode MS" w:hAnsi="Arial Unicode MS" w:eastAsia="Arial Unicode MS" w:cs="Arial Unicode MS"/>
      <w:color w:val="000000"/>
      <w:sz w:val="24"/>
      <w:szCs w:val="24"/>
      <w:lang w:eastAsia="fr-FR"/>
    </w:rPr>
  </w:style>
  <w:style w:type="paragraph" w:styleId="texte" w:customStyle="1">
    <w:name w:val="texte"/>
    <w:basedOn w:val="PlainText"/>
    <w:qFormat/>
    <w:rsid w:val="00e27729"/>
    <w:pPr>
      <w:jc w:val="both"/>
    </w:pPr>
    <w:rPr>
      <w:rFonts w:ascii="Arial" w:hAnsi="Arial" w:eastAsia="MS Mincho" w:cs="Arial"/>
      <w:sz w:val="22"/>
      <w:szCs w:val="20"/>
      <w:lang w:eastAsia="fr-FR"/>
    </w:rPr>
  </w:style>
  <w:style w:type="paragraph" w:styleId="PlainText">
    <w:name w:val="Plain Text"/>
    <w:basedOn w:val="Normal"/>
    <w:link w:val="TextebrutCar"/>
    <w:uiPriority w:val="99"/>
    <w:semiHidden/>
    <w:unhideWhenUsed/>
    <w:qFormat/>
    <w:rsid w:val="00e27729"/>
    <w:pPr>
      <w:spacing w:lineRule="auto" w:line="240" w:before="0" w:after="0"/>
    </w:pPr>
    <w:rPr>
      <w:rFonts w:ascii="Consolas" w:hAnsi="Consolas"/>
      <w:sz w:val="21"/>
      <w:szCs w:val="21"/>
    </w:rPr>
  </w:style>
  <w:style w:type="paragraph" w:styleId="ElAppchoix" w:customStyle="1">
    <w:name w:val="ElApp_choix"/>
    <w:basedOn w:val="Normal"/>
    <w:qFormat/>
    <w:rsid w:val="00cc4694"/>
    <w:pPr>
      <w:spacing w:lineRule="auto" w:line="240" w:before="0" w:after="0"/>
    </w:pPr>
    <w:rPr>
      <w:rFonts w:ascii="Times New Roman" w:hAnsi="Times New Roman" w:eastAsia="Times New Roman" w:cs="Times New Roman"/>
      <w:sz w:val="24"/>
      <w:szCs w:val="24"/>
      <w:lang w:eastAsia="fr-F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customStyle="1" w:styleId="TableGrid">
    <w:name w:val="TableGrid"/>
    <w:rsid w:val="00763582"/>
    <w:pPr>
      <w:spacing w:after="0" w:line="240" w:lineRule="auto"/>
    </w:pPr>
    <w:rPr>
      <w:rFonts w:eastAsiaTheme="minorEastAsia"/>
      <w:lang w:eastAsia="fr-FR"/>
      <w:sz w:val="24"/>
      <w:szCs w:val="24"/>
    </w:rPr>
    <w:tblPr>
      <w:tblCellMar>
        <w:top w:w="0" w:type="dxa"/>
        <w:left w:w="0" w:type="dxa"/>
        <w:bottom w:w="0" w:type="dxa"/>
        <w:right w:w="0" w:type="dxa"/>
      </w:tblCellMar>
    </w:tblPr>
  </w:style>
  <w:style w:type="table" w:styleId="Grilledutableau">
    <w:name w:val="Table Grid"/>
    <w:basedOn w:val="TableauNormal"/>
    <w:uiPriority w:val="39"/>
    <w:rsid w:val="00bc24a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Relationship Id="rId15" Type="http://schemas.openxmlformats.org/officeDocument/2006/relationships/customXml" Target="../customXml/item4.xml"/>
</Relationships>
</file>

<file path=word/_rels/footer2.xml.rels><?xml version="1.0" encoding="UTF-8"?>
<Relationships xmlns="http://schemas.openxmlformats.org/package/2006/relationships"><Relationship Id="rId1" Type="http://schemas.openxmlformats.org/officeDocument/2006/relationships/image" Target="media/image2.jpeg"/>
</Relationships>
</file>

<file path=word/_rels/footer3.xml.rels><?xml version="1.0" encoding="UTF-8"?>
<Relationships xmlns="http://schemas.openxmlformats.org/package/2006/relationships"><Relationship Id="rId1" Type="http://schemas.openxmlformats.org/officeDocument/2006/relationships/image" Target="media/image3.jpeg"/>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9CF164A89EFB4D924456AAFB22B786" ma:contentTypeVersion="4" ma:contentTypeDescription="Create a new document." ma:contentTypeScope="" ma:versionID="15a929969f89227219e737dee6537c66">
  <xsd:schema xmlns:xsd="http://www.w3.org/2001/XMLSchema" xmlns:xs="http://www.w3.org/2001/XMLSchema" xmlns:p="http://schemas.microsoft.com/office/2006/metadata/properties" xmlns:ns3="2c5f745e-c7f9-4bc8-ab22-1913782b1996" targetNamespace="http://schemas.microsoft.com/office/2006/metadata/properties" ma:root="true" ma:fieldsID="cec078e4b29f2c8f7a73f42bb85b3589" ns3:_="">
    <xsd:import namespace="2c5f745e-c7f9-4bc8-ab22-1913782b1996"/>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5f745e-c7f9-4bc8-ab22-1913782b1996"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4300E-DB1F-4D48-AA94-A409E0B23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5f745e-c7f9-4bc8-ab22-1913782b19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742102-F3B6-47C3-8C10-F4D314FB3E67}">
  <ds:schemaRefs>
    <ds:schemaRef ds:uri="http://schemas.microsoft.com/sharepoint/v3/contenttype/forms"/>
  </ds:schemaRefs>
</ds:datastoreItem>
</file>

<file path=customXml/itemProps3.xml><?xml version="1.0" encoding="utf-8"?>
<ds:datastoreItem xmlns:ds="http://schemas.openxmlformats.org/officeDocument/2006/customXml" ds:itemID="{4D4D2E59-4BDA-44AD-959C-62F6A562DB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148C65-5351-4D94-9716-0AB8820A4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Application>LibreOffice/24.2.5.2$Windows_X86_64 LibreOffice_project/bffef4ea93e59bebbeaf7f431bb02b1a39ee8a59</Application>
  <AppVersion>15.0000</AppVersion>
  <Pages>3</Pages>
  <Words>876</Words>
  <Characters>4322</Characters>
  <CharactersWithSpaces>5230</CharactersWithSpaces>
  <Paragraphs>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2026-01-20T11:06:21Z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0x010100659CF164A89EFB4D924456AAFB22B786</vt:lpwstr>
  </property>
</Properties>
</file>