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header2.xml" ContentType="application/vnd.openxmlformats-officedocument.wordprocessingml.header+xml"/>
  <Override PartName="/word/numbering.xml" ContentType="application/vnd.openxmlformats-officedocument.wordprocessingml.numbering+xml"/>
  <Override PartName="/word/media/image1.gif" ContentType="image/gif"/>
  <Override PartName="/word/media/image2.gif" ContentType="image/gif"/>
  <Override PartName="/word/header1.xml" ContentType="application/vnd.openxmlformats-officedocument.wordprocessingml.header+xml"/>
  <Override PartName="/word/footer3.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FlietextVDK"/>
        <w:rPr>
          <w:sz w:val="12"/>
        </w:rPr>
      </w:pPr>
      <w:r>
        <w:rPr>
          <w:sz w:val="12"/>
        </w:rPr>
        <w:drawing>
          <wp:anchor behindDoc="0" distT="0" distB="0" distL="0" distR="0" simplePos="0" locked="0" layoutInCell="0" allowOverlap="1" relativeHeight="3">
            <wp:simplePos x="0" y="0"/>
            <wp:positionH relativeFrom="page">
              <wp:posOffset>5581650</wp:posOffset>
            </wp:positionH>
            <wp:positionV relativeFrom="page">
              <wp:posOffset>1172210</wp:posOffset>
            </wp:positionV>
            <wp:extent cx="1202055" cy="400685"/>
            <wp:effectExtent l="0" t="0" r="0" b="0"/>
            <wp:wrapNone/>
            <wp:docPr id="1" name="VDKBriefkopf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DKBriefkopfName"/>
                    <pic:cNvPicPr>
                      <a:picLocks noChangeAspect="1" noChangeArrowheads="1"/>
                    </pic:cNvPicPr>
                  </pic:nvPicPr>
                  <pic:blipFill>
                    <a:blip r:embed="rId2"/>
                    <a:stretch>
                      <a:fillRect/>
                    </a:stretch>
                  </pic:blipFill>
                  <pic:spPr bwMode="auto">
                    <a:xfrm>
                      <a:off x="0" y="0"/>
                      <a:ext cx="1202055" cy="400685"/>
                    </a:xfrm>
                    <a:prstGeom prst="rect">
                      <a:avLst/>
                    </a:prstGeom>
                    <a:noFill/>
                  </pic:spPr>
                </pic:pic>
              </a:graphicData>
            </a:graphic>
          </wp:anchor>
        </w:drawing>
        <w:drawing>
          <wp:anchor behindDoc="0" distT="0" distB="0" distL="0" distR="0" simplePos="0" locked="0" layoutInCell="0" allowOverlap="1" relativeHeight="4">
            <wp:simplePos x="0" y="0"/>
            <wp:positionH relativeFrom="margin">
              <wp:align>left</wp:align>
            </wp:positionH>
            <wp:positionV relativeFrom="page">
              <wp:posOffset>342900</wp:posOffset>
            </wp:positionV>
            <wp:extent cx="2415540" cy="1212850"/>
            <wp:effectExtent l="0" t="0" r="0" b="0"/>
            <wp:wrapNone/>
            <wp:docPr id="2" name="VDKBrief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VDKBriefkopf"/>
                    <pic:cNvPicPr>
                      <a:picLocks noChangeAspect="1" noChangeArrowheads="1"/>
                    </pic:cNvPicPr>
                  </pic:nvPicPr>
                  <pic:blipFill>
                    <a:blip r:embed="rId3"/>
                    <a:stretch>
                      <a:fillRect/>
                    </a:stretch>
                  </pic:blipFill>
                  <pic:spPr bwMode="auto">
                    <a:xfrm>
                      <a:off x="0" y="0"/>
                      <a:ext cx="2415540" cy="1212850"/>
                    </a:xfrm>
                    <a:prstGeom prst="rect">
                      <a:avLst/>
                    </a:prstGeom>
                    <a:noFill/>
                  </pic:spPr>
                </pic:pic>
              </a:graphicData>
            </a:graphic>
          </wp:anchor>
        </w:drawing>
        <mc:AlternateContent>
          <mc:Choice Requires="wps">
            <w:drawing>
              <wp:anchor behindDoc="0" distT="0" distB="0" distL="0" distR="0" simplePos="0" locked="0" layoutInCell="1" allowOverlap="1" relativeHeight="5" wp14:anchorId="40F9BD34">
                <wp:simplePos x="0" y="0"/>
                <wp:positionH relativeFrom="column">
                  <wp:posOffset>0</wp:posOffset>
                </wp:positionH>
                <wp:positionV relativeFrom="paragraph">
                  <wp:posOffset>-1386205</wp:posOffset>
                </wp:positionV>
                <wp:extent cx="12700" cy="12700"/>
                <wp:effectExtent l="6985" t="6985" r="6985" b="6985"/>
                <wp:wrapNone/>
                <wp:docPr id="3" name="VDK-Durchschlag" hidden="1"/>
                <a:graphic xmlns:a="http://schemas.openxmlformats.org/drawingml/2006/main">
                  <a:graphicData uri="http://schemas.microsoft.com/office/word/2010/wordprocessingShape">
                    <wps:wsp>
                      <wps:cNvSpPr/>
                      <wps:spPr>
                        <a:xfrm>
                          <a:off x="0" y="0"/>
                          <a:ext cx="12600" cy="12600"/>
                        </a:xfrm>
                        <a:prstGeom prst="roundRect">
                          <a:avLst>
                            <a:gd name="adj" fmla="val 1000"/>
                          </a:avLst>
                        </a:prstGeom>
                        <a:solidFill>
                          <a:srgbClr val="5b9bd5"/>
                        </a:solidFill>
                        <a:ln>
                          <a:solidFill>
                            <a:srgbClr val="43729d"/>
                          </a:solidFill>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roundrect id="shape_0" path="l-2147483642,-2147483642l-2147483631,-2147483630l-2147483641,0l-2147483642,-2147483642l-2147483629,-2147483628l-2147483632,-2147483640l-2147483642,-2147483642xe" fillcolor="#5b9bd5" stroked="t" o:allowincell="f" style="position:absolute;margin-left:0pt;margin-top:-109.15pt;width:0.95pt;height:0.95pt;mso-wrap-style:none;v-text-anchor:middle" wp14:anchorId="40F9BD34">
                <v:fill o:detectmouseclick="t" type="solid" color2="#a4642a"/>
                <v:stroke color="#43729d" weight="12600" joinstyle="miter" endcap="flat"/>
                <w10:wrap type="none"/>
              </v:roundrect>
            </w:pict>
          </mc:Fallback>
        </mc:AlternateContent>
      </w:r>
    </w:p>
    <w:p>
      <w:pPr>
        <w:pStyle w:val="FlietextVDK"/>
        <w:rPr>
          <w:sz w:val="12"/>
          <w:szCs w:val="14"/>
          <w:lang w:val="fr-FR"/>
        </w:rPr>
      </w:pPr>
      <w:r>
        <w:rPr>
          <w:sz w:val="12"/>
          <w:szCs w:val="14"/>
          <w:lang w:val="fr-FR"/>
        </w:rPr>
      </w:r>
    </w:p>
    <w:p>
      <w:pPr>
        <w:pStyle w:val="Normal"/>
        <w:rPr>
          <w:rFonts w:ascii="Calibri" w:hAnsi="Calibri" w:eastAsia="Calibri" w:cs="Calibri"/>
          <w:sz w:val="22"/>
          <w:szCs w:val="22"/>
        </w:rPr>
      </w:pPr>
      <w:r>
        <w:rPr>
          <w:rFonts w:eastAsia="Calibri" w:cs="Calibri" w:ascii="Calibri" w:hAnsi="Calibri"/>
          <w:sz w:val="22"/>
          <w:szCs w:val="22"/>
        </w:rPr>
      </w:r>
    </w:p>
    <w:p>
      <w:pPr>
        <w:pStyle w:val="Normal"/>
        <w:pBdr>
          <w:top w:val="single" w:sz="18" w:space="1" w:color="000000"/>
          <w:left w:val="single" w:sz="18" w:space="4" w:color="000000"/>
          <w:bottom w:val="single" w:sz="18" w:space="1" w:color="000000"/>
          <w:right w:val="single" w:sz="18" w:space="31" w:color="000000"/>
        </w:pBdr>
        <w:jc w:val="center"/>
        <w:rPr>
          <w:rFonts w:ascii="Calibri" w:hAnsi="Calibri" w:eastAsia="Calibri" w:cs="Calibri"/>
          <w:b/>
          <w:sz w:val="28"/>
          <w:szCs w:val="28"/>
        </w:rPr>
      </w:pPr>
      <w:r>
        <w:rPr>
          <w:rFonts w:eastAsia="Calibri" w:cs="Calibri" w:ascii="Calibri" w:hAnsi="Calibri"/>
          <w:b/>
          <w:sz w:val="40"/>
          <w:szCs w:val="40"/>
        </w:rPr>
        <w:t>ACCORD COLLECTIF formalisant le régime de prévoyance lourde « Incapacité – Invalidité - Décès »</w:t>
      </w:r>
    </w:p>
    <w:p>
      <w:pPr>
        <w:pStyle w:val="Normal"/>
        <w:pBdr>
          <w:top w:val="single" w:sz="18" w:space="1" w:color="000000"/>
          <w:left w:val="single" w:sz="18" w:space="4" w:color="000000"/>
          <w:bottom w:val="single" w:sz="18" w:space="1" w:color="000000"/>
          <w:right w:val="single" w:sz="18" w:space="31" w:color="000000"/>
        </w:pBdr>
        <w:jc w:val="center"/>
        <w:rPr>
          <w:rFonts w:ascii="Calibri" w:hAnsi="Calibri" w:eastAsia="Calibri" w:cs="Calibri"/>
          <w:b/>
          <w:sz w:val="28"/>
          <w:szCs w:val="28"/>
        </w:rPr>
      </w:pPr>
      <w:r>
        <w:rPr>
          <w:rFonts w:eastAsia="Calibri" w:cs="Calibri" w:ascii="Calibri" w:hAnsi="Calibri"/>
          <w:b/>
          <w:sz w:val="28"/>
          <w:szCs w:val="28"/>
        </w:rPr>
        <w:t>2025</w:t>
      </w:r>
    </w:p>
    <w:p>
      <w:pPr>
        <w:pStyle w:val="Normal"/>
        <w:rPr>
          <w:rFonts w:ascii="Calibri" w:hAnsi="Calibri" w:eastAsia="Calibri" w:cs="Calibri"/>
          <w:sz w:val="14"/>
          <w:szCs w:val="14"/>
        </w:rPr>
      </w:pPr>
      <w:r>
        <w:rPr>
          <w:rFonts w:eastAsia="Calibri" w:cs="Calibri" w:ascii="Calibri" w:hAnsi="Calibri"/>
          <w:sz w:val="14"/>
          <w:szCs w:val="14"/>
        </w:rPr>
      </w:r>
    </w:p>
    <w:p>
      <w:pPr>
        <w:pStyle w:val="Normal"/>
        <w:numPr>
          <w:ilvl w:val="0"/>
          <w:numId w:val="0"/>
        </w:numPr>
        <w:outlineLvl w:val="0"/>
        <w:rPr>
          <w:rFonts w:ascii="Calibri" w:hAnsi="Calibri" w:eastAsia="Calibri" w:cs="Calibri"/>
          <w:sz w:val="22"/>
          <w:szCs w:val="22"/>
        </w:rPr>
      </w:pPr>
      <w:r>
        <w:rPr>
          <w:rFonts w:eastAsia="Calibri" w:cs="Calibri" w:ascii="Calibri" w:hAnsi="Calibri"/>
          <w:sz w:val="22"/>
          <w:szCs w:val="22"/>
        </w:rPr>
      </w:r>
      <w:bookmarkStart w:id="0" w:name="_Toc10032449"/>
      <w:bookmarkStart w:id="1" w:name="_gjdgxs"/>
      <w:bookmarkStart w:id="2" w:name="_Toc10032449"/>
      <w:bookmarkStart w:id="3" w:name="_gjdgxs"/>
      <w:bookmarkEnd w:id="3"/>
    </w:p>
    <w:p>
      <w:pPr>
        <w:pStyle w:val="Normal"/>
        <w:numPr>
          <w:ilvl w:val="0"/>
          <w:numId w:val="0"/>
        </w:numPr>
        <w:outlineLvl w:val="0"/>
        <w:rPr>
          <w:rFonts w:ascii="Calibri" w:hAnsi="Calibri" w:eastAsia="Calibri" w:cs="Calibri"/>
          <w:sz w:val="22"/>
          <w:szCs w:val="22"/>
        </w:rPr>
      </w:pPr>
      <w:r>
        <w:rPr>
          <w:rFonts w:eastAsia="Calibri" w:cs="Calibri" w:ascii="Calibri" w:hAnsi="Calibri"/>
          <w:sz w:val="22"/>
          <w:szCs w:val="22"/>
        </w:rPr>
      </w:r>
    </w:p>
    <w:p>
      <w:pPr>
        <w:pStyle w:val="Normal"/>
        <w:numPr>
          <w:ilvl w:val="0"/>
          <w:numId w:val="0"/>
        </w:numPr>
        <w:outlineLvl w:val="0"/>
        <w:rPr>
          <w:rFonts w:ascii="Calibri" w:hAnsi="Calibri" w:eastAsia="Calibri" w:cs="Calibri"/>
          <w:sz w:val="22"/>
          <w:szCs w:val="22"/>
        </w:rPr>
      </w:pPr>
      <w:bookmarkStart w:id="4" w:name="_Toc10032449"/>
      <w:bookmarkStart w:id="5" w:name="_Toc190426439"/>
      <w:r>
        <w:rPr>
          <w:rFonts w:eastAsia="Calibri" w:cs="Calibri" w:ascii="Calibri" w:hAnsi="Calibri"/>
          <w:sz w:val="22"/>
          <w:szCs w:val="22"/>
        </w:rPr>
        <w:t>Entre les soussignés</w:t>
      </w:r>
      <w:bookmarkEnd w:id="4"/>
      <w:bookmarkEnd w:id="5"/>
    </w:p>
    <w:p>
      <w:pPr>
        <w:pStyle w:val="Normal"/>
        <w:numPr>
          <w:ilvl w:val="0"/>
          <w:numId w:val="0"/>
        </w:numPr>
        <w:outlineLvl w:val="0"/>
        <w:rPr>
          <w:rFonts w:ascii="Calibri" w:hAnsi="Calibri" w:eastAsia="Calibri" w:cs="Calibri"/>
          <w:sz w:val="22"/>
          <w:szCs w:val="22"/>
        </w:rPr>
      </w:pPr>
      <w:r>
        <w:rPr>
          <w:rFonts w:eastAsia="Calibri" w:cs="Calibri" w:ascii="Calibri" w:hAnsi="Calibri"/>
          <w:sz w:val="22"/>
          <w:szCs w:val="22"/>
        </w:rPr>
      </w:r>
    </w:p>
    <w:p>
      <w:pPr>
        <w:pStyle w:val="Normal"/>
        <w:numPr>
          <w:ilvl w:val="0"/>
          <w:numId w:val="0"/>
        </w:numPr>
        <w:outlineLvl w:val="0"/>
        <w:rPr>
          <w:rFonts w:ascii="Calibri" w:hAnsi="Calibri" w:eastAsia="Calibri" w:cs="Calibri"/>
          <w:sz w:val="22"/>
          <w:szCs w:val="22"/>
        </w:rPr>
      </w:pPr>
      <w:r>
        <w:rPr>
          <w:rFonts w:eastAsia="Calibri" w:cs="Calibri" w:ascii="Calibri" w:hAnsi="Calibri"/>
          <w:sz w:val="22"/>
          <w:szCs w:val="22"/>
        </w:rPr>
      </w:r>
    </w:p>
    <w:p>
      <w:pPr>
        <w:pStyle w:val="Normal"/>
        <w:rPr>
          <w:rFonts w:ascii="Calibri" w:hAnsi="Calibri" w:eastAsia="Calibri" w:cs="Calibri"/>
          <w:sz w:val="22"/>
          <w:szCs w:val="22"/>
        </w:rPr>
      </w:pPr>
      <w:r>
        <w:rPr>
          <w:rFonts w:eastAsia="Calibri" w:cs="Calibri" w:ascii="Calibri" w:hAnsi="Calibri"/>
          <w:b/>
          <w:sz w:val="22"/>
          <w:szCs w:val="22"/>
        </w:rPr>
        <w:t>le Volksbund Deutsche Kriegsgräberfürsorge e. V.,</w:t>
      </w:r>
      <w:r>
        <w:rPr>
          <w:rFonts w:eastAsia="Calibri" w:cs="Calibri" w:ascii="Calibri" w:hAnsi="Calibri"/>
          <w:sz w:val="22"/>
          <w:szCs w:val="22"/>
        </w:rPr>
        <w:t xml:space="preserve"> représenté par son Bureau pour la France,</w:t>
      </w:r>
    </w:p>
    <w:p>
      <w:pPr>
        <w:pStyle w:val="Normal"/>
        <w:rPr>
          <w:rFonts w:ascii="Calibri" w:hAnsi="Calibri" w:eastAsia="Calibri" w:cs="Calibri"/>
          <w:sz w:val="22"/>
          <w:szCs w:val="22"/>
        </w:rPr>
      </w:pPr>
      <w:r>
        <w:rPr>
          <w:rFonts w:eastAsia="Calibri" w:cs="Calibri" w:ascii="Calibri" w:hAnsi="Calibri"/>
          <w:sz w:val="22"/>
          <w:szCs w:val="22"/>
        </w:rPr>
        <w:t>par le SESMA (Service pour l’Entretien des Sépultures Militaires Allemandes)</w:t>
      </w:r>
    </w:p>
    <w:p>
      <w:pPr>
        <w:pStyle w:val="Normal"/>
        <w:rPr>
          <w:rFonts w:ascii="Calibri" w:hAnsi="Calibri" w:eastAsia="Calibri" w:cs="Calibri"/>
          <w:sz w:val="22"/>
          <w:szCs w:val="22"/>
        </w:rPr>
      </w:pPr>
      <w:r>
        <w:rPr>
          <w:rFonts w:eastAsia="Calibri" w:cs="Calibri" w:ascii="Calibri" w:hAnsi="Calibri"/>
          <w:sz w:val="22"/>
          <w:szCs w:val="22"/>
        </w:rPr>
        <w:t xml:space="preserve">Immeuble First Plaza </w:t>
      </w:r>
    </w:p>
    <w:p>
      <w:pPr>
        <w:pStyle w:val="Normal"/>
        <w:rPr>
          <w:rFonts w:ascii="Calibri" w:hAnsi="Calibri" w:eastAsia="Calibri" w:cs="Calibri"/>
          <w:sz w:val="22"/>
          <w:szCs w:val="22"/>
        </w:rPr>
      </w:pPr>
      <w:r>
        <w:rPr>
          <w:rFonts w:eastAsia="Calibri" w:cs="Calibri" w:ascii="Calibri" w:hAnsi="Calibri"/>
          <w:sz w:val="22"/>
          <w:szCs w:val="22"/>
        </w:rPr>
        <w:t>92 Quater B Boulevard solidarité – 57070 METZ</w:t>
      </w:r>
    </w:p>
    <w:p>
      <w:pPr>
        <w:pStyle w:val="Normal"/>
        <w:rPr>
          <w:rFonts w:ascii="Calibri" w:hAnsi="Calibri" w:eastAsia="Calibri" w:cs="Calibri"/>
          <w:sz w:val="22"/>
          <w:szCs w:val="22"/>
          <w:lang w:val="de-DE"/>
        </w:rPr>
      </w:pPr>
      <w:r>
        <w:rPr>
          <w:rFonts w:eastAsia="Calibri" w:cs="Calibri" w:ascii="Calibri" w:hAnsi="Calibri"/>
          <w:sz w:val="22"/>
          <w:szCs w:val="22"/>
          <w:lang w:val="de-DE"/>
        </w:rPr>
        <w:t>n° SIREN 785 084 062 – n° code NAF 9900Z</w:t>
      </w:r>
    </w:p>
    <w:p>
      <w:pPr>
        <w:pStyle w:val="Normal"/>
        <w:rPr>
          <w:rFonts w:ascii="Calibri" w:hAnsi="Calibri" w:eastAsia="Calibri" w:cs="Calibri"/>
          <w:sz w:val="22"/>
          <w:szCs w:val="22"/>
          <w:lang w:val="de-DE"/>
        </w:rPr>
      </w:pPr>
      <w:r>
        <w:rPr>
          <w:rFonts w:eastAsia="Calibri" w:cs="Calibri" w:ascii="Calibri" w:hAnsi="Calibri"/>
          <w:sz w:val="22"/>
          <w:szCs w:val="22"/>
          <w:lang w:val="de-DE"/>
        </w:rPr>
        <w:t>n° URSSAF 570 129 10772</w:t>
      </w:r>
    </w:p>
    <w:p>
      <w:pPr>
        <w:pStyle w:val="Normal"/>
        <w:rPr>
          <w:rFonts w:ascii="Calibri" w:hAnsi="Calibri" w:eastAsia="Calibri" w:cs="Calibri"/>
          <w:sz w:val="22"/>
          <w:szCs w:val="22"/>
        </w:rPr>
      </w:pPr>
      <w:r>
        <w:rPr>
          <w:rFonts w:eastAsia="Calibri" w:cs="Calibri" w:ascii="Calibri" w:hAnsi="Calibri"/>
          <w:sz w:val="22"/>
          <w:szCs w:val="22"/>
        </w:rPr>
        <w:t xml:space="preserve">Représenté par Monsieur *******, ayant tout pouvoir à cet effet </w:t>
      </w:r>
    </w:p>
    <w:p>
      <w:pPr>
        <w:pStyle w:val="Normal"/>
        <w:ind w:firstLine="1" w:start="4"/>
        <w:rPr>
          <w:rFonts w:ascii="Calibri" w:hAnsi="Calibri" w:eastAsia="Calibri" w:cs="Calibri"/>
          <w:sz w:val="22"/>
          <w:szCs w:val="22"/>
        </w:rPr>
      </w:pPr>
      <w:bookmarkStart w:id="6" w:name="_30j0zll"/>
      <w:bookmarkEnd w:id="6"/>
      <w:r>
        <w:rPr>
          <w:rFonts w:eastAsia="Calibri" w:cs="Calibri" w:ascii="Calibri" w:hAnsi="Calibri"/>
          <w:sz w:val="22"/>
          <w:szCs w:val="22"/>
        </w:rPr>
        <w:t>D’une part</w:t>
      </w:r>
    </w:p>
    <w:p>
      <w:pPr>
        <w:pStyle w:val="Normal"/>
        <w:rPr>
          <w:rFonts w:ascii="Calibri" w:hAnsi="Calibri" w:eastAsia="Calibri" w:cs="Calibri"/>
          <w:sz w:val="22"/>
          <w:szCs w:val="22"/>
        </w:rPr>
      </w:pPr>
      <w:r>
        <w:rPr>
          <w:rFonts w:eastAsia="Calibri" w:cs="Calibri" w:ascii="Calibri" w:hAnsi="Calibri"/>
          <w:sz w:val="22"/>
          <w:szCs w:val="22"/>
        </w:rPr>
      </w:r>
      <w:bookmarkStart w:id="7" w:name="_1fob9te"/>
      <w:bookmarkStart w:id="8" w:name="_1fob9te"/>
      <w:bookmarkEnd w:id="8"/>
    </w:p>
    <w:p>
      <w:pPr>
        <w:pStyle w:val="Normal"/>
        <w:rPr>
          <w:rFonts w:ascii="Calibri" w:hAnsi="Calibri" w:eastAsia="Calibri" w:cs="Calibri"/>
          <w:sz w:val="22"/>
          <w:szCs w:val="22"/>
        </w:rPr>
      </w:pPr>
      <w:r>
        <w:rPr>
          <w:rFonts w:eastAsia="Calibri" w:cs="Calibri" w:ascii="Calibri" w:hAnsi="Calibri"/>
          <w:sz w:val="22"/>
          <w:szCs w:val="22"/>
        </w:rPr>
        <w:t>Et</w:t>
      </w:r>
    </w:p>
    <w:p>
      <w:pPr>
        <w:pStyle w:val="Normal"/>
        <w:rPr>
          <w:rFonts w:ascii="Calibri" w:hAnsi="Calibri" w:eastAsia="Calibri" w:cs="Calibri"/>
          <w:sz w:val="22"/>
          <w:szCs w:val="22"/>
        </w:rPr>
      </w:pPr>
      <w:r>
        <w:rPr>
          <w:rFonts w:eastAsia="Calibri" w:cs="Calibri" w:ascii="Calibri" w:hAnsi="Calibri"/>
          <w:sz w:val="22"/>
          <w:szCs w:val="22"/>
        </w:rPr>
      </w:r>
    </w:p>
    <w:p>
      <w:pPr>
        <w:pStyle w:val="Normal"/>
        <w:rPr>
          <w:rFonts w:ascii="Calibri" w:hAnsi="Calibri" w:eastAsia="Calibri" w:cs="Calibri"/>
          <w:sz w:val="22"/>
          <w:szCs w:val="22"/>
        </w:rPr>
      </w:pPr>
      <w:r>
        <w:rPr>
          <w:rFonts w:eastAsia="Calibri" w:cs="Calibri" w:ascii="Calibri" w:hAnsi="Calibri"/>
          <w:sz w:val="22"/>
          <w:szCs w:val="22"/>
        </w:rPr>
        <w:t>Les Organisations Syndicales Représentatives au sein de l’association, représentées respectivement par :</w:t>
      </w:r>
    </w:p>
    <w:p>
      <w:pPr>
        <w:pStyle w:val="Normal"/>
        <w:rPr>
          <w:rFonts w:ascii="Calibri" w:hAnsi="Calibri" w:eastAsia="Calibri" w:cs="Calibri"/>
          <w:sz w:val="22"/>
          <w:szCs w:val="22"/>
        </w:rPr>
      </w:pPr>
      <w:r>
        <w:rPr>
          <w:rFonts w:eastAsia="Calibri" w:cs="Calibri" w:ascii="Calibri" w:hAnsi="Calibri"/>
          <w:sz w:val="22"/>
          <w:szCs w:val="22"/>
        </w:rPr>
      </w:r>
    </w:p>
    <w:p>
      <w:pPr>
        <w:pStyle w:val="Normal"/>
        <w:rPr>
          <w:rFonts w:ascii="Calibri" w:hAnsi="Calibri" w:eastAsia="Calibri" w:cs="Calibri"/>
          <w:sz w:val="22"/>
          <w:szCs w:val="22"/>
        </w:rPr>
      </w:pPr>
      <w:r>
        <w:rPr>
          <w:rFonts w:eastAsia="Calibri" w:cs="Calibri" w:ascii="Calibri" w:hAnsi="Calibri"/>
          <w:sz w:val="22"/>
          <w:szCs w:val="22"/>
        </w:rPr>
        <w:t>Syndicat CGT </w:t>
        <w:tab/>
        <w:tab/>
        <w:t xml:space="preserve">: ******** </w:t>
        <w:tab/>
        <w:tab/>
      </w:r>
    </w:p>
    <w:p>
      <w:pPr>
        <w:pStyle w:val="Normal"/>
        <w:rPr>
          <w:rFonts w:ascii="Calibri" w:hAnsi="Calibri" w:eastAsia="Calibri" w:cs="Calibri"/>
          <w:sz w:val="22"/>
          <w:szCs w:val="22"/>
        </w:rPr>
      </w:pPr>
      <w:bookmarkStart w:id="9" w:name="_3znysh7"/>
      <w:bookmarkEnd w:id="9"/>
      <w:r>
        <w:rPr>
          <w:rFonts w:eastAsia="Calibri" w:cs="Calibri" w:ascii="Calibri" w:hAnsi="Calibri"/>
          <w:sz w:val="22"/>
          <w:szCs w:val="22"/>
        </w:rPr>
        <w:t xml:space="preserve">Syndicat CFTC </w:t>
        <w:tab/>
        <w:tab/>
        <w:t>: ********</w:t>
      </w:r>
    </w:p>
    <w:p>
      <w:pPr>
        <w:pStyle w:val="Normal"/>
        <w:rPr>
          <w:rFonts w:ascii="Calibri" w:hAnsi="Calibri" w:eastAsia="Calibri" w:cs="Calibri"/>
          <w:sz w:val="22"/>
          <w:szCs w:val="22"/>
        </w:rPr>
      </w:pPr>
      <w:r>
        <w:rPr>
          <w:rFonts w:eastAsia="Calibri" w:cs="Calibri" w:ascii="Calibri" w:hAnsi="Calibri"/>
          <w:sz w:val="22"/>
          <w:szCs w:val="22"/>
        </w:rPr>
        <w:t>Syndicat CGC-CFE </w:t>
        <w:tab/>
        <w:t>: ********</w:t>
      </w:r>
    </w:p>
    <w:p>
      <w:pPr>
        <w:pStyle w:val="Normal"/>
        <w:rPr>
          <w:rFonts w:ascii="Calibri" w:hAnsi="Calibri" w:eastAsia="Calibri" w:cs="Calibri"/>
          <w:sz w:val="22"/>
          <w:szCs w:val="22"/>
        </w:rPr>
      </w:pPr>
      <w:r>
        <w:rPr>
          <w:rFonts w:eastAsia="Calibri" w:cs="Calibri" w:ascii="Calibri" w:hAnsi="Calibri"/>
          <w:sz w:val="22"/>
          <w:szCs w:val="22"/>
        </w:rPr>
      </w:r>
      <w:bookmarkStart w:id="10" w:name="_2et92p0"/>
      <w:bookmarkStart w:id="11" w:name="_2et92p0"/>
      <w:bookmarkEnd w:id="11"/>
    </w:p>
    <w:p>
      <w:pPr>
        <w:pStyle w:val="Normal"/>
        <w:rPr>
          <w:rFonts w:ascii="Calibri" w:hAnsi="Calibri" w:eastAsia="Calibri" w:cs="Calibri"/>
          <w:sz w:val="22"/>
          <w:szCs w:val="22"/>
        </w:rPr>
      </w:pPr>
      <w:r>
        <w:rPr>
          <w:rFonts w:eastAsia="Calibri" w:cs="Calibri" w:ascii="Calibri" w:hAnsi="Calibri"/>
          <w:sz w:val="22"/>
          <w:szCs w:val="22"/>
        </w:rPr>
        <w:t>D’autre part</w:t>
      </w:r>
    </w:p>
    <w:p>
      <w:pPr>
        <w:pStyle w:val="Normal"/>
        <w:rPr>
          <w:rFonts w:ascii="Calibri" w:hAnsi="Calibri" w:eastAsia="Calibri" w:cs="Calibri" w:asciiTheme="minorHAnsi" w:cstheme="minorHAnsi" w:hAnsiTheme="minorHAnsi"/>
          <w:sz w:val="22"/>
          <w:szCs w:val="22"/>
        </w:rPr>
      </w:pPr>
      <w:r>
        <w:rPr>
          <w:rFonts w:eastAsia="Calibri" w:cs="Calibri" w:cstheme="minorHAnsi" w:ascii="Calibri" w:hAnsi="Calibri"/>
          <w:sz w:val="22"/>
          <w:szCs w:val="22"/>
        </w:rPr>
      </w:r>
    </w:p>
    <w:p>
      <w:pPr>
        <w:pStyle w:val="FlietextVDK"/>
        <w:rPr>
          <w:rFonts w:ascii="Calibri" w:hAnsi="Calibri" w:cs="Calibri" w:asciiTheme="minorHAnsi" w:cstheme="minorHAnsi" w:hAnsiTheme="minorHAnsi"/>
          <w:b/>
          <w:szCs w:val="22"/>
          <w:lang w:val="fr-FR" w:eastAsia="fr-FR"/>
        </w:rPr>
      </w:pPr>
      <w:r>
        <w:rPr>
          <w:rFonts w:cs="Calibri" w:cstheme="minorHAnsi"/>
          <w:b/>
          <w:szCs w:val="22"/>
          <w:lang w:val="fr-FR" w:eastAsia="fr-FR"/>
        </w:rPr>
      </w:r>
    </w:p>
    <w:p>
      <w:pPr>
        <w:pStyle w:val="BodyText"/>
        <w:pBdr>
          <w:top w:val="nil"/>
          <w:left w:val="nil"/>
          <w:bottom w:val="nil"/>
          <w:right w:val="nil"/>
        </w:pBdr>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Préambule</w:t>
      </w:r>
    </w:p>
    <w:p>
      <w:pPr>
        <w:pStyle w:val="BodyText"/>
        <w:pBdr>
          <w:top w:val="nil"/>
          <w:left w:val="nil"/>
          <w:bottom w:val="nil"/>
          <w:right w:val="nil"/>
        </w:pBdr>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rPr>
          <w:rFonts w:ascii="Calibri" w:hAnsi="Calibri" w:cs="Calibri" w:asciiTheme="minorHAnsi" w:cstheme="minorHAnsi" w:hAnsiTheme="minorHAnsi"/>
          <w:bCs/>
          <w:iCs/>
          <w:sz w:val="22"/>
          <w:szCs w:val="22"/>
        </w:rPr>
      </w:pPr>
      <w:r>
        <w:rPr>
          <w:rFonts w:cs="Calibri" w:ascii="Calibri" w:hAnsi="Calibri" w:asciiTheme="minorHAnsi" w:cstheme="minorHAnsi" w:hAnsiTheme="minorHAnsi"/>
          <w:bCs/>
          <w:iCs/>
          <w:sz w:val="22"/>
          <w:szCs w:val="22"/>
        </w:rPr>
        <w:t>Pour rappel, depuis de très nombreuses années, le SESMA fait bénéficier l’ensemble de ses collaborateurs d’un régime de Protection Sociale Complémentaire Prévoyance (décès / incapacité / invalidité) formalisé par accord d’entreprise.</w:t>
      </w:r>
    </w:p>
    <w:p>
      <w:pPr>
        <w:pStyle w:val="Normal"/>
        <w:rPr>
          <w:rFonts w:ascii="Calibri" w:hAnsi="Calibri" w:cs="Calibri" w:asciiTheme="minorHAnsi" w:cstheme="minorHAnsi" w:hAnsiTheme="minorHAnsi"/>
          <w:bCs/>
          <w:iCs/>
          <w:sz w:val="22"/>
          <w:szCs w:val="22"/>
        </w:rPr>
      </w:pPr>
      <w:r>
        <w:rPr>
          <w:rFonts w:cs="Calibri" w:cstheme="minorHAnsi" w:ascii="Calibri" w:hAnsi="Calibri"/>
          <w:bCs/>
          <w:iCs/>
          <w:sz w:val="22"/>
          <w:szCs w:val="22"/>
        </w:rPr>
      </w:r>
    </w:p>
    <w:p>
      <w:pPr>
        <w:pStyle w:val="Normal"/>
        <w:rPr>
          <w:rFonts w:ascii="Calibri" w:hAnsi="Calibri" w:cs="Calibri" w:asciiTheme="minorHAnsi" w:cstheme="minorHAnsi" w:hAnsiTheme="minorHAnsi"/>
          <w:bCs/>
          <w:iCs/>
          <w:sz w:val="22"/>
          <w:szCs w:val="22"/>
        </w:rPr>
      </w:pPr>
      <w:r>
        <w:rPr>
          <w:rFonts w:cs="Calibri" w:ascii="Calibri" w:hAnsi="Calibri" w:asciiTheme="minorHAnsi" w:cstheme="minorHAnsi" w:hAnsiTheme="minorHAnsi"/>
          <w:bCs/>
          <w:iCs/>
          <w:sz w:val="22"/>
          <w:szCs w:val="22"/>
        </w:rPr>
        <w:t>Les récentes évolutions réglementaires et légales ainsi que l’ancienneté de l’acte en cours, conduisent l’association à un rappel des conditions de fonctionnement du régime.</w:t>
      </w:r>
    </w:p>
    <w:p>
      <w:pPr>
        <w:pStyle w:val="Normal"/>
        <w:rPr>
          <w:rFonts w:ascii="Calibri" w:hAnsi="Calibri" w:cs="Calibri" w:asciiTheme="minorHAnsi" w:cstheme="minorHAnsi" w:hAnsiTheme="minorHAnsi"/>
          <w:b/>
          <w:sz w:val="22"/>
          <w:szCs w:val="22"/>
        </w:rPr>
      </w:pPr>
      <w:r>
        <w:rPr>
          <w:rFonts w:cs="Calibri" w:cstheme="minorHAnsi" w:ascii="Calibri" w:hAnsi="Calibri"/>
          <w:b/>
          <w:sz w:val="22"/>
          <w:szCs w:val="22"/>
        </w:rPr>
      </w:r>
    </w:p>
    <w:p>
      <w:pPr>
        <w:pStyle w:val="Normal"/>
        <w:tabs>
          <w:tab w:val="clear" w:pos="709"/>
          <w:tab w:val="left" w:pos="3617" w:leader="none"/>
        </w:tabs>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Après information et consultation du CSE, les parties au présent accord se sont réunies afin d’actualiser les termes du dispositif </w:t>
      </w:r>
    </w:p>
    <w:p>
      <w:pPr>
        <w:pStyle w:val="BodyText"/>
        <w:pBdr>
          <w:top w:val="nil"/>
          <w:left w:val="nil"/>
          <w:bottom w:val="nil"/>
          <w:right w:val="nil"/>
        </w:pBdr>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Article 1 : Objet de l’accord collectif</w:t>
      </w:r>
    </w:p>
    <w:p>
      <w:pPr>
        <w:pStyle w:val="Normal"/>
        <w:rPr>
          <w:rFonts w:ascii="Calibri" w:hAnsi="Calibri" w:cs="Calibri" w:asciiTheme="minorHAnsi" w:cstheme="minorHAnsi" w:hAnsiTheme="minorHAnsi"/>
          <w:b/>
          <w:sz w:val="22"/>
          <w:szCs w:val="22"/>
          <w:u w:val="single"/>
        </w:rPr>
      </w:pPr>
      <w:r>
        <w:rPr>
          <w:rFonts w:cs="Calibri" w:cstheme="minorHAnsi" w:ascii="Calibri" w:hAnsi="Calibri"/>
          <w:b/>
          <w:sz w:val="22"/>
          <w:szCs w:val="22"/>
          <w:u w:val="single"/>
        </w:rPr>
      </w:r>
    </w:p>
    <w:p>
      <w:pPr>
        <w:pStyle w:val="WW-Listecontinue"/>
        <w:spacing w:before="0" w:after="0"/>
        <w:ind w:hanging="0" w:start="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Le présent accord a pour objet d’organiser les conditions d’adhésion des salariés au contrat d’assurance collectif souscrit.</w:t>
      </w:r>
    </w:p>
    <w:p>
      <w:pPr>
        <w:pStyle w:val="Normal"/>
        <w:spacing w:lineRule="atLeast" w:line="240"/>
        <w:rPr>
          <w:rFonts w:ascii="Calibri" w:hAnsi="Calibri" w:cs="Calibri" w:asciiTheme="minorHAnsi" w:cstheme="minorHAnsi" w:hAnsiTheme="minorHAnsi"/>
          <w:b/>
          <w:i/>
          <w:color w:val="00B050"/>
          <w:sz w:val="22"/>
          <w:szCs w:val="22"/>
        </w:rPr>
      </w:pPr>
      <w:r>
        <w:rPr>
          <w:rFonts w:cs="Calibri" w:cstheme="minorHAnsi" w:ascii="Calibri" w:hAnsi="Calibri"/>
          <w:b/>
          <w:i/>
          <w:color w:val="00B050"/>
          <w:sz w:val="22"/>
          <w:szCs w:val="22"/>
        </w:rPr>
      </w:r>
    </w:p>
    <w:p>
      <w:pPr>
        <w:pStyle w:val="Normal"/>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Conformément aux modalités prévues à l’article L. 912-2 du Code de la sécurité sociale, le choix de l’organisme assureur et/ou de l’intermédiaire fera l’objet d’un réexamen quinquennal. Ces dispositions n’interdisent pas, avant le réexamen, la modification, la résiliation ou le non-renouvellement par l’employeur du contrat de garanties collectives, et la modification corrélative du présent accord.</w:t>
      </w:r>
    </w:p>
    <w:p>
      <w:pPr>
        <w:pStyle w:val="Normal"/>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Article 2 : Champ d’application de l’accord</w:t>
      </w:r>
    </w:p>
    <w:p>
      <w:pPr>
        <w:pStyle w:val="Normal"/>
        <w:rPr>
          <w:rFonts w:ascii="Calibri" w:hAnsi="Calibri" w:cs="Calibri" w:asciiTheme="minorHAnsi" w:cstheme="minorHAnsi" w:hAnsiTheme="minorHAnsi"/>
          <w:b/>
          <w:sz w:val="22"/>
          <w:szCs w:val="22"/>
        </w:rPr>
      </w:pPr>
      <w:r>
        <w:rPr>
          <w:rFonts w:cs="Calibri" w:cstheme="minorHAnsi" w:ascii="Calibri" w:hAnsi="Calibri"/>
          <w:b/>
          <w:sz w:val="22"/>
          <w:szCs w:val="22"/>
        </w:rPr>
      </w:r>
    </w:p>
    <w:p>
      <w:pPr>
        <w:pStyle w:val="Normal"/>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Le présent accord est applicable aux salariés du SESMA. </w:t>
      </w:r>
      <w:r>
        <w:rPr>
          <w:rFonts w:cs="Calibri" w:ascii="Calibri" w:hAnsi="Calibri" w:asciiTheme="minorHAnsi" w:cstheme="minorHAnsi" w:hAnsiTheme="minorHAnsi"/>
          <w:b/>
          <w:sz w:val="22"/>
          <w:szCs w:val="22"/>
        </w:rPr>
        <w:t> </w:t>
      </w:r>
      <w:r>
        <w:rPr>
          <w:rFonts w:cs="Calibri" w:ascii="Calibri" w:hAnsi="Calibri" w:asciiTheme="minorHAnsi" w:cstheme="minorHAnsi" w:hAnsiTheme="minorHAnsi"/>
          <w:sz w:val="22"/>
          <w:szCs w:val="22"/>
        </w:rPr>
        <w:t xml:space="preserve">Il s’applique à l’ensemble des établissements de l’association. </w:t>
      </w:r>
    </w:p>
    <w:p>
      <w:pPr>
        <w:pStyle w:val="Normal"/>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Article 3 : Salariés bénéficiaires</w:t>
      </w:r>
    </w:p>
    <w:p>
      <w:pPr>
        <w:pStyle w:val="Normal"/>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spacing w:lineRule="atLeast" w:line="24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Le régime concerne l'ensemble des salariés de l’association. </w:t>
      </w:r>
    </w:p>
    <w:p>
      <w:pPr>
        <w:pStyle w:val="Normal"/>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Article 4 : Salariés dont le contrat de travail est suspendu</w:t>
      </w:r>
    </w:p>
    <w:p>
      <w:pPr>
        <w:pStyle w:val="Normal"/>
        <w:rPr>
          <w:rFonts w:ascii="Calibri" w:hAnsi="Calibri" w:cs="Calibri" w:asciiTheme="minorHAnsi" w:cstheme="minorHAnsi" w:hAnsiTheme="minorHAnsi"/>
          <w:b/>
          <w:sz w:val="22"/>
          <w:szCs w:val="22"/>
        </w:rPr>
      </w:pPr>
      <w:r>
        <w:rPr>
          <w:rFonts w:cs="Calibri" w:cstheme="minorHAnsi" w:ascii="Calibri" w:hAnsi="Calibri"/>
          <w:b/>
          <w:sz w:val="22"/>
          <w:szCs w:val="22"/>
        </w:rPr>
      </w:r>
    </w:p>
    <w:p>
      <w:pPr>
        <w:pStyle w:val="WW-Listecontinue"/>
        <w:ind w:hanging="0" w:start="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1. L’adhésion des salariés est maintenue en cas de suspension de leur contrat de travail, quelle qu’en soit la cause, dès lors que le salarié bénéficie, pendant cette période, d’un maintien de salaire, total ou partiel, d’indemnités journalières complémentaires financées au moins en partie par l’association, ou d’un revenu de remplacement versé par l’employeur. L’adhésion des salariés est également maintenue en cas de congé maternité, paternité ou d’adoption.</w:t>
      </w:r>
    </w:p>
    <w:p>
      <w:pPr>
        <w:pStyle w:val="WW-Listecontinue"/>
        <w:spacing w:before="0" w:after="0"/>
        <w:ind w:hanging="0" w:start="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Dans cette hypothèse, l’association verse la même contribution que pour les salariés actifs pendant toute la période de suspension du contrat de travail indemnisée. Parallèlement, le salarié doit obligatoirement continuer à acquitter sa propre part de cotisations. </w:t>
      </w:r>
    </w:p>
    <w:p>
      <w:pPr>
        <w:pStyle w:val="WW-Listecontinue"/>
        <w:spacing w:before="0" w:after="0"/>
        <w:ind w:hanging="0" w:start="0"/>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WW-Listecontinue"/>
        <w:spacing w:before="0" w:after="0"/>
        <w:ind w:hanging="0" w:start="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Les salariés dont la suspension du contrat de travail est non indemnisée ont la possibilité de solliciter le bénéfice du présent régime en contrepartie du paiement intégral des cotisations.</w:t>
      </w:r>
    </w:p>
    <w:p>
      <w:pPr>
        <w:pStyle w:val="WW-Listecontinue"/>
        <w:spacing w:before="0" w:after="0"/>
        <w:ind w:hanging="0" w:start="0"/>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WW-Listecontinue"/>
        <w:ind w:hanging="0" w:start="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L’assiette de cotisations retenue est celle appliquée aux salariés actifs, reconstituée sur la base de la moyenne des 12 derniers mois précédents la suspension du contrat de travail. </w:t>
      </w:r>
    </w:p>
    <w:p>
      <w:pPr>
        <w:pStyle w:val="WW-Listecontinue"/>
        <w:spacing w:before="0" w:after="0"/>
        <w:ind w:hanging="0" w:start="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Dans l’hypothèse où le précompte de la cotisation salariale serait impossible, le salarié est tenu d’adresser, dans les 8 jours suivants la suspension de son contrat, un relevé d’identité bancaire à l’employeur au gestionnaire du régime, ainsi qu’une autorisation de prélèvement de sa cotisation.</w:t>
      </w:r>
    </w:p>
    <w:p>
      <w:pPr>
        <w:pStyle w:val="Normal"/>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spacing w:lineRule="atLeast" w:line="240"/>
        <w:ind w:end="471"/>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 xml:space="preserve">  </w:t>
      </w:r>
    </w:p>
    <w:p>
      <w:pPr>
        <w:pStyle w:val="Normal"/>
        <w:spacing w:lineRule="atLeast" w:line="240"/>
        <w:ind w:end="471"/>
        <w:rPr>
          <w:rFonts w:ascii="Calibri" w:hAnsi="Calibri" w:cs="Calibri" w:asciiTheme="minorHAnsi" w:cstheme="minorHAnsi" w:hAnsiTheme="minorHAnsi"/>
          <w:b/>
          <w:sz w:val="22"/>
          <w:szCs w:val="22"/>
        </w:rPr>
      </w:pPr>
      <w:r>
        <w:rPr>
          <w:rFonts w:cs="Calibri" w:cstheme="minorHAnsi" w:ascii="Calibri" w:hAnsi="Calibri"/>
          <w:b/>
          <w:sz w:val="22"/>
          <w:szCs w:val="22"/>
        </w:rPr>
      </w:r>
    </w:p>
    <w:p>
      <w:pPr>
        <w:pStyle w:val="Normal"/>
        <w:spacing w:lineRule="atLeast" w:line="240"/>
        <w:ind w:end="471"/>
        <w:rPr>
          <w:rFonts w:ascii="Calibri" w:hAnsi="Calibri" w:cs="Calibri" w:asciiTheme="minorHAnsi" w:cstheme="minorHAnsi" w:hAnsiTheme="minorHAnsi"/>
          <w:b/>
          <w:sz w:val="22"/>
          <w:szCs w:val="22"/>
        </w:rPr>
      </w:pPr>
      <w:r>
        <w:rPr>
          <w:rFonts w:cs="Calibri" w:cstheme="minorHAnsi" w:ascii="Calibri" w:hAnsi="Calibri"/>
          <w:b/>
          <w:sz w:val="22"/>
          <w:szCs w:val="22"/>
        </w:rPr>
      </w:r>
    </w:p>
    <w:p>
      <w:pPr>
        <w:pStyle w:val="Normal"/>
        <w:spacing w:lineRule="atLeast" w:line="240"/>
        <w:ind w:end="471"/>
        <w:rPr>
          <w:rFonts w:ascii="Calibri" w:hAnsi="Calibri" w:cs="Calibri" w:asciiTheme="minorHAnsi" w:cstheme="minorHAnsi" w:hAnsiTheme="minorHAnsi"/>
          <w:b/>
          <w:sz w:val="22"/>
          <w:szCs w:val="22"/>
        </w:rPr>
      </w:pPr>
      <w:r>
        <w:rPr>
          <w:rFonts w:cs="Calibri" w:cstheme="minorHAnsi" w:ascii="Calibri" w:hAnsi="Calibri"/>
          <w:b/>
          <w:sz w:val="22"/>
          <w:szCs w:val="22"/>
        </w:rPr>
      </w:r>
    </w:p>
    <w:p>
      <w:pPr>
        <w:pStyle w:val="Normal"/>
        <w:tabs>
          <w:tab w:val="clear" w:pos="709"/>
          <w:tab w:val="left" w:pos="3617" w:leader="none"/>
        </w:tabs>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Article 5 : Caractère obligatoire de l’adhésion</w:t>
      </w:r>
    </w:p>
    <w:p>
      <w:pPr>
        <w:pStyle w:val="Normal"/>
        <w:rPr>
          <w:rFonts w:ascii="Calibri" w:hAnsi="Calibri" w:cs="Calibri" w:asciiTheme="minorHAnsi" w:cstheme="minorHAnsi" w:hAnsiTheme="minorHAnsi"/>
          <w:b/>
          <w:sz w:val="22"/>
          <w:szCs w:val="22"/>
        </w:rPr>
      </w:pPr>
      <w:r>
        <w:rPr>
          <w:rFonts w:cs="Calibri" w:cstheme="minorHAnsi" w:ascii="Calibri" w:hAnsi="Calibri"/>
          <w:b/>
          <w:sz w:val="22"/>
          <w:szCs w:val="22"/>
        </w:rPr>
      </w:r>
    </w:p>
    <w:p>
      <w:pPr>
        <w:pStyle w:val="Normal"/>
        <w:rPr>
          <w:rFonts w:ascii="Calibri" w:hAnsi="Calibri" w:cs="Calibri" w:asciiTheme="minorHAnsi" w:cstheme="minorHAnsi" w:hAnsiTheme="minorHAnsi"/>
          <w:sz w:val="22"/>
          <w:szCs w:val="22"/>
        </w:rPr>
      </w:pPr>
      <w:r>
        <w:rPr>
          <w:rFonts w:cs="Calibri" w:ascii="Calibri" w:hAnsi="Calibri" w:asciiTheme="minorHAnsi" w:cstheme="minorHAnsi" w:hAnsiTheme="minorHAnsi"/>
          <w:b/>
          <w:sz w:val="22"/>
          <w:szCs w:val="22"/>
        </w:rPr>
        <w:t xml:space="preserve">L'adhésion </w:t>
      </w:r>
      <w:r>
        <w:rPr>
          <w:rFonts w:cs="Calibri" w:ascii="Calibri" w:hAnsi="Calibri" w:asciiTheme="minorHAnsi" w:cstheme="minorHAnsi" w:hAnsiTheme="minorHAnsi"/>
          <w:sz w:val="22"/>
          <w:szCs w:val="22"/>
        </w:rPr>
        <w:t>au régime</w:t>
      </w:r>
      <w:r>
        <w:rPr>
          <w:rFonts w:cs="Calibri" w:ascii="Calibri" w:hAnsi="Calibri" w:asciiTheme="minorHAnsi" w:cstheme="minorHAnsi" w:hAnsiTheme="minorHAnsi"/>
          <w:b/>
          <w:sz w:val="22"/>
          <w:szCs w:val="22"/>
        </w:rPr>
        <w:t xml:space="preserve"> </w:t>
      </w:r>
      <w:r>
        <w:rPr>
          <w:rFonts w:cs="Calibri" w:ascii="Calibri" w:hAnsi="Calibri" w:asciiTheme="minorHAnsi" w:cstheme="minorHAnsi" w:hAnsiTheme="minorHAnsi"/>
          <w:sz w:val="22"/>
          <w:szCs w:val="22"/>
        </w:rPr>
        <w:t xml:space="preserve">est </w:t>
      </w:r>
      <w:r>
        <w:rPr>
          <w:rFonts w:cs="Calibri" w:ascii="Calibri" w:hAnsi="Calibri" w:asciiTheme="minorHAnsi" w:cstheme="minorHAnsi" w:hAnsiTheme="minorHAnsi"/>
          <w:b/>
          <w:sz w:val="22"/>
          <w:szCs w:val="22"/>
        </w:rPr>
        <w:t>obligatoire</w:t>
      </w:r>
      <w:r>
        <w:rPr>
          <w:rFonts w:cs="Calibri" w:ascii="Calibri" w:hAnsi="Calibri" w:asciiTheme="minorHAnsi" w:cstheme="minorHAnsi" w:hAnsiTheme="minorHAnsi"/>
          <w:sz w:val="22"/>
          <w:szCs w:val="22"/>
        </w:rPr>
        <w:t xml:space="preserve"> pour l’ensemble des salariés.</w:t>
      </w:r>
    </w:p>
    <w:p>
      <w:pPr>
        <w:pStyle w:val="Normal"/>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rPr>
          <w:rFonts w:ascii="Calibri" w:hAnsi="Calibri" w:cs="Calibri" w:asciiTheme="minorHAnsi" w:cstheme="minorHAnsi" w:hAnsiTheme="minorHAnsi"/>
          <w:b/>
          <w:sz w:val="22"/>
          <w:szCs w:val="22"/>
        </w:rPr>
      </w:pPr>
      <w:r>
        <w:rPr>
          <w:rFonts w:cs="Calibri" w:ascii="Calibri" w:hAnsi="Calibri" w:asciiTheme="minorHAnsi" w:cstheme="minorHAnsi" w:hAnsiTheme="minorHAnsi"/>
          <w:sz w:val="22"/>
          <w:szCs w:val="22"/>
        </w:rPr>
        <w:t xml:space="preserve">Cette obligation d’adhésion résulte de la signature du présent accord par les organisations syndicales représentatives des salariés dans l’entreprise. Elle s'impose donc dans les relations individuelles de travail et les salariés concernés </w:t>
      </w:r>
      <w:r>
        <w:rPr>
          <w:rFonts w:cs="Calibri" w:ascii="Calibri" w:hAnsi="Calibri" w:asciiTheme="minorHAnsi" w:cstheme="minorHAnsi" w:hAnsiTheme="minorHAnsi"/>
          <w:color w:val="000000"/>
          <w:sz w:val="22"/>
          <w:szCs w:val="22"/>
        </w:rPr>
        <w:t>ne pourront s'opposer au précompte de leur quote-part de cotisations prélevée sur leur bulletin de paie.</w:t>
      </w:r>
    </w:p>
    <w:p>
      <w:pPr>
        <w:pStyle w:val="Normal"/>
        <w:spacing w:lineRule="atLeast" w:line="240"/>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tabs>
          <w:tab w:val="clear" w:pos="709"/>
          <w:tab w:val="left" w:pos="900" w:leader="none"/>
        </w:tabs>
        <w:spacing w:lineRule="atLeast" w:line="240"/>
        <w:ind w:end="470"/>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Article 6 : Salariés dont le contrat de travail est rompu</w:t>
      </w:r>
    </w:p>
    <w:p>
      <w:pPr>
        <w:pStyle w:val="Normal"/>
        <w:tabs>
          <w:tab w:val="clear" w:pos="709"/>
          <w:tab w:val="left" w:pos="900" w:leader="none"/>
        </w:tabs>
        <w:spacing w:lineRule="atLeast" w:line="240"/>
        <w:ind w:end="470"/>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tabs>
          <w:tab w:val="clear" w:pos="709"/>
          <w:tab w:val="left" w:pos="900" w:leader="none"/>
          <w:tab w:val="left" w:pos="9072" w:leader="none"/>
        </w:tabs>
        <w:spacing w:lineRule="atLeast" w:line="24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Les salariés quittant l’entreprise et adhérant au présent régime pourront bénéficier d’un maintien de leurs garanties, dans le cadre du dispositif de portabilité, conformément aux dispositions légales (article L. 911-8 du Code de la sécurité sociale) et conventionnelles en vigueur à la date de la rupture de leur contrat.</w:t>
      </w:r>
    </w:p>
    <w:p>
      <w:pPr>
        <w:pStyle w:val="Normal"/>
        <w:tabs>
          <w:tab w:val="clear" w:pos="709"/>
          <w:tab w:val="left" w:pos="900" w:leader="none"/>
          <w:tab w:val="left" w:pos="9072" w:leader="none"/>
        </w:tabs>
        <w:spacing w:lineRule="atLeast" w:line="240"/>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tabs>
          <w:tab w:val="clear" w:pos="709"/>
          <w:tab w:val="left" w:pos="3617" w:leader="none"/>
        </w:tabs>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Article 7 : Cotisations</w:t>
      </w:r>
    </w:p>
    <w:p>
      <w:pPr>
        <w:pStyle w:val="Normal"/>
        <w:tabs>
          <w:tab w:val="clear" w:pos="709"/>
          <w:tab w:val="left" w:pos="1010" w:leader="none"/>
        </w:tabs>
        <w:spacing w:lineRule="atLeast" w:line="240"/>
        <w:rPr>
          <w:rFonts w:ascii="Calibri" w:hAnsi="Calibri" w:cs="Calibri" w:asciiTheme="minorHAnsi" w:cstheme="minorHAnsi" w:hAnsiTheme="minorHAnsi"/>
          <w:b/>
          <w:sz w:val="22"/>
          <w:szCs w:val="22"/>
        </w:rPr>
      </w:pPr>
      <w:r>
        <w:rPr>
          <w:rFonts w:cs="Calibri" w:cstheme="minorHAnsi" w:ascii="Calibri" w:hAnsi="Calibri"/>
          <w:b/>
          <w:sz w:val="22"/>
          <w:szCs w:val="22"/>
        </w:rPr>
      </w:r>
    </w:p>
    <w:p>
      <w:pPr>
        <w:pStyle w:val="WW-Listecontinue"/>
        <w:spacing w:before="0" w:after="0"/>
        <w:ind w:hanging="0" w:start="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Les cotisations servant au financement du contrat d’assurance seront prises en charge par l’association et par les salariés dans les proportions suivantes :</w:t>
      </w:r>
    </w:p>
    <w:p>
      <w:pPr>
        <w:pStyle w:val="WW-Listecontinue"/>
        <w:spacing w:before="0" w:after="0"/>
        <w:ind w:hanging="0" w:start="0"/>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numPr>
          <w:ilvl w:val="0"/>
          <w:numId w:val="1"/>
        </w:numPr>
        <w:tabs>
          <w:tab w:val="clear" w:pos="709"/>
          <w:tab w:val="left" w:pos="540" w:leader="none"/>
        </w:tabs>
        <w:overflowPunct w:val="false"/>
        <w:spacing w:lineRule="atLeast" w:line="240"/>
        <w:ind w:hanging="0" w:start="0" w:end="290"/>
        <w:textAlignment w:val="auto"/>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Part patronale : 100%</w:t>
      </w:r>
    </w:p>
    <w:p>
      <w:pPr>
        <w:pStyle w:val="Normal"/>
        <w:spacing w:lineRule="atLeast" w:line="240"/>
        <w:ind w:end="290"/>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spacing w:lineRule="atLeast" w:line="240"/>
        <w:ind w:end="29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Les cotisations pour l’année 2025 s’élèvent :</w:t>
      </w:r>
    </w:p>
    <w:p>
      <w:pPr>
        <w:pStyle w:val="Normal"/>
        <w:spacing w:lineRule="atLeast" w:line="240"/>
        <w:ind w:end="290"/>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numPr>
          <w:ilvl w:val="0"/>
          <w:numId w:val="2"/>
        </w:numPr>
        <w:overflowPunct w:val="false"/>
        <w:spacing w:lineRule="atLeast" w:line="240"/>
        <w:ind w:hanging="360" w:start="1070" w:end="290"/>
        <w:textAlignment w:val="auto"/>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2,88% du Salaire annuel brut limité à 4 PASS (plafond annuel de la Sécurité Sociale)</w:t>
      </w:r>
    </w:p>
    <w:p>
      <w:pPr>
        <w:pStyle w:val="Normal"/>
        <w:overflowPunct w:val="false"/>
        <w:spacing w:lineRule="atLeast" w:line="240"/>
        <w:ind w:end="290"/>
        <w:textAlignment w:val="auto"/>
        <w:rPr>
          <w:rFonts w:ascii="Calibri" w:hAnsi="Calibri" w:cs="Calibri" w:asciiTheme="minorHAnsi" w:cstheme="minorHAnsi" w:hAnsiTheme="minorHAnsi"/>
          <w:i/>
          <w:iCs/>
          <w:sz w:val="22"/>
          <w:szCs w:val="22"/>
        </w:rPr>
      </w:pPr>
      <w:r>
        <w:rPr>
          <w:rFonts w:cs="Calibri" w:cstheme="minorHAnsi" w:ascii="Calibri" w:hAnsi="Calibri"/>
          <w:i/>
          <w:iCs/>
          <w:sz w:val="22"/>
          <w:szCs w:val="22"/>
        </w:rPr>
      </w:r>
    </w:p>
    <w:p>
      <w:pPr>
        <w:pStyle w:val="Normal"/>
        <w:overflowPunct w:val="false"/>
        <w:spacing w:lineRule="atLeast" w:line="240"/>
        <w:ind w:end="290"/>
        <w:textAlignment w:val="auto"/>
        <w:rPr>
          <w:rFonts w:ascii="Calibri" w:hAnsi="Calibri" w:cs="Calibri" w:asciiTheme="minorHAnsi" w:cstheme="minorHAnsi" w:hAnsiTheme="minorHAnsi"/>
          <w:sz w:val="22"/>
          <w:szCs w:val="22"/>
        </w:rPr>
      </w:pPr>
      <w:r>
        <w:rPr>
          <w:rFonts w:cs="Calibri" w:ascii="Calibri" w:hAnsi="Calibri" w:asciiTheme="minorHAnsi" w:cstheme="minorHAnsi" w:hAnsiTheme="minorHAnsi"/>
          <w:i/>
          <w:iCs/>
          <w:sz w:val="22"/>
          <w:szCs w:val="22"/>
        </w:rPr>
        <w:t>Les cotisations servant au financement du contrat d’assurance sont de 2,88% du Salaire annuel brut limité à 4 PASS (plafond annuel de la Sécurité Sociale)</w:t>
      </w:r>
      <w:r>
        <w:rPr>
          <w:rFonts w:cs="Calibri" w:ascii="Calibri" w:hAnsi="Calibri" w:asciiTheme="minorHAnsi" w:cstheme="minorHAnsi" w:hAnsiTheme="minorHAnsi"/>
          <w:sz w:val="22"/>
          <w:szCs w:val="22"/>
        </w:rPr>
        <w:t xml:space="preserve">. </w:t>
      </w:r>
      <w:r>
        <w:rPr>
          <w:rFonts w:cs="Calibri" w:ascii="Calibri" w:hAnsi="Calibri" w:asciiTheme="minorHAnsi" w:cstheme="minorHAnsi" w:hAnsiTheme="minorHAnsi"/>
          <w:i/>
          <w:iCs/>
          <w:sz w:val="22"/>
          <w:szCs w:val="22"/>
        </w:rPr>
        <w:t>Elles sont</w:t>
      </w:r>
      <w:r>
        <w:rPr>
          <w:rFonts w:cs="Calibri" w:ascii="Calibri" w:hAnsi="Calibri" w:asciiTheme="minorHAnsi" w:cstheme="minorHAnsi" w:hAnsiTheme="minorHAnsi"/>
          <w:sz w:val="22"/>
          <w:szCs w:val="22"/>
        </w:rPr>
        <w:t xml:space="preserve"> </w:t>
      </w:r>
      <w:r>
        <w:rPr>
          <w:rFonts w:cs="Calibri" w:ascii="Calibri" w:hAnsi="Calibri" w:asciiTheme="minorHAnsi" w:cstheme="minorHAnsi" w:hAnsiTheme="minorHAnsi"/>
          <w:i/>
          <w:iCs/>
          <w:sz w:val="22"/>
          <w:szCs w:val="22"/>
        </w:rPr>
        <w:t>intégralement prises en charge par l’association</w:t>
      </w:r>
    </w:p>
    <w:p>
      <w:pPr>
        <w:pStyle w:val="Normal"/>
        <w:spacing w:lineRule="atLeast" w:line="240"/>
        <w:ind w:end="290"/>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tabs>
          <w:tab w:val="clear" w:pos="709"/>
          <w:tab w:val="left" w:pos="3617" w:leader="none"/>
        </w:tabs>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Article 8 : Évolution ultérieure des cotisations</w:t>
      </w:r>
    </w:p>
    <w:p>
      <w:pPr>
        <w:pStyle w:val="Normal"/>
        <w:tabs>
          <w:tab w:val="clear" w:pos="709"/>
          <w:tab w:val="left" w:pos="3617" w:leader="none"/>
        </w:tabs>
        <w:rPr>
          <w:rFonts w:ascii="Calibri" w:hAnsi="Calibri" w:cs="Calibri" w:asciiTheme="minorHAnsi" w:cstheme="minorHAnsi" w:hAnsiTheme="minorHAnsi"/>
          <w:b/>
          <w:sz w:val="22"/>
          <w:szCs w:val="22"/>
        </w:rPr>
      </w:pPr>
      <w:r>
        <w:rPr>
          <w:rFonts w:cs="Calibri" w:cstheme="minorHAnsi" w:ascii="Calibri" w:hAnsi="Calibri"/>
          <w:b/>
          <w:sz w:val="22"/>
          <w:szCs w:val="22"/>
        </w:rPr>
      </w:r>
    </w:p>
    <w:p>
      <w:pPr>
        <w:pStyle w:val="Normal"/>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Les cotisations pourront être augmentées ou diminuées par rapport à  la cotisation initiale sans modification du présent accord. </w:t>
      </w:r>
    </w:p>
    <w:p>
      <w:pPr>
        <w:pStyle w:val="Normal"/>
        <w:rPr>
          <w:rFonts w:ascii="Calibri" w:hAnsi="Calibri" w:cs="Calibri" w:asciiTheme="minorHAnsi" w:cstheme="minorHAnsi" w:hAnsiTheme="minorHAnsi"/>
          <w:b/>
          <w:bCs/>
          <w:i/>
          <w:iCs/>
          <w:color w:val="339966"/>
          <w:sz w:val="22"/>
          <w:szCs w:val="22"/>
        </w:rPr>
      </w:pPr>
      <w:r>
        <w:rPr>
          <w:rFonts w:cs="Calibri" w:cstheme="minorHAnsi" w:ascii="Calibri" w:hAnsi="Calibri"/>
          <w:b/>
          <w:bCs/>
          <w:i/>
          <w:iCs/>
          <w:color w:val="339966"/>
          <w:sz w:val="22"/>
          <w:szCs w:val="22"/>
        </w:rPr>
      </w:r>
    </w:p>
    <w:p>
      <w:pPr>
        <w:pStyle w:val="Normal"/>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Les évolutions de cotisations seront intégralement supportées par l’association </w:t>
      </w:r>
    </w:p>
    <w:p>
      <w:pPr>
        <w:pStyle w:val="Normal"/>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tabs>
          <w:tab w:val="clear" w:pos="709"/>
          <w:tab w:val="left" w:pos="3617" w:leader="none"/>
        </w:tabs>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Article 9 : Information individuelle</w:t>
      </w:r>
    </w:p>
    <w:p>
      <w:pPr>
        <w:pStyle w:val="Normal"/>
        <w:tabs>
          <w:tab w:val="clear" w:pos="709"/>
          <w:tab w:val="left" w:pos="6770" w:leader="none"/>
        </w:tabs>
        <w:spacing w:lineRule="atLeast" w:line="240"/>
        <w:ind w:end="290"/>
        <w:rPr>
          <w:rFonts w:ascii="Calibri" w:hAnsi="Calibri" w:cs="Calibri" w:asciiTheme="minorHAnsi" w:cstheme="minorHAnsi" w:hAnsiTheme="minorHAnsi"/>
          <w:b/>
          <w:sz w:val="22"/>
          <w:szCs w:val="22"/>
        </w:rPr>
      </w:pPr>
      <w:r>
        <w:rPr>
          <w:rFonts w:cs="Calibri" w:cstheme="minorHAnsi" w:ascii="Calibri" w:hAnsi="Calibri"/>
          <w:b/>
          <w:sz w:val="22"/>
          <w:szCs w:val="22"/>
        </w:rPr>
      </w:r>
    </w:p>
    <w:p>
      <w:pPr>
        <w:pStyle w:val="WW-Listecontinue"/>
        <w:spacing w:before="0" w:after="0"/>
        <w:ind w:hanging="0" w:start="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Une notice d’information établie par l’organisme assureur, résumant notamment les garanties et leurs modalités d’application, est remise à chaque salarié, ainsi qu’à tout nouvel embauché bénéficiaire. </w:t>
      </w:r>
    </w:p>
    <w:p>
      <w:pPr>
        <w:pStyle w:val="WW-Listecontinue"/>
        <w:spacing w:before="0" w:after="0"/>
        <w:ind w:hanging="0" w:start="0"/>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WW-Listecontinue"/>
        <w:spacing w:before="0" w:after="0"/>
        <w:ind w:hanging="0" w:start="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Toute modification sera communiquée dans les mêmes conditions. </w:t>
      </w:r>
    </w:p>
    <w:p>
      <w:pPr>
        <w:pStyle w:val="WW-Listecontinue"/>
        <w:spacing w:before="0" w:after="0"/>
        <w:ind w:hanging="0" w:start="0"/>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WW-Listecontinue"/>
        <w:spacing w:before="0" w:after="0"/>
        <w:ind w:hanging="0" w:start="0"/>
        <w:jc w:val="both"/>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Article 10 : Information collective</w:t>
      </w:r>
    </w:p>
    <w:p>
      <w:pPr>
        <w:pStyle w:val="WW-Listecontinue"/>
        <w:spacing w:before="0" w:after="0"/>
        <w:ind w:hanging="0" w:start="0"/>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WW-Listecontinue"/>
        <w:spacing w:before="0" w:after="0"/>
        <w:ind w:hanging="0" w:start="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Conformément à l’article R. 2312-22 du Code du travail, le comité social et économique sera informé et consulté préalablement à toute modification des garanties du régime de remboursement du régime de prévoyance.</w:t>
      </w:r>
    </w:p>
    <w:p>
      <w:pPr>
        <w:pStyle w:val="Normal"/>
        <w:tabs>
          <w:tab w:val="clear" w:pos="709"/>
          <w:tab w:val="left" w:pos="6804" w:leader="dot"/>
          <w:tab w:val="left" w:pos="8505" w:leader="dot"/>
        </w:tabs>
        <w:ind w:end="470"/>
        <w:rPr>
          <w:rFonts w:ascii="Calibri" w:hAnsi="Calibri" w:cs="Calibri" w:asciiTheme="minorHAnsi" w:cstheme="minorHAnsi" w:hAnsiTheme="minorHAnsi"/>
          <w:color w:val="000000"/>
          <w:sz w:val="22"/>
          <w:szCs w:val="22"/>
        </w:rPr>
      </w:pPr>
      <w:r>
        <w:rPr>
          <w:rFonts w:cs="Calibri" w:cstheme="minorHAnsi" w:ascii="Calibri" w:hAnsi="Calibri"/>
          <w:color w:val="000000"/>
          <w:sz w:val="22"/>
          <w:szCs w:val="22"/>
        </w:rPr>
      </w:r>
    </w:p>
    <w:p>
      <w:pPr>
        <w:pStyle w:val="Normal"/>
        <w:tabs>
          <w:tab w:val="clear" w:pos="709"/>
          <w:tab w:val="left" w:pos="3617" w:leader="none"/>
        </w:tabs>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Article 11 : Garanties</w:t>
      </w:r>
    </w:p>
    <w:p>
      <w:pPr>
        <w:pStyle w:val="WW-Listecontinue"/>
        <w:spacing w:before="0" w:after="0"/>
        <w:ind w:hanging="0" w:start="0"/>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WW-Listecontinue"/>
        <w:spacing w:before="0" w:after="0"/>
        <w:ind w:hanging="0" w:start="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Il est précisé que les garanties ne constituent, en aucun cas, un engagement de l’employeur et relèvent de la seule responsabilité de l’organisme assureur au même titre que les modalités, limitations et exclusions de garanties.</w:t>
      </w:r>
    </w:p>
    <w:p>
      <w:pPr>
        <w:pStyle w:val="WW-Listecontinue"/>
        <w:spacing w:before="0" w:after="0"/>
        <w:ind w:hanging="0" w:start="0"/>
        <w:jc w:val="both"/>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tabs>
          <w:tab w:val="clear" w:pos="709"/>
          <w:tab w:val="left" w:pos="3617" w:leader="none"/>
        </w:tabs>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Article 12 : Maintien des garanties en cas de changement d’organisme assureur</w:t>
      </w:r>
    </w:p>
    <w:p>
      <w:pPr>
        <w:pStyle w:val="Normal"/>
        <w:rPr>
          <w:rFonts w:ascii="Calibri" w:hAnsi="Calibri" w:cs="Calibri" w:asciiTheme="minorHAnsi" w:cstheme="minorHAnsi" w:hAnsiTheme="minorHAnsi"/>
          <w:sz w:val="22"/>
          <w:szCs w:val="22"/>
          <w:lang w:eastAsia="fr-FR"/>
        </w:rPr>
      </w:pPr>
      <w:r>
        <w:rPr>
          <w:rFonts w:cs="Calibri" w:cstheme="minorHAnsi" w:ascii="Calibri" w:hAnsi="Calibri"/>
          <w:sz w:val="22"/>
          <w:szCs w:val="22"/>
          <w:lang w:eastAsia="fr-FR"/>
        </w:rPr>
      </w:r>
    </w:p>
    <w:p>
      <w:pPr>
        <w:pStyle w:val="Normal"/>
        <w:rPr>
          <w:rFonts w:ascii="Calibri" w:hAnsi="Calibri" w:cs="Calibri" w:asciiTheme="minorHAnsi" w:cstheme="minorHAnsi" w:hAnsiTheme="minorHAnsi"/>
          <w:sz w:val="22"/>
          <w:szCs w:val="22"/>
          <w:lang w:eastAsia="fr-FR"/>
        </w:rPr>
      </w:pPr>
      <w:r>
        <w:rPr>
          <w:rFonts w:cs="Calibri" w:ascii="Calibri" w:hAnsi="Calibri" w:asciiTheme="minorHAnsi" w:cstheme="minorHAnsi" w:hAnsiTheme="minorHAnsi"/>
          <w:sz w:val="22"/>
          <w:szCs w:val="22"/>
          <w:lang w:eastAsia="fr-FR"/>
        </w:rPr>
        <w:t>Les rentes en cours de service à la date de changement d'organisme assureur continueront à être revalorisées.</w:t>
      </w:r>
    </w:p>
    <w:p>
      <w:pPr>
        <w:pStyle w:val="Normal"/>
        <w:rPr>
          <w:rFonts w:ascii="Calibri" w:hAnsi="Calibri" w:cs="Calibri" w:asciiTheme="minorHAnsi" w:cstheme="minorHAnsi" w:hAnsiTheme="minorHAnsi"/>
          <w:sz w:val="22"/>
          <w:szCs w:val="22"/>
          <w:lang w:eastAsia="fr-FR"/>
        </w:rPr>
      </w:pPr>
      <w:r>
        <w:rPr>
          <w:rFonts w:cs="Calibri" w:cstheme="minorHAnsi" w:ascii="Calibri" w:hAnsi="Calibri"/>
          <w:sz w:val="22"/>
          <w:szCs w:val="22"/>
          <w:lang w:eastAsia="fr-FR"/>
        </w:rPr>
      </w:r>
    </w:p>
    <w:p>
      <w:pPr>
        <w:pStyle w:val="Normal"/>
        <w:rPr>
          <w:rFonts w:ascii="Calibri" w:hAnsi="Calibri" w:cs="Calibri" w:asciiTheme="minorHAnsi" w:cstheme="minorHAnsi" w:hAnsiTheme="minorHAnsi"/>
          <w:sz w:val="22"/>
          <w:szCs w:val="22"/>
          <w:lang w:eastAsia="fr-FR"/>
        </w:rPr>
      </w:pPr>
      <w:r>
        <w:rPr>
          <w:rFonts w:cs="Calibri" w:ascii="Calibri" w:hAnsi="Calibri" w:asciiTheme="minorHAnsi" w:cstheme="minorHAnsi" w:hAnsiTheme="minorHAnsi"/>
          <w:sz w:val="22"/>
          <w:szCs w:val="22"/>
          <w:lang w:eastAsia="fr-FR"/>
        </w:rPr>
        <w:t>Les garanties décès seront également maintenues au profit des bénéficiaires de rentes d’incapacité de travail ou d’invalidité lors de la résiliation du contrat, étant précisé que la revalorisation des bases de calcul des prestations décès devra être au moins égale à celle prévue par le contrat résilié.</w:t>
      </w:r>
    </w:p>
    <w:p>
      <w:pPr>
        <w:pStyle w:val="Normal"/>
        <w:rPr>
          <w:rFonts w:ascii="Calibri" w:hAnsi="Calibri" w:cs="Calibri" w:asciiTheme="minorHAnsi" w:cstheme="minorHAnsi" w:hAnsiTheme="minorHAnsi"/>
          <w:b/>
          <w:sz w:val="22"/>
          <w:szCs w:val="22"/>
          <w:lang w:eastAsia="fr-FR"/>
        </w:rPr>
      </w:pPr>
      <w:r>
        <w:rPr>
          <w:rFonts w:cs="Calibri" w:cstheme="minorHAnsi" w:ascii="Calibri" w:hAnsi="Calibri"/>
          <w:b/>
          <w:sz w:val="22"/>
          <w:szCs w:val="22"/>
          <w:lang w:eastAsia="fr-FR"/>
        </w:rPr>
      </w:r>
    </w:p>
    <w:p>
      <w:pPr>
        <w:pStyle w:val="Normal"/>
        <w:rPr>
          <w:rFonts w:ascii="Calibri" w:hAnsi="Calibri" w:cs="Calibri" w:asciiTheme="minorHAnsi" w:cstheme="minorHAnsi" w:hAnsiTheme="minorHAnsi"/>
          <w:b/>
          <w:sz w:val="22"/>
          <w:szCs w:val="22"/>
          <w:lang w:eastAsia="fr-FR"/>
        </w:rPr>
      </w:pPr>
      <w:r>
        <w:rPr>
          <w:rFonts w:cs="Calibri" w:ascii="Calibri" w:hAnsi="Calibri" w:asciiTheme="minorHAnsi" w:cstheme="minorHAnsi" w:hAnsiTheme="minorHAnsi"/>
          <w:b/>
          <w:sz w:val="22"/>
          <w:szCs w:val="22"/>
          <w:lang w:eastAsia="fr-FR"/>
        </w:rPr>
        <w:t>Lors du changement d’organisme assureur, l’association s’engage à organiser la prise en charge des obligations ci-dessus définies, soit par l’organisme dont le contrat a été résilié, soit par le nouvel organisme assureur.</w:t>
      </w:r>
    </w:p>
    <w:p>
      <w:pPr>
        <w:pStyle w:val="Normal"/>
        <w:tabs>
          <w:tab w:val="clear" w:pos="709"/>
          <w:tab w:val="left" w:pos="830" w:leader="none"/>
        </w:tabs>
        <w:rPr>
          <w:rFonts w:ascii="Calibri" w:hAnsi="Calibri" w:cs="Calibri" w:asciiTheme="minorHAnsi" w:cstheme="minorHAnsi" w:hAnsiTheme="minorHAnsi"/>
          <w:b/>
          <w:sz w:val="22"/>
          <w:szCs w:val="22"/>
        </w:rPr>
      </w:pPr>
      <w:r>
        <w:rPr>
          <w:rFonts w:cs="Calibri" w:cstheme="minorHAnsi" w:ascii="Calibri" w:hAnsi="Calibri"/>
          <w:b/>
          <w:sz w:val="22"/>
          <w:szCs w:val="22"/>
        </w:rPr>
      </w:r>
    </w:p>
    <w:p>
      <w:pPr>
        <w:pStyle w:val="Normal"/>
        <w:tabs>
          <w:tab w:val="clear" w:pos="709"/>
          <w:tab w:val="left" w:pos="830" w:leader="none"/>
        </w:tabs>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Article 13 : Durée – Révision – Dénonciation de l’accord</w:t>
      </w:r>
    </w:p>
    <w:p>
      <w:pPr>
        <w:pStyle w:val="Normal"/>
        <w:ind w:end="289"/>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tabs>
          <w:tab w:val="clear" w:pos="709"/>
          <w:tab w:val="left" w:pos="540" w:leader="none"/>
        </w:tabs>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Le présent accord est conclu pour une </w:t>
      </w:r>
      <w:r>
        <w:rPr>
          <w:rFonts w:cs="Calibri" w:ascii="Calibri" w:hAnsi="Calibri" w:asciiTheme="minorHAnsi" w:cstheme="minorHAnsi" w:hAnsiTheme="minorHAnsi"/>
          <w:b/>
          <w:sz w:val="22"/>
          <w:szCs w:val="22"/>
          <w:u w:val="single"/>
        </w:rPr>
        <w:t>durée indéterminée</w:t>
      </w:r>
      <w:r>
        <w:rPr>
          <w:rFonts w:cs="Calibri" w:ascii="Calibri" w:hAnsi="Calibri" w:asciiTheme="minorHAnsi" w:cstheme="minorHAnsi" w:hAnsiTheme="minorHAnsi"/>
          <w:sz w:val="22"/>
          <w:szCs w:val="22"/>
        </w:rPr>
        <w:t xml:space="preserve"> et prendra effet rétroactif le 01/01/2025</w:t>
      </w:r>
    </w:p>
    <w:p>
      <w:pPr>
        <w:pStyle w:val="Normal"/>
        <w:tabs>
          <w:tab w:val="clear" w:pos="709"/>
          <w:tab w:val="left" w:pos="540" w:leader="none"/>
        </w:tabs>
        <w:ind w:start="1"/>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tabs>
          <w:tab w:val="clear" w:pos="709"/>
          <w:tab w:val="left" w:pos="540" w:leader="none"/>
        </w:tabs>
        <w:ind w:start="1"/>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Il pourra être révisé à tout moment par l’employeur et les organisations syndicales représentatives en respectant la procédure prévue respectivement par les articles L. 2222-5, L. 2261-7-1, L. 2261-8, L2261-9,10,11,13 du Code du travail.</w:t>
      </w:r>
    </w:p>
    <w:p>
      <w:pPr>
        <w:pStyle w:val="Normal"/>
        <w:tabs>
          <w:tab w:val="clear" w:pos="709"/>
          <w:tab w:val="left" w:pos="6770" w:leader="none"/>
        </w:tabs>
        <w:ind w:start="1"/>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Les dispositions faisant l’objet de la demande de révision, continueront à s’appliquer jusqu’à la date d’entrée en vigueur de l’avenant. </w:t>
      </w:r>
    </w:p>
    <w:p>
      <w:pPr>
        <w:pStyle w:val="Normal"/>
        <w:tabs>
          <w:tab w:val="clear" w:pos="709"/>
          <w:tab w:val="left" w:pos="6770" w:leader="none"/>
        </w:tabs>
        <w:ind w:start="1"/>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Cet avenant sera soumis aux mêmes règles de validité et de publicité que le présent accord. </w:t>
      </w:r>
    </w:p>
    <w:p>
      <w:pPr>
        <w:pStyle w:val="Normal"/>
        <w:tabs>
          <w:tab w:val="clear" w:pos="709"/>
          <w:tab w:val="left" w:pos="540" w:leader="none"/>
        </w:tabs>
        <w:ind w:start="1"/>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tabs>
          <w:tab w:val="clear" w:pos="709"/>
          <w:tab w:val="left" w:pos="540" w:leader="none"/>
        </w:tabs>
        <w:ind w:start="1"/>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Il pourra être dénoncé en respectant un préavis de trois mois conformément aux dispositions des articles L. 2222-6, L. 2261-9 et suivants du Code du travail. </w:t>
      </w:r>
    </w:p>
    <w:p>
      <w:pPr>
        <w:pStyle w:val="Normal"/>
        <w:tabs>
          <w:tab w:val="clear" w:pos="709"/>
          <w:tab w:val="left" w:pos="540" w:leader="none"/>
        </w:tabs>
        <w:ind w:start="1"/>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En tout état de cause et sauf accord contraire des parties, y compris de l'organisme assureur, la dénonciation ne pourra avoir d'effet qu'à l'échéance du contrat d'assurance.</w:t>
      </w:r>
    </w:p>
    <w:p>
      <w:pPr>
        <w:pStyle w:val="Normal"/>
        <w:ind w:start="1"/>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Il pourra également être mis en cause dans les conditions prévues à l’article L.2261-14 du Code du travail.</w:t>
      </w:r>
    </w:p>
    <w:p>
      <w:pPr>
        <w:pStyle w:val="Normal"/>
        <w:ind w:start="539" w:end="289"/>
        <w:rPr>
          <w:rFonts w:ascii="Calibri" w:hAnsi="Calibri" w:cs="Calibri" w:asciiTheme="minorHAnsi" w:cstheme="minorHAnsi" w:hAnsiTheme="minorHAnsi"/>
          <w:color w:val="0000FF"/>
          <w:sz w:val="22"/>
          <w:szCs w:val="22"/>
        </w:rPr>
      </w:pPr>
      <w:r>
        <w:rPr>
          <w:rFonts w:cs="Calibri" w:cstheme="minorHAnsi" w:ascii="Calibri" w:hAnsi="Calibri"/>
          <w:color w:val="0000FF"/>
          <w:sz w:val="22"/>
          <w:szCs w:val="22"/>
        </w:rPr>
      </w:r>
    </w:p>
    <w:p>
      <w:pPr>
        <w:pStyle w:val="Normal"/>
        <w:ind w:start="539" w:end="289"/>
        <w:rPr>
          <w:rFonts w:ascii="Calibri" w:hAnsi="Calibri" w:cs="Calibri" w:asciiTheme="minorHAnsi" w:cstheme="minorHAnsi" w:hAnsiTheme="minorHAnsi"/>
          <w:color w:val="0000FF"/>
          <w:sz w:val="22"/>
          <w:szCs w:val="22"/>
        </w:rPr>
      </w:pPr>
      <w:r>
        <w:rPr>
          <w:rFonts w:cs="Calibri" w:cstheme="minorHAnsi" w:ascii="Calibri" w:hAnsi="Calibri"/>
          <w:color w:val="0000FF"/>
          <w:sz w:val="22"/>
          <w:szCs w:val="22"/>
        </w:rPr>
      </w:r>
    </w:p>
    <w:p>
      <w:pPr>
        <w:pStyle w:val="Normal"/>
        <w:ind w:start="539" w:end="289"/>
        <w:rPr>
          <w:rFonts w:ascii="Calibri" w:hAnsi="Calibri" w:cs="Calibri" w:asciiTheme="minorHAnsi" w:cstheme="minorHAnsi" w:hAnsiTheme="minorHAnsi"/>
          <w:color w:val="0000FF"/>
          <w:sz w:val="22"/>
          <w:szCs w:val="22"/>
        </w:rPr>
      </w:pPr>
      <w:r>
        <w:rPr>
          <w:rFonts w:cs="Calibri" w:cstheme="minorHAnsi" w:ascii="Calibri" w:hAnsi="Calibri"/>
          <w:color w:val="0000FF"/>
          <w:sz w:val="22"/>
          <w:szCs w:val="22"/>
        </w:rPr>
      </w:r>
    </w:p>
    <w:p>
      <w:pPr>
        <w:pStyle w:val="Normal"/>
        <w:tabs>
          <w:tab w:val="clear" w:pos="709"/>
          <w:tab w:val="left" w:pos="830" w:leader="none"/>
        </w:tabs>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Article 14 : Dépôt et publicité</w:t>
      </w:r>
    </w:p>
    <w:p>
      <w:pPr>
        <w:pStyle w:val="Normal"/>
        <w:rPr>
          <w:rFonts w:ascii="Calibri" w:hAnsi="Calibri" w:cs="Calibri" w:asciiTheme="minorHAnsi" w:cstheme="minorHAnsi" w:hAnsiTheme="minorHAnsi"/>
          <w:b/>
          <w:i/>
          <w:color w:val="008000"/>
          <w:sz w:val="22"/>
          <w:szCs w:val="22"/>
        </w:rPr>
      </w:pPr>
      <w:r>
        <w:rPr>
          <w:rFonts w:cs="Calibri" w:cstheme="minorHAnsi" w:ascii="Calibri" w:hAnsi="Calibri"/>
          <w:b/>
          <w:i/>
          <w:color w:val="008000"/>
          <w:sz w:val="22"/>
          <w:szCs w:val="22"/>
        </w:rPr>
      </w:r>
    </w:p>
    <w:p>
      <w:pPr>
        <w:pStyle w:val="Normal"/>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Le présent accord ainsi que les                                                                                                                                      pièces listées à l’article D. 2231-7 du Code du travail seront déposés sur la plateforme de téléprocédure du Ministère du Travail via le site internet « www.teleaccords.travail-emploi.gouv.fr ». </w:t>
      </w:r>
    </w:p>
    <w:p>
      <w:pPr>
        <w:pStyle w:val="Normal"/>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Un exemplaire original du présent accord sera remis au secrétariat-greffe du Conseil de prud’hommes. </w:t>
      </w:r>
    </w:p>
    <w:p>
      <w:pPr>
        <w:pStyle w:val="Normal"/>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En outre, un exemplaire sera établi pour chaque partie.</w:t>
      </w:r>
    </w:p>
    <w:p>
      <w:pPr>
        <w:pStyle w:val="Normal"/>
        <w:rPr>
          <w:rFonts w:ascii="Calibri" w:hAnsi="Calibri" w:cs="Calibri" w:asciiTheme="minorHAnsi" w:cstheme="minorHAnsi" w:hAnsiTheme="minorHAnsi"/>
          <w:b/>
          <w:sz w:val="22"/>
          <w:szCs w:val="22"/>
        </w:rPr>
      </w:pPr>
      <w:r>
        <w:rPr>
          <w:rFonts w:cs="Calibri" w:cstheme="minorHAnsi" w:ascii="Calibri" w:hAnsi="Calibri"/>
          <w:b/>
          <w:sz w:val="22"/>
          <w:szCs w:val="22"/>
        </w:rPr>
      </w:r>
    </w:p>
    <w:p>
      <w:pPr>
        <w:pStyle w:val="Normal"/>
        <w:rPr>
          <w:rFonts w:ascii="Calibri" w:hAnsi="Calibri" w:eastAsia="Calibri" w:cs="Calibri"/>
          <w:b/>
          <w:sz w:val="22"/>
          <w:szCs w:val="22"/>
        </w:rPr>
      </w:pPr>
      <w:r>
        <w:rPr>
          <w:rFonts w:eastAsia="Calibri" w:cs="Calibri" w:ascii="Calibri" w:hAnsi="Calibri"/>
          <w:b/>
          <w:sz w:val="22"/>
          <w:szCs w:val="22"/>
        </w:rPr>
        <w:t>Ont assisté à ces réunions et approuvent le présent accord établi en 6 exemplaires originaux:</w:t>
      </w:r>
    </w:p>
    <w:p>
      <w:pPr>
        <w:pStyle w:val="Normal"/>
        <w:rPr>
          <w:rFonts w:ascii="Calibri" w:hAnsi="Calibri" w:eastAsia="Calibri" w:cs="Calibri"/>
          <w:b/>
          <w:sz w:val="22"/>
          <w:szCs w:val="22"/>
        </w:rPr>
      </w:pPr>
      <w:r>
        <w:rPr>
          <w:rFonts w:eastAsia="Calibri" w:cs="Calibri" w:ascii="Calibri" w:hAnsi="Calibri"/>
          <w:b/>
          <w:sz w:val="22"/>
          <w:szCs w:val="22"/>
        </w:rPr>
      </w:r>
    </w:p>
    <w:p>
      <w:pPr>
        <w:pStyle w:val="Normal"/>
        <w:rPr>
          <w:rFonts w:ascii="Calibri" w:hAnsi="Calibri" w:eastAsia="Calibri" w:cs="Calibri"/>
          <w:b/>
          <w:sz w:val="22"/>
          <w:szCs w:val="22"/>
        </w:rPr>
      </w:pPr>
      <w:r>
        <w:rPr>
          <w:rFonts w:eastAsia="Calibri" w:cs="Calibri" w:ascii="Calibri" w:hAnsi="Calibri"/>
          <w:b/>
          <w:sz w:val="22"/>
          <w:szCs w:val="22"/>
        </w:rPr>
        <w:t>Fait à Metz le 26 aout 2025 en 6 exemplaires dont deux pour les formalités de publicité.</w:t>
      </w:r>
    </w:p>
    <w:p>
      <w:pPr>
        <w:pStyle w:val="Normal"/>
        <w:rPr>
          <w:rFonts w:ascii="Calibri" w:hAnsi="Calibri" w:eastAsia="Calibri" w:cs="Calibri"/>
          <w:b/>
          <w:sz w:val="22"/>
          <w:szCs w:val="22"/>
        </w:rPr>
      </w:pPr>
      <w:r>
        <w:rPr>
          <w:rFonts w:eastAsia="Calibri" w:cs="Calibri" w:ascii="Calibri" w:hAnsi="Calibri"/>
          <w:b/>
          <w:sz w:val="22"/>
          <w:szCs w:val="22"/>
        </w:rPr>
      </w:r>
    </w:p>
    <w:tbl>
      <w:tblPr>
        <w:tblW w:w="9654" w:type="dxa"/>
        <w:jc w:val="start"/>
        <w:tblInd w:w="55" w:type="dxa"/>
        <w:tblLayout w:type="fixed"/>
        <w:tblCellMar>
          <w:top w:w="0" w:type="dxa"/>
          <w:start w:w="70" w:type="dxa"/>
          <w:bottom w:w="0" w:type="dxa"/>
          <w:end w:w="70" w:type="dxa"/>
        </w:tblCellMar>
        <w:tblLook w:firstRow="0" w:noVBand="0" w:lastRow="0" w:firstColumn="0" w:lastColumn="0" w:noHBand="0" w:val="0000"/>
      </w:tblPr>
      <w:tblGrid>
        <w:gridCol w:w="1925"/>
        <w:gridCol w:w="4468"/>
        <w:gridCol w:w="3261"/>
      </w:tblGrid>
      <w:tr>
        <w:trPr>
          <w:trHeight w:val="300" w:hRule="atLeast"/>
        </w:trPr>
        <w:tc>
          <w:tcPr>
            <w:tcW w:w="1925" w:type="dxa"/>
            <w:tcBorders>
              <w:top w:val="single" w:sz="4" w:space="0" w:color="000000"/>
              <w:start w:val="single" w:sz="4" w:space="0" w:color="000000"/>
              <w:bottom w:val="single" w:sz="4" w:space="0" w:color="000000"/>
              <w:end w:val="single" w:sz="4" w:space="0" w:color="000000"/>
            </w:tcBorders>
            <w:vAlign w:val="center"/>
          </w:tcPr>
          <w:p>
            <w:pPr>
              <w:pStyle w:val="Normal"/>
              <w:rPr>
                <w:rFonts w:ascii="Arial" w:hAnsi="Arial" w:cs="Arial"/>
                <w:b/>
                <w:bCs/>
                <w:sz w:val="18"/>
                <w:szCs w:val="18"/>
              </w:rPr>
            </w:pPr>
            <w:r>
              <w:rPr>
                <w:rFonts w:cs="Arial" w:ascii="Arial" w:hAnsi="Arial"/>
                <w:b/>
                <w:bCs/>
                <w:sz w:val="18"/>
                <w:szCs w:val="18"/>
              </w:rPr>
            </w:r>
          </w:p>
        </w:tc>
        <w:tc>
          <w:tcPr>
            <w:tcW w:w="4468" w:type="dxa"/>
            <w:tcBorders>
              <w:top w:val="single" w:sz="4" w:space="0" w:color="000000"/>
              <w:start w:val="single" w:sz="4" w:space="0" w:color="000000"/>
              <w:bottom w:val="single" w:sz="4" w:space="0" w:color="000000"/>
              <w:end w:val="single" w:sz="4" w:space="0" w:color="000000"/>
            </w:tcBorders>
            <w:vAlign w:val="center"/>
          </w:tcPr>
          <w:p>
            <w:pPr>
              <w:pStyle w:val="Normal"/>
              <w:rPr>
                <w:rFonts w:ascii="Arial" w:hAnsi="Arial" w:cs="Arial"/>
                <w:b/>
                <w:bCs/>
                <w:sz w:val="18"/>
                <w:szCs w:val="18"/>
              </w:rPr>
            </w:pPr>
            <w:r>
              <w:rPr>
                <w:rFonts w:cs="Arial" w:ascii="Arial" w:hAnsi="Arial"/>
                <w:b/>
                <w:bCs/>
                <w:sz w:val="18"/>
                <w:szCs w:val="18"/>
              </w:rPr>
              <w:t>Présents :</w:t>
            </w:r>
          </w:p>
        </w:tc>
        <w:tc>
          <w:tcPr>
            <w:tcW w:w="3261" w:type="dxa"/>
            <w:tcBorders>
              <w:top w:val="single" w:sz="4" w:space="0" w:color="000000"/>
              <w:start w:val="single" w:sz="4" w:space="0" w:color="000000"/>
              <w:bottom w:val="single" w:sz="4" w:space="0" w:color="000000"/>
              <w:end w:val="single" w:sz="4" w:space="0" w:color="000000"/>
            </w:tcBorders>
            <w:vAlign w:val="center"/>
          </w:tcPr>
          <w:p>
            <w:pPr>
              <w:pStyle w:val="Normal"/>
              <w:rPr>
                <w:rFonts w:ascii="Arial" w:hAnsi="Arial" w:cs="Arial"/>
                <w:b/>
                <w:bCs/>
                <w:sz w:val="18"/>
                <w:szCs w:val="18"/>
              </w:rPr>
            </w:pPr>
            <w:r>
              <w:rPr>
                <w:rFonts w:cs="Arial" w:ascii="Arial" w:hAnsi="Arial"/>
                <w:b/>
                <w:bCs/>
                <w:sz w:val="18"/>
                <w:szCs w:val="18"/>
              </w:rPr>
              <w:t>Date + Émargements</w:t>
            </w:r>
          </w:p>
        </w:tc>
      </w:tr>
      <w:tr>
        <w:trPr>
          <w:trHeight w:val="495" w:hRule="atLeast"/>
        </w:trPr>
        <w:tc>
          <w:tcPr>
            <w:tcW w:w="1925" w:type="dxa"/>
            <w:vMerge w:val="restart"/>
            <w:tcBorders>
              <w:top w:val="single" w:sz="4" w:space="0" w:color="000000"/>
              <w:start w:val="single" w:sz="4" w:space="0" w:color="000000"/>
              <w:bottom w:val="single" w:sz="4" w:space="0" w:color="000000"/>
              <w:end w:val="single" w:sz="4" w:space="0" w:color="000000"/>
            </w:tcBorders>
            <w:vAlign w:val="center"/>
          </w:tcPr>
          <w:p>
            <w:pPr>
              <w:pStyle w:val="Normal"/>
              <w:rPr>
                <w:rFonts w:ascii="Arial" w:hAnsi="Arial" w:cs="Arial"/>
                <w:sz w:val="18"/>
                <w:szCs w:val="18"/>
              </w:rPr>
            </w:pPr>
            <w:r>
              <w:rPr>
                <w:rFonts w:cs="Arial" w:ascii="Arial" w:hAnsi="Arial"/>
                <w:sz w:val="18"/>
                <w:szCs w:val="18"/>
              </w:rPr>
              <w:t xml:space="preserve">La Direction </w:t>
            </w:r>
          </w:p>
          <w:p>
            <w:pPr>
              <w:pStyle w:val="Normal"/>
              <w:rPr>
                <w:rFonts w:ascii="Arial" w:hAnsi="Arial" w:cs="Arial"/>
                <w:sz w:val="14"/>
                <w:szCs w:val="14"/>
              </w:rPr>
            </w:pPr>
            <w:r>
              <w:rPr>
                <w:rFonts w:cs="Arial" w:ascii="Arial" w:hAnsi="Arial"/>
                <w:sz w:val="14"/>
                <w:szCs w:val="14"/>
              </w:rPr>
            </w:r>
          </w:p>
          <w:p>
            <w:pPr>
              <w:pStyle w:val="Normal"/>
              <w:rPr>
                <w:rFonts w:ascii="Arial" w:hAnsi="Arial" w:cs="Arial"/>
                <w:sz w:val="18"/>
                <w:szCs w:val="18"/>
              </w:rPr>
            </w:pPr>
            <w:r>
              <w:rPr>
                <w:rFonts w:cs="Arial" w:ascii="Arial" w:hAnsi="Arial"/>
                <w:sz w:val="18"/>
                <w:szCs w:val="18"/>
              </w:rPr>
            </w:r>
          </w:p>
        </w:tc>
        <w:tc>
          <w:tcPr>
            <w:tcW w:w="4468" w:type="dxa"/>
            <w:tcBorders>
              <w:top w:val="single" w:sz="4" w:space="0" w:color="000000"/>
              <w:start w:val="single" w:sz="4" w:space="0" w:color="000000"/>
              <w:bottom w:val="single" w:sz="4" w:space="0" w:color="000000"/>
              <w:end w:val="single" w:sz="4" w:space="0" w:color="000000"/>
            </w:tcBorders>
            <w:vAlign w:val="center"/>
          </w:tcPr>
          <w:p>
            <w:pPr>
              <w:pStyle w:val="Normal"/>
              <w:rPr>
                <w:rFonts w:ascii="Arial" w:hAnsi="Arial" w:cs="Arial"/>
                <w:sz w:val="18"/>
                <w:szCs w:val="18"/>
              </w:rPr>
            </w:pPr>
            <w:r>
              <w:rPr>
                <w:rFonts w:cs="Arial" w:ascii="Arial" w:hAnsi="Arial"/>
                <w:sz w:val="18"/>
                <w:szCs w:val="18"/>
              </w:rPr>
            </w:r>
          </w:p>
          <w:p>
            <w:pPr>
              <w:pStyle w:val="Normal"/>
              <w:rPr>
                <w:rFonts w:ascii="Arial" w:hAnsi="Arial" w:cs="Arial"/>
                <w:sz w:val="18"/>
                <w:szCs w:val="18"/>
              </w:rPr>
            </w:pPr>
            <w:r>
              <w:rPr>
                <w:rFonts w:cs="Arial" w:ascii="Arial" w:hAnsi="Arial"/>
                <w:sz w:val="18"/>
                <w:szCs w:val="18"/>
              </w:rPr>
            </w:r>
          </w:p>
          <w:p>
            <w:pPr>
              <w:pStyle w:val="Normal"/>
              <w:rPr>
                <w:rFonts w:ascii="Arial" w:hAnsi="Arial" w:cs="Arial"/>
                <w:sz w:val="18"/>
                <w:szCs w:val="18"/>
              </w:rPr>
            </w:pPr>
            <w:r>
              <w:rPr>
                <w:rFonts w:cs="Arial" w:ascii="Arial" w:hAnsi="Arial"/>
                <w:sz w:val="18"/>
                <w:szCs w:val="18"/>
              </w:rPr>
              <w:t>***** – Secrétaire Général</w:t>
            </w:r>
          </w:p>
          <w:p>
            <w:pPr>
              <w:pStyle w:val="Normal"/>
              <w:rPr>
                <w:rFonts w:ascii="Arial" w:hAnsi="Arial" w:cs="Arial"/>
                <w:sz w:val="18"/>
                <w:szCs w:val="18"/>
              </w:rPr>
            </w:pPr>
            <w:r>
              <w:rPr>
                <w:rFonts w:cs="Arial" w:ascii="Arial" w:hAnsi="Arial"/>
                <w:sz w:val="18"/>
                <w:szCs w:val="18"/>
              </w:rPr>
            </w:r>
          </w:p>
          <w:p>
            <w:pPr>
              <w:pStyle w:val="Normal"/>
              <w:rPr>
                <w:rFonts w:ascii="Arial" w:hAnsi="Arial" w:cs="Arial"/>
                <w:sz w:val="18"/>
                <w:szCs w:val="18"/>
              </w:rPr>
            </w:pPr>
            <w:r>
              <w:rPr>
                <w:rFonts w:cs="Arial" w:ascii="Arial" w:hAnsi="Arial"/>
                <w:sz w:val="18"/>
                <w:szCs w:val="18"/>
              </w:rPr>
            </w:r>
          </w:p>
        </w:tc>
        <w:tc>
          <w:tcPr>
            <w:tcW w:w="3261" w:type="dxa"/>
            <w:tcBorders>
              <w:top w:val="single" w:sz="4" w:space="0" w:color="000000"/>
              <w:start w:val="single" w:sz="4" w:space="0" w:color="000000"/>
              <w:bottom w:val="single" w:sz="4" w:space="0" w:color="000000"/>
              <w:end w:val="single" w:sz="4" w:space="0" w:color="000000"/>
            </w:tcBorders>
            <w:vAlign w:val="center"/>
          </w:tcPr>
          <w:p>
            <w:pPr>
              <w:pStyle w:val="Normal"/>
              <w:rPr>
                <w:rFonts w:ascii="Arial" w:hAnsi="Arial" w:cs="Arial"/>
                <w:sz w:val="14"/>
                <w:szCs w:val="14"/>
              </w:rPr>
            </w:pPr>
            <w:r>
              <w:rPr>
                <w:rFonts w:cs="Arial" w:ascii="Arial" w:hAnsi="Arial"/>
                <w:sz w:val="14"/>
                <w:szCs w:val="14"/>
              </w:rPr>
            </w:r>
          </w:p>
        </w:tc>
      </w:tr>
      <w:tr>
        <w:trPr>
          <w:trHeight w:val="495" w:hRule="atLeast"/>
        </w:trPr>
        <w:tc>
          <w:tcPr>
            <w:tcW w:w="1925" w:type="dxa"/>
            <w:vMerge w:val="continue"/>
            <w:tcBorders>
              <w:top w:val="single" w:sz="4" w:space="0" w:color="000000"/>
              <w:start w:val="single" w:sz="4" w:space="0" w:color="000000"/>
              <w:bottom w:val="single" w:sz="4" w:space="0" w:color="000000"/>
              <w:end w:val="single" w:sz="4" w:space="0" w:color="000000"/>
            </w:tcBorders>
            <w:vAlign w:val="center"/>
          </w:tcPr>
          <w:p>
            <w:pPr>
              <w:pStyle w:val="Normal"/>
              <w:rPr>
                <w:rFonts w:ascii="Arial" w:hAnsi="Arial" w:cs="Arial"/>
                <w:sz w:val="18"/>
                <w:szCs w:val="18"/>
              </w:rPr>
            </w:pPr>
            <w:r>
              <w:rPr>
                <w:rFonts w:cs="Arial" w:ascii="Arial" w:hAnsi="Arial"/>
                <w:sz w:val="18"/>
                <w:szCs w:val="18"/>
              </w:rPr>
            </w:r>
          </w:p>
        </w:tc>
        <w:tc>
          <w:tcPr>
            <w:tcW w:w="4468" w:type="dxa"/>
            <w:tcBorders>
              <w:top w:val="single" w:sz="4" w:space="0" w:color="000000"/>
              <w:start w:val="single" w:sz="4" w:space="0" w:color="000000"/>
              <w:bottom w:val="single" w:sz="4" w:space="0" w:color="000000"/>
              <w:end w:val="single" w:sz="4" w:space="0" w:color="000000"/>
            </w:tcBorders>
            <w:vAlign w:val="center"/>
          </w:tcPr>
          <w:p>
            <w:pPr>
              <w:pStyle w:val="Normal"/>
              <w:rPr>
                <w:rFonts w:ascii="Arial" w:hAnsi="Arial" w:cs="Arial"/>
                <w:sz w:val="18"/>
                <w:szCs w:val="18"/>
              </w:rPr>
            </w:pPr>
            <w:r>
              <w:rPr>
                <w:rFonts w:cs="Arial" w:ascii="Arial" w:hAnsi="Arial"/>
                <w:sz w:val="18"/>
                <w:szCs w:val="18"/>
              </w:rPr>
            </w:r>
          </w:p>
          <w:p>
            <w:pPr>
              <w:pStyle w:val="Normal"/>
              <w:rPr>
                <w:rFonts w:ascii="Arial" w:hAnsi="Arial" w:cs="Arial"/>
                <w:sz w:val="18"/>
                <w:szCs w:val="18"/>
              </w:rPr>
            </w:pPr>
            <w:r>
              <w:rPr>
                <w:rFonts w:cs="Arial" w:ascii="Arial" w:hAnsi="Arial"/>
                <w:sz w:val="18"/>
                <w:szCs w:val="18"/>
              </w:rPr>
              <w:t xml:space="preserve">***** – Directeur Administratif </w:t>
            </w:r>
          </w:p>
          <w:p>
            <w:pPr>
              <w:pStyle w:val="Normal"/>
              <w:rPr>
                <w:rFonts w:ascii="Arial" w:hAnsi="Arial" w:cs="Arial"/>
                <w:sz w:val="18"/>
                <w:szCs w:val="18"/>
              </w:rPr>
            </w:pPr>
            <w:r>
              <w:rPr>
                <w:rFonts w:cs="Arial" w:ascii="Arial" w:hAnsi="Arial"/>
                <w:sz w:val="18"/>
                <w:szCs w:val="18"/>
              </w:rPr>
            </w:r>
          </w:p>
          <w:p>
            <w:pPr>
              <w:pStyle w:val="Normal"/>
              <w:rPr>
                <w:rFonts w:ascii="Arial" w:hAnsi="Arial" w:cs="Arial"/>
                <w:sz w:val="18"/>
                <w:szCs w:val="18"/>
              </w:rPr>
            </w:pPr>
            <w:r>
              <w:rPr>
                <w:rFonts w:cs="Arial" w:ascii="Arial" w:hAnsi="Arial"/>
                <w:sz w:val="18"/>
                <w:szCs w:val="18"/>
              </w:rPr>
            </w:r>
          </w:p>
        </w:tc>
        <w:tc>
          <w:tcPr>
            <w:tcW w:w="3261" w:type="dxa"/>
            <w:tcBorders>
              <w:top w:val="single" w:sz="4" w:space="0" w:color="000000"/>
              <w:start w:val="single" w:sz="4" w:space="0" w:color="000000"/>
              <w:bottom w:val="single" w:sz="4" w:space="0" w:color="000000"/>
              <w:end w:val="single" w:sz="4" w:space="0" w:color="000000"/>
            </w:tcBorders>
            <w:vAlign w:val="center"/>
          </w:tcPr>
          <w:p>
            <w:pPr>
              <w:pStyle w:val="Normal"/>
              <w:rPr>
                <w:rFonts w:ascii="Arial" w:hAnsi="Arial" w:cs="Arial"/>
                <w:sz w:val="14"/>
                <w:szCs w:val="14"/>
              </w:rPr>
            </w:pPr>
            <w:r>
              <w:rPr>
                <w:rFonts w:cs="Arial" w:ascii="Arial" w:hAnsi="Arial"/>
                <w:sz w:val="14"/>
                <w:szCs w:val="14"/>
              </w:rPr>
            </w:r>
          </w:p>
        </w:tc>
      </w:tr>
      <w:tr>
        <w:trPr>
          <w:trHeight w:val="495" w:hRule="atLeast"/>
        </w:trPr>
        <w:tc>
          <w:tcPr>
            <w:tcW w:w="1925" w:type="dxa"/>
            <w:vMerge w:val="continue"/>
            <w:tcBorders>
              <w:top w:val="single" w:sz="4" w:space="0" w:color="000000"/>
              <w:start w:val="single" w:sz="4" w:space="0" w:color="000000"/>
              <w:bottom w:val="single" w:sz="4" w:space="0" w:color="000000"/>
              <w:end w:val="single" w:sz="4" w:space="0" w:color="000000"/>
            </w:tcBorders>
            <w:vAlign w:val="center"/>
          </w:tcPr>
          <w:p>
            <w:pPr>
              <w:pStyle w:val="Normal"/>
              <w:rPr>
                <w:rFonts w:ascii="Arial" w:hAnsi="Arial" w:cs="Arial"/>
                <w:sz w:val="14"/>
                <w:szCs w:val="14"/>
              </w:rPr>
            </w:pPr>
            <w:r>
              <w:rPr>
                <w:rFonts w:cs="Arial" w:ascii="Arial" w:hAnsi="Arial"/>
                <w:sz w:val="14"/>
                <w:szCs w:val="14"/>
              </w:rPr>
            </w:r>
          </w:p>
        </w:tc>
        <w:tc>
          <w:tcPr>
            <w:tcW w:w="4468" w:type="dxa"/>
            <w:tcBorders>
              <w:top w:val="single" w:sz="4" w:space="0" w:color="000000"/>
              <w:start w:val="single" w:sz="4" w:space="0" w:color="000000"/>
              <w:bottom w:val="single" w:sz="4" w:space="0" w:color="000000"/>
              <w:end w:val="single" w:sz="4" w:space="0" w:color="000000"/>
            </w:tcBorders>
            <w:vAlign w:val="center"/>
          </w:tcPr>
          <w:p>
            <w:pPr>
              <w:pStyle w:val="Normal"/>
              <w:rPr>
                <w:rFonts w:ascii="Arial" w:hAnsi="Arial" w:cs="Arial"/>
                <w:sz w:val="18"/>
                <w:szCs w:val="18"/>
              </w:rPr>
            </w:pPr>
            <w:r>
              <w:rPr>
                <w:rFonts w:cs="Arial" w:ascii="Arial" w:hAnsi="Arial"/>
                <w:sz w:val="18"/>
                <w:szCs w:val="18"/>
              </w:rPr>
            </w:r>
          </w:p>
          <w:p>
            <w:pPr>
              <w:pStyle w:val="Normal"/>
              <w:rPr>
                <w:rFonts w:ascii="Arial" w:hAnsi="Arial" w:cs="Arial"/>
                <w:sz w:val="18"/>
                <w:szCs w:val="18"/>
              </w:rPr>
            </w:pPr>
            <w:r>
              <w:rPr>
                <w:rFonts w:cs="Arial" w:ascii="Arial" w:hAnsi="Arial"/>
                <w:sz w:val="18"/>
                <w:szCs w:val="18"/>
              </w:rPr>
              <w:t>*****, Directrice Administrative France</w:t>
            </w:r>
          </w:p>
          <w:p>
            <w:pPr>
              <w:pStyle w:val="Normal"/>
              <w:rPr>
                <w:rFonts w:ascii="Arial" w:hAnsi="Arial" w:cs="Arial"/>
                <w:sz w:val="18"/>
                <w:szCs w:val="18"/>
              </w:rPr>
            </w:pPr>
            <w:r>
              <w:rPr>
                <w:rFonts w:cs="Arial" w:ascii="Arial" w:hAnsi="Arial"/>
                <w:sz w:val="18"/>
                <w:szCs w:val="18"/>
              </w:rPr>
            </w:r>
          </w:p>
          <w:p>
            <w:pPr>
              <w:pStyle w:val="Normal"/>
              <w:rPr>
                <w:rFonts w:ascii="Arial" w:hAnsi="Arial" w:cs="Arial"/>
                <w:sz w:val="18"/>
                <w:szCs w:val="18"/>
              </w:rPr>
            </w:pPr>
            <w:r>
              <w:rPr>
                <w:rFonts w:cs="Arial" w:ascii="Arial" w:hAnsi="Arial"/>
                <w:sz w:val="18"/>
                <w:szCs w:val="18"/>
              </w:rPr>
            </w:r>
          </w:p>
        </w:tc>
        <w:tc>
          <w:tcPr>
            <w:tcW w:w="3261" w:type="dxa"/>
            <w:tcBorders>
              <w:top w:val="single" w:sz="4" w:space="0" w:color="000000"/>
              <w:start w:val="single" w:sz="4" w:space="0" w:color="000000"/>
              <w:bottom w:val="single" w:sz="4" w:space="0" w:color="000000"/>
              <w:end w:val="single" w:sz="4" w:space="0" w:color="000000"/>
            </w:tcBorders>
            <w:vAlign w:val="center"/>
          </w:tcPr>
          <w:p>
            <w:pPr>
              <w:pStyle w:val="Normal"/>
              <w:rPr>
                <w:rFonts w:ascii="Arial" w:hAnsi="Arial" w:cs="Arial"/>
                <w:sz w:val="14"/>
                <w:szCs w:val="14"/>
              </w:rPr>
            </w:pPr>
            <w:r>
              <w:rPr>
                <w:rFonts w:cs="Arial" w:ascii="Arial" w:hAnsi="Arial"/>
                <w:sz w:val="14"/>
                <w:szCs w:val="14"/>
              </w:rPr>
            </w:r>
          </w:p>
        </w:tc>
      </w:tr>
      <w:tr>
        <w:trPr>
          <w:trHeight w:val="495" w:hRule="atLeast"/>
        </w:trPr>
        <w:tc>
          <w:tcPr>
            <w:tcW w:w="1925" w:type="dxa"/>
            <w:vMerge w:val="restart"/>
            <w:tcBorders>
              <w:top w:val="single" w:sz="4" w:space="0" w:color="000000"/>
              <w:start w:val="single" w:sz="4" w:space="0" w:color="000000"/>
              <w:bottom w:val="single" w:sz="4" w:space="0" w:color="000000"/>
              <w:end w:val="single" w:sz="4" w:space="0" w:color="000000"/>
            </w:tcBorders>
            <w:vAlign w:val="center"/>
          </w:tcPr>
          <w:p>
            <w:pPr>
              <w:pStyle w:val="Normal"/>
              <w:rPr>
                <w:rFonts w:ascii="Arial" w:hAnsi="Arial" w:cs="Arial"/>
                <w:sz w:val="18"/>
                <w:szCs w:val="18"/>
              </w:rPr>
            </w:pPr>
            <w:r>
              <w:rPr>
                <w:rFonts w:cs="Arial" w:ascii="Arial" w:hAnsi="Arial"/>
                <w:sz w:val="18"/>
                <w:szCs w:val="18"/>
              </w:rPr>
              <w:t xml:space="preserve">Délégations </w:t>
            </w:r>
          </w:p>
          <w:p>
            <w:pPr>
              <w:pStyle w:val="Normal"/>
              <w:rPr>
                <w:rFonts w:ascii="Arial" w:hAnsi="Arial" w:cs="Arial"/>
                <w:sz w:val="18"/>
                <w:szCs w:val="18"/>
              </w:rPr>
            </w:pPr>
            <w:r>
              <w:rPr>
                <w:rFonts w:cs="Arial" w:ascii="Arial" w:hAnsi="Arial"/>
                <w:sz w:val="18"/>
                <w:szCs w:val="18"/>
              </w:rPr>
              <w:t>Syndicales</w:t>
            </w:r>
          </w:p>
          <w:p>
            <w:pPr>
              <w:pStyle w:val="Normal"/>
              <w:rPr>
                <w:rFonts w:ascii="Arial" w:hAnsi="Arial" w:cs="Arial"/>
                <w:sz w:val="14"/>
                <w:szCs w:val="14"/>
              </w:rPr>
            </w:pPr>
            <w:r>
              <w:rPr>
                <w:rFonts w:cs="Arial" w:ascii="Arial" w:hAnsi="Arial"/>
                <w:sz w:val="14"/>
                <w:szCs w:val="14"/>
              </w:rPr>
              <w:t> </w:t>
            </w:r>
          </w:p>
          <w:p>
            <w:pPr>
              <w:pStyle w:val="Normal"/>
              <w:rPr>
                <w:rFonts w:ascii="Arial" w:hAnsi="Arial" w:cs="Arial"/>
                <w:sz w:val="18"/>
                <w:szCs w:val="18"/>
              </w:rPr>
            </w:pPr>
            <w:r>
              <w:rPr>
                <w:rFonts w:cs="Arial" w:ascii="Arial" w:hAnsi="Arial"/>
                <w:sz w:val="18"/>
                <w:szCs w:val="18"/>
              </w:rPr>
            </w:r>
          </w:p>
        </w:tc>
        <w:tc>
          <w:tcPr>
            <w:tcW w:w="4468" w:type="dxa"/>
            <w:tcBorders>
              <w:top w:val="single" w:sz="4" w:space="0" w:color="000000"/>
              <w:start w:val="single" w:sz="4" w:space="0" w:color="000000"/>
              <w:bottom w:val="single" w:sz="4" w:space="0" w:color="000000"/>
              <w:end w:val="single" w:sz="4" w:space="0" w:color="000000"/>
            </w:tcBorders>
            <w:vAlign w:val="center"/>
          </w:tcPr>
          <w:p>
            <w:pPr>
              <w:pStyle w:val="Normal"/>
              <w:rPr>
                <w:rFonts w:ascii="Arial" w:hAnsi="Arial" w:cs="Arial"/>
                <w:sz w:val="18"/>
                <w:szCs w:val="18"/>
              </w:rPr>
            </w:pPr>
            <w:r>
              <w:rPr>
                <w:rFonts w:cs="Arial" w:ascii="Arial" w:hAnsi="Arial"/>
                <w:sz w:val="18"/>
                <w:szCs w:val="18"/>
              </w:rPr>
            </w:r>
          </w:p>
          <w:p>
            <w:pPr>
              <w:pStyle w:val="Normal"/>
              <w:rPr>
                <w:rFonts w:ascii="Arial" w:hAnsi="Arial" w:cs="Arial"/>
                <w:sz w:val="18"/>
                <w:szCs w:val="18"/>
              </w:rPr>
            </w:pPr>
            <w:r>
              <w:rPr>
                <w:rFonts w:cs="Arial" w:ascii="Arial" w:hAnsi="Arial"/>
                <w:sz w:val="18"/>
                <w:szCs w:val="18"/>
              </w:rPr>
            </w:r>
          </w:p>
          <w:p>
            <w:pPr>
              <w:pStyle w:val="Normal"/>
              <w:rPr>
                <w:rFonts w:ascii="Arial" w:hAnsi="Arial" w:cs="Arial"/>
                <w:sz w:val="18"/>
                <w:szCs w:val="18"/>
              </w:rPr>
            </w:pPr>
            <w:r>
              <w:rPr>
                <w:rFonts w:cs="Arial" w:ascii="Arial" w:hAnsi="Arial"/>
                <w:sz w:val="18"/>
                <w:szCs w:val="18"/>
              </w:rPr>
              <w:t>***** – CGT</w:t>
            </w:r>
          </w:p>
          <w:p>
            <w:pPr>
              <w:pStyle w:val="Normal"/>
              <w:rPr>
                <w:rFonts w:ascii="Arial" w:hAnsi="Arial" w:cs="Arial"/>
                <w:sz w:val="18"/>
                <w:szCs w:val="18"/>
              </w:rPr>
            </w:pPr>
            <w:r>
              <w:rPr>
                <w:rFonts w:cs="Arial" w:ascii="Arial" w:hAnsi="Arial"/>
                <w:sz w:val="18"/>
                <w:szCs w:val="18"/>
              </w:rPr>
            </w:r>
          </w:p>
          <w:p>
            <w:pPr>
              <w:pStyle w:val="Normal"/>
              <w:rPr>
                <w:rFonts w:ascii="Arial" w:hAnsi="Arial" w:cs="Arial"/>
                <w:sz w:val="18"/>
                <w:szCs w:val="18"/>
              </w:rPr>
            </w:pPr>
            <w:r>
              <w:rPr>
                <w:rFonts w:cs="Arial" w:ascii="Arial" w:hAnsi="Arial"/>
                <w:sz w:val="18"/>
                <w:szCs w:val="18"/>
              </w:rPr>
            </w:r>
          </w:p>
        </w:tc>
        <w:tc>
          <w:tcPr>
            <w:tcW w:w="3261" w:type="dxa"/>
            <w:tcBorders>
              <w:top w:val="single" w:sz="4" w:space="0" w:color="000000"/>
              <w:start w:val="single" w:sz="4" w:space="0" w:color="000000"/>
              <w:bottom w:val="single" w:sz="4" w:space="0" w:color="000000"/>
              <w:end w:val="single" w:sz="4" w:space="0" w:color="000000"/>
            </w:tcBorders>
            <w:vAlign w:val="center"/>
          </w:tcPr>
          <w:p>
            <w:pPr>
              <w:pStyle w:val="Normal"/>
              <w:rPr>
                <w:rFonts w:ascii="Arial" w:hAnsi="Arial" w:cs="Arial"/>
                <w:sz w:val="14"/>
                <w:szCs w:val="14"/>
              </w:rPr>
            </w:pPr>
            <w:r>
              <w:rPr>
                <w:rFonts w:cs="Arial" w:ascii="Arial" w:hAnsi="Arial"/>
                <w:sz w:val="14"/>
                <w:szCs w:val="14"/>
              </w:rPr>
              <w:t> </w:t>
            </w:r>
          </w:p>
        </w:tc>
      </w:tr>
      <w:tr>
        <w:trPr>
          <w:trHeight w:val="495" w:hRule="atLeast"/>
        </w:trPr>
        <w:tc>
          <w:tcPr>
            <w:tcW w:w="1925" w:type="dxa"/>
            <w:vMerge w:val="continue"/>
            <w:tcBorders>
              <w:top w:val="single" w:sz="4" w:space="0" w:color="000000"/>
              <w:start w:val="single" w:sz="4" w:space="0" w:color="000000"/>
              <w:bottom w:val="single" w:sz="4" w:space="0" w:color="000000"/>
              <w:end w:val="single" w:sz="4" w:space="0" w:color="000000"/>
            </w:tcBorders>
            <w:vAlign w:val="center"/>
          </w:tcPr>
          <w:p>
            <w:pPr>
              <w:pStyle w:val="Normal"/>
              <w:rPr>
                <w:rFonts w:ascii="Arial" w:hAnsi="Arial" w:cs="Arial"/>
                <w:sz w:val="14"/>
                <w:szCs w:val="14"/>
              </w:rPr>
            </w:pPr>
            <w:r>
              <w:rPr>
                <w:rFonts w:cs="Arial" w:ascii="Arial" w:hAnsi="Arial"/>
                <w:sz w:val="14"/>
                <w:szCs w:val="14"/>
              </w:rPr>
            </w:r>
          </w:p>
        </w:tc>
        <w:tc>
          <w:tcPr>
            <w:tcW w:w="4468" w:type="dxa"/>
            <w:tcBorders>
              <w:top w:val="single" w:sz="4" w:space="0" w:color="000000"/>
              <w:start w:val="single" w:sz="4" w:space="0" w:color="000000"/>
              <w:bottom w:val="single" w:sz="4" w:space="0" w:color="000000"/>
              <w:end w:val="single" w:sz="4" w:space="0" w:color="000000"/>
            </w:tcBorders>
            <w:vAlign w:val="center"/>
          </w:tcPr>
          <w:p>
            <w:pPr>
              <w:pStyle w:val="Normal"/>
              <w:rPr>
                <w:rFonts w:ascii="Arial" w:hAnsi="Arial" w:cs="Arial"/>
                <w:sz w:val="18"/>
                <w:szCs w:val="18"/>
              </w:rPr>
            </w:pPr>
            <w:r>
              <w:rPr>
                <w:rFonts w:cs="Arial" w:ascii="Arial" w:hAnsi="Arial"/>
                <w:sz w:val="18"/>
                <w:szCs w:val="18"/>
              </w:rPr>
            </w:r>
          </w:p>
          <w:p>
            <w:pPr>
              <w:pStyle w:val="Normal"/>
              <w:rPr>
                <w:rFonts w:ascii="Arial" w:hAnsi="Arial" w:cs="Arial"/>
                <w:sz w:val="18"/>
                <w:szCs w:val="18"/>
              </w:rPr>
            </w:pPr>
            <w:r>
              <w:rPr>
                <w:rFonts w:cs="Arial" w:ascii="Arial" w:hAnsi="Arial"/>
                <w:sz w:val="18"/>
                <w:szCs w:val="18"/>
              </w:rPr>
              <w:t>***** – CFTC</w:t>
            </w:r>
          </w:p>
          <w:p>
            <w:pPr>
              <w:pStyle w:val="Normal"/>
              <w:rPr>
                <w:rFonts w:ascii="Arial" w:hAnsi="Arial" w:cs="Arial"/>
                <w:sz w:val="18"/>
                <w:szCs w:val="18"/>
              </w:rPr>
            </w:pPr>
            <w:r>
              <w:rPr>
                <w:rFonts w:cs="Arial" w:ascii="Arial" w:hAnsi="Arial"/>
                <w:sz w:val="18"/>
                <w:szCs w:val="18"/>
              </w:rPr>
            </w:r>
          </w:p>
          <w:p>
            <w:pPr>
              <w:pStyle w:val="Normal"/>
              <w:rPr>
                <w:rFonts w:ascii="Arial" w:hAnsi="Arial" w:cs="Arial"/>
                <w:sz w:val="18"/>
                <w:szCs w:val="18"/>
              </w:rPr>
            </w:pPr>
            <w:r>
              <w:rPr>
                <w:rFonts w:cs="Arial" w:ascii="Arial" w:hAnsi="Arial"/>
                <w:sz w:val="18"/>
                <w:szCs w:val="18"/>
              </w:rPr>
            </w:r>
          </w:p>
        </w:tc>
        <w:tc>
          <w:tcPr>
            <w:tcW w:w="3261" w:type="dxa"/>
            <w:tcBorders>
              <w:top w:val="single" w:sz="4" w:space="0" w:color="000000"/>
              <w:start w:val="single" w:sz="4" w:space="0" w:color="000000"/>
              <w:bottom w:val="single" w:sz="4" w:space="0" w:color="000000"/>
              <w:end w:val="single" w:sz="4" w:space="0" w:color="000000"/>
            </w:tcBorders>
            <w:vAlign w:val="center"/>
          </w:tcPr>
          <w:p>
            <w:pPr>
              <w:pStyle w:val="Normal"/>
              <w:rPr>
                <w:rFonts w:ascii="Arial" w:hAnsi="Arial" w:cs="Arial"/>
                <w:sz w:val="14"/>
                <w:szCs w:val="14"/>
              </w:rPr>
            </w:pPr>
            <w:r>
              <w:rPr>
                <w:rFonts w:cs="Arial" w:ascii="Arial" w:hAnsi="Arial"/>
                <w:sz w:val="14"/>
                <w:szCs w:val="14"/>
                <w:lang w:val="en-GB"/>
              </w:rPr>
              <w:t> </w:t>
            </w:r>
          </w:p>
        </w:tc>
      </w:tr>
      <w:tr>
        <w:trPr>
          <w:trHeight w:val="495" w:hRule="atLeast"/>
        </w:trPr>
        <w:tc>
          <w:tcPr>
            <w:tcW w:w="1925" w:type="dxa"/>
            <w:vMerge w:val="continue"/>
            <w:tcBorders>
              <w:top w:val="single" w:sz="4" w:space="0" w:color="000000"/>
              <w:start w:val="single" w:sz="4" w:space="0" w:color="000000"/>
              <w:bottom w:val="single" w:sz="4" w:space="0" w:color="000000"/>
              <w:end w:val="single" w:sz="4" w:space="0" w:color="000000"/>
            </w:tcBorders>
            <w:vAlign w:val="center"/>
          </w:tcPr>
          <w:p>
            <w:pPr>
              <w:pStyle w:val="Normal"/>
              <w:rPr>
                <w:rFonts w:ascii="Arial" w:hAnsi="Arial" w:cs="Arial"/>
                <w:sz w:val="14"/>
                <w:szCs w:val="14"/>
              </w:rPr>
            </w:pPr>
            <w:r>
              <w:rPr>
                <w:rFonts w:cs="Arial" w:ascii="Arial" w:hAnsi="Arial"/>
                <w:sz w:val="14"/>
                <w:szCs w:val="14"/>
              </w:rPr>
            </w:r>
          </w:p>
        </w:tc>
        <w:tc>
          <w:tcPr>
            <w:tcW w:w="4468" w:type="dxa"/>
            <w:tcBorders>
              <w:top w:val="single" w:sz="4" w:space="0" w:color="000000"/>
              <w:start w:val="single" w:sz="4" w:space="0" w:color="000000"/>
              <w:bottom w:val="single" w:sz="4" w:space="0" w:color="000000"/>
              <w:end w:val="single" w:sz="4" w:space="0" w:color="000000"/>
            </w:tcBorders>
            <w:vAlign w:val="center"/>
          </w:tcPr>
          <w:p>
            <w:pPr>
              <w:pStyle w:val="Normal"/>
              <w:rPr>
                <w:rFonts w:ascii="Arial" w:hAnsi="Arial" w:cs="Arial"/>
                <w:sz w:val="18"/>
                <w:szCs w:val="18"/>
              </w:rPr>
            </w:pPr>
            <w:r>
              <w:rPr>
                <w:rFonts w:cs="Arial" w:ascii="Arial" w:hAnsi="Arial"/>
                <w:sz w:val="18"/>
                <w:szCs w:val="18"/>
              </w:rPr>
            </w:r>
          </w:p>
          <w:p>
            <w:pPr>
              <w:pStyle w:val="Normal"/>
              <w:rPr>
                <w:rFonts w:ascii="Arial" w:hAnsi="Arial" w:cs="Arial"/>
                <w:sz w:val="18"/>
                <w:szCs w:val="18"/>
              </w:rPr>
            </w:pPr>
            <w:r>
              <w:rPr>
                <w:rFonts w:cs="Arial" w:ascii="Arial" w:hAnsi="Arial"/>
                <w:sz w:val="18"/>
                <w:szCs w:val="18"/>
              </w:rPr>
            </w:r>
          </w:p>
          <w:p>
            <w:pPr>
              <w:pStyle w:val="Normal"/>
              <w:rPr>
                <w:rFonts w:ascii="Arial" w:hAnsi="Arial" w:cs="Arial"/>
                <w:sz w:val="18"/>
                <w:szCs w:val="18"/>
              </w:rPr>
            </w:pPr>
            <w:r>
              <w:rPr>
                <w:rFonts w:cs="Arial" w:ascii="Arial" w:hAnsi="Arial"/>
                <w:sz w:val="18"/>
                <w:szCs w:val="18"/>
              </w:rPr>
              <w:t>********</w:t>
            </w:r>
            <w:r>
              <w:rPr>
                <w:rFonts w:cs="Arial" w:ascii="Arial" w:hAnsi="Arial"/>
                <w:sz w:val="18"/>
                <w:szCs w:val="18"/>
              </w:rPr>
              <w:t xml:space="preserve"> – CGC-CFE</w:t>
            </w:r>
          </w:p>
          <w:p>
            <w:pPr>
              <w:pStyle w:val="Normal"/>
              <w:rPr>
                <w:rFonts w:ascii="Arial" w:hAnsi="Arial" w:cs="Arial"/>
                <w:sz w:val="18"/>
                <w:szCs w:val="18"/>
              </w:rPr>
            </w:pPr>
            <w:r>
              <w:rPr>
                <w:rFonts w:cs="Arial" w:ascii="Arial" w:hAnsi="Arial"/>
                <w:sz w:val="18"/>
                <w:szCs w:val="18"/>
              </w:rPr>
            </w:r>
          </w:p>
          <w:p>
            <w:pPr>
              <w:pStyle w:val="Normal"/>
              <w:rPr>
                <w:rFonts w:ascii="Arial" w:hAnsi="Arial" w:cs="Arial"/>
                <w:sz w:val="18"/>
                <w:szCs w:val="18"/>
              </w:rPr>
            </w:pPr>
            <w:r>
              <w:rPr>
                <w:rFonts w:cs="Arial" w:ascii="Arial" w:hAnsi="Arial"/>
                <w:sz w:val="18"/>
                <w:szCs w:val="18"/>
              </w:rPr>
            </w:r>
          </w:p>
        </w:tc>
        <w:tc>
          <w:tcPr>
            <w:tcW w:w="3261" w:type="dxa"/>
            <w:tcBorders>
              <w:top w:val="single" w:sz="4" w:space="0" w:color="000000"/>
              <w:start w:val="single" w:sz="4" w:space="0" w:color="000000"/>
              <w:bottom w:val="single" w:sz="4" w:space="0" w:color="000000"/>
              <w:end w:val="single" w:sz="4" w:space="0" w:color="000000"/>
            </w:tcBorders>
            <w:vAlign w:val="center"/>
          </w:tcPr>
          <w:p>
            <w:pPr>
              <w:pStyle w:val="Normal"/>
              <w:rPr>
                <w:rFonts w:ascii="Arial" w:hAnsi="Arial" w:cs="Arial"/>
                <w:sz w:val="14"/>
                <w:szCs w:val="14"/>
                <w:lang w:val="en-GB"/>
              </w:rPr>
            </w:pPr>
            <w:r>
              <w:rPr>
                <w:rFonts w:cs="Arial" w:ascii="Arial" w:hAnsi="Arial"/>
                <w:sz w:val="14"/>
                <w:szCs w:val="14"/>
                <w:lang w:val="en-GB"/>
              </w:rPr>
            </w:r>
          </w:p>
        </w:tc>
      </w:tr>
    </w:tbl>
    <w:p>
      <w:pPr>
        <w:pStyle w:val="Normal"/>
        <w:rPr>
          <w:rFonts w:ascii="Arial" w:hAnsi="Arial" w:cs="Arial"/>
          <w:sz w:val="13"/>
          <w:szCs w:val="13"/>
        </w:rPr>
      </w:pPr>
      <w:r>
        <w:rPr>
          <w:rFonts w:cs="Arial" w:ascii="Arial" w:hAnsi="Arial"/>
          <w:sz w:val="13"/>
          <w:szCs w:val="13"/>
        </w:rPr>
      </w:r>
    </w:p>
    <w:sectPr>
      <w:headerReference w:type="even" r:id="rId4"/>
      <w:headerReference w:type="default" r:id="rId5"/>
      <w:headerReference w:type="first" r:id="rId6"/>
      <w:footerReference w:type="even" r:id="rId7"/>
      <w:footerReference w:type="default" r:id="rId8"/>
      <w:footerReference w:type="first" r:id="rId9"/>
      <w:type w:val="nextPage"/>
      <w:pgSz w:w="11906" w:h="16838"/>
      <w:pgMar w:left="1247" w:right="2438" w:gutter="0" w:header="567" w:top="2750" w:footer="851" w:bottom="130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Times New Roman">
    <w:charset w:val="01"/>
    <w:family w:val="roman"/>
    <w:pitch w:val="default"/>
  </w:font>
  <w:font w:name="CG Times (W1)">
    <w:charset w:val="01"/>
    <w:family w:val="roman"/>
    <w:pitch w:val="default"/>
  </w:font>
  <w:font w:name="Arial">
    <w:charset w:val="01"/>
    <w:family w:val="swiss"/>
    <w:pitch w:val="default"/>
  </w:font>
  <w:font w:name="Calibri">
    <w:charset w:val="01"/>
    <w:family w:val="swiss"/>
    <w:pitch w:val="default"/>
  </w:font>
  <w:font w:name="Tahoma">
    <w:charset w:val="01"/>
    <w:family w:val="swiss"/>
    <w:pitch w:val="default"/>
  </w:font>
  <w:font w:name="Book Antiqua">
    <w:charset w:val="01"/>
    <w:family w:val="roman"/>
    <w:pitch w:val="default"/>
  </w:font>
  <w:font w:name="Marianne">
    <w:charset w:val="01"/>
    <w:family w:val="auto"/>
    <w:pitch w:val="default"/>
  </w:font>
  <w:font w:name="Calibri">
    <w:charset w:val="01"/>
    <w:family w:val="roman"/>
    <w:pitch w:val="default"/>
  </w:font>
  <w:font w:name="Wingdings">
    <w:charset w:val="02"/>
    <w:family w:val="auto"/>
    <w:pitch w:val="variable"/>
  </w:font>
  <w:font w:name="Courier New">
    <w:charset w:val="01"/>
    <w:family w:val="modern"/>
    <w:pitch w:val="fixed"/>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26/08/2025</w:t>
      <w:tab/>
      <w:tab/>
      <w:t xml:space="preserve">Page </w:t>
    </w:r>
    <w:r>
      <w:rPr>
        <w:rFonts w:cs="Calibri" w:ascii="Calibri" w:hAnsi="Calibri" w:asciiTheme="minorHAnsi" w:cstheme="minorHAnsi" w:hAnsiTheme="minorHAnsi"/>
        <w:sz w:val="22"/>
        <w:szCs w:val="22"/>
      </w:rPr>
      <w:fldChar w:fldCharType="begin"/>
    </w:r>
    <w:r>
      <w:rPr>
        <w:rFonts w:cs="Calibri" w:ascii="Calibri" w:hAnsi="Calibri"/>
        <w:sz w:val="22"/>
        <w:szCs w:val="22"/>
      </w:rPr>
      <w:instrText xml:space="preserve"> PAGE \* ARABIC </w:instrText>
    </w:r>
    <w:r>
      <w:rPr>
        <w:rFonts w:cs="Calibri" w:ascii="Calibri" w:hAnsi="Calibri"/>
        <w:sz w:val="22"/>
        <w:szCs w:val="22"/>
      </w:rPr>
      <w:fldChar w:fldCharType="separate"/>
    </w:r>
    <w:r>
      <w:rPr>
        <w:rFonts w:cs="Calibri" w:ascii="Calibri" w:hAnsi="Calibri"/>
        <w:sz w:val="22"/>
        <w:szCs w:val="22"/>
      </w:rPr>
      <w:t>5</w:t>
    </w:r>
    <w:r>
      <w:rPr>
        <w:rFonts w:cs="Calibri" w:ascii="Calibri" w:hAnsi="Calibri"/>
        <w:sz w:val="22"/>
        <w:szCs w:val="22"/>
      </w:rPr>
      <w:fldChar w:fldCharType="end"/>
    </w:r>
    <w:r>
      <w:rPr>
        <w:rFonts w:cs="Calibri" w:ascii="Calibri" w:hAnsi="Calibri" w:asciiTheme="minorHAnsi" w:cstheme="minorHAnsi" w:hAnsiTheme="minorHAnsi"/>
        <w:sz w:val="22"/>
        <w:szCs w:val="22"/>
      </w:rPr>
      <w:t xml:space="preserve"> sur </w:t>
    </w:r>
    <w:r>
      <w:rPr>
        <w:rFonts w:cs="Calibri" w:ascii="Calibri" w:hAnsi="Calibri" w:asciiTheme="minorHAnsi" w:cstheme="minorHAnsi" w:hAnsiTheme="minorHAnsi"/>
        <w:sz w:val="22"/>
        <w:szCs w:val="22"/>
      </w:rPr>
      <w:fldChar w:fldCharType="begin"/>
    </w:r>
    <w:r>
      <w:rPr>
        <w:rFonts w:cs="Calibri" w:ascii="Calibri" w:hAnsi="Calibri"/>
        <w:sz w:val="22"/>
        <w:szCs w:val="22"/>
      </w:rPr>
      <w:instrText xml:space="preserve"> NUMPAGES \* ARABIC </w:instrText>
    </w:r>
    <w:r>
      <w:rPr>
        <w:rFonts w:cs="Calibri" w:ascii="Calibri" w:hAnsi="Calibri"/>
        <w:sz w:val="22"/>
        <w:szCs w:val="22"/>
      </w:rPr>
      <w:fldChar w:fldCharType="separate"/>
    </w:r>
    <w:r>
      <w:rPr>
        <w:rFonts w:cs="Calibri" w:ascii="Calibri" w:hAnsi="Calibri"/>
        <w:sz w:val="22"/>
        <w:szCs w:val="22"/>
      </w:rPr>
      <w:t>5</w:t>
    </w:r>
    <w:r>
      <w:rPr>
        <w:rFonts w:cs="Calibri" w:ascii="Calibri" w:hAnsi="Calibri"/>
        <w:sz w:val="22"/>
        <w:szCs w:val="22"/>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26/08/2025</w:t>
      <w:tab/>
      <w:tab/>
      <w:t xml:space="preserve">Page </w:t>
    </w:r>
    <w:r>
      <w:rPr>
        <w:rFonts w:cs="Calibri" w:ascii="Calibri" w:hAnsi="Calibri" w:asciiTheme="minorHAnsi" w:cstheme="minorHAnsi" w:hAnsiTheme="minorHAnsi"/>
        <w:sz w:val="22"/>
        <w:szCs w:val="22"/>
      </w:rPr>
      <w:fldChar w:fldCharType="begin"/>
    </w:r>
    <w:r>
      <w:rPr>
        <w:rFonts w:cs="Calibri" w:ascii="Calibri" w:hAnsi="Calibri"/>
        <w:sz w:val="22"/>
        <w:szCs w:val="22"/>
      </w:rPr>
      <w:instrText xml:space="preserve"> PAGE \* ARABIC </w:instrText>
    </w:r>
    <w:r>
      <w:rPr>
        <w:rFonts w:cs="Calibri" w:ascii="Calibri" w:hAnsi="Calibri"/>
        <w:sz w:val="22"/>
        <w:szCs w:val="22"/>
      </w:rPr>
      <w:fldChar w:fldCharType="separate"/>
    </w:r>
    <w:r>
      <w:rPr>
        <w:rFonts w:cs="Calibri" w:ascii="Calibri" w:hAnsi="Calibri"/>
        <w:sz w:val="22"/>
        <w:szCs w:val="22"/>
      </w:rPr>
      <w:t>5</w:t>
    </w:r>
    <w:r>
      <w:rPr>
        <w:rFonts w:cs="Calibri" w:ascii="Calibri" w:hAnsi="Calibri"/>
        <w:sz w:val="22"/>
        <w:szCs w:val="22"/>
      </w:rPr>
      <w:fldChar w:fldCharType="end"/>
    </w:r>
    <w:r>
      <w:rPr>
        <w:rFonts w:cs="Calibri" w:ascii="Calibri" w:hAnsi="Calibri" w:asciiTheme="minorHAnsi" w:cstheme="minorHAnsi" w:hAnsiTheme="minorHAnsi"/>
        <w:sz w:val="22"/>
        <w:szCs w:val="22"/>
      </w:rPr>
      <w:t xml:space="preserve"> sur </w:t>
    </w:r>
    <w:r>
      <w:rPr>
        <w:rFonts w:cs="Calibri" w:ascii="Calibri" w:hAnsi="Calibri" w:asciiTheme="minorHAnsi" w:cstheme="minorHAnsi" w:hAnsiTheme="minorHAnsi"/>
        <w:sz w:val="22"/>
        <w:szCs w:val="22"/>
      </w:rPr>
      <w:fldChar w:fldCharType="begin"/>
    </w:r>
    <w:r>
      <w:rPr>
        <w:rFonts w:cs="Calibri" w:ascii="Calibri" w:hAnsi="Calibri"/>
        <w:sz w:val="22"/>
        <w:szCs w:val="22"/>
      </w:rPr>
      <w:instrText xml:space="preserve"> NUMPAGES \* ARABIC </w:instrText>
    </w:r>
    <w:r>
      <w:rPr>
        <w:rFonts w:cs="Calibri" w:ascii="Calibri" w:hAnsi="Calibri"/>
        <w:sz w:val="22"/>
        <w:szCs w:val="22"/>
      </w:rPr>
      <w:fldChar w:fldCharType="separate"/>
    </w:r>
    <w:r>
      <w:rPr>
        <w:rFonts w:cs="Calibri" w:ascii="Calibri" w:hAnsi="Calibri"/>
        <w:sz w:val="22"/>
        <w:szCs w:val="22"/>
      </w:rPr>
      <w:t>5</w:t>
    </w:r>
    <w:r>
      <w:rPr>
        <w:rFonts w:cs="Calibri" w:ascii="Calibri" w:hAnsi="Calibri"/>
        <w:sz w:val="22"/>
        <w:szCs w:val="22"/>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20"/>
        </w:tabs>
        <w:ind w:start="720" w:hanging="360"/>
      </w:pPr>
      <w:rPr>
        <w:rFonts w:ascii="Wingdings" w:hAnsi="Wingdings" w:cs="Wingdings" w:hint="default"/>
      </w:rPr>
    </w:lvl>
    <w:lvl w:ilvl="1">
      <w:start w:val="1"/>
      <w:numFmt w:val="bullet"/>
      <w:lvlText w:val=""/>
      <w:lvlJc w:val="start"/>
      <w:pPr>
        <w:tabs>
          <w:tab w:val="num" w:pos="1440"/>
        </w:tabs>
        <w:ind w:start="1440" w:hanging="360"/>
      </w:pPr>
      <w:rPr>
        <w:rFonts w:ascii="Symbol" w:hAnsi="Symbol" w:cs="Symbol" w:hint="default"/>
      </w:rPr>
    </w:lvl>
    <w:lvl w:ilvl="2">
      <w:start w:val="1"/>
      <w:numFmt w:val="bullet"/>
      <w:lvlText w:val=""/>
      <w:lvlJc w:val="start"/>
      <w:pPr>
        <w:tabs>
          <w:tab w:val="num" w:pos="2160"/>
        </w:tabs>
        <w:ind w:start="2160" w:hanging="360"/>
      </w:pPr>
      <w:rPr>
        <w:rFonts w:ascii="Wingdings" w:hAnsi="Wingdings" w:cs="Wingdings" w:hint="default"/>
      </w:rPr>
    </w:lvl>
    <w:lvl w:ilvl="3">
      <w:start w:val="1"/>
      <w:numFmt w:val="bullet"/>
      <w:lvlText w:val=""/>
      <w:lvlJc w:val="start"/>
      <w:pPr>
        <w:tabs>
          <w:tab w:val="num" w:pos="2880"/>
        </w:tabs>
        <w:ind w:start="2880" w:hanging="360"/>
      </w:pPr>
      <w:rPr>
        <w:rFonts w:ascii="Symbol" w:hAnsi="Symbol" w:cs="Symbol" w:hint="default"/>
      </w:rPr>
    </w:lvl>
    <w:lvl w:ilvl="4">
      <w:start w:val="1"/>
      <w:numFmt w:val="bullet"/>
      <w:lvlText w:val="o"/>
      <w:lvlJc w:val="start"/>
      <w:pPr>
        <w:tabs>
          <w:tab w:val="num" w:pos="3600"/>
        </w:tabs>
        <w:ind w:start="3600" w:hanging="360"/>
      </w:pPr>
      <w:rPr>
        <w:rFonts w:ascii="Courier New" w:hAnsi="Courier New" w:cs="Courier New" w:hint="default"/>
      </w:rPr>
    </w:lvl>
    <w:lvl w:ilvl="5">
      <w:start w:val="1"/>
      <w:numFmt w:val="bullet"/>
      <w:lvlText w:val=""/>
      <w:lvlJc w:val="start"/>
      <w:pPr>
        <w:tabs>
          <w:tab w:val="num" w:pos="4320"/>
        </w:tabs>
        <w:ind w:start="4320" w:hanging="360"/>
      </w:pPr>
      <w:rPr>
        <w:rFonts w:ascii="Wingdings" w:hAnsi="Wingdings" w:cs="Wingdings" w:hint="default"/>
      </w:rPr>
    </w:lvl>
    <w:lvl w:ilvl="6">
      <w:start w:val="1"/>
      <w:numFmt w:val="bullet"/>
      <w:lvlText w:val=""/>
      <w:lvlJc w:val="start"/>
      <w:pPr>
        <w:tabs>
          <w:tab w:val="num" w:pos="5040"/>
        </w:tabs>
        <w:ind w:start="5040" w:hanging="360"/>
      </w:pPr>
      <w:rPr>
        <w:rFonts w:ascii="Symbol" w:hAnsi="Symbol" w:cs="Symbol" w:hint="default"/>
      </w:rPr>
    </w:lvl>
    <w:lvl w:ilvl="7">
      <w:start w:val="1"/>
      <w:numFmt w:val="bullet"/>
      <w:lvlText w:val="o"/>
      <w:lvlJc w:val="start"/>
      <w:pPr>
        <w:tabs>
          <w:tab w:val="num" w:pos="5760"/>
        </w:tabs>
        <w:ind w:start="5760" w:hanging="360"/>
      </w:pPr>
      <w:rPr>
        <w:rFonts w:ascii="Courier New" w:hAnsi="Courier New" w:cs="Courier New" w:hint="default"/>
      </w:rPr>
    </w:lvl>
    <w:lvl w:ilvl="8">
      <w:start w:val="1"/>
      <w:numFmt w:val="bullet"/>
      <w:lvlText w:val=""/>
      <w:lvlJc w:val="start"/>
      <w:pPr>
        <w:tabs>
          <w:tab w:val="num" w:pos="6480"/>
        </w:tabs>
        <w:ind w:start="6480" w:hanging="360"/>
      </w:pPr>
      <w:rPr>
        <w:rFonts w:ascii="Wingdings" w:hAnsi="Wingdings" w:cs="Wingdings" w:hint="default"/>
      </w:rPr>
    </w:lvl>
  </w:abstractNum>
  <w:abstractNum w:abstractNumId="2">
    <w:lvl w:ilvl="0">
      <w:start w:val="7"/>
      <w:numFmt w:val="bullet"/>
      <w:lvlText w:val="-"/>
      <w:lvlJc w:val="start"/>
      <w:pPr>
        <w:tabs>
          <w:tab w:val="num" w:pos="0"/>
        </w:tabs>
        <w:ind w:start="1070" w:hanging="360"/>
      </w:pPr>
      <w:rPr>
        <w:rFonts w:ascii="Arial" w:hAnsi="Arial" w:cs="Arial" w:hint="default"/>
      </w:rPr>
    </w:lvl>
    <w:lvl w:ilvl="1">
      <w:start w:val="1"/>
      <w:numFmt w:val="bullet"/>
      <w:lvlText w:val="o"/>
      <w:lvlJc w:val="start"/>
      <w:pPr>
        <w:tabs>
          <w:tab w:val="num" w:pos="0"/>
        </w:tabs>
        <w:ind w:start="1790" w:hanging="360"/>
      </w:pPr>
      <w:rPr>
        <w:rFonts w:ascii="Courier New" w:hAnsi="Courier New" w:cs="Courier New" w:hint="default"/>
      </w:rPr>
    </w:lvl>
    <w:lvl w:ilvl="2">
      <w:start w:val="1"/>
      <w:numFmt w:val="bullet"/>
      <w:lvlText w:val=""/>
      <w:lvlJc w:val="start"/>
      <w:pPr>
        <w:tabs>
          <w:tab w:val="num" w:pos="0"/>
        </w:tabs>
        <w:ind w:start="2510" w:hanging="360"/>
      </w:pPr>
      <w:rPr>
        <w:rFonts w:ascii="Wingdings" w:hAnsi="Wingdings" w:cs="Wingdings" w:hint="default"/>
      </w:rPr>
    </w:lvl>
    <w:lvl w:ilvl="3">
      <w:start w:val="1"/>
      <w:numFmt w:val="bullet"/>
      <w:lvlText w:val=""/>
      <w:lvlJc w:val="start"/>
      <w:pPr>
        <w:tabs>
          <w:tab w:val="num" w:pos="0"/>
        </w:tabs>
        <w:ind w:start="3230" w:hanging="360"/>
      </w:pPr>
      <w:rPr>
        <w:rFonts w:ascii="Symbol" w:hAnsi="Symbol" w:cs="Symbol" w:hint="default"/>
      </w:rPr>
    </w:lvl>
    <w:lvl w:ilvl="4">
      <w:start w:val="1"/>
      <w:numFmt w:val="bullet"/>
      <w:lvlText w:val="o"/>
      <w:lvlJc w:val="start"/>
      <w:pPr>
        <w:tabs>
          <w:tab w:val="num" w:pos="0"/>
        </w:tabs>
        <w:ind w:start="3950" w:hanging="360"/>
      </w:pPr>
      <w:rPr>
        <w:rFonts w:ascii="Courier New" w:hAnsi="Courier New" w:cs="Courier New" w:hint="default"/>
      </w:rPr>
    </w:lvl>
    <w:lvl w:ilvl="5">
      <w:start w:val="1"/>
      <w:numFmt w:val="bullet"/>
      <w:lvlText w:val=""/>
      <w:lvlJc w:val="start"/>
      <w:pPr>
        <w:tabs>
          <w:tab w:val="num" w:pos="0"/>
        </w:tabs>
        <w:ind w:start="4670" w:hanging="360"/>
      </w:pPr>
      <w:rPr>
        <w:rFonts w:ascii="Wingdings" w:hAnsi="Wingdings" w:cs="Wingdings" w:hint="default"/>
      </w:rPr>
    </w:lvl>
    <w:lvl w:ilvl="6">
      <w:start w:val="1"/>
      <w:numFmt w:val="bullet"/>
      <w:lvlText w:val=""/>
      <w:lvlJc w:val="start"/>
      <w:pPr>
        <w:tabs>
          <w:tab w:val="num" w:pos="0"/>
        </w:tabs>
        <w:ind w:start="5390" w:hanging="360"/>
      </w:pPr>
      <w:rPr>
        <w:rFonts w:ascii="Symbol" w:hAnsi="Symbol" w:cs="Symbol" w:hint="default"/>
      </w:rPr>
    </w:lvl>
    <w:lvl w:ilvl="7">
      <w:start w:val="1"/>
      <w:numFmt w:val="bullet"/>
      <w:lvlText w:val="o"/>
      <w:lvlJc w:val="start"/>
      <w:pPr>
        <w:tabs>
          <w:tab w:val="num" w:pos="0"/>
        </w:tabs>
        <w:ind w:start="6110" w:hanging="360"/>
      </w:pPr>
      <w:rPr>
        <w:rFonts w:ascii="Courier New" w:hAnsi="Courier New" w:cs="Courier New" w:hint="default"/>
      </w:rPr>
    </w:lvl>
    <w:lvl w:ilvl="8">
      <w:start w:val="1"/>
      <w:numFmt w:val="bullet"/>
      <w:lvlText w:val=""/>
      <w:lvlJc w:val="start"/>
      <w:pPr>
        <w:tabs>
          <w:tab w:val="num" w:pos="0"/>
        </w:tabs>
        <w:ind w:start="6830" w:hanging="360"/>
      </w:pPr>
      <w:rPr>
        <w:rFonts w:ascii="Wingdings" w:hAnsi="Wingdings" w:cs="Wingdings" w:hint="default"/>
      </w:rPr>
    </w:lvl>
  </w:abstractNum>
  <w:abstractNum w:abstractNumId="3">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9"/>
  <w:autoHyphenation w:val="true"/>
  <w:hyphenationZone w:val="425"/>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de-DE"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de-DE" w:eastAsia="de-DE"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60a8f"/>
    <w:pPr>
      <w:widowControl/>
      <w:suppressAutoHyphens w:val="false"/>
      <w:overflowPunct w:val="true"/>
      <w:bidi w:val="0"/>
      <w:spacing w:before="0" w:after="0"/>
      <w:jc w:val="both"/>
      <w:textAlignment w:val="baseline"/>
    </w:pPr>
    <w:rPr>
      <w:rFonts w:ascii="CG Times (W1)" w:hAnsi="CG Times (W1)" w:eastAsia="Times New Roman" w:cs="Times New Roman"/>
      <w:color w:val="auto"/>
      <w:kern w:val="0"/>
      <w:sz w:val="24"/>
      <w:szCs w:val="24"/>
      <w:lang w:val="fr-FR" w:eastAsia="de-DE" w:bidi="ar-SA"/>
    </w:rPr>
  </w:style>
  <w:style w:type="paragraph" w:styleId="Heading1">
    <w:name w:val="heading 1"/>
    <w:basedOn w:val="Normal"/>
    <w:next w:val="Normal"/>
    <w:link w:val="Titre1Car"/>
    <w:qFormat/>
    <w:pPr>
      <w:keepNext w:val="true"/>
      <w:outlineLvl w:val="0"/>
    </w:pPr>
    <w:rPr>
      <w:rFonts w:ascii="Arial" w:hAnsi="Arial" w:cs="Arial"/>
      <w:b/>
      <w:bCs/>
      <w:kern w:val="2"/>
      <w:szCs w:val="32"/>
    </w:rPr>
  </w:style>
  <w:style w:type="paragraph" w:styleId="Heading2">
    <w:name w:val="heading 2"/>
    <w:basedOn w:val="Normal"/>
    <w:next w:val="Normal"/>
    <w:link w:val="Titre2Car"/>
    <w:qFormat/>
    <w:pPr>
      <w:keepNext w:val="true"/>
      <w:outlineLvl w:val="1"/>
    </w:pPr>
    <w:rPr>
      <w:rFonts w:ascii="Arial" w:hAnsi="Arial"/>
      <w:b/>
      <w:bCs/>
      <w:sz w:val="20"/>
    </w:rPr>
  </w:style>
  <w:style w:type="paragraph" w:styleId="Heading3">
    <w:name w:val="heading 3"/>
    <w:basedOn w:val="Normal"/>
    <w:next w:val="Normal"/>
    <w:link w:val="Titre3Car"/>
    <w:qFormat/>
    <w:rsid w:val="00800622"/>
    <w:pPr>
      <w:keepNext w:val="true"/>
      <w:spacing w:before="240" w:after="60"/>
      <w:outlineLvl w:val="2"/>
    </w:pPr>
    <w:rPr>
      <w:rFonts w:ascii="Arial" w:hAnsi="Arial" w:cs="Arial"/>
      <w:b/>
      <w:bCs/>
      <w:sz w:val="26"/>
      <w:szCs w:val="26"/>
    </w:rPr>
  </w:style>
  <w:style w:type="paragraph" w:styleId="Heading4">
    <w:name w:val="heading 4"/>
    <w:basedOn w:val="Normal"/>
    <w:next w:val="Normal"/>
    <w:link w:val="Titre4Car"/>
    <w:qFormat/>
    <w:rsid w:val="00800622"/>
    <w:pPr>
      <w:keepNext w:val="true"/>
      <w:spacing w:before="240" w:after="60"/>
      <w:outlineLvl w:val="3"/>
    </w:pPr>
    <w:rPr>
      <w:rFonts w:ascii="Times New Roman" w:hAnsi="Times New Roman"/>
      <w:b/>
      <w:bCs/>
      <w:sz w:val="28"/>
      <w:szCs w:val="28"/>
    </w:rPr>
  </w:style>
  <w:style w:type="paragraph" w:styleId="Heading5">
    <w:name w:val="heading 5"/>
    <w:basedOn w:val="Normal"/>
    <w:next w:val="Normal"/>
    <w:link w:val="Titre5Car"/>
    <w:qFormat/>
    <w:rsid w:val="00800622"/>
    <w:pPr>
      <w:spacing w:before="240" w:after="60"/>
      <w:outlineLvl w:val="4"/>
    </w:pPr>
    <w:rPr>
      <w:b/>
      <w:bCs/>
      <w:i/>
      <w:iCs/>
      <w:sz w:val="26"/>
      <w:szCs w:val="26"/>
    </w:rPr>
  </w:style>
  <w:style w:type="paragraph" w:styleId="Heading6">
    <w:name w:val="heading 6"/>
    <w:basedOn w:val="Normal"/>
    <w:next w:val="Normal"/>
    <w:link w:val="Titre6Car"/>
    <w:qFormat/>
    <w:rsid w:val="00800622"/>
    <w:pPr>
      <w:spacing w:before="240" w:after="60"/>
      <w:outlineLvl w:val="5"/>
    </w:pPr>
    <w:rPr>
      <w:rFonts w:ascii="Times New Roman" w:hAnsi="Times New Roman"/>
      <w:b/>
      <w:bCs/>
      <w:sz w:val="22"/>
      <w:szCs w:val="22"/>
    </w:rPr>
  </w:style>
  <w:style w:type="paragraph" w:styleId="Heading7">
    <w:name w:val="heading 7"/>
    <w:basedOn w:val="Normal"/>
    <w:next w:val="Normal"/>
    <w:link w:val="Titre7Car"/>
    <w:qFormat/>
    <w:rsid w:val="00800622"/>
    <w:pPr>
      <w:spacing w:before="240" w:after="60"/>
      <w:outlineLvl w:val="6"/>
    </w:pPr>
    <w:rPr>
      <w:rFonts w:ascii="Times New Roman" w:hAnsi="Times New Roman"/>
    </w:rPr>
  </w:style>
  <w:style w:type="paragraph" w:styleId="Heading8">
    <w:name w:val="heading 8"/>
    <w:basedOn w:val="Normal"/>
    <w:next w:val="Normal"/>
    <w:link w:val="Titre8Car"/>
    <w:qFormat/>
    <w:rsid w:val="00800622"/>
    <w:pPr>
      <w:spacing w:before="240" w:after="60"/>
      <w:outlineLvl w:val="7"/>
    </w:pPr>
    <w:rPr>
      <w:rFonts w:ascii="Times New Roman" w:hAnsi="Times New Roman"/>
      <w:i/>
      <w:iCs/>
    </w:rPr>
  </w:style>
  <w:style w:type="paragraph" w:styleId="Heading9">
    <w:name w:val="heading 9"/>
    <w:basedOn w:val="Normal"/>
    <w:next w:val="Normal"/>
    <w:link w:val="Titre9Car"/>
    <w:qFormat/>
    <w:rsid w:val="00800622"/>
    <w:pPr>
      <w:spacing w:before="240" w:after="60"/>
      <w:outlineLvl w:val="8"/>
    </w:pPr>
    <w:rPr>
      <w:rFonts w:ascii="Arial" w:hAnsi="Arial" w:cs="Arial"/>
      <w:sz w:val="22"/>
      <w:szCs w:val="22"/>
    </w:rPr>
  </w:style>
  <w:style w:type="character" w:styleId="DefaultParagraphFont" w:default="1">
    <w:name w:val="Default Paragraph Font"/>
    <w:uiPriority w:val="1"/>
    <w:semiHidden/>
    <w:unhideWhenUsed/>
    <w:qFormat/>
    <w:rPr/>
  </w:style>
  <w:style w:type="character" w:styleId="SeitenleisteVDKZchn" w:customStyle="1">
    <w:name w:val="_Seitenleiste VDK Zchn"/>
    <w:basedOn w:val="DefaultParagraphFont"/>
    <w:link w:val="SeitenleisteVDK"/>
    <w:qFormat/>
    <w:rsid w:val="00163bfa"/>
    <w:rPr>
      <w:rFonts w:ascii="Calibri" w:hAnsi="Calibri"/>
      <w:color w:val="000000"/>
      <w:sz w:val="18"/>
      <w:szCs w:val="24"/>
    </w:rPr>
  </w:style>
  <w:style w:type="character" w:styleId="AuszeichnungVDKZchn" w:customStyle="1">
    <w:name w:val="_Auszeichnung VDK Zchn"/>
    <w:basedOn w:val="DefaultParagraphFont"/>
    <w:link w:val="AuszeichnungVDK"/>
    <w:qFormat/>
    <w:rsid w:val="003b2d8d"/>
    <w:rPr>
      <w:rFonts w:ascii="Calibri" w:hAnsi="Calibri"/>
      <w:b/>
      <w:bCs/>
      <w:sz w:val="26"/>
    </w:rPr>
  </w:style>
  <w:style w:type="character" w:styleId="FlietextVDKZchn" w:customStyle="1">
    <w:name w:val="_Fließtext VDK Zchn"/>
    <w:basedOn w:val="DefaultParagraphFont"/>
    <w:link w:val="FlietextVDK"/>
    <w:qFormat/>
    <w:rsid w:val="003b2d8d"/>
    <w:rPr>
      <w:rFonts w:ascii="Calibri" w:hAnsi="Calibri"/>
      <w:sz w:val="22"/>
    </w:rPr>
  </w:style>
  <w:style w:type="character" w:styleId="En-tteCar" w:customStyle="1">
    <w:name w:val="En-tête Car"/>
    <w:basedOn w:val="DefaultParagraphFont"/>
    <w:qFormat/>
    <w:rsid w:val="008228f4"/>
    <w:rPr>
      <w:sz w:val="24"/>
      <w:szCs w:val="24"/>
    </w:rPr>
  </w:style>
  <w:style w:type="character" w:styleId="PieddepageCar" w:customStyle="1">
    <w:name w:val="Pied de page Car"/>
    <w:basedOn w:val="DefaultParagraphFont"/>
    <w:uiPriority w:val="99"/>
    <w:qFormat/>
    <w:rsid w:val="008228f4"/>
    <w:rPr>
      <w:sz w:val="24"/>
      <w:szCs w:val="24"/>
    </w:rPr>
  </w:style>
  <w:style w:type="character" w:styleId="Titre3Car" w:customStyle="1">
    <w:name w:val="Titre 3 Car"/>
    <w:basedOn w:val="DefaultParagraphFont"/>
    <w:qFormat/>
    <w:rsid w:val="00800622"/>
    <w:rPr>
      <w:rFonts w:ascii="Arial" w:hAnsi="Arial" w:cs="Arial"/>
      <w:b/>
      <w:bCs/>
      <w:sz w:val="26"/>
      <w:szCs w:val="26"/>
      <w:lang w:val="fr-FR"/>
    </w:rPr>
  </w:style>
  <w:style w:type="character" w:styleId="Titre4Car" w:customStyle="1">
    <w:name w:val="Titre 4 Car"/>
    <w:basedOn w:val="DefaultParagraphFont"/>
    <w:qFormat/>
    <w:rsid w:val="00800622"/>
    <w:rPr>
      <w:b/>
      <w:bCs/>
      <w:sz w:val="28"/>
      <w:szCs w:val="28"/>
      <w:lang w:val="fr-FR"/>
    </w:rPr>
  </w:style>
  <w:style w:type="character" w:styleId="Titre5Car" w:customStyle="1">
    <w:name w:val="Titre 5 Car"/>
    <w:basedOn w:val="DefaultParagraphFont"/>
    <w:qFormat/>
    <w:rsid w:val="00800622"/>
    <w:rPr>
      <w:rFonts w:ascii="CG Times (W1)" w:hAnsi="CG Times (W1)"/>
      <w:b/>
      <w:bCs/>
      <w:i/>
      <w:iCs/>
      <w:sz w:val="26"/>
      <w:szCs w:val="26"/>
      <w:lang w:val="fr-FR"/>
    </w:rPr>
  </w:style>
  <w:style w:type="character" w:styleId="Titre6Car" w:customStyle="1">
    <w:name w:val="Titre 6 Car"/>
    <w:basedOn w:val="DefaultParagraphFont"/>
    <w:qFormat/>
    <w:rsid w:val="00800622"/>
    <w:rPr>
      <w:b/>
      <w:bCs/>
      <w:sz w:val="22"/>
      <w:szCs w:val="22"/>
      <w:lang w:val="fr-FR"/>
    </w:rPr>
  </w:style>
  <w:style w:type="character" w:styleId="Titre7Car" w:customStyle="1">
    <w:name w:val="Titre 7 Car"/>
    <w:basedOn w:val="DefaultParagraphFont"/>
    <w:qFormat/>
    <w:rsid w:val="00800622"/>
    <w:rPr>
      <w:sz w:val="24"/>
      <w:szCs w:val="24"/>
      <w:lang w:val="fr-FR"/>
    </w:rPr>
  </w:style>
  <w:style w:type="character" w:styleId="Titre8Car" w:customStyle="1">
    <w:name w:val="Titre 8 Car"/>
    <w:basedOn w:val="DefaultParagraphFont"/>
    <w:qFormat/>
    <w:rsid w:val="00800622"/>
    <w:rPr>
      <w:i/>
      <w:iCs/>
      <w:sz w:val="24"/>
      <w:szCs w:val="24"/>
      <w:lang w:val="fr-FR"/>
    </w:rPr>
  </w:style>
  <w:style w:type="character" w:styleId="Titre9Car" w:customStyle="1">
    <w:name w:val="Titre 9 Car"/>
    <w:basedOn w:val="DefaultParagraphFont"/>
    <w:qFormat/>
    <w:rsid w:val="00800622"/>
    <w:rPr>
      <w:rFonts w:ascii="Arial" w:hAnsi="Arial" w:cs="Arial"/>
      <w:sz w:val="22"/>
      <w:szCs w:val="22"/>
      <w:lang w:val="fr-FR"/>
    </w:rPr>
  </w:style>
  <w:style w:type="character" w:styleId="Titre1Car" w:customStyle="1">
    <w:name w:val="Titre 1 Car"/>
    <w:basedOn w:val="DefaultParagraphFont"/>
    <w:qFormat/>
    <w:rsid w:val="00800622"/>
    <w:rPr>
      <w:rFonts w:ascii="Arial" w:hAnsi="Arial" w:cs="Arial"/>
      <w:b/>
      <w:bCs/>
      <w:kern w:val="2"/>
      <w:sz w:val="24"/>
      <w:szCs w:val="32"/>
    </w:rPr>
  </w:style>
  <w:style w:type="character" w:styleId="Titre2Car" w:customStyle="1">
    <w:name w:val="Titre 2 Car"/>
    <w:basedOn w:val="DefaultParagraphFont"/>
    <w:qFormat/>
    <w:rsid w:val="00800622"/>
    <w:rPr>
      <w:rFonts w:ascii="Arial" w:hAnsi="Arial"/>
      <w:b/>
      <w:bCs/>
      <w:szCs w:val="24"/>
    </w:rPr>
  </w:style>
  <w:style w:type="character" w:styleId="PageNumber">
    <w:name w:val="page number"/>
    <w:rsid w:val="00800622"/>
    <w:rPr>
      <w:rFonts w:ascii="Times New Roman" w:hAnsi="Times New Roman"/>
      <w:color w:val="auto"/>
      <w:spacing w:val="0"/>
      <w:sz w:val="24"/>
      <w:szCs w:val="24"/>
    </w:rPr>
  </w:style>
  <w:style w:type="character" w:styleId="CommentReference">
    <w:name w:val="annotation reference"/>
    <w:qFormat/>
    <w:rsid w:val="00800622"/>
    <w:rPr>
      <w:sz w:val="16"/>
      <w:szCs w:val="16"/>
    </w:rPr>
  </w:style>
  <w:style w:type="character" w:styleId="CommentaireCar" w:customStyle="1">
    <w:name w:val="Commentaire Car"/>
    <w:basedOn w:val="DefaultParagraphFont"/>
    <w:qFormat/>
    <w:rsid w:val="00800622"/>
    <w:rPr>
      <w:rFonts w:ascii="CG Times (W1)" w:hAnsi="CG Times (W1)"/>
      <w:lang w:val="fr-FR"/>
    </w:rPr>
  </w:style>
  <w:style w:type="character" w:styleId="ObjetducommentaireCar" w:customStyle="1">
    <w:name w:val="Objet du commentaire Car"/>
    <w:basedOn w:val="CommentaireCar"/>
    <w:link w:val="annotationsubject"/>
    <w:qFormat/>
    <w:rsid w:val="00800622"/>
    <w:rPr>
      <w:rFonts w:ascii="CG Times (W1)" w:hAnsi="CG Times (W1)"/>
      <w:b/>
      <w:bCs/>
      <w:lang w:val="fr-FR"/>
    </w:rPr>
  </w:style>
  <w:style w:type="character" w:styleId="TextedebullesCar" w:customStyle="1">
    <w:name w:val="Texte de bulles Car"/>
    <w:basedOn w:val="DefaultParagraphFont"/>
    <w:link w:val="BalloonText"/>
    <w:semiHidden/>
    <w:qFormat/>
    <w:rsid w:val="00800622"/>
    <w:rPr>
      <w:rFonts w:ascii="Tahoma" w:hAnsi="Tahoma" w:cs="Tahoma"/>
      <w:sz w:val="16"/>
      <w:szCs w:val="16"/>
    </w:rPr>
  </w:style>
  <w:style w:type="character" w:styleId="Hyperlink">
    <w:name w:val="Hyperlink"/>
    <w:uiPriority w:val="99"/>
    <w:rsid w:val="00800622"/>
    <w:rPr>
      <w:color w:val="0000FF"/>
      <w:u w:val="single"/>
    </w:rPr>
  </w:style>
  <w:style w:type="character" w:styleId="ExplorateurdedocumentsCar" w:customStyle="1">
    <w:name w:val="Explorateur de documents Car"/>
    <w:basedOn w:val="DefaultParagraphFont"/>
    <w:link w:val="DocumentMap"/>
    <w:qFormat/>
    <w:rsid w:val="00800622"/>
    <w:rPr>
      <w:rFonts w:ascii="Tahoma" w:hAnsi="Tahoma" w:cs="Tahoma"/>
      <w:shd w:fill="000080" w:val="clear"/>
      <w:lang w:val="fr-FR"/>
    </w:rPr>
  </w:style>
  <w:style w:type="character" w:styleId="FollowedHyperlink">
    <w:name w:val="FollowedHyperlink"/>
    <w:basedOn w:val="DefaultParagraphFont"/>
    <w:uiPriority w:val="99"/>
    <w:unhideWhenUsed/>
    <w:rsid w:val="00800622"/>
    <w:rPr>
      <w:color w:themeColor="followedHyperlink" w:val="954F72"/>
      <w:u w:val="single"/>
    </w:rPr>
  </w:style>
  <w:style w:type="character" w:styleId="CorpsdetexteCar" w:customStyle="1">
    <w:name w:val="Corps de texte Car"/>
    <w:basedOn w:val="DefaultParagraphFont"/>
    <w:qFormat/>
    <w:rsid w:val="00a858b3"/>
    <w:rPr>
      <w:rFonts w:ascii="Book Antiqua" w:hAnsi="Book Antiqua"/>
      <w:b/>
      <w:sz w:val="32"/>
      <w:lang w:val="fr-FR" w:eastAsia="fr-FR"/>
    </w:rPr>
  </w:style>
  <w:style w:type="paragraph" w:styleId="Titre">
    <w:name w:val="Titre"/>
    <w:basedOn w:val="Normal"/>
    <w:next w:val="BodyText"/>
    <w:qFormat/>
    <w:pPr>
      <w:keepNext w:val="true"/>
      <w:spacing w:before="240" w:after="120"/>
    </w:pPr>
    <w:rPr>
      <w:rFonts w:ascii="Marianne" w:hAnsi="Marianne" w:eastAsia="Microsoft YaHei" w:cs="Lucida Sans"/>
      <w:sz w:val="28"/>
      <w:szCs w:val="28"/>
    </w:rPr>
  </w:style>
  <w:style w:type="paragraph" w:styleId="BodyText">
    <w:name w:val="Body Text"/>
    <w:basedOn w:val="Normal"/>
    <w:link w:val="CorpsdetexteCar"/>
    <w:rsid w:val="00a858b3"/>
    <w:pPr>
      <w:pBdr>
        <w:top w:val="single" w:sz="2" w:space="1" w:color="000000"/>
        <w:left w:val="single" w:sz="2" w:space="4" w:color="000000"/>
        <w:bottom w:val="single" w:sz="2" w:space="1" w:color="000000"/>
        <w:right w:val="single" w:sz="2" w:space="4" w:color="000000"/>
      </w:pBdr>
      <w:suppressAutoHyphens w:val="true"/>
      <w:overflowPunct w:val="false"/>
      <w:jc w:val="center"/>
      <w:textAlignment w:val="auto"/>
    </w:pPr>
    <w:rPr>
      <w:rFonts w:ascii="Book Antiqua" w:hAnsi="Book Antiqua"/>
      <w:b/>
      <w:sz w:val="32"/>
      <w:szCs w:val="20"/>
      <w:lang w:eastAsia="fr-FR"/>
    </w:rPr>
  </w:style>
  <w:style w:type="paragraph" w:styleId="List">
    <w:name w:val="List"/>
    <w:basedOn w:val="BodyText"/>
    <w:pPr/>
    <w:rPr>
      <w:rFonts w:ascii="Marianne" w:hAnsi="Marianne" w:cs="Lucida Sans"/>
    </w:rPr>
  </w:style>
  <w:style w:type="paragraph" w:styleId="Caption">
    <w:name w:val="caption"/>
    <w:basedOn w:val="Normal"/>
    <w:qFormat/>
    <w:pPr>
      <w:suppressLineNumbers/>
      <w:spacing w:before="120" w:after="120"/>
    </w:pPr>
    <w:rPr>
      <w:rFonts w:ascii="Marianne" w:hAnsi="Marianne" w:cs="Lucida Sans"/>
      <w:i/>
      <w:iCs/>
      <w:sz w:val="24"/>
      <w:szCs w:val="24"/>
    </w:rPr>
  </w:style>
  <w:style w:type="paragraph" w:styleId="Index">
    <w:name w:val="Index"/>
    <w:basedOn w:val="Normal"/>
    <w:qFormat/>
    <w:pPr>
      <w:suppressLineNumbers/>
    </w:pPr>
    <w:rPr>
      <w:rFonts w:ascii="Marianne" w:hAnsi="Marianne" w:cs="Lucida Sans"/>
    </w:rPr>
  </w:style>
  <w:style w:type="paragraph" w:styleId="Texte" w:customStyle="1">
    <w:name w:val="Texte"/>
    <w:qFormat/>
    <w:pPr>
      <w:widowControl/>
      <w:bidi w:val="0"/>
      <w:spacing w:before="0" w:after="0"/>
      <w:jc w:val="start"/>
    </w:pPr>
    <w:rPr>
      <w:rFonts w:ascii="Times New Roman" w:hAnsi="Times New Roman" w:eastAsia="Times New Roman" w:cs="Times New Roman"/>
      <w:color w:val="000000"/>
      <w:kern w:val="0"/>
      <w:sz w:val="24"/>
      <w:szCs w:val="24"/>
      <w:lang w:val="de-DE" w:eastAsia="de-DE" w:bidi="ar-SA"/>
    </w:rPr>
  </w:style>
  <w:style w:type="paragraph" w:styleId="BalloonText">
    <w:name w:val="Balloon Text"/>
    <w:basedOn w:val="Normal"/>
    <w:link w:val="TextedebullesCar"/>
    <w:semiHidden/>
    <w:qFormat/>
    <w:pPr/>
    <w:rPr>
      <w:rFonts w:ascii="Tahoma" w:hAnsi="Tahoma" w:cs="Tahoma"/>
      <w:sz w:val="16"/>
      <w:szCs w:val="16"/>
    </w:rPr>
  </w:style>
  <w:style w:type="paragraph" w:styleId="FlietextVDK" w:customStyle="1">
    <w:name w:val="_Fließtext VDK"/>
    <w:link w:val="FlietextVDKZchn"/>
    <w:qFormat/>
    <w:rsid w:val="003b2d8d"/>
    <w:pPr>
      <w:widowControl/>
      <w:tabs>
        <w:tab w:val="clear" w:pos="709"/>
        <w:tab w:val="left" w:pos="510" w:leader="none"/>
      </w:tabs>
      <w:bidi w:val="0"/>
      <w:spacing w:lineRule="exact" w:line="260" w:before="0" w:after="0"/>
      <w:jc w:val="start"/>
    </w:pPr>
    <w:rPr>
      <w:rFonts w:ascii="Calibri" w:hAnsi="Calibri" w:eastAsia="Times New Roman" w:cs="Times New Roman"/>
      <w:color w:val="auto"/>
      <w:kern w:val="0"/>
      <w:sz w:val="22"/>
      <w:szCs w:val="20"/>
      <w:lang w:val="de-DE" w:eastAsia="de-DE" w:bidi="ar-SA"/>
    </w:rPr>
  </w:style>
  <w:style w:type="paragraph" w:styleId="SeitenleisteVDK" w:customStyle="1">
    <w:name w:val="_Seitenleiste VDK"/>
    <w:link w:val="SeitenleisteVDKZchn"/>
    <w:qFormat/>
    <w:rsid w:val="00163bfa"/>
    <w:pPr>
      <w:widowControl/>
      <w:bidi w:val="0"/>
      <w:spacing w:lineRule="exact" w:line="260" w:before="0" w:after="0"/>
      <w:jc w:val="start"/>
    </w:pPr>
    <w:rPr>
      <w:rFonts w:ascii="Calibri" w:hAnsi="Calibri" w:eastAsia="Times New Roman" w:cs="Times New Roman"/>
      <w:color w:val="000000"/>
      <w:kern w:val="0"/>
      <w:sz w:val="18"/>
      <w:szCs w:val="24"/>
      <w:lang w:val="de-DE" w:eastAsia="de-DE" w:bidi="ar-SA"/>
    </w:rPr>
  </w:style>
  <w:style w:type="paragraph" w:styleId="AuszeichnungVDK" w:customStyle="1">
    <w:name w:val="_Auszeichnung VDK"/>
    <w:link w:val="AuszeichnungVDKZchn"/>
    <w:qFormat/>
    <w:rsid w:val="003b2d8d"/>
    <w:pPr>
      <w:widowControl/>
      <w:tabs>
        <w:tab w:val="clear" w:pos="709"/>
        <w:tab w:val="left" w:pos="510" w:leader="none"/>
      </w:tabs>
      <w:bidi w:val="0"/>
      <w:spacing w:lineRule="exact" w:line="260" w:before="0" w:after="0"/>
      <w:jc w:val="start"/>
    </w:pPr>
    <w:rPr>
      <w:rFonts w:ascii="Calibri" w:hAnsi="Calibri" w:eastAsia="Times New Roman" w:cs="Times New Roman"/>
      <w:b/>
      <w:bCs/>
      <w:color w:val="auto"/>
      <w:kern w:val="0"/>
      <w:sz w:val="26"/>
      <w:szCs w:val="20"/>
      <w:lang w:val="de-DE" w:eastAsia="de-DE" w:bidi="ar-SA"/>
    </w:rPr>
  </w:style>
  <w:style w:type="paragraph" w:styleId="En-tteetpieddepage">
    <w:name w:val="En-tête et pied de page"/>
    <w:basedOn w:val="Normal"/>
    <w:qFormat/>
    <w:pPr/>
    <w:rPr/>
  </w:style>
  <w:style w:type="paragraph" w:styleId="Header">
    <w:name w:val="header"/>
    <w:basedOn w:val="Normal"/>
    <w:link w:val="En-tteCar"/>
    <w:rsid w:val="008228f4"/>
    <w:pPr>
      <w:tabs>
        <w:tab w:val="clear" w:pos="709"/>
        <w:tab w:val="center" w:pos="4536" w:leader="none"/>
        <w:tab w:val="right" w:pos="9072" w:leader="none"/>
      </w:tabs>
    </w:pPr>
    <w:rPr/>
  </w:style>
  <w:style w:type="paragraph" w:styleId="Footer">
    <w:name w:val="footer"/>
    <w:basedOn w:val="Normal"/>
    <w:link w:val="PieddepageCar"/>
    <w:uiPriority w:val="99"/>
    <w:rsid w:val="008228f4"/>
    <w:pPr>
      <w:tabs>
        <w:tab w:val="clear" w:pos="709"/>
        <w:tab w:val="center" w:pos="4536" w:leader="none"/>
        <w:tab w:val="right" w:pos="9072" w:leader="none"/>
      </w:tabs>
    </w:pPr>
    <w:rPr/>
  </w:style>
  <w:style w:type="paragraph" w:styleId="TextAbstand" w:customStyle="1">
    <w:name w:val="Text Abstand"/>
    <w:qFormat/>
    <w:rsid w:val="00454efe"/>
    <w:pPr>
      <w:widowControl/>
      <w:tabs>
        <w:tab w:val="clear" w:pos="709"/>
        <w:tab w:val="left" w:pos="391" w:leader="none"/>
        <w:tab w:val="left" w:pos="510" w:leader="none"/>
        <w:tab w:val="left" w:pos="856" w:leader="none"/>
        <w:tab w:val="left" w:pos="9360" w:leader="none"/>
        <w:tab w:val="left" w:pos="9720" w:leader="none"/>
      </w:tabs>
      <w:bidi w:val="0"/>
      <w:spacing w:lineRule="atLeast" w:line="320" w:before="0" w:after="170"/>
      <w:jc w:val="start"/>
    </w:pPr>
    <w:rPr>
      <w:rFonts w:ascii="Times New Roman" w:hAnsi="Times New Roman" w:eastAsia="Times New Roman" w:cs="Times New Roman"/>
      <w:color w:val="000000"/>
      <w:kern w:val="0"/>
      <w:sz w:val="24"/>
      <w:szCs w:val="24"/>
      <w:lang w:val="de-DE" w:eastAsia="de-DE" w:bidi="ar-SA"/>
    </w:rPr>
  </w:style>
  <w:style w:type="paragraph" w:styleId="Style11" w:customStyle="1">
    <w:name w:val="Style1"/>
    <w:basedOn w:val="Normal"/>
    <w:qFormat/>
    <w:rsid w:val="00800622"/>
    <w:pPr/>
    <w:rPr/>
  </w:style>
  <w:style w:type="paragraph" w:styleId="HELTitreassign" w:customStyle="1">
    <w:name w:val="HEL Titre (assign)"/>
    <w:basedOn w:val="Normal"/>
    <w:qFormat/>
    <w:rsid w:val="00800622"/>
    <w:pPr>
      <w:keepLines/>
      <w:pBdr>
        <w:top w:val="single" w:sz="6" w:space="0" w:color="000000"/>
        <w:left w:val="single" w:sz="6" w:space="0" w:color="000000"/>
        <w:bottom w:val="single" w:sz="6" w:space="0" w:color="000000"/>
        <w:right w:val="single" w:sz="6" w:space="0" w:color="000000"/>
      </w:pBdr>
      <w:spacing w:lineRule="exact" w:line="240"/>
      <w:jc w:val="center"/>
    </w:pPr>
    <w:rPr>
      <w:b/>
      <w:bCs/>
      <w:caps/>
    </w:rPr>
  </w:style>
  <w:style w:type="paragraph" w:styleId="HELSous-titreassign" w:customStyle="1">
    <w:name w:val="HEL Sous-titre (assign)"/>
    <w:basedOn w:val="Normal"/>
    <w:qFormat/>
    <w:rsid w:val="00800622"/>
    <w:pPr>
      <w:jc w:val="start"/>
    </w:pPr>
    <w:rPr>
      <w:b/>
      <w:bCs/>
      <w:caps/>
    </w:rPr>
  </w:style>
  <w:style w:type="paragraph" w:styleId="HELRserves" w:customStyle="1">
    <w:name w:val="HEL Réserves"/>
    <w:basedOn w:val="Normal"/>
    <w:qFormat/>
    <w:rsid w:val="00800622"/>
    <w:pPr>
      <w:jc w:val="center"/>
    </w:pPr>
    <w:rPr>
      <w:b/>
      <w:bCs/>
    </w:rPr>
  </w:style>
  <w:style w:type="paragraph" w:styleId="HELCitationsassign" w:customStyle="1">
    <w:name w:val="HEL Citations (assign)"/>
    <w:basedOn w:val="Normal"/>
    <w:qFormat/>
    <w:rsid w:val="00800622"/>
    <w:pPr>
      <w:ind w:start="2268" w:end="2268"/>
    </w:pPr>
    <w:rPr>
      <w:i/>
      <w:iCs/>
    </w:rPr>
  </w:style>
  <w:style w:type="paragraph" w:styleId="HELAssign" w:customStyle="1">
    <w:name w:val="HEL Assign"/>
    <w:basedOn w:val="Normal"/>
    <w:qFormat/>
    <w:rsid w:val="00800622"/>
    <w:pPr/>
    <w:rPr/>
  </w:style>
  <w:style w:type="paragraph" w:styleId="HELAideJur" w:customStyle="1">
    <w:name w:val="HEL Aide Jur."/>
    <w:basedOn w:val="Normal"/>
    <w:qFormat/>
    <w:rsid w:val="00800622"/>
    <w:pPr>
      <w:jc w:val="start"/>
    </w:pPr>
    <w:rPr>
      <w:b/>
      <w:bCs/>
    </w:rPr>
  </w:style>
  <w:style w:type="paragraph" w:styleId="HELSignature" w:customStyle="1">
    <w:name w:val="HEL Signature"/>
    <w:basedOn w:val="Normal"/>
    <w:qFormat/>
    <w:rsid w:val="00800622"/>
    <w:pPr>
      <w:ind w:start="4536"/>
      <w:jc w:val="start"/>
    </w:pPr>
    <w:rPr>
      <w:b/>
      <w:bCs/>
      <w:sz w:val="28"/>
      <w:szCs w:val="28"/>
    </w:rPr>
  </w:style>
  <w:style w:type="paragraph" w:styleId="HELRfdestinataire" w:customStyle="1">
    <w:name w:val="HEL Réf. destinataire"/>
    <w:basedOn w:val="Normal"/>
    <w:qFormat/>
    <w:rsid w:val="00800622"/>
    <w:pPr>
      <w:jc w:val="start"/>
    </w:pPr>
    <w:rPr/>
  </w:style>
  <w:style w:type="paragraph" w:styleId="HELNomaffaire" w:customStyle="1">
    <w:name w:val="HEL Nom affaire"/>
    <w:basedOn w:val="Normal"/>
    <w:qFormat/>
    <w:rsid w:val="00800622"/>
    <w:pPr>
      <w:jc w:val="start"/>
    </w:pPr>
    <w:rPr>
      <w:b/>
      <w:bCs/>
    </w:rPr>
  </w:style>
  <w:style w:type="paragraph" w:styleId="HELHonoraires" w:customStyle="1">
    <w:name w:val="HEL Honoraires"/>
    <w:basedOn w:val="Normal"/>
    <w:qFormat/>
    <w:rsid w:val="00800622"/>
    <w:pPr>
      <w:tabs>
        <w:tab w:val="clear" w:pos="709"/>
        <w:tab w:val="decimal" w:pos="6804" w:leader="dot"/>
      </w:tabs>
      <w:spacing w:lineRule="exact" w:line="240"/>
      <w:jc w:val="start"/>
    </w:pPr>
    <w:rPr/>
  </w:style>
  <w:style w:type="paragraph" w:styleId="HELFacture" w:customStyle="1">
    <w:name w:val="HEL Facture"/>
    <w:basedOn w:val="Normal"/>
    <w:qFormat/>
    <w:rsid w:val="00800622"/>
    <w:pPr>
      <w:tabs>
        <w:tab w:val="clear" w:pos="709"/>
        <w:tab w:val="left" w:pos="907" w:leader="none"/>
        <w:tab w:val="right" w:pos="5103" w:leader="none"/>
        <w:tab w:val="decimal" w:pos="6464" w:leader="none"/>
        <w:tab w:val="decimal" w:pos="7371" w:leader="none"/>
        <w:tab w:val="decimal" w:pos="8505" w:leader="none"/>
      </w:tabs>
      <w:jc w:val="start"/>
    </w:pPr>
    <w:rPr/>
  </w:style>
  <w:style w:type="paragraph" w:styleId="HELDatelettre" w:customStyle="1">
    <w:name w:val="HEL Date (lettre)"/>
    <w:basedOn w:val="Normal"/>
    <w:qFormat/>
    <w:rsid w:val="00800622"/>
    <w:pPr>
      <w:ind w:start="4536"/>
      <w:jc w:val="start"/>
    </w:pPr>
    <w:rPr>
      <w:b/>
      <w:bCs/>
    </w:rPr>
  </w:style>
  <w:style w:type="paragraph" w:styleId="HELAdresselettre" w:customStyle="1">
    <w:name w:val="HEL Adresse (lettre)"/>
    <w:basedOn w:val="Normal"/>
    <w:qFormat/>
    <w:rsid w:val="00800622"/>
    <w:pPr>
      <w:ind w:start="4536"/>
      <w:jc w:val="start"/>
    </w:pPr>
    <w:rPr>
      <w:b/>
      <w:bCs/>
      <w:lang w:val="en-US"/>
    </w:rPr>
  </w:style>
  <w:style w:type="paragraph" w:styleId="Textepardfaut" w:customStyle="1">
    <w:name w:val="Texte par défaut"/>
    <w:basedOn w:val="Normal"/>
    <w:qFormat/>
    <w:rsid w:val="00800622"/>
    <w:pPr>
      <w:jc w:val="start"/>
    </w:pPr>
    <w:rPr>
      <w:rFonts w:ascii="Times New Roman" w:hAnsi="Times New Roman"/>
      <w:lang w:val="en-US"/>
    </w:rPr>
  </w:style>
  <w:style w:type="paragraph" w:styleId="CommentText">
    <w:name w:val="annotation text"/>
    <w:basedOn w:val="Normal"/>
    <w:link w:val="CommentaireCar"/>
    <w:rsid w:val="00800622"/>
    <w:pPr/>
    <w:rPr>
      <w:sz w:val="20"/>
      <w:szCs w:val="20"/>
    </w:rPr>
  </w:style>
  <w:style w:type="paragraph" w:styleId="annotationsubject">
    <w:name w:val="annotation subject"/>
    <w:basedOn w:val="CommentText"/>
    <w:next w:val="CommentText"/>
    <w:link w:val="ObjetducommentaireCar"/>
    <w:qFormat/>
    <w:rsid w:val="00800622"/>
    <w:pPr/>
    <w:rPr>
      <w:b/>
      <w:bCs/>
    </w:rPr>
  </w:style>
  <w:style w:type="paragraph" w:styleId="TOC1">
    <w:name w:val="toc 1"/>
    <w:basedOn w:val="Normal"/>
    <w:next w:val="Normal"/>
    <w:autoRedefine/>
    <w:uiPriority w:val="39"/>
    <w:rsid w:val="00800622"/>
    <w:pPr>
      <w:spacing w:before="120" w:after="0"/>
      <w:jc w:val="start"/>
    </w:pPr>
    <w:rPr>
      <w:rFonts w:ascii="Times New Roman" w:hAnsi="Times New Roman"/>
      <w:b/>
      <w:bCs/>
      <w:i/>
      <w:iCs/>
      <w:szCs w:val="28"/>
    </w:rPr>
  </w:style>
  <w:style w:type="paragraph" w:styleId="TOC2">
    <w:name w:val="toc 2"/>
    <w:basedOn w:val="Normal"/>
    <w:next w:val="Normal"/>
    <w:autoRedefine/>
    <w:uiPriority w:val="39"/>
    <w:rsid w:val="00e65e98"/>
    <w:pPr>
      <w:tabs>
        <w:tab w:val="clear" w:pos="709"/>
        <w:tab w:val="right" w:pos="9202" w:leader="dot"/>
      </w:tabs>
      <w:spacing w:before="120" w:after="0"/>
      <w:ind w:start="240"/>
      <w:jc w:val="start"/>
    </w:pPr>
    <w:rPr>
      <w:rFonts w:ascii="Times New Roman" w:hAnsi="Times New Roman" w:cs="Calibri" w:cstheme="minorHAnsi"/>
      <w:b/>
      <w:bCs/>
      <w:i/>
      <w:iCs/>
      <w:sz w:val="22"/>
      <w:szCs w:val="26"/>
    </w:rPr>
  </w:style>
  <w:style w:type="paragraph" w:styleId="TOC3">
    <w:name w:val="toc 3"/>
    <w:basedOn w:val="Normal"/>
    <w:next w:val="Normal"/>
    <w:autoRedefine/>
    <w:uiPriority w:val="39"/>
    <w:rsid w:val="00800622"/>
    <w:pPr>
      <w:ind w:start="480"/>
      <w:jc w:val="start"/>
    </w:pPr>
    <w:rPr>
      <w:rFonts w:ascii="Times New Roman" w:hAnsi="Times New Roman"/>
      <w:sz w:val="20"/>
    </w:rPr>
  </w:style>
  <w:style w:type="paragraph" w:styleId="TOC4">
    <w:name w:val="toc 4"/>
    <w:basedOn w:val="Normal"/>
    <w:next w:val="Normal"/>
    <w:autoRedefine/>
    <w:rsid w:val="00800622"/>
    <w:pPr>
      <w:ind w:start="720"/>
      <w:jc w:val="start"/>
    </w:pPr>
    <w:rPr>
      <w:rFonts w:ascii="Times New Roman" w:hAnsi="Times New Roman"/>
      <w:sz w:val="20"/>
    </w:rPr>
  </w:style>
  <w:style w:type="paragraph" w:styleId="TOC5">
    <w:name w:val="toc 5"/>
    <w:basedOn w:val="Normal"/>
    <w:next w:val="Normal"/>
    <w:autoRedefine/>
    <w:rsid w:val="00800622"/>
    <w:pPr>
      <w:ind w:start="960"/>
      <w:jc w:val="start"/>
    </w:pPr>
    <w:rPr>
      <w:rFonts w:ascii="Times New Roman" w:hAnsi="Times New Roman"/>
      <w:sz w:val="20"/>
    </w:rPr>
  </w:style>
  <w:style w:type="paragraph" w:styleId="TOC6">
    <w:name w:val="toc 6"/>
    <w:basedOn w:val="Normal"/>
    <w:next w:val="Normal"/>
    <w:autoRedefine/>
    <w:rsid w:val="00800622"/>
    <w:pPr>
      <w:ind w:start="1200"/>
      <w:jc w:val="start"/>
    </w:pPr>
    <w:rPr>
      <w:rFonts w:ascii="Times New Roman" w:hAnsi="Times New Roman"/>
      <w:sz w:val="20"/>
    </w:rPr>
  </w:style>
  <w:style w:type="paragraph" w:styleId="TOC7">
    <w:name w:val="toc 7"/>
    <w:basedOn w:val="Normal"/>
    <w:next w:val="Normal"/>
    <w:autoRedefine/>
    <w:rsid w:val="00800622"/>
    <w:pPr>
      <w:ind w:start="1440"/>
      <w:jc w:val="start"/>
    </w:pPr>
    <w:rPr>
      <w:rFonts w:ascii="Times New Roman" w:hAnsi="Times New Roman"/>
      <w:sz w:val="20"/>
    </w:rPr>
  </w:style>
  <w:style w:type="paragraph" w:styleId="TOC8">
    <w:name w:val="toc 8"/>
    <w:basedOn w:val="Normal"/>
    <w:next w:val="Normal"/>
    <w:autoRedefine/>
    <w:rsid w:val="00800622"/>
    <w:pPr>
      <w:ind w:start="1680"/>
      <w:jc w:val="start"/>
    </w:pPr>
    <w:rPr>
      <w:rFonts w:ascii="Times New Roman" w:hAnsi="Times New Roman"/>
      <w:sz w:val="20"/>
    </w:rPr>
  </w:style>
  <w:style w:type="paragraph" w:styleId="TOC9">
    <w:name w:val="toc 9"/>
    <w:basedOn w:val="Normal"/>
    <w:next w:val="Normal"/>
    <w:autoRedefine/>
    <w:rsid w:val="00800622"/>
    <w:pPr>
      <w:ind w:start="1920"/>
      <w:jc w:val="start"/>
    </w:pPr>
    <w:rPr>
      <w:rFonts w:ascii="Times New Roman" w:hAnsi="Times New Roman"/>
      <w:sz w:val="20"/>
    </w:rPr>
  </w:style>
  <w:style w:type="paragraph" w:styleId="DocumentMap">
    <w:name w:val="Document Map"/>
    <w:basedOn w:val="Normal"/>
    <w:link w:val="ExplorateurdedocumentsCar"/>
    <w:qFormat/>
    <w:rsid w:val="00800622"/>
    <w:pPr>
      <w:shd w:val="clear" w:color="auto" w:fill="000080"/>
    </w:pPr>
    <w:rPr>
      <w:rFonts w:ascii="Tahoma" w:hAnsi="Tahoma" w:cs="Tahoma"/>
      <w:sz w:val="20"/>
      <w:szCs w:val="20"/>
    </w:rPr>
  </w:style>
  <w:style w:type="paragraph" w:styleId="ListParagraph">
    <w:name w:val="List Paragraph"/>
    <w:basedOn w:val="Normal"/>
    <w:uiPriority w:val="34"/>
    <w:qFormat/>
    <w:rsid w:val="00800622"/>
    <w:pPr>
      <w:ind w:start="708"/>
    </w:pPr>
    <w:rPr/>
  </w:style>
  <w:style w:type="paragraph" w:styleId="NormalWeb">
    <w:name w:val="Normal (Web)"/>
    <w:basedOn w:val="Normal"/>
    <w:uiPriority w:val="99"/>
    <w:unhideWhenUsed/>
    <w:qFormat/>
    <w:rsid w:val="00af1470"/>
    <w:pPr>
      <w:overflowPunct w:val="false"/>
      <w:spacing w:beforeAutospacing="1" w:afterAutospacing="1"/>
      <w:jc w:val="start"/>
      <w:textAlignment w:val="auto"/>
    </w:pPr>
    <w:rPr>
      <w:rFonts w:ascii="Times New Roman" w:hAnsi="Times New Roman"/>
      <w:lang w:eastAsia="fr-FR"/>
    </w:rPr>
  </w:style>
  <w:style w:type="paragraph" w:styleId="WW-Listecontinue" w:customStyle="1">
    <w:name w:val="WW-Liste continue"/>
    <w:basedOn w:val="Normal"/>
    <w:qFormat/>
    <w:rsid w:val="00a858b3"/>
    <w:pPr>
      <w:suppressAutoHyphens w:val="true"/>
      <w:overflowPunct w:val="false"/>
      <w:spacing w:before="0" w:after="120"/>
      <w:ind w:firstLine="1" w:start="283"/>
      <w:jc w:val="start"/>
      <w:textAlignment w:val="auto"/>
    </w:pPr>
    <w:rPr>
      <w:rFonts w:ascii="Times New Roman" w:hAnsi="Times New Roman"/>
      <w:szCs w:val="20"/>
      <w:lang w:eastAsia="fr-FR"/>
    </w:rPr>
  </w:style>
  <w:style w:type="paragraph" w:styleId="Contenudecadre">
    <w:name w:val="Contenu de cadre"/>
    <w:basedOn w:val="Normal"/>
    <w:qFormat/>
    <w:pP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rsid w:val="00800622"/>
    <w:rPr>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gif"/><Relationship Id="rId3" Type="http://schemas.openxmlformats.org/officeDocument/2006/relationships/image" Target="media/image2.gif"/><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71C3F-9E60-4BBC-8122-D4DC69F26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5</Pages>
  <Words>1271</Words>
  <Characters>7313</Characters>
  <CharactersWithSpaces>8675</CharactersWithSpaces>
  <Paragraphs>89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keywords>VDK2019</cp:keywords>
  <dc:language>fr-FR</dc:language>
  <dc:subject/>
  <dc:title>«TXADR1»</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ionCountChar">
    <vt:i4>593</vt:i4>
  </property>
  <property fmtid="{D5CDD505-2E9C-101B-9397-08002B2CF9AE}" pid="3" name="VDKAnzahlDS">
    <vt:lpwstr>1</vt:lpwstr>
  </property>
  <property fmtid="{D5CDD505-2E9C-101B-9397-08002B2CF9AE}" pid="4" name="VDKBriefpapier">
    <vt:lpwstr>20190101</vt:lpwstr>
  </property>
  <property fmtid="{D5CDD505-2E9C-101B-9397-08002B2CF9AE}" pid="5" name="VDKDaten">
    <vt:lpwstr>L:\gnpci\WEHMEYER\WORD2000.DOC</vt:lpwstr>
  </property>
  <property fmtid="{D5CDD505-2E9C-101B-9397-08002B2CF9AE}" pid="6" name="VDKVorlage">
    <vt:lpwstr>K:\EDV-Projekt-Ablage\Corporate Design\VDK-Serienbrief\Testvorlagen\A4 blanko ohne Boxen 20180717.dotx</vt:lpwstr>
  </property>
  <property fmtid="{D5CDD505-2E9C-101B-9397-08002B2CF9AE}" pid="7" name="VDK_1_AUSBNA">
    <vt:lpwstr>005492</vt:lpwstr>
  </property>
  <property fmtid="{D5CDD505-2E9C-101B-9397-08002B2CF9AE}" pid="8" name="VDK_1_FRRFNA">
    <vt:lpwstr>01819</vt:lpwstr>
  </property>
  <property fmtid="{D5CDD505-2E9C-101B-9397-08002B2CF9AE}" pid="9" name="VDK_1_PACDA">
    <vt:lpwstr>23</vt:lpwstr>
  </property>
  <property fmtid="{D5CDD505-2E9C-101B-9397-08002B2CF9AE}" pid="10" name="VDK_1_RFNA">
    <vt:lpwstr>1</vt:lpwstr>
  </property>
  <property fmtid="{D5CDD505-2E9C-101B-9397-08002B2CF9AE}" pid="11" name="VDK_1_TXAKT">
    <vt:lpwstr>F</vt:lpwstr>
  </property>
  <property fmtid="{D5CDD505-2E9C-101B-9397-08002B2CF9AE}" pid="12" name="VDK_1_VLRFNA">
    <vt:lpwstr>1</vt:lpwstr>
  </property>
</Properties>
</file>