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media/image4.jpeg" ContentType="image/jpeg"/>
  <Override PartName="/word/media/image3.wmf" ContentType="image/x-wmf"/>
  <Override PartName="/word/media/image5.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spacing w:lineRule="auto" w:line="276"/>
        <w:rPr>
          <w:rFonts w:ascii="Tahoma" w:hAnsi="Tahoma" w:cs="Tahoma"/>
          <w:sz w:val="20"/>
          <w:szCs w:val="20"/>
        </w:rPr>
      </w:pPr>
      <w:r>
        <w:rPr>
          <w:rFonts w:cs="Tahoma" w:ascii="Tahoma" w:hAnsi="Tahoma"/>
          <w:sz w:val="20"/>
          <w:szCs w:val="20"/>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0"/>
          <w:szCs w:val="20"/>
          <w:u w:val="single"/>
        </w:rPr>
      </w:pPr>
      <w:r>
        <w:rPr>
          <w:rFonts w:cs="Tahoma" w:ascii="Tahoma" w:hAnsi="Tahoma"/>
          <w:b/>
          <w:sz w:val="20"/>
          <w:szCs w:val="20"/>
          <w:u w:val="single"/>
        </w:rPr>
      </w:r>
    </w:p>
    <w:p>
      <w:pPr>
        <w:pStyle w:val="Normal"/>
        <w:spacing w:lineRule="auto" w:line="276"/>
        <w:jc w:val="center"/>
        <w:rPr>
          <w:rFonts w:ascii="Tahoma" w:hAnsi="Tahoma" w:cs="Tahoma"/>
          <w:b/>
          <w:sz w:val="28"/>
          <w:szCs w:val="20"/>
          <w:u w:val="single"/>
        </w:rPr>
      </w:pPr>
      <w:r>
        <w:rPr>
          <w:rFonts w:cs="Tahoma" w:ascii="Tahoma" w:hAnsi="Tahoma"/>
          <w:b/>
          <w:sz w:val="28"/>
          <w:szCs w:val="20"/>
          <w:u w:val="single"/>
        </w:rPr>
        <w:t xml:space="preserve">Accord annuel fixant les objectifs d’engagement </w:t>
      </w:r>
    </w:p>
    <w:p>
      <w:pPr>
        <w:pStyle w:val="Normal"/>
        <w:spacing w:lineRule="auto" w:line="276"/>
        <w:jc w:val="center"/>
        <w:rPr>
          <w:rFonts w:ascii="Tahoma" w:hAnsi="Tahoma" w:cs="Tahoma"/>
          <w:b/>
          <w:sz w:val="28"/>
          <w:szCs w:val="20"/>
          <w:u w:val="single"/>
        </w:rPr>
      </w:pPr>
      <w:r>
        <w:rPr>
          <w:rFonts w:cs="Tahoma" w:ascii="Tahoma" w:hAnsi="Tahoma"/>
          <w:b/>
          <w:sz w:val="28"/>
          <w:szCs w:val="20"/>
          <w:u w:val="single"/>
        </w:rPr>
      </w:r>
    </w:p>
    <w:p>
      <w:pPr>
        <w:pStyle w:val="Normal"/>
        <w:spacing w:lineRule="auto" w:line="276"/>
        <w:jc w:val="center"/>
        <w:rPr>
          <w:rFonts w:ascii="Tahoma" w:hAnsi="Tahoma" w:cs="Tahoma"/>
          <w:b/>
          <w:sz w:val="28"/>
          <w:szCs w:val="20"/>
          <w:u w:val="single"/>
        </w:rPr>
      </w:pPr>
      <w:r>
        <w:rPr>
          <w:rFonts w:cs="Tahoma" w:ascii="Tahoma" w:hAnsi="Tahoma"/>
          <w:b/>
          <w:sz w:val="28"/>
          <w:szCs w:val="20"/>
          <w:u w:val="single"/>
        </w:rPr>
        <w:t>des négociations en 2026</w:t>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t>Entre les soussignés,</w:t>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Port Atlantique La Rochelle, ci-après désigné le Port, Etablissement public, dont le siège social est situé à La Rochelle, représenté par Madame                                                , en sa qualité de Présidente du Directoire,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d'une part,</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Et</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Les organisations syndicales représentatives dans l'Etablissement, représentées respectivement par leur délégué syndical,</w:t>
      </w:r>
    </w:p>
    <w:p>
      <w:pPr>
        <w:pStyle w:val="Normal"/>
        <w:spacing w:lineRule="auto" w:line="276"/>
        <w:jc w:val="both"/>
        <w:rPr>
          <w:rFonts w:ascii="Tahoma" w:hAnsi="Tahoma" w:cs="Tahoma"/>
          <w:sz w:val="20"/>
          <w:szCs w:val="20"/>
        </w:rPr>
      </w:pPr>
      <w:r>
        <w:rPr>
          <w:rFonts w:cs="Tahoma" w:ascii="Tahoma" w:hAnsi="Tahoma"/>
          <w:sz w:val="20"/>
          <w:szCs w:val="20"/>
        </w:rPr>
      </w:r>
    </w:p>
    <w:p>
      <w:pPr>
        <w:pStyle w:val="Normal"/>
        <w:numPr>
          <w:ilvl w:val="0"/>
          <w:numId w:val="1"/>
        </w:numPr>
        <w:spacing w:lineRule="auto" w:line="276"/>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Délégué Syndical CFDT </w:t>
      </w:r>
    </w:p>
    <w:p>
      <w:pPr>
        <w:pStyle w:val="Normal"/>
        <w:spacing w:lineRule="auto" w:line="276"/>
        <w:ind w:left="360"/>
        <w:jc w:val="both"/>
        <w:rPr>
          <w:rFonts w:ascii="Tahoma" w:hAnsi="Tahoma" w:cs="Tahoma"/>
          <w:sz w:val="20"/>
          <w:szCs w:val="20"/>
        </w:rPr>
      </w:pPr>
      <w:r>
        <w:rPr>
          <w:rFonts w:cs="Tahoma" w:ascii="Tahoma" w:hAnsi="Tahoma"/>
          <w:sz w:val="20"/>
          <w:szCs w:val="20"/>
        </w:rPr>
      </w:r>
    </w:p>
    <w:p>
      <w:pPr>
        <w:pStyle w:val="Normal"/>
        <w:numPr>
          <w:ilvl w:val="0"/>
          <w:numId w:val="1"/>
        </w:numPr>
        <w:spacing w:lineRule="auto" w:line="276"/>
        <w:jc w:val="both"/>
        <w:rPr>
          <w:rFonts w:ascii="Tahoma" w:hAnsi="Tahoma" w:cs="Tahoma"/>
          <w:sz w:val="20"/>
          <w:szCs w:val="20"/>
        </w:rPr>
      </w:pPr>
      <w:r>
        <w:rPr>
          <w:rFonts w:cs="Tahoma" w:ascii="Tahoma" w:hAnsi="Tahoma"/>
          <w:sz w:val="20"/>
          <w:szCs w:val="20"/>
        </w:rPr>
        <w:t xml:space="preserve">                                     </w:t>
      </w:r>
      <w:r>
        <w:rPr>
          <w:rFonts w:cs="Tahoma" w:ascii="Tahoma" w:hAnsi="Tahoma"/>
          <w:sz w:val="20"/>
          <w:szCs w:val="20"/>
        </w:rPr>
        <w:t>, Délégué Syndical CGT </w:t>
      </w:r>
    </w:p>
    <w:p>
      <w:pPr>
        <w:pStyle w:val="ListParagraph"/>
        <w:spacing w:lineRule="auto" w:line="276"/>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d’autre part.</w:t>
      </w:r>
    </w:p>
    <w:p>
      <w:pPr>
        <w:pStyle w:val="Normal"/>
        <w:spacing w:lineRule="auto" w:line="276"/>
        <w:jc w:val="both"/>
        <w:rPr>
          <w:rFonts w:ascii="Tahoma" w:hAnsi="Tahoma" w:cs="Tahoma"/>
          <w:sz w:val="20"/>
          <w:szCs w:val="20"/>
        </w:rPr>
      </w:pPr>
      <w:r>
        <w:rPr>
          <w:rFonts w:cs="Tahoma" w:ascii="Tahoma" w:hAnsi="Tahoma"/>
          <w:sz w:val="20"/>
          <w:szCs w:val="20"/>
        </w:rPr>
        <w:tab/>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sz w:val="20"/>
          <w:szCs w:val="20"/>
        </w:rPr>
      </w:pPr>
      <w:r>
        <w:rPr>
          <w:rFonts w:cs="Tahoma" w:ascii="Tahoma" w:hAnsi="Tahoma"/>
          <w:sz w:val="20"/>
          <w:szCs w:val="20"/>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spacing w:lineRule="auto" w:line="276"/>
        <w:rPr>
          <w:rFonts w:ascii="Tahoma" w:hAnsi="Tahoma" w:cs="Tahoma"/>
          <w:b/>
          <w:sz w:val="20"/>
          <w:szCs w:val="20"/>
          <w:u w:val="single"/>
        </w:rPr>
      </w:pPr>
      <w:r>
        <w:rPr>
          <w:rFonts w:cs="Tahoma" w:ascii="Tahoma" w:hAnsi="Tahoma"/>
          <w:b/>
          <w:sz w:val="20"/>
          <w:szCs w:val="20"/>
          <w:u w:val="single"/>
        </w:rPr>
      </w:r>
    </w:p>
    <w:p>
      <w:pPr>
        <w:pStyle w:val="Normal"/>
        <w:rPr>
          <w:rFonts w:ascii="Tahoma" w:hAnsi="Tahoma" w:cs="Tahoma"/>
          <w:b/>
          <w:color w:val="009FB5"/>
          <w:sz w:val="20"/>
          <w:szCs w:val="20"/>
          <w:u w:val="single"/>
        </w:rPr>
      </w:pPr>
      <w:r>
        <w:rPr>
          <w:rFonts w:cs="Tahoma" w:ascii="Tahoma" w:hAnsi="Tahoma"/>
          <w:b/>
          <w:color w:val="009FB5"/>
          <w:sz w:val="20"/>
          <w:szCs w:val="20"/>
          <w:u w:val="single"/>
        </w:rPr>
      </w:r>
      <w:r>
        <w:br w:type="page"/>
      </w:r>
    </w:p>
    <w:p>
      <w:pPr>
        <w:pStyle w:val="Normal"/>
        <w:spacing w:lineRule="auto" w:line="276" w:before="0" w:after="0"/>
        <w:jc w:val="both"/>
        <w:rPr>
          <w:rFonts w:ascii="Tahoma" w:hAnsi="Tahoma" w:cs="Tahoma"/>
          <w:b/>
          <w:color w:val="009FB5"/>
          <w:sz w:val="20"/>
          <w:szCs w:val="20"/>
          <w:u w:val="single"/>
        </w:rPr>
      </w:pPr>
      <w:r>
        <w:rPr>
          <w:rFonts w:cs="Tahoma" w:ascii="Tahoma" w:hAnsi="Tahoma"/>
          <w:b/>
          <w:color w:val="009FB5"/>
          <w:sz w:val="20"/>
          <w:szCs w:val="20"/>
          <w:u w:val="single"/>
        </w:rPr>
        <w:t>Préambule</w:t>
      </w:r>
    </w:p>
    <w:p>
      <w:pPr>
        <w:pStyle w:val="Normal"/>
        <w:spacing w:lineRule="auto" w:line="276"/>
        <w:jc w:val="both"/>
        <w:rPr>
          <w:rFonts w:ascii="Tahoma" w:hAnsi="Tahoma" w:cs="Tahoma"/>
          <w:color w:val="666699"/>
          <w:sz w:val="20"/>
          <w:szCs w:val="20"/>
        </w:rPr>
      </w:pPr>
      <w:r>
        <w:rPr>
          <w:rFonts w:cs="Tahoma" w:ascii="Tahoma" w:hAnsi="Tahoma"/>
          <w:color w:val="666699"/>
          <w:sz w:val="20"/>
          <w:szCs w:val="20"/>
        </w:rPr>
      </w:r>
    </w:p>
    <w:p>
      <w:pPr>
        <w:pStyle w:val="NormalWeb"/>
        <w:shd w:val="clear" w:color="auto" w:fill="FFFFFF"/>
        <w:spacing w:beforeAutospacing="0" w:before="180" w:afterAutospacing="0" w:after="180"/>
        <w:jc w:val="both"/>
        <w:rPr>
          <w:rFonts w:ascii="Tahoma" w:hAnsi="Tahoma" w:cs="Tahoma"/>
          <w:sz w:val="20"/>
          <w:szCs w:val="20"/>
        </w:rPr>
      </w:pPr>
      <w:r>
        <w:rPr>
          <w:rFonts w:cs="Tahoma" w:ascii="Tahoma" w:hAnsi="Tahoma"/>
          <w:sz w:val="20"/>
          <w:szCs w:val="20"/>
        </w:rPr>
        <w:t>Le code du travail dans ses articles L. 2242-1 et suivants donne les grands items à aborder de manière obligatoire lors de la NAO : « Dans les entreprises où sont constituées une ou plusieurs sections syndicales d'organisations représentatives, l'employeur engage au moins une fois tous les quatre ans :</w:t>
      </w:r>
    </w:p>
    <w:p>
      <w:pPr>
        <w:pStyle w:val="NormalWeb"/>
        <w:shd w:val="clear" w:color="auto" w:fill="FFFFFF"/>
        <w:spacing w:beforeAutospacing="0" w:before="180" w:afterAutospacing="0" w:after="180"/>
        <w:jc w:val="both"/>
        <w:rPr>
          <w:rFonts w:ascii="Tahoma" w:hAnsi="Tahoma" w:cs="Tahoma"/>
          <w:sz w:val="20"/>
          <w:szCs w:val="20"/>
        </w:rPr>
      </w:pPr>
      <w:r>
        <w:rPr>
          <w:rFonts w:cs="Tahoma" w:ascii="Tahoma" w:hAnsi="Tahoma"/>
          <w:sz w:val="20"/>
          <w:szCs w:val="20"/>
        </w:rPr>
        <w:t>1° Une négociation sur la rémunération, notamment les salaires effectifs, le temps de travail et le partage de la valeur ajoutée dans l'entreprise ;</w:t>
      </w:r>
    </w:p>
    <w:p>
      <w:pPr>
        <w:pStyle w:val="NormalWeb"/>
        <w:shd w:val="clear" w:color="auto" w:fill="FFFFFF"/>
        <w:spacing w:beforeAutospacing="0" w:before="180" w:afterAutospacing="0" w:after="180"/>
        <w:jc w:val="both"/>
        <w:rPr>
          <w:rFonts w:ascii="Tahoma" w:hAnsi="Tahoma" w:cs="Tahoma"/>
          <w:sz w:val="20"/>
          <w:szCs w:val="20"/>
        </w:rPr>
      </w:pPr>
      <w:r>
        <w:rPr>
          <w:rFonts w:cs="Tahoma" w:ascii="Tahoma" w:hAnsi="Tahoma"/>
          <w:sz w:val="20"/>
          <w:szCs w:val="20"/>
        </w:rPr>
        <w:t>2° Une négociation sur l'égalité professionnelle entre les femmes et les hommes, portant notamment sur les mesures visant à supprimer les écarts de rémunération, et la qualité de vie au travail et des conditions de travail. »</w:t>
      </w:r>
    </w:p>
    <w:p>
      <w:pPr>
        <w:pStyle w:val="Normal"/>
        <w:spacing w:lineRule="auto" w:line="276"/>
        <w:jc w:val="both"/>
        <w:rPr>
          <w:rFonts w:ascii="Tahoma" w:hAnsi="Tahoma" w:cs="Tahoma"/>
          <w:sz w:val="20"/>
          <w:szCs w:val="20"/>
        </w:rPr>
      </w:pPr>
      <w:r>
        <w:rPr>
          <w:rFonts w:cs="Tahoma" w:ascii="Tahoma" w:hAnsi="Tahoma"/>
          <w:sz w:val="20"/>
          <w:szCs w:val="20"/>
        </w:rPr>
        <w:t>Le Port, dans un souci de bonne pratique de discussion avec les partenaires sociaux négocie annuellement sur les salaires effectifs et le partage de la valeur ajoutée.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Pour les autres items, une périodicité différente a été choisie :</w:t>
      </w:r>
    </w:p>
    <w:p>
      <w:pPr>
        <w:pStyle w:val="Normal"/>
        <w:numPr>
          <w:ilvl w:val="0"/>
          <w:numId w:val="1"/>
        </w:numPr>
        <w:spacing w:lineRule="auto" w:line="276"/>
        <w:jc w:val="both"/>
        <w:rPr>
          <w:rFonts w:ascii="Tahoma" w:hAnsi="Tahoma" w:cs="Tahoma"/>
          <w:sz w:val="20"/>
          <w:szCs w:val="20"/>
        </w:rPr>
      </w:pPr>
      <w:r>
        <w:rPr>
          <w:rFonts w:cs="Tahoma" w:ascii="Tahoma" w:hAnsi="Tahoma"/>
          <w:sz w:val="20"/>
          <w:szCs w:val="20"/>
        </w:rPr>
        <w:t>l’égalité professionnelle entre les hommes et les femmes, tous les trois ans.</w:t>
      </w:r>
    </w:p>
    <w:p>
      <w:pPr>
        <w:pStyle w:val="Normal"/>
        <w:numPr>
          <w:ilvl w:val="0"/>
          <w:numId w:val="1"/>
        </w:numPr>
        <w:spacing w:lineRule="auto" w:line="276"/>
        <w:jc w:val="both"/>
        <w:rPr>
          <w:rFonts w:ascii="Tahoma" w:hAnsi="Tahoma" w:cs="Tahoma"/>
          <w:sz w:val="20"/>
          <w:szCs w:val="20"/>
        </w:rPr>
      </w:pPr>
      <w:r>
        <w:rPr>
          <w:rFonts w:cs="Tahoma" w:ascii="Tahoma" w:hAnsi="Tahoma"/>
          <w:sz w:val="20"/>
          <w:szCs w:val="20"/>
        </w:rPr>
        <w:t xml:space="preserve">la durée effective et l’organisation du temps de travail, notamment le temps partiel ou l’augmentation de la durée du travail font l’objet d’une négociation à la demande de l’une ou de l’autre partie. </w:t>
      </w:r>
    </w:p>
    <w:p>
      <w:pPr>
        <w:pStyle w:val="Normal"/>
        <w:numPr>
          <w:ilvl w:val="0"/>
          <w:numId w:val="1"/>
        </w:numPr>
        <w:spacing w:lineRule="auto" w:line="276"/>
        <w:jc w:val="both"/>
        <w:rPr>
          <w:rFonts w:ascii="Tahoma" w:hAnsi="Tahoma" w:cs="Tahoma"/>
          <w:sz w:val="20"/>
          <w:szCs w:val="20"/>
        </w:rPr>
      </w:pPr>
      <w:r>
        <w:rPr>
          <w:rFonts w:cs="Tahoma" w:ascii="Tahoma" w:hAnsi="Tahoma"/>
          <w:sz w:val="20"/>
          <w:szCs w:val="20"/>
        </w:rPr>
        <w:t>l’insertion professionnelle et le maintien dans l’emploi des travailleurs handicapés, tous les cinq ans.</w:t>
      </w:r>
    </w:p>
    <w:p>
      <w:pPr>
        <w:pStyle w:val="Normal"/>
        <w:numPr>
          <w:ilvl w:val="0"/>
          <w:numId w:val="1"/>
        </w:numPr>
        <w:spacing w:lineRule="auto" w:line="276"/>
        <w:jc w:val="both"/>
        <w:rPr>
          <w:rFonts w:ascii="Tahoma" w:hAnsi="Tahoma" w:cs="Tahoma"/>
          <w:sz w:val="20"/>
          <w:szCs w:val="20"/>
        </w:rPr>
      </w:pPr>
      <w:r>
        <w:rPr>
          <w:rFonts w:cs="Tahoma" w:ascii="Tahoma" w:hAnsi="Tahoma"/>
          <w:sz w:val="20"/>
          <w:szCs w:val="20"/>
        </w:rPr>
        <w:t>l’intéressement, tous les trois ans</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L’objectif du présent accord est de définir les modalités d’échange entre la Direction et les délégués syndicaux pour chacune des thématiques précitées.</w:t>
      </w:r>
    </w:p>
    <w:p>
      <w:pPr>
        <w:pStyle w:val="Normal"/>
        <w:spacing w:lineRule="auto" w:line="276"/>
        <w:jc w:val="both"/>
        <w:rPr>
          <w:rFonts w:ascii="Tahoma" w:hAnsi="Tahoma" w:cs="Tahoma"/>
          <w:color w:val="000000"/>
          <w:sz w:val="20"/>
          <w:szCs w:val="20"/>
        </w:rPr>
      </w:pPr>
      <w:r>
        <w:rPr>
          <w:rFonts w:cs="Tahoma" w:ascii="Tahoma" w:hAnsi="Tahoma"/>
          <w:color w:val="000000"/>
          <w:sz w:val="20"/>
          <w:szCs w:val="20"/>
        </w:rPr>
      </w:r>
    </w:p>
    <w:p>
      <w:pPr>
        <w:pStyle w:val="Normal"/>
        <w:jc w:val="both"/>
        <w:rPr>
          <w:rFonts w:ascii="Tahoma" w:hAnsi="Tahoma" w:cs="Tahoma"/>
          <w:color w:val="000000"/>
          <w:sz w:val="20"/>
          <w:szCs w:val="20"/>
        </w:rPr>
      </w:pPr>
      <w:r>
        <w:rPr>
          <w:rFonts w:cs="Tahoma" w:ascii="Tahoma" w:hAnsi="Tahoma"/>
          <w:color w:val="000000"/>
          <w:sz w:val="20"/>
          <w:szCs w:val="20"/>
        </w:rPr>
      </w:r>
    </w:p>
    <w:p>
      <w:pPr>
        <w:pStyle w:val="Normal"/>
        <w:jc w:val="both"/>
        <w:rPr>
          <w:rFonts w:ascii="Tahoma" w:hAnsi="Tahoma" w:cs="Tahoma"/>
          <w:color w:val="000000"/>
          <w:sz w:val="20"/>
          <w:szCs w:val="20"/>
        </w:rPr>
      </w:pPr>
      <w:r>
        <w:rPr>
          <w:rFonts w:cs="Tahoma" w:ascii="Tahoma" w:hAnsi="Tahoma"/>
          <w:color w:val="000000"/>
          <w:sz w:val="20"/>
          <w:szCs w:val="20"/>
        </w:rPr>
      </w:r>
    </w:p>
    <w:p>
      <w:pPr>
        <w:pStyle w:val="Normal"/>
        <w:jc w:val="both"/>
        <w:rPr>
          <w:rFonts w:ascii="Tahoma" w:hAnsi="Tahoma" w:cs="Tahoma"/>
          <w:color w:val="000000"/>
          <w:sz w:val="20"/>
          <w:szCs w:val="20"/>
        </w:rPr>
      </w:pPr>
      <w:r>
        <w:rPr>
          <w:rFonts w:cs="Tahoma" w:ascii="Tahoma" w:hAnsi="Tahoma"/>
          <w:color w:val="000000"/>
          <w:sz w:val="20"/>
          <w:szCs w:val="20"/>
        </w:rPr>
      </w:r>
      <w:r>
        <w:br w:type="page"/>
      </w:r>
    </w:p>
    <w:p>
      <w:pPr>
        <w:pStyle w:val="Normal"/>
        <w:spacing w:before="0" w:after="0"/>
        <w:jc w:val="both"/>
        <w:rPr>
          <w:rFonts w:ascii="Tahoma" w:hAnsi="Tahoma" w:cs="Tahoma"/>
          <w:color w:val="000000"/>
          <w:sz w:val="20"/>
          <w:szCs w:val="20"/>
        </w:rPr>
      </w:pPr>
      <w:r>
        <w:rPr>
          <w:rFonts w:cs="Tahoma" w:ascii="Tahoma" w:hAnsi="Tahoma"/>
          <w:b/>
          <w:color w:val="009FB5"/>
          <w:sz w:val="20"/>
          <w:szCs w:val="20"/>
          <w:u w:val="single"/>
        </w:rPr>
        <w:t>Article 1 : Les salaires effectifs</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sz w:val="20"/>
          <w:szCs w:val="20"/>
        </w:rPr>
      </w:pPr>
      <w:r>
        <w:rPr>
          <w:rFonts w:cs="Tahoma" w:ascii="Tahoma" w:hAnsi="Tahoma"/>
          <w:sz w:val="20"/>
          <w:szCs w:val="20"/>
        </w:rPr>
        <w:t>Dans le cadre de la NAO, les salaires effectifs font l’objet d’échanges spécifiques, au cours des réunions entre les syndicats représentatifs et la Direction, indépendamment du présent accord de méthode.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i/>
          <w:i/>
          <w:iCs/>
          <w:sz w:val="16"/>
          <w:szCs w:val="16"/>
        </w:rPr>
      </w:pPr>
      <w:r>
        <w:rPr>
          <w:rFonts w:cs="Tahoma" w:ascii="Tahoma" w:hAnsi="Tahoma"/>
          <w:sz w:val="20"/>
          <w:szCs w:val="20"/>
        </w:rPr>
        <w:t>Dans ce cadre, la comparaison des salaires femmes – hommes est communiquée aux représentants du personnel ainsi que le bilan de la mise en œuvre de la NAO précédente.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Le champ d’application de cette négociation est celui de la CCNU pour les personnes qui relèvent des grilles de SBMH ; en sont exclus les officiers de port et les officiers de port adjoints, les marins et la Directrice Générale.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b/>
          <w:i/>
          <w:i/>
          <w:sz w:val="16"/>
          <w:szCs w:val="20"/>
        </w:rPr>
      </w:pPr>
      <w:r>
        <w:rPr>
          <w:rFonts w:cs="Tahoma" w:ascii="Tahoma" w:hAnsi="Tahoma"/>
          <w:b/>
          <w:i/>
          <w:sz w:val="16"/>
          <w:szCs w:val="20"/>
        </w:rPr>
      </w:r>
    </w:p>
    <w:p>
      <w:pPr>
        <w:pStyle w:val="Normal"/>
        <w:spacing w:lineRule="auto" w:line="276"/>
        <w:jc w:val="both"/>
        <w:rPr>
          <w:rFonts w:ascii="Tahoma" w:hAnsi="Tahoma" w:cs="Tahoma"/>
          <w:b/>
          <w:i/>
          <w:i/>
          <w:sz w:val="16"/>
          <w:szCs w:val="20"/>
        </w:rPr>
      </w:pPr>
      <w:r>
        <w:rPr>
          <w:rFonts w:cs="Tahoma" w:ascii="Tahoma" w:hAnsi="Tahoma"/>
          <w:b/>
          <w:color w:val="009FB5"/>
          <w:sz w:val="20"/>
          <w:szCs w:val="20"/>
          <w:u w:val="single"/>
        </w:rPr>
        <w:t>Article 2 : L’égalité professionnelle entre les femmes et les hommes et la qualité de vie et des conditions de travail (QVCT)</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numPr>
          <w:ilvl w:val="0"/>
          <w:numId w:val="2"/>
        </w:numPr>
        <w:spacing w:lineRule="auto" w:line="276"/>
        <w:jc w:val="both"/>
        <w:rPr>
          <w:rFonts w:ascii="Tahoma" w:hAnsi="Tahoma" w:cs="Tahoma"/>
          <w:b/>
          <w:i/>
          <w:i/>
          <w:sz w:val="20"/>
          <w:szCs w:val="20"/>
        </w:rPr>
      </w:pPr>
      <w:r>
        <w:rPr>
          <w:rFonts w:cs="Tahoma" w:ascii="Tahoma" w:hAnsi="Tahoma"/>
          <w:b/>
          <w:i/>
          <w:sz w:val="20"/>
          <w:szCs w:val="20"/>
        </w:rPr>
        <w:t>Analyse comparée</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sz w:val="20"/>
          <w:szCs w:val="20"/>
        </w:rPr>
      </w:pPr>
      <w:r>
        <w:rPr>
          <w:rFonts w:cs="Tahoma" w:ascii="Tahoma" w:hAnsi="Tahoma"/>
          <w:sz w:val="20"/>
          <w:szCs w:val="20"/>
        </w:rPr>
        <w:t>Le port obtient un résultat de 97/100 à l'index de l'égalité professionnelle femmes-hommes au titre de l'année 2024, calculé sur la base des quatre indicateurs ci-après détaillés : </w:t>
      </w:r>
    </w:p>
    <w:p>
      <w:pPr>
        <w:pStyle w:val="Normal"/>
        <w:numPr>
          <w:ilvl w:val="0"/>
          <w:numId w:val="7"/>
        </w:numPr>
        <w:spacing w:lineRule="auto" w:line="276"/>
        <w:jc w:val="both"/>
        <w:rPr>
          <w:rFonts w:ascii="Tahoma" w:hAnsi="Tahoma" w:cs="Tahoma"/>
          <w:sz w:val="20"/>
          <w:szCs w:val="20"/>
        </w:rPr>
      </w:pPr>
      <w:r>
        <w:rPr>
          <w:rFonts w:cs="Tahoma" w:ascii="Tahoma" w:hAnsi="Tahoma"/>
          <w:sz w:val="20"/>
          <w:szCs w:val="20"/>
        </w:rPr>
        <w:t>Ecart de rémunération entre les femmes et les hommes : 37/40 </w:t>
      </w:r>
    </w:p>
    <w:p>
      <w:pPr>
        <w:pStyle w:val="Normal"/>
        <w:numPr>
          <w:ilvl w:val="0"/>
          <w:numId w:val="7"/>
        </w:numPr>
        <w:spacing w:lineRule="auto" w:line="276"/>
        <w:jc w:val="both"/>
        <w:rPr>
          <w:rFonts w:ascii="Tahoma" w:hAnsi="Tahoma" w:cs="Tahoma"/>
          <w:sz w:val="20"/>
          <w:szCs w:val="20"/>
        </w:rPr>
      </w:pPr>
      <w:r>
        <w:rPr>
          <w:rFonts w:cs="Tahoma" w:ascii="Tahoma" w:hAnsi="Tahoma"/>
          <w:sz w:val="20"/>
          <w:szCs w:val="20"/>
        </w:rPr>
        <w:t>Ecart de taux d’augmentations individuelles de salaire entre les femmes et les hommes : 35/35 </w:t>
      </w:r>
    </w:p>
    <w:p>
      <w:pPr>
        <w:pStyle w:val="Normal"/>
        <w:numPr>
          <w:ilvl w:val="0"/>
          <w:numId w:val="7"/>
        </w:numPr>
        <w:spacing w:lineRule="auto" w:line="276"/>
        <w:jc w:val="both"/>
        <w:rPr>
          <w:rFonts w:ascii="Tahoma" w:hAnsi="Tahoma" w:cs="Tahoma"/>
          <w:sz w:val="20"/>
          <w:szCs w:val="20"/>
        </w:rPr>
      </w:pPr>
      <w:r>
        <w:rPr>
          <w:rFonts w:cs="Tahoma" w:ascii="Tahoma" w:hAnsi="Tahoma"/>
          <w:sz w:val="20"/>
          <w:szCs w:val="20"/>
        </w:rPr>
        <w:t>Pourcentage de salariées ayant bénéficié d’une augmentation à leur retour de congé de maternité /adoption : 15/15</w:t>
      </w:r>
    </w:p>
    <w:p>
      <w:pPr>
        <w:pStyle w:val="Normal"/>
        <w:numPr>
          <w:ilvl w:val="0"/>
          <w:numId w:val="7"/>
        </w:numPr>
        <w:spacing w:lineRule="auto" w:line="276"/>
        <w:jc w:val="both"/>
        <w:rPr>
          <w:rFonts w:ascii="Tahoma" w:hAnsi="Tahoma" w:cs="Tahoma"/>
          <w:sz w:val="20"/>
          <w:szCs w:val="20"/>
        </w:rPr>
      </w:pPr>
      <w:r>
        <w:rPr>
          <w:rFonts w:cs="Tahoma" w:ascii="Tahoma" w:hAnsi="Tahoma"/>
          <w:sz w:val="20"/>
          <w:szCs w:val="20"/>
        </w:rPr>
        <w:t>Nombre de salariés du sexe sous-représenté parmi les dix plus hautes rémunérations : 10/10 </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 xml:space="preserve">La prochaine publication aura lieu en mars 2026 au titre de l’année 2025. </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numPr>
          <w:ilvl w:val="0"/>
          <w:numId w:val="2"/>
        </w:numPr>
        <w:spacing w:lineRule="auto" w:line="276"/>
        <w:jc w:val="both"/>
        <w:rPr>
          <w:rFonts w:ascii="Tahoma" w:hAnsi="Tahoma" w:cs="Tahoma"/>
          <w:b/>
          <w:i/>
          <w:i/>
          <w:sz w:val="20"/>
          <w:szCs w:val="20"/>
        </w:rPr>
      </w:pPr>
      <w:r>
        <w:rPr>
          <w:rFonts w:cs="Tahoma" w:ascii="Tahoma" w:hAnsi="Tahoma"/>
          <w:b/>
          <w:i/>
          <w:sz w:val="20"/>
          <w:szCs w:val="20"/>
        </w:rPr>
        <w:t>Existence d’un accord en cours d’application</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 xml:space="preserve">Un accord relatif à L’égalité professionnelle entre les femmes et les hommes et </w:t>
      </w:r>
      <w:bookmarkStart w:id="0" w:name="_Hlk215761639"/>
      <w:r>
        <w:rPr>
          <w:rFonts w:cs="Tahoma" w:ascii="Tahoma" w:hAnsi="Tahoma"/>
          <w:sz w:val="20"/>
          <w:szCs w:val="20"/>
        </w:rPr>
        <w:t xml:space="preserve">la qualité de vie et des conditions de travail </w:t>
      </w:r>
      <w:bookmarkEnd w:id="0"/>
      <w:r>
        <w:rPr>
          <w:rFonts w:cs="Tahoma" w:ascii="Tahoma" w:hAnsi="Tahoma"/>
          <w:sz w:val="20"/>
          <w:szCs w:val="20"/>
        </w:rPr>
        <w:t xml:space="preserve">a été négocié et signé par les partenaires sociaux le 08/07/2025. Il a une périodicité de trois ans. </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trike/>
          <w:sz w:val="20"/>
          <w:szCs w:val="20"/>
        </w:rPr>
      </w:pPr>
      <w:r>
        <w:rPr>
          <w:rFonts w:cs="Tahoma" w:ascii="Tahoma" w:hAnsi="Tahoma"/>
          <w:sz w:val="20"/>
          <w:szCs w:val="20"/>
        </w:rPr>
        <w:t xml:space="preserve">Il prend fin en juillet 2028. </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L’index vient apporter des éclairages relatifs à l’égalité professionnelle. Au regard des résultats, l’accord mis en œuvre met en place des objectifs de progression visant à promouvoir l’égalité professionnelle.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Pour rappel, la mise en œuvre des mesures portant sur la rémunération effective est suivie dans le cadre de la NAO sur les salaires.</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t>Article 3 : La durée effective et l’organisation du temps de travail, notamment le temps partiel ou l’augmentation de la durée du travail</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b/>
          <w:i/>
          <w:i/>
          <w:sz w:val="20"/>
          <w:szCs w:val="20"/>
        </w:rPr>
      </w:pPr>
      <w:r>
        <w:rPr>
          <w:rFonts w:cs="Tahoma" w:ascii="Tahoma" w:hAnsi="Tahoma"/>
          <w:b/>
          <w:i/>
          <w:sz w:val="20"/>
          <w:szCs w:val="20"/>
        </w:rPr>
        <w:t xml:space="preserve">Temps de travail et temps partiel </w:t>
      </w:r>
    </w:p>
    <w:p>
      <w:pPr>
        <w:pStyle w:val="Normal"/>
        <w:spacing w:lineRule="auto" w:line="276"/>
        <w:jc w:val="both"/>
        <w:rPr>
          <w:rFonts w:ascii="Tahoma" w:hAnsi="Tahoma" w:cs="Tahoma"/>
          <w:sz w:val="20"/>
          <w:szCs w:val="20"/>
        </w:rPr>
      </w:pPr>
      <w:r>
        <w:rPr>
          <w:rFonts w:cs="Tahoma" w:ascii="Tahoma" w:hAnsi="Tahoma"/>
          <w:sz w:val="20"/>
          <w:szCs w:val="20"/>
        </w:rPr>
        <w:t>Le Port rappelle que la durée légale du travail est 35h00 par semaine.</w:t>
      </w:r>
    </w:p>
    <w:p>
      <w:pPr>
        <w:pStyle w:val="Normal"/>
        <w:spacing w:lineRule="auto" w:line="276"/>
        <w:jc w:val="both"/>
        <w:rPr>
          <w:rFonts w:ascii="Tahoma" w:hAnsi="Tahoma" w:cs="Tahoma"/>
          <w:sz w:val="20"/>
          <w:szCs w:val="20"/>
        </w:rPr>
      </w:pPr>
      <w:r>
        <w:rPr>
          <w:rFonts w:cs="Tahoma" w:ascii="Tahoma" w:hAnsi="Tahoma"/>
          <w:sz w:val="20"/>
          <w:szCs w:val="20"/>
        </w:rPr>
        <w:t>La CCNU, dans une annexe intitulée "Dispositions particulières relatives au temps partiel dans les établissements portuaires" rappelle que sont "considérés comme salariés à temps partiel les salariés dont la durée du travail est inférieure à la durée légale".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Au 31/12/2025 : 5 temps partiels et 1 forfait-jours réduit existent au sein de l’Etablissement :</w:t>
      </w:r>
    </w:p>
    <w:p>
      <w:pPr>
        <w:pStyle w:val="ListParagraph"/>
        <w:numPr>
          <w:ilvl w:val="0"/>
          <w:numId w:val="6"/>
        </w:numPr>
        <w:spacing w:lineRule="auto" w:line="276"/>
        <w:jc w:val="both"/>
        <w:rPr>
          <w:rFonts w:ascii="Tahoma" w:hAnsi="Tahoma" w:cs="Tahoma"/>
          <w:sz w:val="20"/>
          <w:szCs w:val="20"/>
        </w:rPr>
      </w:pPr>
      <w:r>
        <w:rPr>
          <w:rFonts w:cs="Tahoma" w:ascii="Tahoma" w:hAnsi="Tahoma"/>
          <w:sz w:val="20"/>
          <w:szCs w:val="20"/>
        </w:rPr>
        <w:t xml:space="preserve">5 sont à l’initiative du salarié. </w:t>
      </w:r>
    </w:p>
    <w:p>
      <w:pPr>
        <w:pStyle w:val="ListParagraph"/>
        <w:numPr>
          <w:ilvl w:val="0"/>
          <w:numId w:val="6"/>
        </w:numPr>
        <w:spacing w:lineRule="auto" w:line="276"/>
        <w:jc w:val="both"/>
        <w:rPr>
          <w:rFonts w:ascii="Tahoma" w:hAnsi="Tahoma" w:cs="Tahoma"/>
          <w:sz w:val="20"/>
          <w:szCs w:val="20"/>
        </w:rPr>
      </w:pPr>
      <w:r>
        <w:rPr>
          <w:rFonts w:cs="Tahoma" w:ascii="Tahoma" w:hAnsi="Tahoma"/>
          <w:sz w:val="20"/>
          <w:szCs w:val="20"/>
        </w:rPr>
        <w:t xml:space="preserve">1 est lié à un aménagement de poste. </w:t>
      </w:r>
    </w:p>
    <w:p>
      <w:pPr>
        <w:pStyle w:val="Normal"/>
        <w:spacing w:lineRule="auto" w:line="276"/>
        <w:jc w:val="both"/>
        <w:rPr>
          <w:rFonts w:ascii="Tahoma" w:hAnsi="Tahoma" w:cs="Tahoma"/>
          <w:b/>
          <w:i/>
          <w:i/>
          <w:sz w:val="20"/>
          <w:szCs w:val="20"/>
        </w:rPr>
      </w:pPr>
      <w:r>
        <w:rPr>
          <w:rFonts w:cs="Tahoma" w:ascii="Tahoma" w:hAnsi="Tahoma"/>
          <w:b/>
          <w:i/>
          <w:sz w:val="20"/>
          <w:szCs w:val="20"/>
        </w:rPr>
      </w:r>
    </w:p>
    <w:p>
      <w:pPr>
        <w:pStyle w:val="Normal"/>
        <w:spacing w:lineRule="auto" w:line="276"/>
        <w:jc w:val="both"/>
        <w:rPr>
          <w:rFonts w:ascii="Tahoma" w:hAnsi="Tahoma" w:cs="Tahoma"/>
          <w:sz w:val="20"/>
          <w:szCs w:val="20"/>
        </w:rPr>
      </w:pPr>
      <w:r>
        <w:rPr>
          <w:rFonts w:cs="Tahoma" w:ascii="Tahoma" w:hAnsi="Tahoma"/>
          <w:sz w:val="20"/>
          <w:szCs w:val="20"/>
        </w:rPr>
        <w:t>En plus, plusieurs temps partiels sont mis en place pour un motif thérapeutique.</w:t>
      </w:r>
    </w:p>
    <w:p>
      <w:pPr>
        <w:pStyle w:val="Normal"/>
        <w:spacing w:lineRule="auto" w:line="276"/>
        <w:jc w:val="both"/>
        <w:rPr>
          <w:rFonts w:ascii="Tahoma" w:hAnsi="Tahoma" w:cs="Tahoma"/>
          <w:b/>
          <w:i/>
          <w:i/>
          <w:sz w:val="20"/>
          <w:szCs w:val="20"/>
        </w:rPr>
      </w:pPr>
      <w:r>
        <w:rPr>
          <w:rFonts w:cs="Tahoma" w:ascii="Tahoma" w:hAnsi="Tahoma"/>
          <w:b/>
          <w:i/>
          <w:sz w:val="20"/>
          <w:szCs w:val="20"/>
        </w:rPr>
      </w:r>
    </w:p>
    <w:p>
      <w:pPr>
        <w:pStyle w:val="Normal"/>
        <w:spacing w:lineRule="auto" w:line="276"/>
        <w:jc w:val="both"/>
        <w:rPr>
          <w:rFonts w:ascii="Tahoma" w:hAnsi="Tahoma" w:cs="Tahoma"/>
          <w:sz w:val="20"/>
          <w:szCs w:val="20"/>
        </w:rPr>
      </w:pPr>
      <w:r>
        <w:rPr>
          <w:rFonts w:cs="Tahoma" w:ascii="Tahoma" w:hAnsi="Tahoma"/>
          <w:b/>
          <w:i/>
          <w:sz w:val="20"/>
          <w:szCs w:val="20"/>
        </w:rPr>
        <w:t>Télétravail</w:t>
      </w:r>
    </w:p>
    <w:p>
      <w:pPr>
        <w:pStyle w:val="Normal"/>
        <w:jc w:val="both"/>
        <w:rPr>
          <w:rFonts w:ascii="Tahoma" w:hAnsi="Tahoma" w:cs="Tahoma"/>
          <w:sz w:val="20"/>
        </w:rPr>
      </w:pPr>
      <w:r>
        <w:rPr>
          <w:rFonts w:cs="Tahoma" w:ascii="Tahoma" w:hAnsi="Tahoma"/>
          <w:sz w:val="20"/>
        </w:rPr>
        <w:t xml:space="preserve">Le 26 juin 2023, les partenaires sociaux ont signé un accord sur l’organisation du temps de travail et le télétravail, faisant suite à une expérimentation de deux ans. </w:t>
      </w:r>
    </w:p>
    <w:p>
      <w:pPr>
        <w:pStyle w:val="Normal"/>
        <w:jc w:val="both"/>
        <w:rPr>
          <w:rFonts w:ascii="Tahoma" w:hAnsi="Tahoma" w:cs="Tahoma"/>
          <w:sz w:val="20"/>
        </w:rPr>
      </w:pPr>
      <w:r>
        <w:rPr>
          <w:rFonts w:cs="Tahoma" w:ascii="Tahoma" w:hAnsi="Tahoma"/>
          <w:sz w:val="20"/>
        </w:rPr>
        <w:t>Cet accord définit un cadre commun aligné sur les objectifs stratégiques du Port, permettant aux salariés éligibles de bénéficier :</w:t>
      </w:r>
    </w:p>
    <w:p>
      <w:pPr>
        <w:pStyle w:val="ListParagraph"/>
        <w:numPr>
          <w:ilvl w:val="0"/>
          <w:numId w:val="8"/>
        </w:numPr>
        <w:jc w:val="both"/>
        <w:rPr>
          <w:rFonts w:ascii="Tahoma" w:hAnsi="Tahoma" w:cs="Tahoma"/>
          <w:sz w:val="20"/>
        </w:rPr>
      </w:pPr>
      <w:r>
        <w:rPr>
          <w:rFonts w:cs="Tahoma" w:ascii="Tahoma" w:hAnsi="Tahoma"/>
          <w:sz w:val="20"/>
        </w:rPr>
        <w:t>D’une journée de télétravail régulier par semaine (les lundis ou vendredis),</w:t>
      </w:r>
    </w:p>
    <w:p>
      <w:pPr>
        <w:pStyle w:val="ListParagraph"/>
        <w:numPr>
          <w:ilvl w:val="0"/>
          <w:numId w:val="8"/>
        </w:numPr>
        <w:jc w:val="both"/>
        <w:rPr>
          <w:rFonts w:ascii="Tahoma" w:hAnsi="Tahoma" w:cs="Tahoma"/>
          <w:sz w:val="20"/>
        </w:rPr>
      </w:pPr>
      <w:r>
        <w:rPr>
          <w:rFonts w:cs="Tahoma" w:ascii="Tahoma" w:hAnsi="Tahoma"/>
          <w:sz w:val="20"/>
        </w:rPr>
        <w:t>Et/ou de 10 jours de télétravail occasionnel par an.</w:t>
      </w:r>
    </w:p>
    <w:p>
      <w:pPr>
        <w:pStyle w:val="Normal"/>
        <w:jc w:val="both"/>
        <w:rPr>
          <w:rFonts w:ascii="Tahoma" w:hAnsi="Tahoma" w:cs="Tahoma"/>
          <w:sz w:val="20"/>
        </w:rPr>
      </w:pPr>
      <w:r>
        <w:rPr>
          <w:rFonts w:cs="Tahoma" w:ascii="Tahoma" w:hAnsi="Tahoma"/>
          <w:sz w:val="20"/>
        </w:rPr>
        <w:t>Afin de préserver la cohésion interne, une présence minimale de trois jours par semaine sur site reste obligatoire.</w:t>
      </w:r>
    </w:p>
    <w:p>
      <w:pPr>
        <w:pStyle w:val="Normal"/>
        <w:jc w:val="both"/>
        <w:rPr>
          <w:rFonts w:ascii="Tahoma" w:hAnsi="Tahoma" w:cs="Tahoma"/>
          <w:sz w:val="20"/>
        </w:rPr>
      </w:pPr>
      <w:r>
        <w:rPr>
          <w:rFonts w:cs="Tahoma" w:ascii="Tahoma" w:hAnsi="Tahoma"/>
          <w:sz w:val="20"/>
        </w:rPr>
        <w:t>Plébiscité par les salariés, le télétravail offre de nombreux avantages : meilleure conciliation entre vie professionnelle et personnelle, gain en concentration, réduction des temps de trajet, de la fatigue et du stress. Il constitue également un levier d’attractivité et de fidélisation et s’inscrit pleinement dans la politique RH du Port, visant à renforcer l’engagement des équipes et à attirer de nouveaux talents.</w:t>
      </w:r>
    </w:p>
    <w:p>
      <w:pPr>
        <w:pStyle w:val="Normal"/>
        <w:jc w:val="both"/>
        <w:rPr>
          <w:rFonts w:ascii="Tahoma" w:hAnsi="Tahoma" w:cs="Tahoma"/>
          <w:sz w:val="20"/>
        </w:rPr>
      </w:pPr>
      <w:r>
        <w:rPr>
          <w:rFonts w:cs="Tahoma" w:ascii="Tahoma" w:hAnsi="Tahoma"/>
          <w:sz w:val="20"/>
        </w:rPr>
        <w:t>Il est applicable depuis le 01/07/2023 pour une durée indéterminée.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jc w:val="both"/>
        <w:rPr>
          <w:rFonts w:ascii="Tahoma" w:hAnsi="Tahoma" w:cs="Tahoma"/>
          <w:color w:val="000000"/>
          <w:sz w:val="20"/>
          <w:szCs w:val="20"/>
        </w:rPr>
      </w:pPr>
      <w:r>
        <w:rPr>
          <w:rFonts w:cs="Tahoma" w:ascii="Tahoma" w:hAnsi="Tahoma"/>
          <w:b/>
          <w:i/>
          <w:color w:val="000000"/>
          <w:sz w:val="20"/>
          <w:szCs w:val="20"/>
        </w:rPr>
        <w:t>Droit à déconnexion</w:t>
      </w:r>
    </w:p>
    <w:p>
      <w:pPr>
        <w:pStyle w:val="Normal"/>
        <w:spacing w:lineRule="auto" w:line="276"/>
        <w:jc w:val="both"/>
        <w:rPr>
          <w:rFonts w:ascii="Tahoma" w:hAnsi="Tahoma" w:cs="Tahoma"/>
          <w:sz w:val="20"/>
          <w:szCs w:val="20"/>
        </w:rPr>
      </w:pPr>
      <w:r>
        <w:rPr>
          <w:rFonts w:cs="Tahoma" w:ascii="Tahoma" w:hAnsi="Tahoma"/>
          <w:sz w:val="20"/>
          <w:szCs w:val="20"/>
        </w:rPr>
        <w:t xml:space="preserve">Le droit à la déconnexion est rappelé dès que cela est nécessaire. </w:t>
      </w:r>
    </w:p>
    <w:p>
      <w:pPr>
        <w:pStyle w:val="Normal"/>
        <w:spacing w:lineRule="auto" w:line="276"/>
        <w:jc w:val="both"/>
        <w:rPr>
          <w:rFonts w:ascii="Tahoma" w:hAnsi="Tahoma" w:cs="Tahoma"/>
          <w:sz w:val="20"/>
          <w:szCs w:val="20"/>
        </w:rPr>
      </w:pPr>
      <w:r>
        <w:rPr>
          <w:rFonts w:cs="Tahoma" w:ascii="Tahoma" w:hAnsi="Tahoma"/>
          <w:sz w:val="20"/>
          <w:szCs w:val="20"/>
        </w:rPr>
        <w:t>Il fait l’objet d’un dialogue social entre les partenaires sociaux et à ce titre il a été rappelé dans son principe dans la charte informatique et numérique, mais également dans l’accord télétravail, dans celui relatif à l’égalité professionnelle et la QVCT.</w:t>
      </w:r>
    </w:p>
    <w:p>
      <w:pPr>
        <w:pStyle w:val="Normal"/>
        <w:spacing w:lineRule="auto" w:line="276"/>
        <w:jc w:val="both"/>
        <w:rPr>
          <w:rFonts w:ascii="Tahoma" w:hAnsi="Tahoma" w:cs="Tahoma"/>
          <w:b/>
          <w:i/>
          <w:i/>
          <w:sz w:val="20"/>
          <w:szCs w:val="20"/>
        </w:rPr>
      </w:pPr>
      <w:r>
        <w:rPr>
          <w:rFonts w:cs="Tahoma" w:ascii="Tahoma" w:hAnsi="Tahoma"/>
          <w:b/>
          <w:i/>
          <w:sz w:val="20"/>
          <w:szCs w:val="20"/>
        </w:rPr>
      </w:r>
    </w:p>
    <w:p>
      <w:pPr>
        <w:pStyle w:val="Normal"/>
        <w:spacing w:lineRule="auto" w:line="276"/>
        <w:jc w:val="both"/>
        <w:rPr>
          <w:rFonts w:ascii="Tahoma" w:hAnsi="Tahoma" w:cs="Tahoma"/>
          <w:b/>
          <w:i/>
          <w:i/>
          <w:sz w:val="20"/>
          <w:szCs w:val="20"/>
        </w:rPr>
      </w:pPr>
      <w:r>
        <w:rPr>
          <w:rFonts w:cs="Tahoma" w:ascii="Tahoma" w:hAnsi="Tahoma"/>
          <w:b/>
          <w:i/>
          <w:sz w:val="20"/>
          <w:szCs w:val="20"/>
        </w:rPr>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t>Article 4 : Mobilité des salariés</w:t>
      </w:r>
    </w:p>
    <w:p>
      <w:pPr>
        <w:pStyle w:val="Normal"/>
        <w:jc w:val="both"/>
        <w:rPr>
          <w:rFonts w:ascii="Tahoma" w:hAnsi="Tahoma" w:cs="Tahoma"/>
          <w:sz w:val="20"/>
          <w:szCs w:val="20"/>
        </w:rPr>
      </w:pPr>
      <w:r>
        <w:rPr>
          <w:rFonts w:cs="Tahoma" w:ascii="Tahoma" w:hAnsi="Tahoma"/>
          <w:sz w:val="20"/>
          <w:szCs w:val="20"/>
        </w:rPr>
      </w:r>
    </w:p>
    <w:p>
      <w:pPr>
        <w:pStyle w:val="Normal"/>
        <w:ind w:left="9"/>
        <w:rPr>
          <w:rFonts w:ascii="Tahoma" w:hAnsi="Tahoma" w:cs="Tahoma"/>
          <w:sz w:val="20"/>
          <w:szCs w:val="20"/>
        </w:rPr>
      </w:pPr>
      <w:r>
        <w:rPr>
          <w:rFonts w:cs="Tahoma" w:ascii="Tahoma" w:hAnsi="Tahoma"/>
          <w:sz w:val="20"/>
          <w:szCs w:val="20"/>
        </w:rPr>
        <w:t>Un accord sur la mobilité durable et le transport domicile-travail a été signé le 28/03/2024.</w:t>
      </w:r>
    </w:p>
    <w:p>
      <w:pPr>
        <w:pStyle w:val="Normal"/>
        <w:ind w:left="9"/>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t>Trois dispositifs ont été mis en place afin d’encourager les salariés à utiliser des solutions de déplacement plus actives, plus vertueuses pour la santé et plus respectueuses de l'environnement :</w:t>
      </w:r>
    </w:p>
    <w:p>
      <w:pPr>
        <w:pStyle w:val="ListParagraph"/>
        <w:numPr>
          <w:ilvl w:val="0"/>
          <w:numId w:val="1"/>
        </w:numPr>
        <w:jc w:val="both"/>
        <w:rPr>
          <w:rFonts w:ascii="Tahoma" w:hAnsi="Tahoma" w:cs="Tahoma"/>
          <w:sz w:val="20"/>
          <w:szCs w:val="20"/>
        </w:rPr>
      </w:pPr>
      <w:r>
        <w:rPr>
          <w:rFonts w:cs="Tahoma" w:ascii="Tahoma" w:hAnsi="Tahoma"/>
          <w:sz w:val="20"/>
          <w:szCs w:val="20"/>
        </w:rPr>
        <w:t xml:space="preserve">Le forfait mobilités durables (FMD), </w:t>
      </w:r>
    </w:p>
    <w:p>
      <w:pPr>
        <w:pStyle w:val="ListParagraph"/>
        <w:numPr>
          <w:ilvl w:val="0"/>
          <w:numId w:val="1"/>
        </w:numPr>
        <w:jc w:val="both"/>
        <w:rPr>
          <w:rFonts w:ascii="Tahoma" w:hAnsi="Tahoma" w:cs="Tahoma"/>
          <w:sz w:val="20"/>
          <w:szCs w:val="20"/>
        </w:rPr>
      </w:pPr>
      <w:r>
        <w:rPr>
          <w:rFonts w:cs="Tahoma" w:ascii="Tahoma" w:hAnsi="Tahoma"/>
          <w:sz w:val="20"/>
          <w:szCs w:val="20"/>
        </w:rPr>
        <w:t xml:space="preserve">La participation aux frais d’un abonnement de transports publics, </w:t>
      </w:r>
    </w:p>
    <w:p>
      <w:pPr>
        <w:pStyle w:val="ListParagraph"/>
        <w:numPr>
          <w:ilvl w:val="0"/>
          <w:numId w:val="1"/>
        </w:numPr>
        <w:jc w:val="both"/>
        <w:rPr>
          <w:rFonts w:ascii="Tahoma" w:hAnsi="Tahoma" w:cs="Tahoma"/>
          <w:sz w:val="20"/>
          <w:szCs w:val="20"/>
        </w:rPr>
      </w:pPr>
      <w:r>
        <w:rPr>
          <w:rFonts w:cs="Tahoma" w:ascii="Tahoma" w:hAnsi="Tahoma"/>
          <w:sz w:val="20"/>
          <w:szCs w:val="20"/>
        </w:rPr>
        <w:t>Les indemnités kilométriques domicile-travail.</w:t>
      </w:r>
    </w:p>
    <w:p>
      <w:pPr>
        <w:pStyle w:val="Normal"/>
        <w:ind w:left="9"/>
        <w:rPr>
          <w:rFonts w:ascii="Tahoma" w:hAnsi="Tahoma" w:cs="Tahoma"/>
          <w:sz w:val="20"/>
          <w:szCs w:val="20"/>
        </w:rPr>
      </w:pPr>
      <w:r>
        <w:rPr>
          <w:rFonts w:cs="Tahoma" w:ascii="Tahoma" w:hAnsi="Tahoma"/>
          <w:sz w:val="20"/>
          <w:szCs w:val="20"/>
        </w:rPr>
      </w:r>
    </w:p>
    <w:p>
      <w:pPr>
        <w:pStyle w:val="Normal"/>
        <w:ind w:left="9"/>
        <w:jc w:val="both"/>
        <w:rPr>
          <w:szCs w:val="20"/>
        </w:rPr>
      </w:pPr>
      <w:r>
        <w:rPr>
          <w:rFonts w:cs="Tahoma" w:ascii="Tahoma" w:hAnsi="Tahoma"/>
          <w:sz w:val="20"/>
          <w:szCs w:val="20"/>
        </w:rPr>
        <w:t>A la fois équitables pour les salariés et conformes aux orientations du Port en matière de transition écologique, ces dispositifs s’inscrivent dans le projet stratégique et la démarche RSE du Port tout en intégrant la volonté de préserver le pouvoir d’achat des salariés.</w:t>
      </w:r>
      <w:r>
        <w:rPr>
          <w:szCs w:val="20"/>
        </w:rPr>
        <w:t xml:space="preserve"> </w:t>
      </w:r>
    </w:p>
    <w:p>
      <w:pPr>
        <w:pStyle w:val="Normal"/>
        <w:ind w:left="9"/>
        <w:rPr>
          <w:szCs w:val="20"/>
        </w:rPr>
      </w:pPr>
      <w:r>
        <w:rPr>
          <w:szCs w:val="20"/>
        </w:rPr>
      </w:r>
    </w:p>
    <w:p>
      <w:pPr>
        <w:pStyle w:val="Normal"/>
        <w:jc w:val="both"/>
        <w:rPr>
          <w:rFonts w:ascii="Tahoma" w:hAnsi="Tahoma" w:cs="Tahoma"/>
          <w:sz w:val="20"/>
          <w:szCs w:val="20"/>
        </w:rPr>
      </w:pPr>
      <w:r>
        <w:rPr>
          <w:rFonts w:cs="Tahoma" w:ascii="Tahoma" w:hAnsi="Tahoma"/>
          <w:sz w:val="20"/>
          <w:szCs w:val="20"/>
        </w:rPr>
        <w:t xml:space="preserve">Cet accord à durée indéterminée comprend une disposition transitoire concernant le nombre de jours permettant de bénéficier du FMD fixé par les partenaires sociaux uniquement pour les deux premières années de l’accord. </w:t>
      </w:r>
    </w:p>
    <w:p>
      <w:pPr>
        <w:pStyle w:val="Normal"/>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t>Ainsi, le sujet fera l’objet de discussions début 2026.</w:t>
      </w:r>
    </w:p>
    <w:p>
      <w:pPr>
        <w:pStyle w:val="Normal"/>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t>Article 5 : L’insertion professionnelle et le maintien dans l’emploi des travailleurs handicapés</w:t>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r>
    </w:p>
    <w:p>
      <w:pPr>
        <w:pStyle w:val="Normal"/>
        <w:spacing w:lineRule="auto" w:line="276"/>
        <w:jc w:val="both"/>
        <w:rPr>
          <w:rFonts w:ascii="Tahoma" w:hAnsi="Tahoma" w:cs="Tahoma"/>
          <w:sz w:val="20"/>
          <w:szCs w:val="20"/>
        </w:rPr>
      </w:pPr>
      <w:r>
        <w:rPr>
          <w:rFonts w:cs="Tahoma" w:ascii="Tahoma" w:hAnsi="Tahoma"/>
          <w:sz w:val="20"/>
          <w:szCs w:val="20"/>
        </w:rPr>
        <w:t>L’accord relatif à l’emploi et au maintien dans l’emploi des travailleurs handicapés a été négocié et signé par les partenaires sociaux le 08/07/2025. Il a une périodicité de cinq ans et arrivera à son terme au 08/07/2029.</w:t>
      </w:r>
    </w:p>
    <w:p>
      <w:pPr>
        <w:pStyle w:val="Normal"/>
        <w:spacing w:lineRule="auto" w:line="276"/>
        <w:jc w:val="both"/>
        <w:rPr>
          <w:rFonts w:ascii="Tahoma" w:hAnsi="Tahoma" w:cs="Tahoma"/>
          <w:sz w:val="20"/>
          <w:szCs w:val="20"/>
        </w:rPr>
      </w:pPr>
      <w:r>
        <w:rPr>
          <w:rFonts w:cs="Tahoma" w:ascii="Tahoma" w:hAnsi="Tahoma"/>
          <w:sz w:val="20"/>
          <w:szCs w:val="20"/>
        </w:rPr>
      </w:r>
    </w:p>
    <w:p>
      <w:pPr>
        <w:pStyle w:val="FootnoteText"/>
        <w:jc w:val="both"/>
        <w:rPr>
          <w:rFonts w:ascii="Tahoma" w:hAnsi="Tahoma" w:cs="Tahoma"/>
          <w:color w:themeColor="text1" w:val="000000"/>
        </w:rPr>
      </w:pPr>
      <w:r>
        <w:rPr>
          <w:rFonts w:cs="Tahoma" w:ascii="Tahoma" w:hAnsi="Tahoma"/>
          <w:color w:val="000000"/>
        </w:rPr>
        <w:t xml:space="preserve">Jusqu’en 2024, le Port disposait d’un accord d’entreprise volontaire agréé sur l’emploi et le maintien dans l’emploi des travailleurs en situation de handicap lui permettant de s’acquitter de cette obligation d’emploi et de financer en interne ses actions en matière de prévention et d’accompagnement du handicap. En 2025, malgré la sortie d’agrément, </w:t>
      </w:r>
      <w:r>
        <w:rPr>
          <w:rFonts w:cs="Tahoma" w:ascii="Tahoma" w:hAnsi="Tahoma"/>
          <w:color w:themeColor="text1" w:val="000000"/>
        </w:rPr>
        <w:t>le Port a souhaité poursuivre son engagement en faveur de l’inclusion, de l’intégration et du maintien dans l’emploi des personnes en situation de handicap</w:t>
      </w:r>
      <w:r>
        <w:rPr>
          <w:rFonts w:cs="Tahoma" w:ascii="Tahoma" w:hAnsi="Tahoma"/>
          <w:color w:val="000000"/>
        </w:rPr>
        <w:t>.</w:t>
      </w:r>
    </w:p>
    <w:p>
      <w:pPr>
        <w:pStyle w:val="Normal"/>
        <w:jc w:val="both"/>
        <w:rPr>
          <w:rFonts w:ascii="Tahoma" w:hAnsi="Tahoma" w:cs="Tahoma"/>
          <w:color w:themeColor="text1" w:val="000000"/>
          <w:sz w:val="20"/>
          <w:szCs w:val="20"/>
        </w:rPr>
      </w:pPr>
      <w:r>
        <w:rPr>
          <w:rFonts w:cs="Tahoma" w:ascii="Tahoma" w:hAnsi="Tahoma"/>
          <w:color w:themeColor="text1" w:val="000000"/>
          <w:sz w:val="20"/>
          <w:szCs w:val="20"/>
        </w:rPr>
      </w:r>
    </w:p>
    <w:p>
      <w:pPr>
        <w:pStyle w:val="Normal"/>
        <w:tabs>
          <w:tab w:val="clear" w:pos="708"/>
          <w:tab w:val="left" w:pos="0" w:leader="none"/>
        </w:tabs>
        <w:jc w:val="both"/>
        <w:rPr>
          <w:rFonts w:ascii="Tahoma" w:hAnsi="Tahoma" w:cs="Tahoma"/>
          <w:color w:themeColor="text1" w:val="000000"/>
          <w:sz w:val="20"/>
          <w:szCs w:val="20"/>
        </w:rPr>
      </w:pPr>
      <w:r>
        <w:rPr>
          <w:rFonts w:cs="Tahoma" w:ascii="Tahoma" w:hAnsi="Tahoma"/>
          <w:color w:themeColor="text1" w:val="000000"/>
          <w:sz w:val="20"/>
          <w:szCs w:val="20"/>
        </w:rPr>
        <w:t>L’application d’un tel accord permet d’avoir une politique concertée d’emploi des travailleurs handicapés, adaptée aux besoins et conçue en cohérence avec la situation interne, la stratégie économique, les compétences clés et la culture de l’Etablissement.</w:t>
      </w:r>
    </w:p>
    <w:p>
      <w:pPr>
        <w:pStyle w:val="Normal"/>
        <w:jc w:val="both"/>
        <w:rPr>
          <w:rFonts w:ascii="Tahoma" w:hAnsi="Tahoma" w:cs="Tahoma"/>
          <w:b/>
          <w:color w:themeColor="text1" w:val="000000"/>
          <w:sz w:val="20"/>
          <w:szCs w:val="20"/>
        </w:rPr>
      </w:pPr>
      <w:r>
        <w:rPr>
          <w:rFonts w:cs="Tahoma" w:ascii="Tahoma" w:hAnsi="Tahoma"/>
          <w:b/>
          <w:color w:themeColor="text1" w:val="000000"/>
          <w:sz w:val="20"/>
          <w:szCs w:val="20"/>
        </w:rPr>
      </w:r>
    </w:p>
    <w:p>
      <w:pPr>
        <w:pStyle w:val="Normal"/>
        <w:jc w:val="both"/>
        <w:rPr>
          <w:rFonts w:ascii="Tahoma" w:hAnsi="Tahoma" w:cs="Tahoma"/>
          <w:color w:themeColor="text1" w:val="000000"/>
        </w:rPr>
      </w:pPr>
      <w:r>
        <w:rPr>
          <w:rFonts w:cs="Tahoma" w:ascii="Tahoma" w:hAnsi="Tahoma"/>
          <w:color w:themeColor="text1" w:val="000000"/>
          <w:sz w:val="20"/>
          <w:szCs w:val="20"/>
        </w:rPr>
        <w:t xml:space="preserve">Cet accord s’inscrit dans le cadre de la politique volontariste du Port en matière de responsabilité sociétale. En cohérence avec son projet stratégique, l’Etablissement réaffirme et renforce son engagement en faveur d’un environnement de travail éthique, inclusif et durable. </w:t>
      </w:r>
    </w:p>
    <w:p>
      <w:pPr>
        <w:pStyle w:val="AnnotationText"/>
        <w:jc w:val="both"/>
        <w:rPr>
          <w:rFonts w:ascii="Tahoma" w:hAnsi="Tahoma" w:cs="Tahoma"/>
          <w:color w:themeColor="text1" w:val="000000"/>
        </w:rPr>
      </w:pPr>
      <w:r>
        <w:rPr>
          <w:rFonts w:cs="Tahoma" w:ascii="Tahoma" w:hAnsi="Tahoma"/>
          <w:color w:themeColor="text1" w:val="000000"/>
        </w:rPr>
      </w:r>
    </w:p>
    <w:p>
      <w:pPr>
        <w:pStyle w:val="AnnotationText"/>
        <w:jc w:val="both"/>
        <w:rPr/>
      </w:pPr>
      <w:r>
        <w:rPr>
          <w:rFonts w:cs="Tahoma" w:ascii="Tahoma" w:hAnsi="Tahoma"/>
          <w:color w:themeColor="text1" w:val="000000"/>
        </w:rPr>
        <w:t xml:space="preserve">À travers un programme structuré dédié à l’emploi, au maintien dans l’emploi des travailleurs en situation de handicap, au bien-être et à la qualité de vie au travail, le Port place l’humain au cœur de ses priorités et de son système de valeurs. Cette démarche traduit une volonté d’action concrète et durable, permettant de continuer à ancrer la responsabilité sociétale dans les pratiques quotidiennes. En faisant du handicap un levier de performance collective et de cohésion sociale, le Port entend renforcer un environnement de travail inclusif et responsable. </w:t>
      </w:r>
    </w:p>
    <w:p>
      <w:pPr>
        <w:pStyle w:val="Normal"/>
        <w:tabs>
          <w:tab w:val="clear" w:pos="708"/>
          <w:tab w:val="left" w:pos="0" w:leader="none"/>
        </w:tabs>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r>
    </w:p>
    <w:p>
      <w:pPr>
        <w:pStyle w:val="Normal"/>
        <w:spacing w:lineRule="auto" w:line="276"/>
        <w:jc w:val="both"/>
        <w:rPr>
          <w:rFonts w:ascii="Tahoma" w:hAnsi="Tahoma" w:cs="Tahoma"/>
          <w:b/>
          <w:sz w:val="20"/>
          <w:szCs w:val="20"/>
          <w:u w:val="single"/>
        </w:rPr>
      </w:pPr>
      <w:r>
        <w:rPr>
          <w:rFonts w:cs="Tahoma" w:ascii="Tahoma" w:hAnsi="Tahoma"/>
          <w:b/>
          <w:color w:val="009FB5"/>
          <w:sz w:val="20"/>
          <w:szCs w:val="20"/>
          <w:u w:val="single"/>
        </w:rPr>
        <w:t>Article 6 : Epargne salariale</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ListParagraph"/>
        <w:numPr>
          <w:ilvl w:val="0"/>
          <w:numId w:val="4"/>
        </w:numPr>
        <w:spacing w:lineRule="auto" w:line="276"/>
        <w:jc w:val="both"/>
        <w:rPr>
          <w:rFonts w:ascii="Tahoma" w:hAnsi="Tahoma" w:cs="Tahoma"/>
          <w:b/>
          <w:sz w:val="20"/>
          <w:szCs w:val="20"/>
          <w:u w:val="single"/>
        </w:rPr>
      </w:pPr>
      <w:r>
        <w:rPr>
          <w:rFonts w:cs="Tahoma" w:ascii="Tahoma" w:hAnsi="Tahoma"/>
          <w:b/>
          <w:sz w:val="20"/>
          <w:szCs w:val="20"/>
          <w:u w:val="single"/>
        </w:rPr>
        <w:t>L’intéressement</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sz w:val="20"/>
          <w:szCs w:val="20"/>
        </w:rPr>
      </w:pPr>
      <w:r>
        <w:rPr>
          <w:rFonts w:cs="Tahoma" w:ascii="Tahoma" w:hAnsi="Tahoma"/>
          <w:sz w:val="20"/>
          <w:szCs w:val="20"/>
        </w:rPr>
        <w:t xml:space="preserve">L’accord signé le 14/05/2025 a une périodicité de trois ans. La période concernée prend fin au 31/12/2027. </w:t>
      </w:r>
    </w:p>
    <w:p>
      <w:pPr>
        <w:pStyle w:val="Normal"/>
        <w:pBdr/>
        <w:jc w:val="both"/>
        <w:rPr>
          <w:rFonts w:ascii="Tahoma" w:hAnsi="Tahoma" w:cs="Tahoma"/>
          <w:sz w:val="20"/>
          <w:szCs w:val="20"/>
        </w:rPr>
        <w:framePr w:w="9754" w:h="484" w:y="1" w:hSpace="141" w:vSpace="0" w:wrap="around" w:vAnchor="text" w:hAnchor="text" w:hRule="exact"/>
      </w:pPr>
      <w:r>
        <w:rPr>
          <w:rFonts w:cs="Tahoma" w:ascii="Tahoma" w:hAnsi="Tahoma"/>
          <w:sz w:val="20"/>
          <w:szCs w:val="20"/>
        </w:rPr>
        <w:t xml:space="preserve">L’intéressement est un dispositif facultatif qui permet d’associer collectivement les salariés aux résultats et aux performances de l’Etablissement.  </w:t>
      </w:r>
    </w:p>
    <w:p>
      <w:pPr>
        <w:pStyle w:val="Normal"/>
        <w:pBdr/>
        <w:jc w:val="both"/>
        <w:rPr>
          <w:rFonts w:ascii="Tahoma" w:hAnsi="Tahoma" w:cs="Tahoma"/>
          <w:sz w:val="20"/>
          <w:szCs w:val="20"/>
        </w:rPr>
        <w:framePr w:w="10307" w:h="484" w:y="1441" w:hSpace="141" w:vSpace="0" w:wrap="around" w:vAnchor="text" w:hAnchor="text" w:hRule="exact"/>
      </w:pPr>
      <w:r>
        <w:rPr>
          <w:rFonts w:cs="Tahoma" w:ascii="Tahoma" w:hAnsi="Tahoma"/>
          <w:sz w:val="20"/>
          <w:szCs w:val="20"/>
        </w:rPr>
        <w:t xml:space="preserve">Ce nouvel accord est le fruit d’une réflexion partagée en interne sur des critères d’intéressement qui soient mesurables, réalistes et stimulant et qui incitent à une performance durable et responsable en cohérence avec la stratégie du Port. </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 xml:space="preserve">Les critères définis dans le nouvel accord intègrent ainsi des objectifs à la fois sociaux, environnementaux, de performance budgétaire, de maîtrise des coûts et liés à la création de valeur. </w:t>
      </w:r>
    </w:p>
    <w:p>
      <w:pPr>
        <w:pStyle w:val="Normal"/>
        <w:spacing w:lineRule="auto" w:line="276"/>
        <w:jc w:val="both"/>
        <w:rPr>
          <w:rFonts w:ascii="Tahoma" w:hAnsi="Tahoma" w:cs="Tahoma"/>
          <w:sz w:val="20"/>
          <w:szCs w:val="20"/>
        </w:rPr>
      </w:pPr>
      <w:r>
        <w:rPr>
          <w:rFonts w:cs="Tahoma" w:ascii="Tahoma" w:hAnsi="Tahoma"/>
          <w:sz w:val="20"/>
          <w:szCs w:val="20"/>
        </w:rPr>
      </w:r>
    </w:p>
    <w:p>
      <w:pPr>
        <w:pStyle w:val="ListParagraph"/>
        <w:numPr>
          <w:ilvl w:val="0"/>
          <w:numId w:val="4"/>
        </w:numPr>
        <w:spacing w:lineRule="auto" w:line="276"/>
        <w:jc w:val="both"/>
        <w:rPr>
          <w:rFonts w:ascii="Tahoma" w:hAnsi="Tahoma" w:cs="Tahoma"/>
          <w:sz w:val="20"/>
          <w:szCs w:val="20"/>
        </w:rPr>
      </w:pPr>
      <w:r>
        <w:rPr>
          <w:rFonts w:cs="Tahoma" w:ascii="Tahoma" w:hAnsi="Tahoma"/>
          <w:b/>
          <w:sz w:val="20"/>
          <w:szCs w:val="20"/>
          <w:u w:val="single"/>
        </w:rPr>
        <w:t>Plan d’Epargne d’Enterprise (PEE)</w:t>
      </w:r>
    </w:p>
    <w:p>
      <w:pPr>
        <w:pStyle w:val="ListParagraph"/>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Afin de développer les dispositifs d’épargne salariale, un accord PEE a été négocié durant l’année 2019 et a abouti le 03/07/2019.</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t xml:space="preserve">Article 7 : Prévoyance maladie </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sz w:val="20"/>
          <w:szCs w:val="20"/>
        </w:rPr>
      </w:pPr>
      <w:r>
        <w:rPr>
          <w:rFonts w:cs="Tahoma" w:ascii="Tahoma" w:hAnsi="Tahoma"/>
          <w:sz w:val="20"/>
          <w:szCs w:val="20"/>
        </w:rPr>
        <w:t xml:space="preserve">Un accord d’entreprise de prévoyance complémentaire a été négocié et signé par les partenaires sociaux en date du 24/04/2015. Les partenaires sociaux ont confirmé leur volonté de rester dans une démarche de contrat responsable, avec un contrat « famille » et une répartition à 90%, part employeur / 10%, part salarié. Dans le cadre de la mise en concurrence, un nouveau prestataire a été sélectionné en 2024 pour une durée de 5 ans. Le nouveau contrat a pris effet au 01/01/2025. </w:t>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t xml:space="preserve">Article 8 : Prévoyance invalidité incapacité décès </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jc w:val="both"/>
        <w:rPr>
          <w:rFonts w:ascii="Tahoma" w:hAnsi="Tahoma" w:cs="Tahoma"/>
          <w:sz w:val="20"/>
          <w:szCs w:val="20"/>
        </w:rPr>
      </w:pPr>
      <w:r>
        <w:rPr>
          <w:rFonts w:cs="Tahoma" w:ascii="Tahoma" w:hAnsi="Tahoma"/>
          <w:sz w:val="20"/>
          <w:szCs w:val="20"/>
        </w:rPr>
        <w:t>Un accord d’entreprise a été signé le 26/04/2021 concernant les prévoyances invalidité incapacité décès des cadres, assimilés cadres et marins.</w:t>
      </w:r>
    </w:p>
    <w:p>
      <w:pPr>
        <w:pStyle w:val="Normal"/>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t>Les nouveaux contrats collectifs mis en place depuis le 01/01/2022, pour une durée maximum de 5 ans, arrivent à leur échéance en 2027 et feront l’objet d’une mise en concurrence en 2026.</w:t>
      </w:r>
    </w:p>
    <w:p>
      <w:pPr>
        <w:pStyle w:val="Normal"/>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b/>
          <w:color w:val="009FB5"/>
          <w:sz w:val="20"/>
          <w:szCs w:val="20"/>
          <w:u w:val="single"/>
        </w:rPr>
      </w:pPr>
      <w:r>
        <w:rPr>
          <w:rFonts w:cs="Tahoma" w:ascii="Tahoma" w:hAnsi="Tahoma"/>
          <w:b/>
          <w:color w:val="009FB5"/>
          <w:sz w:val="20"/>
          <w:szCs w:val="20"/>
          <w:u w:val="single"/>
        </w:rPr>
        <w:t>Article 9 : Discussions et Calendrier prévisionnel</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Les partenaires sociaux conviennent de l’ouverture des discussions selon le calendrier et les thèmes suivants, étant précisé que ce calendrier pourra faire l’objet de modification ultérieure à l’initiative de l’une ou l’autre des parties.</w:t>
      </w:r>
    </w:p>
    <w:p>
      <w:pPr>
        <w:pStyle w:val="Normal"/>
        <w:spacing w:lineRule="auto" w:line="276"/>
        <w:jc w:val="both"/>
        <w:rPr>
          <w:rFonts w:ascii="Tahoma" w:hAnsi="Tahoma" w:cs="Tahoma"/>
          <w:sz w:val="20"/>
          <w:szCs w:val="20"/>
        </w:rPr>
      </w:pPr>
      <w:r>
        <w:rPr>
          <w:rFonts w:cs="Tahoma" w:ascii="Tahoma" w:hAnsi="Tahoma"/>
          <w:sz w:val="20"/>
          <w:szCs w:val="20"/>
        </w:rPr>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Finalisation des discussions sur les modalités d’accès au FMD : trimestre 1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Négociation sur les salaires effectifs : trimestre 4 (2025) / trimestre 1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Discussions liées à la puissance administrative de la Drague : trimestre 1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Poursuite des réflexions sur l’accompagnement des salariés seniors : trimestre 2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Ajustements de l’accord sur l’organisation du travail par fortes chaleurs suite aux retours d’expérience 2024 – 2025 : trimestre 1-2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Réflexion sur les éventuels besoins d’adaptation de l’organisation et des astreintes liés à l’action stratégique de gestion de crise : trimestre 3-4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Ouverture d’une réflexion sur le fonctionnement et la gestion des congés et du CET : trimestre 2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Mise à jour de l’accord forfait-jour : trimestre 2-3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 xml:space="preserve">Renouvellement des contrats de prévoyance cadres et marins : trimestre 2 </w:t>
      </w:r>
    </w:p>
    <w:p>
      <w:pPr>
        <w:pStyle w:val="Normal"/>
        <w:numPr>
          <w:ilvl w:val="0"/>
          <w:numId w:val="5"/>
        </w:numPr>
        <w:spacing w:lineRule="auto" w:line="276"/>
        <w:jc w:val="both"/>
        <w:rPr>
          <w:rFonts w:ascii="Tahoma" w:hAnsi="Tahoma" w:cs="Tahoma"/>
          <w:sz w:val="20"/>
          <w:szCs w:val="20"/>
        </w:rPr>
      </w:pPr>
      <w:r>
        <w:rPr>
          <w:rFonts w:cs="Tahoma" w:ascii="Tahoma" w:hAnsi="Tahoma"/>
          <w:sz w:val="20"/>
          <w:szCs w:val="20"/>
        </w:rPr>
        <w:t>Echanges sur la prime de partage de la valeur : trimestre 3</w:t>
      </w:r>
    </w:p>
    <w:p>
      <w:pPr>
        <w:pStyle w:val="Normal"/>
        <w:spacing w:lineRule="auto" w:line="276"/>
        <w:ind w:left="720"/>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jc w:val="both"/>
        <w:rPr>
          <w:rFonts w:ascii="Tahoma" w:hAnsi="Tahoma" w:cs="Tahoma"/>
          <w:sz w:val="20"/>
          <w:szCs w:val="20"/>
        </w:rPr>
      </w:pPr>
      <w:r>
        <w:rPr>
          <w:rFonts w:cs="Tahoma" w:ascii="Tahoma" w:hAnsi="Tahoma"/>
          <w:b/>
          <w:color w:val="009FB5"/>
          <w:sz w:val="20"/>
          <w:szCs w:val="20"/>
          <w:u w:val="single"/>
        </w:rPr>
        <w:t>Article 10 : Dispositions finales</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numPr>
          <w:ilvl w:val="0"/>
          <w:numId w:val="3"/>
        </w:numPr>
        <w:spacing w:lineRule="auto" w:line="276"/>
        <w:jc w:val="both"/>
        <w:rPr>
          <w:rFonts w:ascii="Tahoma" w:hAnsi="Tahoma" w:cs="Tahoma"/>
          <w:b/>
          <w:i/>
          <w:i/>
          <w:sz w:val="20"/>
          <w:szCs w:val="20"/>
        </w:rPr>
      </w:pPr>
      <w:r>
        <w:rPr>
          <w:rFonts w:cs="Tahoma" w:ascii="Tahoma" w:hAnsi="Tahoma"/>
          <w:b/>
          <w:i/>
          <w:sz w:val="20"/>
          <w:szCs w:val="20"/>
        </w:rPr>
        <w:t>Durée de l'accord</w:t>
      </w:r>
    </w:p>
    <w:p>
      <w:pPr>
        <w:pStyle w:val="Normal"/>
        <w:spacing w:lineRule="auto" w:line="276"/>
        <w:ind w:left="708"/>
        <w:jc w:val="both"/>
        <w:rPr>
          <w:rFonts w:ascii="Tahoma" w:hAnsi="Tahoma" w:cs="Tahoma"/>
          <w:b/>
          <w:sz w:val="20"/>
          <w:szCs w:val="20"/>
        </w:rPr>
      </w:pPr>
      <w:r>
        <w:rPr>
          <w:rFonts w:cs="Tahoma" w:ascii="Tahoma" w:hAnsi="Tahoma"/>
          <w:b/>
          <w:sz w:val="20"/>
          <w:szCs w:val="20"/>
        </w:rPr>
      </w:r>
    </w:p>
    <w:p>
      <w:pPr>
        <w:pStyle w:val="Normal"/>
        <w:spacing w:lineRule="auto" w:line="276"/>
        <w:jc w:val="both"/>
        <w:rPr>
          <w:rFonts w:ascii="Tahoma" w:hAnsi="Tahoma" w:cs="Tahoma"/>
          <w:sz w:val="20"/>
          <w:szCs w:val="20"/>
        </w:rPr>
      </w:pPr>
      <w:r>
        <w:rPr>
          <w:rFonts w:cs="Tahoma" w:ascii="Tahoma" w:hAnsi="Tahoma"/>
          <w:sz w:val="20"/>
          <w:szCs w:val="20"/>
        </w:rPr>
        <w:t>Le présent accord prendra effet, pour une durée d’un an, à compter de sa date de signature.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numPr>
          <w:ilvl w:val="0"/>
          <w:numId w:val="3"/>
        </w:numPr>
        <w:spacing w:lineRule="auto" w:line="276"/>
        <w:jc w:val="both"/>
        <w:rPr>
          <w:rFonts w:ascii="Tahoma" w:hAnsi="Tahoma" w:cs="Tahoma"/>
          <w:b/>
          <w:i/>
          <w:i/>
          <w:sz w:val="20"/>
          <w:szCs w:val="20"/>
        </w:rPr>
      </w:pPr>
      <w:r>
        <w:rPr>
          <w:rFonts w:cs="Tahoma" w:ascii="Tahoma" w:hAnsi="Tahoma"/>
          <w:b/>
          <w:i/>
          <w:sz w:val="20"/>
          <w:szCs w:val="20"/>
        </w:rPr>
        <w:t>Notification</w:t>
      </w:r>
    </w:p>
    <w:p>
      <w:pPr>
        <w:pStyle w:val="Normal"/>
        <w:spacing w:lineRule="auto" w:line="276"/>
        <w:ind w:left="708"/>
        <w:jc w:val="both"/>
        <w:rPr>
          <w:rFonts w:ascii="Tahoma" w:hAnsi="Tahoma" w:cs="Tahoma"/>
          <w:b/>
          <w:sz w:val="20"/>
          <w:szCs w:val="20"/>
        </w:rPr>
      </w:pPr>
      <w:r>
        <w:rPr>
          <w:rFonts w:cs="Tahoma" w:ascii="Tahoma" w:hAnsi="Tahoma"/>
          <w:b/>
          <w:sz w:val="20"/>
          <w:szCs w:val="20"/>
        </w:rPr>
      </w:r>
    </w:p>
    <w:p>
      <w:pPr>
        <w:pStyle w:val="Normal"/>
        <w:spacing w:lineRule="auto" w:line="276"/>
        <w:jc w:val="both"/>
        <w:rPr>
          <w:rFonts w:ascii="Tahoma" w:hAnsi="Tahoma" w:cs="Tahoma"/>
          <w:sz w:val="20"/>
          <w:szCs w:val="20"/>
        </w:rPr>
      </w:pPr>
      <w:r>
        <w:rPr>
          <w:rFonts w:cs="Tahoma" w:ascii="Tahoma" w:hAnsi="Tahoma"/>
          <w:sz w:val="20"/>
          <w:szCs w:val="20"/>
        </w:rPr>
        <w:t>Conformément à l'article L. 2231-5 du code du travail, le texte du présent accord est notifié à l'ensemble des organisations syndicales représentatives dans l'Etablissement.</w:t>
      </w:r>
    </w:p>
    <w:p>
      <w:pPr>
        <w:pStyle w:val="Normal"/>
        <w:spacing w:lineRule="auto" w:line="276"/>
        <w:jc w:val="both"/>
        <w:rPr>
          <w:rFonts w:ascii="Tahoma" w:hAnsi="Tahoma" w:cs="Tahoma"/>
          <w:b/>
          <w:sz w:val="20"/>
          <w:szCs w:val="20"/>
          <w:u w:val="single"/>
        </w:rPr>
      </w:pPr>
      <w:r>
        <w:rPr>
          <w:rFonts w:cs="Tahoma" w:ascii="Tahoma" w:hAnsi="Tahoma"/>
          <w:b/>
          <w:sz w:val="20"/>
          <w:szCs w:val="20"/>
          <w:u w:val="single"/>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numPr>
          <w:ilvl w:val="0"/>
          <w:numId w:val="0"/>
        </w:numPr>
        <w:spacing w:lineRule="auto" w:line="276"/>
        <w:jc w:val="center"/>
        <w:outlineLvl w:val="0"/>
        <w:rPr>
          <w:rFonts w:ascii="Tahoma" w:hAnsi="Tahoma" w:cs="Tahoma"/>
          <w:sz w:val="20"/>
          <w:szCs w:val="20"/>
        </w:rPr>
      </w:pPr>
      <w:r>
        <w:rPr>
          <w:rFonts w:cs="Tahoma" w:ascii="Tahoma" w:hAnsi="Tahoma"/>
          <w:sz w:val="20"/>
          <w:szCs w:val="20"/>
        </w:rPr>
        <w:t xml:space="preserve">Fait à La Rochelle, le </w:t>
      </w:r>
      <w:r>
        <w:rPr>
          <w:rFonts w:cs="Tahoma" w:ascii="Tahoma" w:hAnsi="Tahoma"/>
          <w:sz w:val="20"/>
          <w:szCs w:val="20"/>
        </w:rPr>
        <w:t>24 décembre 2025</w:t>
      </w:r>
      <w:r>
        <w:rPr>
          <w:rFonts w:cs="Tahoma" w:ascii="Tahoma" w:hAnsi="Tahoma"/>
          <w:sz w:val="20"/>
          <w:szCs w:val="20"/>
        </w:rPr>
        <w:t>…</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 xml:space="preserve">La CFDT, </w:t>
        <w:tab/>
        <w:tab/>
        <w:tab/>
        <w:tab/>
        <w:tab/>
        <w:tab/>
        <w:tab/>
        <w:tab/>
        <w:t>La Présidente du Directoire,</w:t>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ab/>
        <w:tab/>
        <w:tab/>
        <w:tab/>
        <w:tab/>
        <w:tab/>
        <w:tab/>
      </w:r>
      <w:bookmarkStart w:id="1" w:name="_GoBack"/>
      <w:bookmarkEnd w:id="1"/>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t>La CGT,</w:t>
        <w:tab/>
        <w:tab/>
        <w:tab/>
        <w:tab/>
        <w:tab/>
        <w:tab/>
        <w:tab/>
      </w:r>
    </w:p>
    <w:p>
      <w:pPr>
        <w:pStyle w:val="Normal"/>
        <w:spacing w:lineRule="auto" w:line="276"/>
        <w:jc w:val="both"/>
        <w:rPr>
          <w:rFonts w:ascii="Tahoma" w:hAnsi="Tahoma" w:cs="Tahoma"/>
          <w:sz w:val="20"/>
          <w:szCs w:val="20"/>
        </w:rPr>
      </w:pPr>
      <w:r>
        <w:rPr>
          <w:rFonts w:cs="Tahoma" w:ascii="Tahoma" w:hAnsi="Tahoma"/>
          <w:sz w:val="20"/>
          <w:szCs w:val="20"/>
        </w:rPr>
      </w:r>
    </w:p>
    <w:p>
      <w:pPr>
        <w:pStyle w:val="Normal"/>
        <w:spacing w:lineRule="auto" w:line="276"/>
        <w:jc w:val="both"/>
        <w:rPr>
          <w:rFonts w:ascii="Tahoma" w:hAnsi="Tahoma" w:cs="Tahoma"/>
          <w:sz w:val="20"/>
          <w:szCs w:val="20"/>
        </w:rPr>
      </w:pPr>
      <w:r>
        <w:rPr>
          <w:rFonts w:cs="Tahoma" w:ascii="Tahoma" w:hAnsi="Tahoma"/>
          <w:sz w:val="20"/>
          <w:szCs w:val="20"/>
        </w:rPr>
      </w:r>
    </w:p>
    <w:p>
      <w:pPr>
        <w:pStyle w:val="Normal"/>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51" w:right="748" w:gutter="0" w:header="709" w:top="1560" w:footer="709" w:bottom="156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Segoe UI">
    <w:charset w:val="01"/>
    <w:family w:val="auto"/>
    <w:pitch w:val="default"/>
  </w:font>
  <w:font w:name="Marianne">
    <w:charset w:val="01"/>
    <w:family w:val="auto"/>
    <w:pitch w:val="default"/>
  </w:font>
  <w:font w:name="Tahoma">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2" name="Cadre3"/>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cs="Arial"/>
        <w:sz w:val="18"/>
        <w:szCs w:val="18"/>
      </w:rPr>
    </w:pPr>
    <w:r>
      <w:rPr>
        <w:rFonts w:cs="Arial"/>
        <w:sz w:val="18"/>
        <w:szCs w:val="18"/>
      </w:rPr>
      <w:fldChar w:fldCharType="begin"/>
    </w:r>
    <w:r>
      <w:rPr>
        <w:sz w:val="18"/>
        <w:szCs w:val="18"/>
        <w:rFonts w:cs="Arial"/>
      </w:rPr>
      <w:instrText xml:space="preserve"> PAGE </w:instrText>
    </w:r>
    <w:r>
      <w:rPr>
        <w:sz w:val="18"/>
        <w:szCs w:val="18"/>
        <w:rFonts w:cs="Arial"/>
      </w:rPr>
      <w:fldChar w:fldCharType="separate"/>
    </w:r>
    <w:r>
      <w:rPr>
        <w:sz w:val="18"/>
        <w:szCs w:val="18"/>
        <w:rFonts w:cs="Arial"/>
      </w:rPr>
      <w:t>8</w:t>
    </w:r>
    <w:r>
      <w:rPr>
        <w:sz w:val="18"/>
        <w:szCs w:val="18"/>
        <w:rFonts w:cs="Arial"/>
      </w:rPr>
      <w:fldChar w:fldCharType="end"/>
    </w:r>
    <w:r>
      <mc:AlternateContent>
        <mc:Choice Requires="wps">
          <w:drawing>
            <wp:anchor behindDoc="0" distT="0" distB="0" distL="0" distR="0" simplePos="0" locked="0" layoutInCell="0" allowOverlap="1" relativeHeight="16">
              <wp:simplePos x="0" y="0"/>
              <wp:positionH relativeFrom="margin">
                <wp:align>right</wp:align>
              </wp:positionH>
              <wp:positionV relativeFrom="paragraph">
                <wp:posOffset>635</wp:posOffset>
              </wp:positionV>
              <wp:extent cx="14605" cy="131445"/>
              <wp:effectExtent l="0" t="0" r="0" b="0"/>
              <wp:wrapSquare wrapText="bothSides"/>
              <wp:docPr id="3" name="Cadre4"/>
              <a:graphic xmlns:a="http://schemas.openxmlformats.org/drawingml/2006/main">
                <a:graphicData uri="http://schemas.microsoft.com/office/word/2010/wordprocessingShape">
                  <wps:wsp>
                    <wps:cNvSpPr txBox="1"/>
                    <wps:spPr>
                      <a:xfrm>
                        <a:off x="0" y="0"/>
                        <a:ext cx="14605" cy="131445"/>
                      </a:xfrm>
                      <a:prstGeom prst="rect"/>
                      <a:solidFill>
                        <a:srgbClr val="FFFFFF">
                          <a:alpha val="0"/>
                        </a:srgbClr>
                      </a:solidFill>
                    </wps:spPr>
                    <wps:txbx>
                      <w:txbxContent>
                        <w:p>
                          <w:pPr>
                            <w:pStyle w:val="Footer"/>
                            <w:pBdr/>
                            <w:rPr>
                              <w:rStyle w:val="PageNumber"/>
                              <w:sz w:val="18"/>
                              <w:szCs w:val="18"/>
                            </w:rPr>
                          </w:pPr>
                          <w:r>
                            <w:rPr>
                              <w:sz w:val="18"/>
                              <w:szCs w:val="18"/>
                            </w:rPr>
                          </w:r>
                        </w:p>
                      </w:txbxContent>
                    </wps:txbx>
                    <wps:bodyPr anchor="t" lIns="0" tIns="0" rIns="0" bIns="0">
                      <a:spAutoFit/>
                    </wps:bodyPr>
                  </wps:wsp>
                </a:graphicData>
              </a:graphic>
            </wp:anchor>
          </w:drawing>
        </mc:Choice>
        <mc:Fallback>
          <w:pict>
            <v:rect fillcolor="#FFFFFF" style="position:absolute;rotation:-0;width:1.15pt;height:10.35pt;mso-wrap-distance-left:0pt;mso-wrap-distance-right:0pt;mso-wrap-distance-top:0pt;mso-wrap-distance-bottom:0pt;margin-top:0.05pt;mso-position-vertical-relative:text;margin-left:514.2pt;mso-position-horizontal:right;mso-position-horizontal-relative:margin">
              <v:fill opacity="0f"/>
              <v:textbox inset="0in,0in,0in,0in">
                <w:txbxContent>
                  <w:p>
                    <w:pPr>
                      <w:pStyle w:val="Footer"/>
                      <w:pBdr/>
                      <w:rPr>
                        <w:rStyle w:val="PageNumber"/>
                        <w:sz w:val="18"/>
                        <w:szCs w:val="18"/>
                      </w:rPr>
                    </w:pPr>
                    <w:r>
                      <w:rPr>
                        <w:sz w:val="18"/>
                        <w:szCs w:val="18"/>
                      </w:rPr>
                    </w:r>
                  </w:p>
                </w:txbxContent>
              </v:textbox>
              <w10:wrap type="square"/>
            </v:rect>
          </w:pict>
        </mc:Fallback>
      </mc:AlternateContent>
    </w:r>
  </w:p>
  <w:p>
    <w:pPr>
      <w:pStyle w:val="Footer"/>
      <w:ind w:right="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3">
          <wp:simplePos x="0" y="0"/>
          <wp:positionH relativeFrom="page">
            <wp:align>left</wp:align>
          </wp:positionH>
          <wp:positionV relativeFrom="paragraph">
            <wp:posOffset>-714375</wp:posOffset>
          </wp:positionV>
          <wp:extent cx="3222625" cy="1531620"/>
          <wp:effectExtent l="0" t="0" r="0" b="0"/>
          <wp:wrapNone/>
          <wp:docPr id="4"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5" descr=""/>
                  <pic:cNvPicPr>
                    <a:picLocks noChangeAspect="1" noChangeArrowheads="1"/>
                  </pic:cNvPicPr>
                </pic:nvPicPr>
                <pic:blipFill>
                  <a:blip r:embed="rId1"/>
                  <a:stretch>
                    <a:fillRect/>
                  </a:stretch>
                </pic:blipFill>
                <pic:spPr bwMode="auto">
                  <a:xfrm>
                    <a:off x="0" y="0"/>
                    <a:ext cx="3222625" cy="1531620"/>
                  </a:xfrm>
                  <a:prstGeom prst="rect">
                    <a:avLst/>
                  </a:prstGeom>
                </pic:spPr>
              </pic:pic>
            </a:graphicData>
          </a:graphic>
        </wp:anchor>
      </w:drawing>
      <mc:AlternateContent>
        <mc:Choice Requires="wps">
          <w:drawing>
            <wp:anchor behindDoc="1" distT="0" distB="0" distL="0" distR="0" simplePos="0" locked="0" layoutInCell="1" allowOverlap="1" relativeHeight="4" wp14:anchorId="647279BB">
              <wp:simplePos x="0" y="0"/>
              <wp:positionH relativeFrom="column">
                <wp:posOffset>2514600</wp:posOffset>
              </wp:positionH>
              <wp:positionV relativeFrom="paragraph">
                <wp:posOffset>-333375</wp:posOffset>
              </wp:positionV>
              <wp:extent cx="2298065" cy="838200"/>
              <wp:effectExtent l="0" t="0" r="635" b="0"/>
              <wp:wrapNone/>
              <wp:docPr id="5" name="Zone de texte 1"/>
              <a:graphic xmlns:a="http://schemas.openxmlformats.org/drawingml/2006/main">
                <a:graphicData uri="http://schemas.microsoft.com/office/word/2010/wordprocessingShape">
                  <wps:wsp>
                    <wps:cNvSpPr/>
                    <wps:spPr>
                      <a:xfrm>
                        <a:off x="0" y="0"/>
                        <a:ext cx="2298240" cy="838080"/>
                      </a:xfrm>
                      <a:prstGeom prst="rect">
                        <a:avLst/>
                      </a:prstGeom>
                      <a:solidFill>
                        <a:srgbClr val="ffffff"/>
                      </a:solidFill>
                      <a:ln w="9525">
                        <a:noFill/>
                      </a:ln>
                    </wps:spPr>
                    <wps:style>
                      <a:lnRef idx="0"/>
                      <a:fillRef idx="0"/>
                      <a:effectRef idx="0"/>
                      <a:fontRef idx="minor"/>
                    </wps:style>
                    <wps:txbx>
                      <w:txbxContent>
                        <w:p>
                          <w:pPr>
                            <w:pStyle w:val="Contenudecadre"/>
                            <w:rPr>
                              <w:rFonts w:ascii="Tahoma" w:hAnsi="Tahoma" w:cs="Tahoma"/>
                              <w:color w:val="0D569F"/>
                              <w:sz w:val="16"/>
                              <w:szCs w:val="16"/>
                            </w:rPr>
                          </w:pPr>
                          <w:r>
                            <w:rPr>
                              <w:rFonts w:cs="Tahoma" w:ascii="Tahoma" w:hAnsi="Tahoma"/>
                              <w:color w:val="0D569F"/>
                              <w:sz w:val="16"/>
                              <w:szCs w:val="16"/>
                            </w:rPr>
                            <w:t>Port Atlantique La Rochelle</w:t>
                          </w:r>
                        </w:p>
                        <w:p>
                          <w:pPr>
                            <w:pStyle w:val="Contenudecadre"/>
                            <w:rPr>
                              <w:rFonts w:ascii="Tahoma" w:hAnsi="Tahoma" w:cs="Tahoma"/>
                              <w:color w:val="0D569F"/>
                              <w:sz w:val="16"/>
                              <w:szCs w:val="16"/>
                            </w:rPr>
                          </w:pPr>
                          <w:r>
                            <w:rPr>
                              <w:rFonts w:cs="Tahoma" w:ascii="Tahoma" w:hAnsi="Tahoma"/>
                              <w:color w:val="0D569F"/>
                              <w:sz w:val="16"/>
                              <w:szCs w:val="16"/>
                            </w:rPr>
                            <w:t>CS 70394 – 17001 La Rochelle Cedex 1</w:t>
                          </w:r>
                        </w:p>
                        <w:p>
                          <w:pPr>
                            <w:pStyle w:val="Contenudecadre"/>
                            <w:rPr>
                              <w:rFonts w:ascii="Tahoma" w:hAnsi="Tahoma" w:cs="Tahoma"/>
                              <w:bCs/>
                              <w:color w:val="24B4D9"/>
                              <w:sz w:val="16"/>
                              <w:szCs w:val="16"/>
                            </w:rPr>
                          </w:pPr>
                          <w:r>
                            <w:rPr>
                              <w:rFonts w:cs="Tahoma" w:ascii="Tahoma" w:hAnsi="Tahoma"/>
                              <w:bCs/>
                              <w:color w:val="24B4D9"/>
                              <w:sz w:val="16"/>
                              <w:szCs w:val="16"/>
                            </w:rPr>
                            <w:t>Tél. 33 (0)5 46 00 53 60</w:t>
                          </w:r>
                        </w:p>
                        <w:p>
                          <w:pPr>
                            <w:pStyle w:val="Contenudecadre"/>
                            <w:spacing w:before="0" w:after="60"/>
                            <w:rPr>
                              <w:rFonts w:ascii="Tahoma" w:hAnsi="Tahoma" w:cs="Tahoma"/>
                              <w:bCs/>
                              <w:color w:val="24B4D9"/>
                              <w:sz w:val="16"/>
                              <w:szCs w:val="16"/>
                            </w:rPr>
                          </w:pPr>
                          <w:hyperlink r:id="rId2">
                            <w:r>
                              <w:rPr>
                                <w:rStyle w:val="ListLabel271"/>
                                <w:color w:val="24B4D9"/>
                                <w:sz w:val="16"/>
                                <w:szCs w:val="16"/>
                              </w:rPr>
                              <w:t>contact@larochelle-port.eu</w:t>
                            </w:r>
                          </w:hyperlink>
                        </w:p>
                        <w:p>
                          <w:pPr>
                            <w:pStyle w:val="Contenudecadre"/>
                            <w:rPr/>
                          </w:pPr>
                          <w:r>
                            <w:rPr/>
                            <w:drawing>
                              <wp:inline distT="0" distB="0" distL="0" distR="0">
                                <wp:extent cx="866775" cy="203835"/>
                                <wp:effectExtent l="0" t="0" r="0" b="0"/>
                                <wp:docPr id="7"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
                                        <pic:cNvPicPr>
                                          <a:picLocks noChangeAspect="1" noChangeArrowheads="1"/>
                                        </pic:cNvPicPr>
                                      </pic:nvPicPr>
                                      <pic:blipFill>
                                        <a:blip r:embed="rId3"/>
                                        <a:stretch>
                                          <a:fillRect/>
                                        </a:stretch>
                                      </pic:blipFill>
                                      <pic:spPr bwMode="auto">
                                        <a:xfrm>
                                          <a:off x="0" y="0"/>
                                          <a:ext cx="866775" cy="203835"/>
                                        </a:xfrm>
                                        <a:prstGeom prst="rect">
                                          <a:avLst/>
                                        </a:prstGeom>
                                      </pic:spPr>
                                    </pic:pic>
                                  </a:graphicData>
                                </a:graphic>
                              </wp:inline>
                            </w:drawing>
                          </w:r>
                        </w:p>
                      </w:txbxContent>
                    </wps:txbx>
                    <wps:bodyPr anchor="t">
                      <a:noAutofit/>
                    </wps:bodyPr>
                  </wps:wsp>
                </a:graphicData>
              </a:graphic>
            </wp:anchor>
          </w:drawing>
        </mc:Choice>
        <mc:Fallback>
          <w:pict>
            <v:rect id="shape_0" ID="Zone de texte 1" path="m0,0l-2147483645,0l-2147483645,-2147483646l0,-2147483646xe" fillcolor="white" stroked="f" o:allowincell="f" style="position:absolute;margin-left:198pt;margin-top:-26.25pt;width:180.9pt;height:65.95pt;mso-wrap-style:square;v-text-anchor:top" wp14:anchorId="647279BB">
              <v:fill o:detectmouseclick="t" type="solid" color2="black"/>
              <v:stroke color="#3465a4" weight="9360" joinstyle="miter" endcap="flat"/>
              <v:textbox>
                <w:txbxContent>
                  <w:p>
                    <w:pPr>
                      <w:pStyle w:val="Contenudecadre"/>
                      <w:rPr>
                        <w:rFonts w:ascii="Tahoma" w:hAnsi="Tahoma" w:cs="Tahoma"/>
                        <w:color w:val="0D569F"/>
                        <w:sz w:val="16"/>
                        <w:szCs w:val="16"/>
                      </w:rPr>
                    </w:pPr>
                    <w:r>
                      <w:rPr>
                        <w:rFonts w:cs="Tahoma" w:ascii="Tahoma" w:hAnsi="Tahoma"/>
                        <w:color w:val="0D569F"/>
                        <w:sz w:val="16"/>
                        <w:szCs w:val="16"/>
                      </w:rPr>
                      <w:t>Port Atlantique La Rochelle</w:t>
                    </w:r>
                  </w:p>
                  <w:p>
                    <w:pPr>
                      <w:pStyle w:val="Contenudecadre"/>
                      <w:rPr>
                        <w:rFonts w:ascii="Tahoma" w:hAnsi="Tahoma" w:cs="Tahoma"/>
                        <w:color w:val="0D569F"/>
                        <w:sz w:val="16"/>
                        <w:szCs w:val="16"/>
                      </w:rPr>
                    </w:pPr>
                    <w:r>
                      <w:rPr>
                        <w:rFonts w:cs="Tahoma" w:ascii="Tahoma" w:hAnsi="Tahoma"/>
                        <w:color w:val="0D569F"/>
                        <w:sz w:val="16"/>
                        <w:szCs w:val="16"/>
                      </w:rPr>
                      <w:t>CS 70394 – 17001 La Rochelle Cedex 1</w:t>
                    </w:r>
                  </w:p>
                  <w:p>
                    <w:pPr>
                      <w:pStyle w:val="Contenudecadre"/>
                      <w:rPr>
                        <w:rFonts w:ascii="Tahoma" w:hAnsi="Tahoma" w:cs="Tahoma"/>
                        <w:bCs/>
                        <w:color w:val="24B4D9"/>
                        <w:sz w:val="16"/>
                        <w:szCs w:val="16"/>
                      </w:rPr>
                    </w:pPr>
                    <w:r>
                      <w:rPr>
                        <w:rFonts w:cs="Tahoma" w:ascii="Tahoma" w:hAnsi="Tahoma"/>
                        <w:bCs/>
                        <w:color w:val="24B4D9"/>
                        <w:sz w:val="16"/>
                        <w:szCs w:val="16"/>
                      </w:rPr>
                      <w:t>Tél. 33 (0)5 46 00 53 60</w:t>
                    </w:r>
                  </w:p>
                  <w:p>
                    <w:pPr>
                      <w:pStyle w:val="Contenudecadre"/>
                      <w:spacing w:before="0" w:after="60"/>
                      <w:rPr>
                        <w:rFonts w:ascii="Tahoma" w:hAnsi="Tahoma" w:cs="Tahoma"/>
                        <w:bCs/>
                        <w:color w:val="24B4D9"/>
                        <w:sz w:val="16"/>
                        <w:szCs w:val="16"/>
                      </w:rPr>
                    </w:pPr>
                    <w:hyperlink r:id="rId4">
                      <w:r>
                        <w:rPr>
                          <w:rStyle w:val="ListLabel271"/>
                          <w:color w:val="24B4D9"/>
                          <w:sz w:val="16"/>
                          <w:szCs w:val="16"/>
                        </w:rPr>
                        <w:t>contact@larochelle-port.eu</w:t>
                      </w:r>
                    </w:hyperlink>
                  </w:p>
                  <w:p>
                    <w:pPr>
                      <w:pStyle w:val="Contenudecadre"/>
                      <w:rPr/>
                    </w:pPr>
                    <w:r>
                      <w:rPr/>
                      <w:drawing>
                        <wp:inline distT="0" distB="0" distL="0" distR="0">
                          <wp:extent cx="866775" cy="203835"/>
                          <wp:effectExtent l="0" t="0" r="0" b="0"/>
                          <wp:docPr id="8"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6" descr=""/>
                                  <pic:cNvPicPr>
                                    <a:picLocks noChangeAspect="1" noChangeArrowheads="1"/>
                                  </pic:cNvPicPr>
                                </pic:nvPicPr>
                                <pic:blipFill>
                                  <a:blip r:embed="rId5"/>
                                  <a:stretch>
                                    <a:fillRect/>
                                  </a:stretch>
                                </pic:blipFill>
                                <pic:spPr bwMode="auto">
                                  <a:xfrm>
                                    <a:off x="0" y="0"/>
                                    <a:ext cx="866775" cy="203835"/>
                                  </a:xfrm>
                                  <a:prstGeom prst="rect">
                                    <a:avLst/>
                                  </a:prstGeom>
                                </pic:spPr>
                              </pic:pic>
                            </a:graphicData>
                          </a:graphic>
                        </wp:inline>
                      </w:drawing>
                    </w:r>
                  </w:p>
                </w:txbxContent>
              </v:textbox>
              <w10:wrap type="none"/>
            </v:rect>
          </w:pict>
        </mc:Fallback>
      </mc:AlternateContent>
      <w:drawing>
        <wp:anchor behindDoc="1" distT="0" distB="0" distL="0" distR="0" simplePos="0" locked="0" layoutInCell="1" allowOverlap="1" relativeHeight="7">
          <wp:simplePos x="0" y="0"/>
          <wp:positionH relativeFrom="column">
            <wp:posOffset>5438775</wp:posOffset>
          </wp:positionH>
          <wp:positionV relativeFrom="paragraph">
            <wp:posOffset>-209550</wp:posOffset>
          </wp:positionV>
          <wp:extent cx="537210" cy="629285"/>
          <wp:effectExtent l="0" t="0" r="0" b="0"/>
          <wp:wrapNone/>
          <wp:docPr id="6" name="Image 3" descr="\\192.168.2.134\Ressources$\Communication\Chartes et modèles\Charte graphique PALR et modèles de documents\Logos\AFAQ\Logo AFAQ QSE (tous formats)\Afaq_qse\JPEG\Afaq_qs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3" descr="\\192.168.2.134\Ressources$\Communication\Chartes et modèles\Charte graphique PALR et modèles de documents\Logos\AFAQ\Logo AFAQ QSE (tous formats)\Afaq_qse\JPEG\Afaq_qse_k.jpg"/>
                  <pic:cNvPicPr>
                    <a:picLocks noChangeAspect="1" noChangeArrowheads="1"/>
                  </pic:cNvPicPr>
                </pic:nvPicPr>
                <pic:blipFill>
                  <a:blip r:embed="rId6"/>
                  <a:stretch>
                    <a:fillRect/>
                  </a:stretch>
                </pic:blipFill>
                <pic:spPr bwMode="auto">
                  <a:xfrm>
                    <a:off x="0" y="0"/>
                    <a:ext cx="537210" cy="629285"/>
                  </a:xfrm>
                  <a:prstGeom prst="rect">
                    <a:avLst/>
                  </a:prstGeom>
                </pic:spPr>
              </pic:pic>
            </a:graphicData>
          </a:graphic>
        </wp:anchor>
      </w:drawing>
      <w:drawing>
        <wp:anchor behindDoc="1" distT="0" distB="0" distL="0" distR="0" simplePos="0" locked="0" layoutInCell="1" allowOverlap="1" relativeHeight="8">
          <wp:simplePos x="0" y="0"/>
          <wp:positionH relativeFrom="column">
            <wp:posOffset>6115050</wp:posOffset>
          </wp:positionH>
          <wp:positionV relativeFrom="paragraph">
            <wp:posOffset>-209550</wp:posOffset>
          </wp:positionV>
          <wp:extent cx="599440" cy="593090"/>
          <wp:effectExtent l="0" t="0" r="0" b="0"/>
          <wp:wrapNone/>
          <wp:docPr id="7" name="Image 2" descr="T:\11-Communication\Communication visuelle\Iconographie\Logos\Autres Logos\RSE Exemplaire\1 Logo tous formats\RSE_Exemplaire_contour_no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2" descr="T:\11-Communication\Communication visuelle\Iconographie\Logos\Autres Logos\RSE Exemplaire\1 Logo tous formats\RSE_Exemplaire_contour_noir.jpg"/>
                  <pic:cNvPicPr>
                    <a:picLocks noChangeAspect="1" noChangeArrowheads="1"/>
                  </pic:cNvPicPr>
                </pic:nvPicPr>
                <pic:blipFill>
                  <a:blip r:embed="rId7"/>
                  <a:stretch>
                    <a:fillRect/>
                  </a:stretch>
                </pic:blipFill>
                <pic:spPr bwMode="auto">
                  <a:xfrm>
                    <a:off x="0" y="0"/>
                    <a:ext cx="599440" cy="593090"/>
                  </a:xfrm>
                  <a:prstGeom prst="rect">
                    <a:avLst/>
                  </a:prstGeom>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2">
          <wp:simplePos x="0" y="0"/>
          <wp:positionH relativeFrom="column">
            <wp:posOffset>0</wp:posOffset>
          </wp:positionH>
          <wp:positionV relativeFrom="paragraph">
            <wp:posOffset>-635</wp:posOffset>
          </wp:positionV>
          <wp:extent cx="2380615" cy="749300"/>
          <wp:effectExtent l="0" t="0" r="0" b="0"/>
          <wp:wrapNone/>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1"/>
                  <a:stretch>
                    <a:fillRect/>
                  </a:stretch>
                </pic:blipFill>
                <pic:spPr bwMode="auto">
                  <a:xfrm>
                    <a:off x="0" y="0"/>
                    <a:ext cx="2380615" cy="74930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lvl w:ilvl="0">
      <w:start w:val="1"/>
      <w:numFmt w:val="decimal"/>
      <w:lvlText w:val="%1."/>
      <w:lvlJc w:val="left"/>
      <w:pPr>
        <w:tabs>
          <w:tab w:val="num" w:pos="720"/>
        </w:tabs>
        <w:ind w:left="720" w:hanging="360"/>
      </w:pPr>
      <w:rPr>
        <w:b/>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720"/>
        </w:tabs>
        <w:ind w:left="720" w:hanging="360"/>
      </w:pPr>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fr-FR" w:eastAsia="fr-FR" w:bidi="ar-SA"/>
      </w:rPr>
    </w:rPrDefault>
    <w:pPrDefault>
      <w:pPr>
        <w:suppressAutoHyphens w:val="true"/>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31a98"/>
    <w:pPr>
      <w:widowControl/>
      <w:bidi w:val="0"/>
      <w:spacing w:before="0" w:after="0"/>
      <w:jc w:val="left"/>
    </w:pPr>
    <w:rPr>
      <w:rFonts w:ascii="Arial" w:hAnsi="Arial" w:eastAsia="Times New Roman" w:cs="Times New Roman"/>
      <w:color w:val="auto"/>
      <w:kern w:val="0"/>
      <w:sz w:val="24"/>
      <w:szCs w:val="24"/>
      <w:lang w:val="fr-FR" w:eastAsia="fr-FR" w:bidi="ar-SA"/>
    </w:rPr>
  </w:style>
  <w:style w:type="character" w:styleId="DefaultParagraphFont" w:default="1">
    <w:name w:val="Default Paragraph Font"/>
    <w:uiPriority w:val="1"/>
    <w:semiHidden/>
    <w:unhideWhenUsed/>
    <w:qFormat/>
    <w:rPr/>
  </w:style>
  <w:style w:type="character" w:styleId="ExplorateurdedocumentsCar" w:customStyle="1">
    <w:name w:val="Explorateur de documents Car"/>
    <w:basedOn w:val="DefaultParagraphFont"/>
    <w:link w:val="DocumentMap"/>
    <w:uiPriority w:val="99"/>
    <w:semiHidden/>
    <w:qFormat/>
    <w:rsid w:val="00d63b32"/>
    <w:rPr>
      <w:sz w:val="0"/>
      <w:szCs w:val="0"/>
    </w:rPr>
  </w:style>
  <w:style w:type="character" w:styleId="PieddepageCar" w:customStyle="1">
    <w:name w:val="Pied de page Car"/>
    <w:basedOn w:val="DefaultParagraphFont"/>
    <w:uiPriority w:val="99"/>
    <w:qFormat/>
    <w:locked/>
    <w:rsid w:val="0024359a"/>
    <w:rPr>
      <w:rFonts w:ascii="Arial" w:hAnsi="Arial" w:cs="Times New Roman"/>
      <w:sz w:val="24"/>
      <w:szCs w:val="24"/>
    </w:rPr>
  </w:style>
  <w:style w:type="character" w:styleId="PageNumber">
    <w:name w:val="Page Number"/>
    <w:basedOn w:val="DefaultParagraphFont"/>
    <w:uiPriority w:val="99"/>
    <w:rsid w:val="00a023a3"/>
    <w:rPr>
      <w:rFonts w:cs="Times New Roman"/>
    </w:rPr>
  </w:style>
  <w:style w:type="character" w:styleId="En-tteCar" w:customStyle="1">
    <w:name w:val="En-tête Car"/>
    <w:basedOn w:val="DefaultParagraphFont"/>
    <w:uiPriority w:val="99"/>
    <w:semiHidden/>
    <w:qFormat/>
    <w:rsid w:val="00d63b32"/>
    <w:rPr>
      <w:rFonts w:ascii="Arial" w:hAnsi="Arial"/>
      <w:sz w:val="24"/>
      <w:szCs w:val="24"/>
    </w:rPr>
  </w:style>
  <w:style w:type="character" w:styleId="CorpsdetexteCar" w:customStyle="1">
    <w:name w:val="Corps de texte Car"/>
    <w:basedOn w:val="DefaultParagraphFont"/>
    <w:uiPriority w:val="99"/>
    <w:qFormat/>
    <w:locked/>
    <w:rsid w:val="00fd1fba"/>
    <w:rPr>
      <w:rFonts w:cs="Times New Roman"/>
      <w:sz w:val="24"/>
      <w:szCs w:val="24"/>
      <w:lang w:eastAsia="ar-SA" w:bidi="ar-SA"/>
    </w:rPr>
  </w:style>
  <w:style w:type="character" w:styleId="A3" w:customStyle="1">
    <w:name w:val="A3"/>
    <w:uiPriority w:val="99"/>
    <w:qFormat/>
    <w:rsid w:val="00f52056"/>
    <w:rPr>
      <w:color w:val="000000"/>
      <w:sz w:val="20"/>
    </w:rPr>
  </w:style>
  <w:style w:type="character" w:styleId="annotationreference">
    <w:name w:val="annotation reference"/>
    <w:basedOn w:val="DefaultParagraphFont"/>
    <w:uiPriority w:val="99"/>
    <w:semiHidden/>
    <w:unhideWhenUsed/>
    <w:qFormat/>
    <w:rsid w:val="004a2523"/>
    <w:rPr>
      <w:sz w:val="16"/>
      <w:szCs w:val="16"/>
    </w:rPr>
  </w:style>
  <w:style w:type="character" w:styleId="CommentaireCar" w:customStyle="1">
    <w:name w:val="Commentaire Car"/>
    <w:basedOn w:val="DefaultParagraphFont"/>
    <w:uiPriority w:val="99"/>
    <w:qFormat/>
    <w:rsid w:val="004a2523"/>
    <w:rPr>
      <w:rFonts w:ascii="Arial" w:hAnsi="Arial"/>
      <w:sz w:val="20"/>
      <w:szCs w:val="20"/>
    </w:rPr>
  </w:style>
  <w:style w:type="character" w:styleId="ObjetducommentaireCar" w:customStyle="1">
    <w:name w:val="Objet du commentaire Car"/>
    <w:basedOn w:val="CommentaireCar"/>
    <w:link w:val="annotationsubject"/>
    <w:uiPriority w:val="99"/>
    <w:semiHidden/>
    <w:qFormat/>
    <w:rsid w:val="004a2523"/>
    <w:rPr>
      <w:rFonts w:ascii="Arial" w:hAnsi="Arial"/>
      <w:b/>
      <w:bCs/>
      <w:sz w:val="20"/>
      <w:szCs w:val="20"/>
    </w:rPr>
  </w:style>
  <w:style w:type="character" w:styleId="TextedebullesCar" w:customStyle="1">
    <w:name w:val="Texte de bulles Car"/>
    <w:basedOn w:val="DefaultParagraphFont"/>
    <w:link w:val="BalloonText"/>
    <w:uiPriority w:val="99"/>
    <w:semiHidden/>
    <w:qFormat/>
    <w:rsid w:val="004a2523"/>
    <w:rPr>
      <w:rFonts w:ascii="Segoe UI" w:hAnsi="Segoe UI" w:cs="Segoe UI"/>
      <w:sz w:val="18"/>
      <w:szCs w:val="18"/>
    </w:rPr>
  </w:style>
  <w:style w:type="character" w:styleId="NotedebasdepageCar" w:customStyle="1">
    <w:name w:val="Note de bas de page Car"/>
    <w:basedOn w:val="DefaultParagraphFont"/>
    <w:uiPriority w:val="99"/>
    <w:qFormat/>
    <w:rsid w:val="00f16472"/>
    <w:rPr>
      <w:sz w:val="20"/>
      <w:szCs w:val="20"/>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link w:val="CorpsdetexteCar"/>
    <w:rsid w:val="00fd1fba"/>
    <w:pPr>
      <w:suppressAutoHyphens w:val="true"/>
      <w:spacing w:before="0" w:after="120"/>
    </w:pPr>
    <w:rPr>
      <w:rFonts w:ascii="Times New Roman" w:hAnsi="Times New Roman"/>
      <w:lang w:eastAsia="ar-SA"/>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NormalWeb">
    <w:name w:val="Normal (Web)"/>
    <w:basedOn w:val="Normal"/>
    <w:uiPriority w:val="99"/>
    <w:qFormat/>
    <w:rsid w:val="00031a98"/>
    <w:pPr>
      <w:spacing w:beforeAutospacing="1" w:afterAutospacing="1"/>
    </w:pPr>
    <w:rPr>
      <w:rFonts w:ascii="Times New Roman" w:hAnsi="Times New Roman"/>
      <w:color w:val="000000"/>
    </w:rPr>
  </w:style>
  <w:style w:type="paragraph" w:styleId="DocumentMap">
    <w:name w:val="Document Map"/>
    <w:basedOn w:val="Normal"/>
    <w:link w:val="ExplorateurdedocumentsCar"/>
    <w:uiPriority w:val="99"/>
    <w:semiHidden/>
    <w:qFormat/>
    <w:rsid w:val="00f211ab"/>
    <w:pPr>
      <w:shd w:val="clear" w:color="auto" w:fill="000080"/>
    </w:pPr>
    <w:rPr>
      <w:rFonts w:ascii="Tahoma" w:hAnsi="Tahoma" w:cs="Tahoma"/>
      <w:sz w:val="20"/>
      <w:szCs w:val="20"/>
    </w:rPr>
  </w:style>
  <w:style w:type="paragraph" w:styleId="HeaderandFooter">
    <w:name w:val="Header and Footer"/>
    <w:basedOn w:val="Normal"/>
    <w:qFormat/>
    <w:pPr/>
    <w:rPr/>
  </w:style>
  <w:style w:type="paragraph" w:styleId="Footer">
    <w:name w:val="Footer"/>
    <w:basedOn w:val="Normal"/>
    <w:link w:val="PieddepageCar"/>
    <w:uiPriority w:val="99"/>
    <w:rsid w:val="00a023a3"/>
    <w:pPr>
      <w:tabs>
        <w:tab w:val="clear" w:pos="708"/>
        <w:tab w:val="center" w:pos="4536" w:leader="none"/>
        <w:tab w:val="right" w:pos="9072" w:leader="none"/>
      </w:tabs>
    </w:pPr>
    <w:rPr/>
  </w:style>
  <w:style w:type="paragraph" w:styleId="Header">
    <w:name w:val="Header"/>
    <w:basedOn w:val="Normal"/>
    <w:link w:val="En-tteCar"/>
    <w:uiPriority w:val="99"/>
    <w:rsid w:val="00a023a3"/>
    <w:pPr>
      <w:tabs>
        <w:tab w:val="clear" w:pos="708"/>
        <w:tab w:val="center" w:pos="4536" w:leader="none"/>
        <w:tab w:val="right" w:pos="9072" w:leader="none"/>
      </w:tabs>
    </w:pPr>
    <w:rPr/>
  </w:style>
  <w:style w:type="paragraph" w:styleId="ListParagraph">
    <w:name w:val="List Paragraph"/>
    <w:basedOn w:val="Normal"/>
    <w:uiPriority w:val="99"/>
    <w:qFormat/>
    <w:rsid w:val="00550d7e"/>
    <w:pPr>
      <w:spacing w:before="0" w:after="0"/>
      <w:ind w:left="720"/>
      <w:contextualSpacing/>
    </w:pPr>
    <w:rPr/>
  </w:style>
  <w:style w:type="paragraph" w:styleId="Pa0" w:customStyle="1">
    <w:name w:val="Pa0"/>
    <w:basedOn w:val="Normal"/>
    <w:next w:val="Normal"/>
    <w:uiPriority w:val="99"/>
    <w:qFormat/>
    <w:rsid w:val="00f52056"/>
    <w:pPr>
      <w:spacing w:lineRule="atLeast" w:line="241"/>
    </w:pPr>
    <w:rPr>
      <w:rFonts w:cs="Arial"/>
      <w:lang w:eastAsia="en-US"/>
    </w:rPr>
  </w:style>
  <w:style w:type="paragraph" w:styleId="AnnotationText">
    <w:name w:val="Annotation Text"/>
    <w:basedOn w:val="Normal"/>
    <w:link w:val="CommentaireCar"/>
    <w:uiPriority w:val="99"/>
    <w:unhideWhenUsed/>
    <w:rsid w:val="004a2523"/>
    <w:pPr/>
    <w:rPr>
      <w:sz w:val="20"/>
      <w:szCs w:val="20"/>
    </w:rPr>
  </w:style>
  <w:style w:type="paragraph" w:styleId="annotationsubject">
    <w:name w:val="annotation subject"/>
    <w:basedOn w:val="AnnotationText"/>
    <w:next w:val="AnnotationText"/>
    <w:link w:val="ObjetducommentaireCar"/>
    <w:uiPriority w:val="99"/>
    <w:semiHidden/>
    <w:unhideWhenUsed/>
    <w:qFormat/>
    <w:rsid w:val="004a2523"/>
    <w:pPr/>
    <w:rPr>
      <w:b/>
      <w:bCs/>
    </w:rPr>
  </w:style>
  <w:style w:type="paragraph" w:styleId="BalloonText">
    <w:name w:val="Balloon Text"/>
    <w:basedOn w:val="Normal"/>
    <w:link w:val="TextedebullesCar"/>
    <w:uiPriority w:val="99"/>
    <w:semiHidden/>
    <w:unhideWhenUsed/>
    <w:qFormat/>
    <w:rsid w:val="004a2523"/>
    <w:pPr/>
    <w:rPr>
      <w:rFonts w:ascii="Segoe UI" w:hAnsi="Segoe UI" w:cs="Segoe UI"/>
      <w:sz w:val="18"/>
      <w:szCs w:val="18"/>
    </w:rPr>
  </w:style>
  <w:style w:type="paragraph" w:styleId="s7" w:customStyle="1">
    <w:name w:val="s7"/>
    <w:basedOn w:val="Normal"/>
    <w:qFormat/>
    <w:rsid w:val="001b1641"/>
    <w:pPr>
      <w:spacing w:beforeAutospacing="1" w:afterAutospacing="1"/>
    </w:pPr>
    <w:rPr>
      <w:rFonts w:ascii="Times New Roman" w:hAnsi="Times New Roman" w:eastAsia="Calibri" w:eastAsiaTheme="minorHAnsi"/>
    </w:rPr>
  </w:style>
  <w:style w:type="paragraph" w:styleId="FootnoteText">
    <w:name w:val="Footnote Text"/>
    <w:basedOn w:val="Normal"/>
    <w:link w:val="NotedebasdepageCar"/>
    <w:uiPriority w:val="99"/>
    <w:unhideWhenUsed/>
    <w:rsid w:val="00f16472"/>
    <w:pPr/>
    <w:rPr>
      <w:rFonts w:ascii="Times New Roman" w:hAnsi="Times New Roman"/>
      <w:sz w:val="20"/>
      <w:szCs w:val="20"/>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3.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mailto:contact@larochelle-port.eu" TargetMode="External"/><Relationship Id="rId3" Type="http://schemas.openxmlformats.org/officeDocument/2006/relationships/image" Target="media/image3.wmf"/><Relationship Id="rId4" Type="http://schemas.openxmlformats.org/officeDocument/2006/relationships/hyperlink" Target="mailto:contact@larochelle-port.eu" TargetMode="External"/><Relationship Id="rId5" Type="http://schemas.openxmlformats.org/officeDocument/2006/relationships/image" Target="media/image3.wmf"/><Relationship Id="rId6" Type="http://schemas.openxmlformats.org/officeDocument/2006/relationships/image" Target="media/image4.jpeg"/><Relationship Id="rId7" Type="http://schemas.openxmlformats.org/officeDocument/2006/relationships/image" Target="media/image5.jpe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088A1-0231-4241-8DC0-A9ECD68E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8</Pages>
  <Words>1990</Words>
  <Characters>10697</Characters>
  <CharactersWithSpaces>12729</CharactersWithSpaces>
  <Paragraphs>114</Paragraphs>
  <Company>Port Autonome de La Rochelle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2026-01-19T14:33:18Z</dcterms:created>
  <dc:creator/>
  <dc:description/>
  <dc:language>fr-FR</dc:language>
  <cp:lastModifiedBy/>
  <cp:revision>1</cp:revision>
  <dc:subject/>
  <dc:title>CONTRAT A DUREE DETERMINEE</dc:title>
</cp:coreProperties>
</file>

<file path=docProps/custom.xml><?xml version="1.0" encoding="utf-8"?>
<Properties xmlns="http://schemas.openxmlformats.org/officeDocument/2006/custom-properties" xmlns:vt="http://schemas.openxmlformats.org/officeDocument/2006/docPropsVTypes"/>
</file>