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10E24" w14:textId="77777777" w:rsidR="00446C57" w:rsidRPr="002067E0" w:rsidRDefault="00446C57">
      <w:pPr>
        <w:pStyle w:val="Standard"/>
        <w:spacing w:line="276" w:lineRule="auto"/>
        <w:rPr>
          <w:szCs w:val="22"/>
        </w:rPr>
      </w:pPr>
      <w:bookmarkStart w:id="0" w:name="_Hlk214880202"/>
      <w:bookmarkEnd w:id="0"/>
    </w:p>
    <w:p w14:paraId="16E84FFA" w14:textId="1AABAA00" w:rsidR="00446C57" w:rsidRPr="002067E0" w:rsidRDefault="00C86188">
      <w:pPr>
        <w:pStyle w:val="Standard"/>
        <w:pBdr>
          <w:top w:val="single" w:sz="4" w:space="1" w:color="0070C0"/>
          <w:left w:val="single" w:sz="4" w:space="4" w:color="0070C0"/>
          <w:bottom w:val="single" w:sz="4" w:space="1" w:color="0070C0"/>
          <w:right w:val="single" w:sz="4" w:space="4" w:color="0070C0"/>
        </w:pBdr>
        <w:spacing w:line="276" w:lineRule="auto"/>
        <w:jc w:val="center"/>
        <w:rPr>
          <w:sz w:val="30"/>
          <w:szCs w:val="30"/>
        </w:rPr>
      </w:pPr>
      <w:r w:rsidRPr="002067E0">
        <w:rPr>
          <w:b/>
          <w:sz w:val="30"/>
          <w:szCs w:val="30"/>
        </w:rPr>
        <w:t>Avenant n°</w:t>
      </w:r>
      <w:r w:rsidR="00A26D2B">
        <w:rPr>
          <w:b/>
          <w:sz w:val="30"/>
          <w:szCs w:val="30"/>
        </w:rPr>
        <w:t>3</w:t>
      </w:r>
      <w:r w:rsidRPr="002067E0">
        <w:rPr>
          <w:b/>
          <w:sz w:val="30"/>
          <w:szCs w:val="30"/>
        </w:rPr>
        <w:t xml:space="preserve"> à l’Accord d’entreprise sur le régime social du personnel</w:t>
      </w:r>
    </w:p>
    <w:p w14:paraId="6950D594" w14:textId="77777777" w:rsidR="00446C57" w:rsidRPr="002067E0" w:rsidRDefault="00446C57">
      <w:pPr>
        <w:pStyle w:val="Standard"/>
        <w:spacing w:line="276" w:lineRule="auto"/>
        <w:rPr>
          <w:szCs w:val="22"/>
        </w:rPr>
      </w:pPr>
    </w:p>
    <w:p w14:paraId="5D1E6B9A" w14:textId="77777777" w:rsidR="00446C57" w:rsidRPr="002067E0" w:rsidRDefault="00446C57">
      <w:pPr>
        <w:pStyle w:val="Standard"/>
        <w:spacing w:line="276" w:lineRule="auto"/>
        <w:rPr>
          <w:szCs w:val="22"/>
        </w:rPr>
      </w:pPr>
    </w:p>
    <w:p w14:paraId="7312CECE" w14:textId="77777777" w:rsidR="00446C57" w:rsidRPr="002067E0" w:rsidRDefault="00C86188">
      <w:pPr>
        <w:pStyle w:val="Standard"/>
        <w:spacing w:line="276" w:lineRule="auto"/>
        <w:jc w:val="both"/>
        <w:rPr>
          <w:szCs w:val="22"/>
        </w:rPr>
      </w:pPr>
      <w:r w:rsidRPr="002067E0">
        <w:rPr>
          <w:b/>
          <w:szCs w:val="22"/>
          <w:lang w:eastAsia="en-US" w:bidi="en-US"/>
        </w:rPr>
        <w:t>Entre :</w:t>
      </w:r>
    </w:p>
    <w:p w14:paraId="3394A933" w14:textId="77777777" w:rsidR="00446C57" w:rsidRPr="002067E0" w:rsidRDefault="00446C57">
      <w:pPr>
        <w:pStyle w:val="Standard"/>
        <w:spacing w:line="276" w:lineRule="auto"/>
        <w:jc w:val="both"/>
        <w:rPr>
          <w:b/>
          <w:szCs w:val="22"/>
          <w:lang w:eastAsia="en-US" w:bidi="en-US"/>
        </w:rPr>
      </w:pPr>
    </w:p>
    <w:p w14:paraId="692BE6D0" w14:textId="08295263" w:rsidR="00446C57" w:rsidRPr="002067E0" w:rsidRDefault="00C86188">
      <w:pPr>
        <w:pStyle w:val="Standard"/>
        <w:spacing w:line="276" w:lineRule="auto"/>
        <w:jc w:val="both"/>
        <w:rPr>
          <w:szCs w:val="22"/>
        </w:rPr>
      </w:pPr>
      <w:r w:rsidRPr="002067E0">
        <w:rPr>
          <w:rFonts w:eastAsia="SimSun"/>
          <w:b/>
          <w:szCs w:val="22"/>
          <w:lang w:eastAsia="zh-CN" w:bidi="en-US"/>
        </w:rPr>
        <w:t>La Société d’Exploitation de l’Aéroport de Toulon-Hyères</w:t>
      </w:r>
      <w:r w:rsidRPr="002067E0">
        <w:rPr>
          <w:rFonts w:eastAsia="SimSun"/>
          <w:szCs w:val="22"/>
          <w:lang w:eastAsia="zh-CN" w:bidi="en-US"/>
        </w:rPr>
        <w:t xml:space="preserve"> (SEATH), S.A.S au capital de 1 215 0000 euros, dont le siège social est situé à l’Aéroport de Toulon-Hyères, Boulevard de la Marine, 83400 Hyères, immatriculée au RCS de Toulon, sous le numéro 537 935 058 000 25, représentée par </w:t>
      </w:r>
      <w:r w:rsidR="00824095">
        <w:rPr>
          <w:b/>
          <w:szCs w:val="22"/>
          <w:lang w:eastAsia="en-US" w:bidi="en-US"/>
        </w:rPr>
        <w:t>[…]</w:t>
      </w:r>
      <w:r w:rsidRPr="002067E0">
        <w:rPr>
          <w:rFonts w:eastAsia="SimSun"/>
          <w:szCs w:val="22"/>
          <w:lang w:eastAsia="zh-CN" w:bidi="en-US"/>
        </w:rPr>
        <w:t>, Directrice, dûment habilitée à cet effet,</w:t>
      </w:r>
    </w:p>
    <w:p w14:paraId="544298DF" w14:textId="77777777" w:rsidR="00446C57" w:rsidRPr="002067E0" w:rsidRDefault="00446C57">
      <w:pPr>
        <w:pStyle w:val="Standard"/>
        <w:spacing w:line="276" w:lineRule="auto"/>
        <w:jc w:val="both"/>
        <w:rPr>
          <w:b/>
          <w:szCs w:val="22"/>
          <w:lang w:eastAsia="en-US" w:bidi="en-US"/>
        </w:rPr>
      </w:pPr>
    </w:p>
    <w:p w14:paraId="19EF7EA7" w14:textId="77777777" w:rsidR="00446C57" w:rsidRPr="002067E0" w:rsidRDefault="00C86188">
      <w:pPr>
        <w:pStyle w:val="Standard"/>
        <w:spacing w:line="276" w:lineRule="auto"/>
        <w:jc w:val="both"/>
        <w:rPr>
          <w:szCs w:val="22"/>
        </w:rPr>
      </w:pPr>
      <w:r w:rsidRPr="002067E0">
        <w:rPr>
          <w:b/>
          <w:szCs w:val="22"/>
          <w:lang w:eastAsia="en-US" w:bidi="en-US"/>
        </w:rPr>
        <w:t>D’une part,</w:t>
      </w:r>
    </w:p>
    <w:p w14:paraId="13DA85C4" w14:textId="77777777" w:rsidR="00446C57" w:rsidRPr="002067E0" w:rsidRDefault="00446C57">
      <w:pPr>
        <w:pStyle w:val="Standard"/>
        <w:spacing w:line="276" w:lineRule="auto"/>
        <w:jc w:val="both"/>
        <w:rPr>
          <w:b/>
          <w:szCs w:val="22"/>
          <w:lang w:eastAsia="en-US" w:bidi="en-US"/>
        </w:rPr>
      </w:pPr>
    </w:p>
    <w:p w14:paraId="414A736A" w14:textId="77777777" w:rsidR="00446C57" w:rsidRPr="002067E0" w:rsidRDefault="00C86188">
      <w:pPr>
        <w:pStyle w:val="Standard"/>
        <w:spacing w:line="276" w:lineRule="auto"/>
        <w:jc w:val="both"/>
        <w:rPr>
          <w:szCs w:val="22"/>
        </w:rPr>
      </w:pPr>
      <w:r w:rsidRPr="002067E0">
        <w:rPr>
          <w:b/>
          <w:szCs w:val="22"/>
          <w:lang w:eastAsia="en-US" w:bidi="en-US"/>
        </w:rPr>
        <w:t>Et</w:t>
      </w:r>
    </w:p>
    <w:p w14:paraId="603A80B9" w14:textId="77777777" w:rsidR="00446C57" w:rsidRPr="002067E0" w:rsidRDefault="00446C57">
      <w:pPr>
        <w:pStyle w:val="Standard"/>
        <w:spacing w:line="276" w:lineRule="auto"/>
        <w:jc w:val="both"/>
        <w:rPr>
          <w:b/>
          <w:szCs w:val="22"/>
          <w:lang w:eastAsia="en-US" w:bidi="en-US"/>
        </w:rPr>
      </w:pPr>
    </w:p>
    <w:p w14:paraId="3F692388" w14:textId="77777777" w:rsidR="00446C57" w:rsidRPr="002067E0" w:rsidRDefault="00C86188">
      <w:pPr>
        <w:pStyle w:val="Standard"/>
        <w:spacing w:line="276" w:lineRule="auto"/>
        <w:jc w:val="both"/>
        <w:rPr>
          <w:szCs w:val="22"/>
        </w:rPr>
      </w:pPr>
      <w:r w:rsidRPr="002067E0">
        <w:rPr>
          <w:szCs w:val="22"/>
          <w:lang w:eastAsia="en-US" w:bidi="en-US"/>
        </w:rPr>
        <w:t>Les organisations syndicales représentatives de la société :</w:t>
      </w:r>
    </w:p>
    <w:p w14:paraId="3F84E894" w14:textId="5C26A2E2" w:rsidR="00446C57" w:rsidRPr="002067E0" w:rsidRDefault="00C86188">
      <w:pPr>
        <w:pStyle w:val="Standard"/>
        <w:widowControl w:val="0"/>
        <w:numPr>
          <w:ilvl w:val="0"/>
          <w:numId w:val="1"/>
        </w:numPr>
        <w:spacing w:line="276" w:lineRule="auto"/>
        <w:jc w:val="both"/>
        <w:rPr>
          <w:szCs w:val="22"/>
        </w:rPr>
      </w:pPr>
      <w:r w:rsidRPr="002067E0">
        <w:rPr>
          <w:szCs w:val="22"/>
          <w:lang w:eastAsia="en-US" w:bidi="en-US"/>
        </w:rPr>
        <w:t xml:space="preserve">Syndicat </w:t>
      </w:r>
      <w:r w:rsidRPr="002067E0">
        <w:rPr>
          <w:b/>
          <w:szCs w:val="22"/>
          <w:lang w:eastAsia="en-US" w:bidi="en-US"/>
        </w:rPr>
        <w:t>CFTC</w:t>
      </w:r>
      <w:r w:rsidRPr="002067E0">
        <w:rPr>
          <w:szCs w:val="22"/>
          <w:lang w:eastAsia="en-US" w:bidi="en-US"/>
        </w:rPr>
        <w:t xml:space="preserve"> représenté par </w:t>
      </w:r>
      <w:r w:rsidR="00824095">
        <w:rPr>
          <w:b/>
          <w:szCs w:val="22"/>
          <w:lang w:eastAsia="en-US" w:bidi="en-US"/>
        </w:rPr>
        <w:t>[…]</w:t>
      </w:r>
      <w:r w:rsidRPr="002067E0">
        <w:rPr>
          <w:b/>
          <w:szCs w:val="22"/>
          <w:lang w:eastAsia="en-US" w:bidi="en-US"/>
        </w:rPr>
        <w:t xml:space="preserve">, </w:t>
      </w:r>
      <w:r w:rsidRPr="002067E0">
        <w:rPr>
          <w:bCs/>
          <w:szCs w:val="22"/>
          <w:lang w:eastAsia="en-US" w:bidi="en-US"/>
        </w:rPr>
        <w:t>en sa qualité de</w:t>
      </w:r>
      <w:r w:rsidRPr="002067E0">
        <w:rPr>
          <w:b/>
          <w:szCs w:val="22"/>
          <w:lang w:eastAsia="en-US" w:bidi="en-US"/>
        </w:rPr>
        <w:t xml:space="preserve"> Délégué Syndical.</w:t>
      </w:r>
    </w:p>
    <w:p w14:paraId="68DB5D3D" w14:textId="711D183C" w:rsidR="00446C57" w:rsidRPr="002067E0" w:rsidRDefault="00C86188">
      <w:pPr>
        <w:pStyle w:val="Standard"/>
        <w:widowControl w:val="0"/>
        <w:numPr>
          <w:ilvl w:val="0"/>
          <w:numId w:val="1"/>
        </w:numPr>
        <w:spacing w:line="276" w:lineRule="auto"/>
        <w:jc w:val="both"/>
        <w:rPr>
          <w:szCs w:val="22"/>
        </w:rPr>
      </w:pPr>
      <w:r w:rsidRPr="002067E0">
        <w:rPr>
          <w:szCs w:val="22"/>
          <w:lang w:eastAsia="en-US" w:bidi="en-US"/>
        </w:rPr>
        <w:t xml:space="preserve">Syndicat </w:t>
      </w:r>
      <w:r w:rsidRPr="002067E0">
        <w:rPr>
          <w:b/>
          <w:szCs w:val="22"/>
          <w:lang w:eastAsia="en-US" w:bidi="en-US"/>
        </w:rPr>
        <w:t>CFDT</w:t>
      </w:r>
      <w:r w:rsidRPr="002067E0">
        <w:rPr>
          <w:szCs w:val="22"/>
          <w:lang w:eastAsia="en-US" w:bidi="en-US"/>
        </w:rPr>
        <w:t xml:space="preserve"> représenté par </w:t>
      </w:r>
      <w:r w:rsidR="00824095">
        <w:rPr>
          <w:b/>
          <w:szCs w:val="22"/>
          <w:lang w:eastAsia="en-US" w:bidi="en-US"/>
        </w:rPr>
        <w:t>[…]</w:t>
      </w:r>
      <w:r w:rsidRPr="002067E0">
        <w:rPr>
          <w:b/>
          <w:szCs w:val="22"/>
          <w:lang w:eastAsia="en-US" w:bidi="en-US"/>
        </w:rPr>
        <w:t xml:space="preserve">, </w:t>
      </w:r>
      <w:r w:rsidRPr="002067E0">
        <w:rPr>
          <w:bCs/>
          <w:szCs w:val="22"/>
          <w:lang w:eastAsia="en-US" w:bidi="en-US"/>
        </w:rPr>
        <w:t>en sa qualité de</w:t>
      </w:r>
      <w:r w:rsidRPr="002067E0">
        <w:rPr>
          <w:b/>
          <w:szCs w:val="22"/>
          <w:lang w:eastAsia="en-US" w:bidi="en-US"/>
        </w:rPr>
        <w:t xml:space="preserve"> Délégué</w:t>
      </w:r>
      <w:r w:rsidR="00714D0A" w:rsidRPr="002067E0">
        <w:rPr>
          <w:b/>
          <w:szCs w:val="22"/>
          <w:lang w:eastAsia="en-US" w:bidi="en-US"/>
        </w:rPr>
        <w:t>e</w:t>
      </w:r>
      <w:r w:rsidRPr="002067E0">
        <w:rPr>
          <w:b/>
          <w:szCs w:val="22"/>
          <w:lang w:eastAsia="en-US" w:bidi="en-US"/>
        </w:rPr>
        <w:t xml:space="preserve"> Syndical</w:t>
      </w:r>
      <w:r w:rsidR="00714D0A" w:rsidRPr="002067E0">
        <w:rPr>
          <w:b/>
          <w:szCs w:val="22"/>
          <w:lang w:eastAsia="en-US" w:bidi="en-US"/>
        </w:rPr>
        <w:t>e</w:t>
      </w:r>
      <w:r w:rsidRPr="002067E0">
        <w:rPr>
          <w:szCs w:val="22"/>
          <w:lang w:eastAsia="en-US" w:bidi="en-US"/>
        </w:rPr>
        <w:t>.</w:t>
      </w:r>
    </w:p>
    <w:p w14:paraId="4294E771" w14:textId="4DEF68DE" w:rsidR="00446C57" w:rsidRPr="002067E0" w:rsidRDefault="00C86188">
      <w:pPr>
        <w:pStyle w:val="Standard"/>
        <w:widowControl w:val="0"/>
        <w:numPr>
          <w:ilvl w:val="0"/>
          <w:numId w:val="1"/>
        </w:numPr>
        <w:spacing w:line="276" w:lineRule="auto"/>
        <w:jc w:val="both"/>
        <w:rPr>
          <w:szCs w:val="22"/>
        </w:rPr>
      </w:pPr>
      <w:r w:rsidRPr="002067E0">
        <w:rPr>
          <w:szCs w:val="22"/>
          <w:lang w:eastAsia="en-US" w:bidi="en-US"/>
        </w:rPr>
        <w:t xml:space="preserve">Syndicat </w:t>
      </w:r>
      <w:r w:rsidRPr="002067E0">
        <w:rPr>
          <w:b/>
          <w:szCs w:val="22"/>
          <w:lang w:eastAsia="en-US" w:bidi="en-US"/>
        </w:rPr>
        <w:t>CFE – CGC</w:t>
      </w:r>
      <w:r w:rsidRPr="002067E0">
        <w:rPr>
          <w:szCs w:val="22"/>
          <w:lang w:eastAsia="en-US" w:bidi="en-US"/>
        </w:rPr>
        <w:t xml:space="preserve"> représenté par</w:t>
      </w:r>
      <w:r w:rsidR="007F5086" w:rsidRPr="002067E0">
        <w:rPr>
          <w:szCs w:val="22"/>
          <w:lang w:eastAsia="en-US" w:bidi="en-US"/>
        </w:rPr>
        <w:t xml:space="preserve"> </w:t>
      </w:r>
      <w:r w:rsidR="00824095">
        <w:rPr>
          <w:b/>
          <w:szCs w:val="22"/>
          <w:lang w:eastAsia="en-US" w:bidi="en-US"/>
        </w:rPr>
        <w:t>[…]</w:t>
      </w:r>
      <w:r w:rsidRPr="002067E0">
        <w:rPr>
          <w:szCs w:val="22"/>
          <w:lang w:eastAsia="en-US" w:bidi="en-US"/>
        </w:rPr>
        <w:t xml:space="preserve">, en sa qualité de </w:t>
      </w:r>
      <w:r w:rsidRPr="002067E0">
        <w:rPr>
          <w:b/>
          <w:bCs/>
          <w:szCs w:val="22"/>
          <w:lang w:eastAsia="en-US" w:bidi="en-US"/>
        </w:rPr>
        <w:t>Délégué Syndical</w:t>
      </w:r>
      <w:r w:rsidRPr="002067E0">
        <w:rPr>
          <w:szCs w:val="22"/>
          <w:lang w:eastAsia="en-US" w:bidi="en-US"/>
        </w:rPr>
        <w:t>.</w:t>
      </w:r>
    </w:p>
    <w:p w14:paraId="657FC4AC" w14:textId="77777777" w:rsidR="00446C57" w:rsidRPr="002067E0" w:rsidRDefault="00446C57">
      <w:pPr>
        <w:pStyle w:val="Standard"/>
        <w:widowControl w:val="0"/>
        <w:spacing w:line="276" w:lineRule="auto"/>
        <w:jc w:val="both"/>
        <w:rPr>
          <w:szCs w:val="22"/>
          <w:lang w:eastAsia="en-US" w:bidi="en-US"/>
        </w:rPr>
      </w:pPr>
    </w:p>
    <w:p w14:paraId="71A8E687" w14:textId="77777777" w:rsidR="00446C57" w:rsidRPr="002067E0" w:rsidRDefault="00446C57">
      <w:pPr>
        <w:pStyle w:val="Standard"/>
        <w:spacing w:line="276" w:lineRule="auto"/>
        <w:ind w:left="720"/>
        <w:jc w:val="both"/>
        <w:rPr>
          <w:szCs w:val="22"/>
          <w:lang w:eastAsia="en-US" w:bidi="en-US"/>
        </w:rPr>
      </w:pPr>
    </w:p>
    <w:p w14:paraId="77A0C665" w14:textId="77777777" w:rsidR="00446C57" w:rsidRPr="002067E0" w:rsidRDefault="00C86188">
      <w:pPr>
        <w:pStyle w:val="Standard"/>
        <w:spacing w:line="276" w:lineRule="auto"/>
        <w:jc w:val="both"/>
        <w:rPr>
          <w:szCs w:val="22"/>
        </w:rPr>
      </w:pPr>
      <w:r w:rsidRPr="002067E0">
        <w:rPr>
          <w:b/>
          <w:szCs w:val="22"/>
          <w:lang w:eastAsia="en-US" w:bidi="en-US"/>
        </w:rPr>
        <w:t>D’autre part,</w:t>
      </w:r>
    </w:p>
    <w:p w14:paraId="6DE80C8C" w14:textId="77777777" w:rsidR="00446C57" w:rsidRPr="002067E0" w:rsidRDefault="00446C57">
      <w:pPr>
        <w:pStyle w:val="Standard"/>
        <w:spacing w:line="276" w:lineRule="auto"/>
        <w:jc w:val="both"/>
        <w:rPr>
          <w:szCs w:val="22"/>
          <w:lang w:eastAsia="en-US" w:bidi="en-US"/>
        </w:rPr>
      </w:pPr>
    </w:p>
    <w:p w14:paraId="0D6CC3F7" w14:textId="540AC79E" w:rsidR="00446C57" w:rsidRPr="00FA51D1" w:rsidRDefault="00C86188" w:rsidP="00FA51D1">
      <w:pPr>
        <w:pStyle w:val="Standard"/>
        <w:spacing w:before="120" w:after="120" w:line="276" w:lineRule="auto"/>
        <w:ind w:left="18" w:hanging="18"/>
        <w:jc w:val="both"/>
        <w:outlineLvl w:val="2"/>
        <w:rPr>
          <w:szCs w:val="22"/>
        </w:rPr>
      </w:pPr>
      <w:bookmarkStart w:id="1" w:name="_Toc347171995"/>
      <w:r w:rsidRPr="002067E0">
        <w:rPr>
          <w:b/>
          <w:szCs w:val="22"/>
          <w:lang w:eastAsia="en-US" w:bidi="en-US"/>
        </w:rPr>
        <w:t>Préambule</w:t>
      </w:r>
      <w:bookmarkEnd w:id="1"/>
    </w:p>
    <w:p w14:paraId="7E6C7612" w14:textId="2D8A1F84" w:rsidR="006D323D" w:rsidRPr="006D323D" w:rsidRDefault="006D323D" w:rsidP="006D323D">
      <w:pPr>
        <w:pStyle w:val="Corpsdetexte21"/>
        <w:rPr>
          <w:rFonts w:eastAsia="Calibri"/>
        </w:rPr>
      </w:pPr>
      <w:r w:rsidRPr="006D323D">
        <w:rPr>
          <w:rFonts w:eastAsia="Calibri"/>
        </w:rPr>
        <w:t xml:space="preserve">Il est décidé d’établir le présent avenant n° 3 à l’accord d’entreprise sur le régime social du personnel du 23 septembre 2016 et </w:t>
      </w:r>
      <w:r w:rsidR="000C1D2E">
        <w:rPr>
          <w:rFonts w:eastAsia="Calibri"/>
        </w:rPr>
        <w:t xml:space="preserve">à </w:t>
      </w:r>
      <w:r w:rsidRPr="006D323D">
        <w:rPr>
          <w:rFonts w:eastAsia="Calibri"/>
        </w:rPr>
        <w:t xml:space="preserve">ses avenants, afin </w:t>
      </w:r>
      <w:r w:rsidR="00E8714D">
        <w:rPr>
          <w:rFonts w:eastAsia="Calibri"/>
        </w:rPr>
        <w:t xml:space="preserve">de </w:t>
      </w:r>
      <w:r w:rsidRPr="006D323D">
        <w:rPr>
          <w:rFonts w:eastAsia="Calibri"/>
        </w:rPr>
        <w:t>notamment intégrer les modifications validées dans le protocole d’accord NAO 2026</w:t>
      </w:r>
      <w:r w:rsidR="00E8714D">
        <w:rPr>
          <w:rFonts w:eastAsia="Calibri"/>
        </w:rPr>
        <w:t xml:space="preserve"> ainsi que </w:t>
      </w:r>
      <w:r w:rsidRPr="006D323D">
        <w:rPr>
          <w:rFonts w:eastAsia="Calibri"/>
        </w:rPr>
        <w:t xml:space="preserve">lors des réunions de travail et de négociation auxquelles ont pris part les parties. </w:t>
      </w:r>
    </w:p>
    <w:p w14:paraId="21FA88BA" w14:textId="77777777" w:rsidR="006D323D" w:rsidRPr="006D323D" w:rsidRDefault="006D323D" w:rsidP="006D323D">
      <w:pPr>
        <w:pStyle w:val="Corpsdetexte21"/>
        <w:rPr>
          <w:rFonts w:eastAsia="Calibri"/>
        </w:rPr>
      </w:pPr>
    </w:p>
    <w:p w14:paraId="235C0889" w14:textId="75F7205F" w:rsidR="006D323D" w:rsidRPr="006D323D" w:rsidRDefault="006D323D" w:rsidP="006D323D">
      <w:pPr>
        <w:pStyle w:val="Corpsdetexte21"/>
        <w:rPr>
          <w:rFonts w:eastAsia="Calibri"/>
        </w:rPr>
      </w:pPr>
      <w:r w:rsidRPr="006D323D">
        <w:rPr>
          <w:rFonts w:eastAsia="Calibri"/>
        </w:rPr>
        <w:t>Les dispositions du présent a</w:t>
      </w:r>
      <w:r w:rsidR="00E8714D">
        <w:rPr>
          <w:rFonts w:eastAsia="Calibri"/>
        </w:rPr>
        <w:t>venant</w:t>
      </w:r>
      <w:r w:rsidRPr="006D323D">
        <w:rPr>
          <w:rFonts w:eastAsia="Calibri"/>
        </w:rPr>
        <w:t xml:space="preserve"> annulent et remplacent, les dispositions des textes visés ci-dessus ayant le même objet. </w:t>
      </w:r>
    </w:p>
    <w:p w14:paraId="1CC035C1" w14:textId="77777777" w:rsidR="006D323D" w:rsidRPr="006D323D" w:rsidRDefault="006D323D" w:rsidP="006D323D">
      <w:pPr>
        <w:pStyle w:val="Corpsdetexte21"/>
        <w:rPr>
          <w:rFonts w:eastAsia="Calibri"/>
        </w:rPr>
      </w:pPr>
    </w:p>
    <w:p w14:paraId="14DAF99E" w14:textId="3BC62513" w:rsidR="006D323D" w:rsidRPr="006D323D" w:rsidRDefault="006D323D" w:rsidP="006D323D">
      <w:pPr>
        <w:pStyle w:val="Corpsdetexte21"/>
        <w:rPr>
          <w:rFonts w:eastAsia="Calibri"/>
        </w:rPr>
      </w:pPr>
      <w:r w:rsidRPr="006D323D">
        <w:rPr>
          <w:rFonts w:eastAsia="Calibri"/>
        </w:rPr>
        <w:t>L’avenant prend effet à compter du 1</w:t>
      </w:r>
      <w:r w:rsidRPr="006D323D">
        <w:rPr>
          <w:rFonts w:eastAsia="Calibri"/>
          <w:vertAlign w:val="superscript"/>
        </w:rPr>
        <w:t>er</w:t>
      </w:r>
      <w:r w:rsidRPr="006D323D">
        <w:rPr>
          <w:rFonts w:eastAsia="Calibri"/>
        </w:rPr>
        <w:t xml:space="preserve"> </w:t>
      </w:r>
      <w:r w:rsidR="00C76E73">
        <w:rPr>
          <w:rFonts w:eastAsia="Calibri"/>
        </w:rPr>
        <w:t>mars</w:t>
      </w:r>
      <w:r w:rsidR="0083781B">
        <w:rPr>
          <w:rFonts w:eastAsia="Calibri"/>
        </w:rPr>
        <w:t xml:space="preserve"> </w:t>
      </w:r>
      <w:r w:rsidRPr="006D323D">
        <w:rPr>
          <w:rFonts w:eastAsia="Calibri"/>
        </w:rPr>
        <w:t>2026.</w:t>
      </w:r>
    </w:p>
    <w:p w14:paraId="2FA6E755" w14:textId="77777777" w:rsidR="006D323D" w:rsidRPr="006D323D" w:rsidRDefault="006D323D" w:rsidP="006D323D">
      <w:pPr>
        <w:pStyle w:val="Corpsdetexte21"/>
        <w:rPr>
          <w:rFonts w:eastAsia="Calibri"/>
        </w:rPr>
      </w:pPr>
    </w:p>
    <w:p w14:paraId="310585EA" w14:textId="77777777" w:rsidR="006D323D" w:rsidRPr="006D323D" w:rsidRDefault="006D323D" w:rsidP="006D323D">
      <w:pPr>
        <w:pStyle w:val="Corpsdetexte21"/>
        <w:rPr>
          <w:rFonts w:eastAsia="Calibri"/>
        </w:rPr>
      </w:pPr>
      <w:r w:rsidRPr="006D323D">
        <w:rPr>
          <w:rFonts w:eastAsia="Calibri"/>
        </w:rPr>
        <w:t>En conséquence, l’accord est modifié comme suit :</w:t>
      </w:r>
    </w:p>
    <w:p w14:paraId="1979CCAE" w14:textId="77777777" w:rsidR="00F51369" w:rsidRPr="002067E0" w:rsidRDefault="00F51369" w:rsidP="00ED4141">
      <w:pPr>
        <w:pStyle w:val="Standard"/>
        <w:jc w:val="both"/>
        <w:rPr>
          <w:rFonts w:eastAsia="Calibri"/>
          <w:b/>
          <w:bCs/>
          <w:i/>
          <w:iCs/>
          <w:szCs w:val="22"/>
        </w:rPr>
      </w:pPr>
    </w:p>
    <w:p w14:paraId="70ADF232" w14:textId="2D8E6D0D" w:rsidR="00446C57" w:rsidRPr="002067E0" w:rsidRDefault="00C86188" w:rsidP="00ED4141">
      <w:pPr>
        <w:pStyle w:val="Standard"/>
        <w:jc w:val="both"/>
        <w:rPr>
          <w:szCs w:val="22"/>
        </w:rPr>
      </w:pPr>
      <w:r w:rsidRPr="002067E0">
        <w:rPr>
          <w:b/>
          <w:bCs/>
          <w:szCs w:val="22"/>
        </w:rPr>
        <w:t>Article 1 – Durée et entrée en vigueur :</w:t>
      </w:r>
    </w:p>
    <w:p w14:paraId="5C3150D6" w14:textId="77777777" w:rsidR="00446C57" w:rsidRPr="002067E0" w:rsidRDefault="00446C57" w:rsidP="00ED4141">
      <w:pPr>
        <w:pStyle w:val="Standard"/>
        <w:jc w:val="both"/>
        <w:rPr>
          <w:szCs w:val="22"/>
          <w:u w:val="single"/>
        </w:rPr>
      </w:pPr>
    </w:p>
    <w:p w14:paraId="6AF71880" w14:textId="19E67DA7" w:rsidR="00446C57" w:rsidRDefault="00C86188" w:rsidP="00ED4141">
      <w:pPr>
        <w:pStyle w:val="Standard"/>
        <w:jc w:val="both"/>
        <w:rPr>
          <w:b/>
          <w:bCs/>
          <w:szCs w:val="22"/>
        </w:rPr>
      </w:pPr>
      <w:r w:rsidRPr="002067E0">
        <w:rPr>
          <w:szCs w:val="22"/>
        </w:rPr>
        <w:t xml:space="preserve">Le présent avenant est conclu pour une durée indéterminée et s'appliquera pour la première fois à </w:t>
      </w:r>
      <w:r w:rsidR="002A05BE" w:rsidRPr="002067E0">
        <w:rPr>
          <w:szCs w:val="22"/>
        </w:rPr>
        <w:t xml:space="preserve">compter </w:t>
      </w:r>
      <w:r w:rsidR="00D97C5B" w:rsidRPr="002067E0">
        <w:rPr>
          <w:szCs w:val="22"/>
        </w:rPr>
        <w:t>du 1</w:t>
      </w:r>
      <w:r w:rsidR="00D97C5B" w:rsidRPr="002067E0">
        <w:rPr>
          <w:szCs w:val="22"/>
          <w:vertAlign w:val="superscript"/>
        </w:rPr>
        <w:t>er</w:t>
      </w:r>
      <w:r w:rsidR="00D97C5B" w:rsidRPr="002067E0">
        <w:rPr>
          <w:szCs w:val="22"/>
        </w:rPr>
        <w:t xml:space="preserve"> </w:t>
      </w:r>
      <w:r w:rsidR="00C76E73">
        <w:rPr>
          <w:szCs w:val="22"/>
        </w:rPr>
        <w:t>mars</w:t>
      </w:r>
      <w:r w:rsidR="0083781B">
        <w:rPr>
          <w:szCs w:val="22"/>
        </w:rPr>
        <w:t xml:space="preserve"> </w:t>
      </w:r>
      <w:r w:rsidR="00D97C5B" w:rsidRPr="002067E0">
        <w:rPr>
          <w:szCs w:val="22"/>
        </w:rPr>
        <w:t>202</w:t>
      </w:r>
      <w:r w:rsidR="006D3F3D">
        <w:rPr>
          <w:szCs w:val="22"/>
        </w:rPr>
        <w:t>6</w:t>
      </w:r>
      <w:r w:rsidR="00486963">
        <w:rPr>
          <w:b/>
          <w:bCs/>
          <w:szCs w:val="22"/>
        </w:rPr>
        <w:t xml:space="preserve">, </w:t>
      </w:r>
      <w:r w:rsidR="00486963" w:rsidRPr="00F934FB">
        <w:rPr>
          <w:szCs w:val="22"/>
        </w:rPr>
        <w:t xml:space="preserve">sauf pour les dispositions dont l’application est </w:t>
      </w:r>
      <w:r w:rsidR="00F934FB" w:rsidRPr="00F934FB">
        <w:rPr>
          <w:szCs w:val="22"/>
        </w:rPr>
        <w:t xml:space="preserve">expressément </w:t>
      </w:r>
      <w:r w:rsidR="00C67203" w:rsidRPr="00F934FB">
        <w:rPr>
          <w:szCs w:val="22"/>
        </w:rPr>
        <w:t>différée</w:t>
      </w:r>
      <w:r w:rsidR="00F934FB" w:rsidRPr="00F934FB">
        <w:rPr>
          <w:szCs w:val="22"/>
        </w:rPr>
        <w:t xml:space="preserve"> dans les articles concernés.</w:t>
      </w:r>
      <w:r w:rsidR="00F934FB">
        <w:rPr>
          <w:b/>
          <w:bCs/>
          <w:szCs w:val="22"/>
        </w:rPr>
        <w:t xml:space="preserve"> </w:t>
      </w:r>
    </w:p>
    <w:p w14:paraId="52A45216" w14:textId="77777777" w:rsidR="008F3C6E" w:rsidRDefault="008F3C6E" w:rsidP="00ED4141">
      <w:pPr>
        <w:pStyle w:val="Standard"/>
        <w:jc w:val="both"/>
        <w:rPr>
          <w:b/>
          <w:bCs/>
          <w:szCs w:val="22"/>
        </w:rPr>
      </w:pPr>
    </w:p>
    <w:p w14:paraId="0D295AFA" w14:textId="77777777" w:rsidR="006D323D" w:rsidRPr="00DB2F93" w:rsidRDefault="006D323D" w:rsidP="006D323D">
      <w:pPr>
        <w:pStyle w:val="Standard"/>
        <w:jc w:val="both"/>
        <w:rPr>
          <w:szCs w:val="22"/>
        </w:rPr>
      </w:pPr>
      <w:r w:rsidRPr="00DB2F93">
        <w:rPr>
          <w:szCs w:val="22"/>
        </w:rPr>
        <w:t xml:space="preserve">Les dispositions dont la modification n’est pas prévue expressément dans le présent avenant restent inchangées. </w:t>
      </w:r>
    </w:p>
    <w:p w14:paraId="74F680D4" w14:textId="77777777" w:rsidR="00542E5B" w:rsidRPr="00DB2F93" w:rsidRDefault="00542E5B" w:rsidP="00ED4141">
      <w:pPr>
        <w:pStyle w:val="Standard"/>
        <w:jc w:val="both"/>
        <w:rPr>
          <w:szCs w:val="22"/>
        </w:rPr>
      </w:pPr>
    </w:p>
    <w:p w14:paraId="707F5B47" w14:textId="77777777" w:rsidR="000F5E73" w:rsidRDefault="000F5E73" w:rsidP="00A65DCB">
      <w:pPr>
        <w:pStyle w:val="Standard"/>
        <w:jc w:val="both"/>
        <w:rPr>
          <w:rFonts w:eastAsia="Calibri"/>
          <w:b/>
          <w:bCs/>
          <w:i/>
          <w:iCs/>
          <w:color w:val="0070C0"/>
          <w:szCs w:val="22"/>
        </w:rPr>
      </w:pPr>
    </w:p>
    <w:p w14:paraId="01453CBF" w14:textId="77777777" w:rsidR="00AD5E7D" w:rsidRDefault="00AD5E7D" w:rsidP="00A65DCB">
      <w:pPr>
        <w:pStyle w:val="Standard"/>
        <w:jc w:val="both"/>
        <w:rPr>
          <w:rFonts w:eastAsia="Calibri"/>
          <w:b/>
          <w:bCs/>
          <w:i/>
          <w:iCs/>
          <w:color w:val="0070C0"/>
          <w:szCs w:val="22"/>
        </w:rPr>
      </w:pPr>
    </w:p>
    <w:p w14:paraId="10486798" w14:textId="210C50AA" w:rsidR="00EF5A3C" w:rsidRPr="00AD5E7D" w:rsidRDefault="00BB11B7" w:rsidP="00BB11B7">
      <w:pPr>
        <w:pStyle w:val="Standard"/>
        <w:ind w:firstLine="691"/>
        <w:jc w:val="both"/>
        <w:rPr>
          <w:rFonts w:eastAsia="Calibri"/>
          <w:b/>
          <w:bCs/>
          <w:i/>
          <w:iCs/>
          <w:szCs w:val="22"/>
        </w:rPr>
      </w:pPr>
      <w:r w:rsidRPr="00AD5E7D">
        <w:rPr>
          <w:rFonts w:eastAsia="Calibri"/>
          <w:b/>
          <w:bCs/>
          <w:i/>
          <w:iCs/>
          <w:szCs w:val="22"/>
        </w:rPr>
        <w:t>Article 2-2.2.</w:t>
      </w:r>
      <w:r w:rsidR="00EF5A3C" w:rsidRPr="00AD5E7D">
        <w:rPr>
          <w:rFonts w:eastAsia="Calibri"/>
          <w:b/>
          <w:bCs/>
          <w:i/>
          <w:iCs/>
          <w:szCs w:val="22"/>
        </w:rPr>
        <w:t>2</w:t>
      </w:r>
      <w:r w:rsidRPr="00AD5E7D">
        <w:rPr>
          <w:rFonts w:eastAsia="Calibri"/>
          <w:b/>
          <w:bCs/>
          <w:i/>
          <w:iCs/>
          <w:szCs w:val="22"/>
        </w:rPr>
        <w:t xml:space="preserve"> – </w:t>
      </w:r>
      <w:r w:rsidR="00EF5A3C" w:rsidRPr="00AD5E7D">
        <w:rPr>
          <w:rFonts w:eastAsia="Calibri"/>
          <w:b/>
          <w:bCs/>
          <w:i/>
          <w:iCs/>
          <w:szCs w:val="22"/>
        </w:rPr>
        <w:t xml:space="preserve">Treizième mois/Gratification annuelle </w:t>
      </w:r>
    </w:p>
    <w:p w14:paraId="16F219A0" w14:textId="77777777" w:rsidR="00CD709C" w:rsidRPr="00AD5E7D" w:rsidRDefault="00CD709C" w:rsidP="00EF5A3C">
      <w:pPr>
        <w:pStyle w:val="Standard"/>
        <w:rPr>
          <w:rFonts w:eastAsia="Calibri"/>
          <w:szCs w:val="22"/>
        </w:rPr>
      </w:pPr>
    </w:p>
    <w:p w14:paraId="73FEF769" w14:textId="77777777" w:rsidR="006D323D" w:rsidRDefault="006D323D" w:rsidP="006D323D">
      <w:pPr>
        <w:pStyle w:val="Standard"/>
        <w:rPr>
          <w:rFonts w:eastAsia="Calibri"/>
        </w:rPr>
      </w:pPr>
      <w:r w:rsidRPr="006D323D">
        <w:rPr>
          <w:rFonts w:eastAsia="Calibri"/>
        </w:rPr>
        <w:lastRenderedPageBreak/>
        <w:t>Les modalités de calcul de la prime du 13</w:t>
      </w:r>
      <w:r w:rsidRPr="006D323D">
        <w:rPr>
          <w:rFonts w:eastAsia="Calibri"/>
          <w:vertAlign w:val="superscript"/>
        </w:rPr>
        <w:t>ème</w:t>
      </w:r>
      <w:r w:rsidRPr="006D323D">
        <w:rPr>
          <w:rFonts w:eastAsia="Calibri"/>
        </w:rPr>
        <w:t xml:space="preserve"> mois sont </w:t>
      </w:r>
      <w:proofErr w:type="gramStart"/>
      <w:r w:rsidRPr="006D323D">
        <w:rPr>
          <w:rFonts w:eastAsia="Calibri"/>
        </w:rPr>
        <w:t>modifiées</w:t>
      </w:r>
      <w:proofErr w:type="gramEnd"/>
      <w:r w:rsidRPr="006D323D">
        <w:rPr>
          <w:rFonts w:eastAsia="Calibri"/>
        </w:rPr>
        <w:t xml:space="preserve"> selon les dispositions suivantes : </w:t>
      </w:r>
    </w:p>
    <w:p w14:paraId="27FEC563" w14:textId="77777777" w:rsidR="006D323D" w:rsidRPr="006D323D" w:rsidRDefault="006D323D" w:rsidP="006D323D">
      <w:pPr>
        <w:pStyle w:val="Standard"/>
        <w:rPr>
          <w:rFonts w:eastAsia="Calibri"/>
        </w:rPr>
      </w:pPr>
    </w:p>
    <w:p w14:paraId="1067750D" w14:textId="34440F4A" w:rsidR="007173E6" w:rsidRDefault="002957F9" w:rsidP="00AD056E">
      <w:pPr>
        <w:pStyle w:val="Standard"/>
        <w:spacing w:line="276" w:lineRule="auto"/>
        <w:jc w:val="both"/>
        <w:rPr>
          <w:rFonts w:eastAsia="Calibri"/>
          <w:szCs w:val="22"/>
        </w:rPr>
      </w:pPr>
      <w:r>
        <w:rPr>
          <w:rFonts w:eastAsia="Calibri"/>
          <w:szCs w:val="22"/>
        </w:rPr>
        <w:t>Conformément à l’article 36 de la CCNTA-PS relatif à la gratification annuelle, une prime de 13</w:t>
      </w:r>
      <w:r w:rsidRPr="002957F9">
        <w:rPr>
          <w:rFonts w:eastAsia="Calibri"/>
          <w:szCs w:val="22"/>
          <w:vertAlign w:val="superscript"/>
        </w:rPr>
        <w:t>ème</w:t>
      </w:r>
      <w:r>
        <w:rPr>
          <w:rFonts w:eastAsia="Calibri"/>
          <w:szCs w:val="22"/>
        </w:rPr>
        <w:t xml:space="preserve"> mo</w:t>
      </w:r>
      <w:r w:rsidR="00803C99">
        <w:rPr>
          <w:rFonts w:eastAsia="Calibri"/>
          <w:szCs w:val="22"/>
        </w:rPr>
        <w:t xml:space="preserve">is est versée aux salariés de l’entreprise. </w:t>
      </w:r>
    </w:p>
    <w:p w14:paraId="3FDDA79D" w14:textId="521ABB1F" w:rsidR="00835DCF" w:rsidRPr="00AD5E7D" w:rsidRDefault="00EA1B43" w:rsidP="00AD056E">
      <w:pPr>
        <w:pStyle w:val="Standard"/>
        <w:spacing w:line="276" w:lineRule="auto"/>
        <w:jc w:val="both"/>
        <w:rPr>
          <w:rFonts w:eastAsia="Calibri"/>
          <w:szCs w:val="22"/>
        </w:rPr>
      </w:pPr>
      <w:r w:rsidRPr="00AD5E7D">
        <w:rPr>
          <w:rFonts w:eastAsia="Calibri"/>
          <w:szCs w:val="22"/>
        </w:rPr>
        <w:t>Elle correspond à 1/12</w:t>
      </w:r>
      <w:r w:rsidRPr="00AD5E7D">
        <w:rPr>
          <w:rFonts w:eastAsia="Calibri"/>
          <w:szCs w:val="22"/>
          <w:vertAlign w:val="superscript"/>
        </w:rPr>
        <w:t>ème</w:t>
      </w:r>
      <w:r w:rsidRPr="00AD5E7D">
        <w:rPr>
          <w:rFonts w:eastAsia="Calibri"/>
          <w:szCs w:val="22"/>
        </w:rPr>
        <w:t xml:space="preserve"> du salaire de base </w:t>
      </w:r>
      <w:r w:rsidR="00945AB9">
        <w:rPr>
          <w:rFonts w:eastAsia="Calibri"/>
          <w:szCs w:val="22"/>
        </w:rPr>
        <w:t xml:space="preserve">de la période considérée </w:t>
      </w:r>
      <w:r w:rsidR="0006747A" w:rsidRPr="0006747A">
        <w:rPr>
          <w:rFonts w:eastAsia="Calibri"/>
          <w:szCs w:val="22"/>
        </w:rPr>
        <w:t>et à 50% du montant de la prime mensuelle d’ancienneté de l’intéressé</w:t>
      </w:r>
      <w:r w:rsidR="00BA40F7">
        <w:rPr>
          <w:rFonts w:eastAsia="Calibri"/>
          <w:szCs w:val="22"/>
        </w:rPr>
        <w:t xml:space="preserve"> versé sur la période considérée</w:t>
      </w:r>
      <w:r w:rsidR="0006747A" w:rsidRPr="0006747A">
        <w:rPr>
          <w:rFonts w:eastAsia="Calibri"/>
          <w:szCs w:val="22"/>
        </w:rPr>
        <w:t>, pour les salariés qui en bénéficient</w:t>
      </w:r>
      <w:r w:rsidR="0006747A" w:rsidRPr="0006747A" w:rsidDel="0006747A">
        <w:rPr>
          <w:rFonts w:eastAsia="Calibri"/>
          <w:szCs w:val="22"/>
        </w:rPr>
        <w:t xml:space="preserve"> </w:t>
      </w:r>
      <w:r w:rsidRPr="00AD5E7D">
        <w:rPr>
          <w:rFonts w:eastAsia="Calibri"/>
          <w:szCs w:val="22"/>
        </w:rPr>
        <w:t>(sont notamment exclues</w:t>
      </w:r>
      <w:r w:rsidR="0006747A">
        <w:rPr>
          <w:rFonts w:eastAsia="Calibri"/>
          <w:szCs w:val="22"/>
        </w:rPr>
        <w:t xml:space="preserve"> du calcul</w:t>
      </w:r>
      <w:r w:rsidRPr="00AD5E7D">
        <w:rPr>
          <w:rFonts w:eastAsia="Calibri"/>
          <w:szCs w:val="22"/>
        </w:rPr>
        <w:t xml:space="preserve"> les indemnités de paniers, les primes et autres indemnités diverses, les astreintes, les </w:t>
      </w:r>
      <w:r w:rsidR="004C77B1" w:rsidRPr="00AD5E7D">
        <w:rPr>
          <w:rFonts w:eastAsia="Calibri"/>
          <w:szCs w:val="22"/>
        </w:rPr>
        <w:t>indemnités journalières de sécurité sociale, complément d’ancienneté, …).</w:t>
      </w:r>
    </w:p>
    <w:p w14:paraId="40CA389B" w14:textId="77777777" w:rsidR="00835DCF" w:rsidRPr="00AD5E7D" w:rsidRDefault="00835DCF" w:rsidP="00AD056E">
      <w:pPr>
        <w:pStyle w:val="Standard"/>
        <w:spacing w:line="276" w:lineRule="auto"/>
        <w:jc w:val="both"/>
        <w:rPr>
          <w:rFonts w:eastAsia="Calibri"/>
          <w:szCs w:val="22"/>
        </w:rPr>
      </w:pPr>
    </w:p>
    <w:p w14:paraId="3636A6FA" w14:textId="42F860BD" w:rsidR="00F7774B" w:rsidRPr="00AD5E7D" w:rsidRDefault="00F7774B" w:rsidP="00AD056E">
      <w:pPr>
        <w:pStyle w:val="Standard"/>
        <w:spacing w:line="276" w:lineRule="auto"/>
        <w:jc w:val="both"/>
        <w:rPr>
          <w:rFonts w:eastAsia="Calibri"/>
          <w:szCs w:val="22"/>
        </w:rPr>
      </w:pPr>
      <w:r w:rsidRPr="00AD5E7D">
        <w:rPr>
          <w:rFonts w:eastAsia="Calibri"/>
          <w:szCs w:val="22"/>
        </w:rPr>
        <w:t xml:space="preserve">Pour le calcul de cette prime, sont prises en compte les périodes d’absence indemnisées que la </w:t>
      </w:r>
      <w:r w:rsidR="00F97FE8" w:rsidRPr="00AD5E7D">
        <w:rPr>
          <w:rFonts w:eastAsia="Calibri"/>
          <w:szCs w:val="22"/>
        </w:rPr>
        <w:t xml:space="preserve">convention collective met à la charge de l’employeur, et calculée au prorata de la présence du salarié. </w:t>
      </w:r>
    </w:p>
    <w:p w14:paraId="63A977DA" w14:textId="4CFA0565" w:rsidR="00F97FE8" w:rsidRPr="00AD5E7D" w:rsidRDefault="00F97FE8" w:rsidP="00AD056E">
      <w:pPr>
        <w:pStyle w:val="Standard"/>
        <w:spacing w:line="276" w:lineRule="auto"/>
        <w:jc w:val="both"/>
        <w:rPr>
          <w:rFonts w:eastAsia="Calibri"/>
          <w:szCs w:val="22"/>
        </w:rPr>
      </w:pPr>
      <w:r w:rsidRPr="00AD5E7D">
        <w:rPr>
          <w:rFonts w:eastAsia="Calibri"/>
          <w:szCs w:val="22"/>
        </w:rPr>
        <w:t xml:space="preserve">Pour les salariés en CDD, ils bénéficient de cette gratification au prorata de la durée de leur contrat sur l’année considérée. </w:t>
      </w:r>
    </w:p>
    <w:p w14:paraId="5E001D13" w14:textId="77777777" w:rsidR="00F97FE8" w:rsidRPr="00AD5E7D" w:rsidRDefault="00F97FE8" w:rsidP="00AD056E">
      <w:pPr>
        <w:pStyle w:val="Standard"/>
        <w:spacing w:line="276" w:lineRule="auto"/>
        <w:jc w:val="both"/>
        <w:rPr>
          <w:rFonts w:eastAsia="Calibri"/>
          <w:szCs w:val="22"/>
        </w:rPr>
      </w:pPr>
    </w:p>
    <w:p w14:paraId="4DD0D6C7" w14:textId="4DFFC87A" w:rsidR="00F97FE8" w:rsidRPr="00AD5E7D" w:rsidRDefault="00F97FE8" w:rsidP="00AD056E">
      <w:pPr>
        <w:pStyle w:val="Standard"/>
        <w:spacing w:line="276" w:lineRule="auto"/>
        <w:jc w:val="both"/>
        <w:rPr>
          <w:rFonts w:eastAsia="Calibri"/>
          <w:szCs w:val="22"/>
        </w:rPr>
      </w:pPr>
      <w:r w:rsidRPr="00AD5E7D">
        <w:rPr>
          <w:rFonts w:eastAsia="Calibri"/>
          <w:szCs w:val="22"/>
        </w:rPr>
        <w:t>La prime de 13</w:t>
      </w:r>
      <w:r w:rsidRPr="00AD5E7D">
        <w:rPr>
          <w:rFonts w:eastAsia="Calibri"/>
          <w:szCs w:val="22"/>
          <w:vertAlign w:val="superscript"/>
        </w:rPr>
        <w:t>ème</w:t>
      </w:r>
      <w:r w:rsidRPr="00AD5E7D">
        <w:rPr>
          <w:rFonts w:eastAsia="Calibri"/>
          <w:szCs w:val="22"/>
        </w:rPr>
        <w:t xml:space="preserve"> mois est calculée sur la période de référence allant du 1</w:t>
      </w:r>
      <w:r w:rsidRPr="00AD5E7D">
        <w:rPr>
          <w:rFonts w:eastAsia="Calibri"/>
          <w:szCs w:val="22"/>
          <w:vertAlign w:val="superscript"/>
        </w:rPr>
        <w:t>er</w:t>
      </w:r>
      <w:r w:rsidRPr="00AD5E7D">
        <w:rPr>
          <w:rFonts w:eastAsia="Calibri"/>
          <w:szCs w:val="22"/>
        </w:rPr>
        <w:t xml:space="preserve"> novembre de l’année N-1</w:t>
      </w:r>
      <w:r w:rsidR="006D672E" w:rsidRPr="00AD5E7D">
        <w:rPr>
          <w:rFonts w:eastAsia="Calibri"/>
          <w:szCs w:val="22"/>
        </w:rPr>
        <w:t xml:space="preserve"> au 31 octobre de l’année N. </w:t>
      </w:r>
    </w:p>
    <w:p w14:paraId="5FFEA32B" w14:textId="40EC1B3C" w:rsidR="006D672E" w:rsidRPr="00AD5E7D" w:rsidRDefault="006D672E" w:rsidP="00AD056E">
      <w:pPr>
        <w:pStyle w:val="Standard"/>
        <w:spacing w:line="276" w:lineRule="auto"/>
        <w:jc w:val="both"/>
        <w:rPr>
          <w:rFonts w:eastAsia="Calibri"/>
          <w:szCs w:val="22"/>
        </w:rPr>
      </w:pPr>
      <w:r w:rsidRPr="00AD5E7D">
        <w:rPr>
          <w:rFonts w:eastAsia="Calibri"/>
          <w:szCs w:val="22"/>
        </w:rPr>
        <w:t>Elle est versée en même temps que les sala</w:t>
      </w:r>
      <w:r w:rsidR="00247526">
        <w:rPr>
          <w:rFonts w:eastAsia="Calibri"/>
          <w:szCs w:val="22"/>
        </w:rPr>
        <w:t>ires</w:t>
      </w:r>
      <w:r w:rsidRPr="00AD5E7D">
        <w:rPr>
          <w:rFonts w:eastAsia="Calibri"/>
          <w:szCs w:val="22"/>
        </w:rPr>
        <w:t xml:space="preserve">, à raison de 50% en juin et 50% en novembre de l’année considérée. </w:t>
      </w:r>
    </w:p>
    <w:p w14:paraId="05FBB353" w14:textId="2FCC9C73" w:rsidR="006D672E" w:rsidRPr="00AD5E7D" w:rsidRDefault="006D672E" w:rsidP="00AD056E">
      <w:pPr>
        <w:pStyle w:val="Standard"/>
        <w:spacing w:line="276" w:lineRule="auto"/>
        <w:jc w:val="both"/>
        <w:rPr>
          <w:rFonts w:eastAsia="Calibri"/>
          <w:szCs w:val="22"/>
        </w:rPr>
      </w:pPr>
      <w:r w:rsidRPr="00AD5E7D">
        <w:rPr>
          <w:rFonts w:eastAsia="Calibri"/>
          <w:szCs w:val="22"/>
        </w:rPr>
        <w:t>En cas de départ de l’entreprise en cours d’année, la quote-part de prime de 13</w:t>
      </w:r>
      <w:r w:rsidRPr="00AD5E7D">
        <w:rPr>
          <w:rFonts w:eastAsia="Calibri"/>
          <w:szCs w:val="22"/>
          <w:vertAlign w:val="superscript"/>
        </w:rPr>
        <w:t>ème</w:t>
      </w:r>
      <w:r w:rsidRPr="00AD5E7D">
        <w:rPr>
          <w:rFonts w:eastAsia="Calibri"/>
          <w:szCs w:val="22"/>
        </w:rPr>
        <w:t xml:space="preserve"> mois est versée avec le solde de tout compte au prorata </w:t>
      </w:r>
      <w:proofErr w:type="spellStart"/>
      <w:r w:rsidRPr="00AD5E7D">
        <w:rPr>
          <w:rFonts w:eastAsia="Calibri"/>
          <w:szCs w:val="22"/>
        </w:rPr>
        <w:t>temporis</w:t>
      </w:r>
      <w:proofErr w:type="spellEnd"/>
      <w:r w:rsidRPr="00AD5E7D">
        <w:rPr>
          <w:rFonts w:eastAsia="Calibri"/>
          <w:szCs w:val="22"/>
        </w:rPr>
        <w:t xml:space="preserve">. </w:t>
      </w:r>
    </w:p>
    <w:p w14:paraId="2A99A864" w14:textId="77777777" w:rsidR="004B5F91" w:rsidRDefault="004B5F91" w:rsidP="004B5F91">
      <w:pPr>
        <w:suppressAutoHyphens w:val="0"/>
        <w:autoSpaceDN/>
        <w:contextualSpacing/>
        <w:jc w:val="both"/>
        <w:textAlignment w:val="auto"/>
        <w:rPr>
          <w:rFonts w:ascii="Vinci Sans" w:hAnsi="Vinci Sans"/>
          <w:color w:val="0070C0"/>
          <w:highlight w:val="yellow"/>
        </w:rPr>
      </w:pPr>
    </w:p>
    <w:p w14:paraId="3446C0DF" w14:textId="77777777" w:rsidR="00B246E3" w:rsidRPr="00B2499A" w:rsidRDefault="00B246E3" w:rsidP="00B2499A">
      <w:pPr>
        <w:pStyle w:val="Standard"/>
        <w:spacing w:line="276" w:lineRule="auto"/>
        <w:ind w:firstLine="691"/>
        <w:jc w:val="both"/>
        <w:rPr>
          <w:rFonts w:eastAsia="Calibri"/>
          <w:b/>
          <w:bCs/>
          <w:i/>
          <w:iCs/>
          <w:szCs w:val="22"/>
        </w:rPr>
      </w:pPr>
      <w:r w:rsidRPr="00B2499A">
        <w:rPr>
          <w:rFonts w:eastAsia="Calibri"/>
          <w:b/>
          <w:bCs/>
          <w:i/>
          <w:iCs/>
          <w:szCs w:val="22"/>
        </w:rPr>
        <w:t xml:space="preserve">Article 4-2.2.1 – Organisation du travail dans le cadre annuel (annualisation) </w:t>
      </w:r>
    </w:p>
    <w:p w14:paraId="6D4BD80B" w14:textId="77777777" w:rsidR="00AD056E" w:rsidRPr="00B2499A" w:rsidRDefault="00AD056E" w:rsidP="00B2499A">
      <w:pPr>
        <w:pStyle w:val="Standard"/>
        <w:spacing w:line="276" w:lineRule="auto"/>
        <w:ind w:firstLine="691"/>
        <w:jc w:val="both"/>
        <w:rPr>
          <w:rFonts w:eastAsia="Calibri"/>
          <w:b/>
          <w:bCs/>
          <w:i/>
          <w:iCs/>
          <w:szCs w:val="22"/>
        </w:rPr>
      </w:pPr>
    </w:p>
    <w:p w14:paraId="29B6ABE7" w14:textId="3F1702F2" w:rsidR="000230DB" w:rsidRDefault="000230DB" w:rsidP="00B2499A">
      <w:pPr>
        <w:suppressAutoHyphens w:val="0"/>
        <w:autoSpaceDN/>
        <w:spacing w:line="276" w:lineRule="auto"/>
        <w:contextualSpacing/>
        <w:jc w:val="both"/>
        <w:textAlignment w:val="auto"/>
        <w:rPr>
          <w:rFonts w:ascii="Times New Roman" w:hAnsi="Times New Roman" w:cs="Times New Roman"/>
        </w:rPr>
      </w:pPr>
      <w:r>
        <w:rPr>
          <w:rFonts w:ascii="Times New Roman" w:hAnsi="Times New Roman" w:cs="Times New Roman"/>
        </w:rPr>
        <w:t xml:space="preserve">Les dispositions de l’article susvisé sont remplacées comme suit : </w:t>
      </w:r>
    </w:p>
    <w:p w14:paraId="14F07A90" w14:textId="77777777" w:rsidR="000230DB" w:rsidRDefault="000230DB" w:rsidP="00B2499A">
      <w:pPr>
        <w:suppressAutoHyphens w:val="0"/>
        <w:autoSpaceDN/>
        <w:spacing w:line="276" w:lineRule="auto"/>
        <w:contextualSpacing/>
        <w:jc w:val="both"/>
        <w:textAlignment w:val="auto"/>
        <w:rPr>
          <w:rFonts w:ascii="Times New Roman" w:hAnsi="Times New Roman" w:cs="Times New Roman"/>
        </w:rPr>
      </w:pPr>
    </w:p>
    <w:p w14:paraId="0A1C8ADE" w14:textId="0DDE718B" w:rsidR="00B1238E" w:rsidRPr="00B2499A" w:rsidRDefault="00242121" w:rsidP="00B2499A">
      <w:pPr>
        <w:suppressAutoHyphens w:val="0"/>
        <w:autoSpaceDN/>
        <w:spacing w:line="276" w:lineRule="auto"/>
        <w:contextualSpacing/>
        <w:jc w:val="both"/>
        <w:textAlignment w:val="auto"/>
        <w:rPr>
          <w:rFonts w:ascii="Times New Roman" w:hAnsi="Times New Roman" w:cs="Times New Roman"/>
        </w:rPr>
      </w:pPr>
      <w:r w:rsidRPr="00B2499A">
        <w:rPr>
          <w:rFonts w:ascii="Times New Roman" w:hAnsi="Times New Roman" w:cs="Times New Roman"/>
        </w:rPr>
        <w:t xml:space="preserve">L’organisation du temps de travail pour les équipes en lien direct avec l’exploitation est fondée sur une répartition de l’horaire dans un cadre annuel, des horaires décalés et des équipes successives, des durées de poste variables ou fixes, un rythme de travail continu ou semi contenu (équipes successives). </w:t>
      </w:r>
    </w:p>
    <w:p w14:paraId="75BAD41F" w14:textId="7F453C4B" w:rsidR="00242121" w:rsidRPr="00B2499A" w:rsidRDefault="00242121" w:rsidP="00B2499A">
      <w:pPr>
        <w:suppressAutoHyphens w:val="0"/>
        <w:autoSpaceDN/>
        <w:spacing w:line="276" w:lineRule="auto"/>
        <w:contextualSpacing/>
        <w:jc w:val="both"/>
        <w:textAlignment w:val="auto"/>
        <w:rPr>
          <w:rFonts w:ascii="Times New Roman" w:hAnsi="Times New Roman" w:cs="Times New Roman"/>
        </w:rPr>
      </w:pPr>
    </w:p>
    <w:p w14:paraId="58077087" w14:textId="2B1F17BD" w:rsidR="00242121" w:rsidRPr="00B2499A" w:rsidRDefault="00242121" w:rsidP="00B2499A">
      <w:pPr>
        <w:suppressAutoHyphens w:val="0"/>
        <w:autoSpaceDN/>
        <w:spacing w:line="276" w:lineRule="auto"/>
        <w:contextualSpacing/>
        <w:jc w:val="both"/>
        <w:textAlignment w:val="auto"/>
        <w:rPr>
          <w:rFonts w:ascii="Times New Roman" w:hAnsi="Times New Roman" w:cs="Times New Roman"/>
        </w:rPr>
      </w:pPr>
      <w:r w:rsidRPr="00B2499A">
        <w:rPr>
          <w:rFonts w:ascii="Times New Roman" w:hAnsi="Times New Roman" w:cs="Times New Roman"/>
        </w:rPr>
        <w:t>La période d’annualisation est fixée du 1</w:t>
      </w:r>
      <w:r w:rsidRPr="00B2499A">
        <w:rPr>
          <w:rFonts w:ascii="Times New Roman" w:hAnsi="Times New Roman" w:cs="Times New Roman"/>
          <w:vertAlign w:val="superscript"/>
        </w:rPr>
        <w:t>er</w:t>
      </w:r>
      <w:r w:rsidRPr="00B2499A">
        <w:rPr>
          <w:rFonts w:ascii="Times New Roman" w:hAnsi="Times New Roman" w:cs="Times New Roman"/>
        </w:rPr>
        <w:t xml:space="preserve"> juin de l’année N au 31 mai de l’année N+1. </w:t>
      </w:r>
    </w:p>
    <w:p w14:paraId="0CA25AF4" w14:textId="77777777" w:rsidR="00242121" w:rsidRPr="00B2499A" w:rsidRDefault="00242121" w:rsidP="00B2499A">
      <w:pPr>
        <w:suppressAutoHyphens w:val="0"/>
        <w:autoSpaceDN/>
        <w:spacing w:line="276" w:lineRule="auto"/>
        <w:contextualSpacing/>
        <w:jc w:val="both"/>
        <w:textAlignment w:val="auto"/>
        <w:rPr>
          <w:rFonts w:ascii="Times New Roman" w:hAnsi="Times New Roman" w:cs="Times New Roman"/>
        </w:rPr>
      </w:pPr>
    </w:p>
    <w:p w14:paraId="3A83A85D" w14:textId="327D9CBE" w:rsidR="00242121" w:rsidRPr="00B2499A" w:rsidRDefault="00242121" w:rsidP="00B2499A">
      <w:pPr>
        <w:suppressAutoHyphens w:val="0"/>
        <w:autoSpaceDN/>
        <w:spacing w:line="276" w:lineRule="auto"/>
        <w:contextualSpacing/>
        <w:jc w:val="both"/>
        <w:textAlignment w:val="auto"/>
        <w:rPr>
          <w:rFonts w:ascii="Times New Roman" w:hAnsi="Times New Roman" w:cs="Times New Roman"/>
        </w:rPr>
      </w:pPr>
      <w:r w:rsidRPr="00B2499A">
        <w:rPr>
          <w:rFonts w:ascii="Times New Roman" w:hAnsi="Times New Roman" w:cs="Times New Roman"/>
        </w:rPr>
        <w:t>La durée annuelle théorique de travail pour ce personnel est fixée à 1561 heures par an, pour une année complète (du 1</w:t>
      </w:r>
      <w:r w:rsidRPr="00B2499A">
        <w:rPr>
          <w:rFonts w:ascii="Times New Roman" w:hAnsi="Times New Roman" w:cs="Times New Roman"/>
          <w:vertAlign w:val="superscript"/>
        </w:rPr>
        <w:t>er</w:t>
      </w:r>
      <w:r w:rsidRPr="00B2499A">
        <w:rPr>
          <w:rFonts w:ascii="Times New Roman" w:hAnsi="Times New Roman" w:cs="Times New Roman"/>
        </w:rPr>
        <w:t xml:space="preserve"> juin au 31 mai), pour un temps plein, et dans le cadre d’un droit complet à congés payés (28 jours). </w:t>
      </w:r>
    </w:p>
    <w:p w14:paraId="60AF4FE1" w14:textId="77777777" w:rsidR="00242121" w:rsidRPr="00B2499A" w:rsidRDefault="00242121" w:rsidP="00B2499A">
      <w:pPr>
        <w:suppressAutoHyphens w:val="0"/>
        <w:autoSpaceDN/>
        <w:spacing w:line="276" w:lineRule="auto"/>
        <w:contextualSpacing/>
        <w:jc w:val="both"/>
        <w:textAlignment w:val="auto"/>
        <w:rPr>
          <w:rFonts w:ascii="Times New Roman" w:hAnsi="Times New Roman" w:cs="Times New Roman"/>
        </w:rPr>
      </w:pPr>
    </w:p>
    <w:p w14:paraId="5FAD277E" w14:textId="7A78F08E" w:rsidR="003A1118" w:rsidRPr="003A1118" w:rsidRDefault="00242121" w:rsidP="003A1118">
      <w:pPr>
        <w:suppressAutoHyphens w:val="0"/>
        <w:autoSpaceDN/>
        <w:spacing w:line="276" w:lineRule="auto"/>
        <w:contextualSpacing/>
        <w:jc w:val="both"/>
        <w:textAlignment w:val="auto"/>
        <w:rPr>
          <w:rFonts w:ascii="Times New Roman" w:hAnsi="Times New Roman" w:cs="Times New Roman"/>
        </w:rPr>
      </w:pPr>
      <w:r w:rsidRPr="00B2499A">
        <w:rPr>
          <w:rFonts w:ascii="Times New Roman" w:hAnsi="Times New Roman" w:cs="Times New Roman"/>
        </w:rPr>
        <w:t>La durée hebdomadaire moyenne est fixée à 34 heures.</w:t>
      </w:r>
      <w:r w:rsidR="008F5F85">
        <w:rPr>
          <w:rFonts w:ascii="Times New Roman" w:hAnsi="Times New Roman" w:cs="Times New Roman"/>
        </w:rPr>
        <w:t xml:space="preserve"> </w:t>
      </w:r>
      <w:r w:rsidR="00D00FD3">
        <w:rPr>
          <w:rFonts w:ascii="Times New Roman" w:hAnsi="Times New Roman" w:cs="Times New Roman"/>
        </w:rPr>
        <w:t xml:space="preserve">Ces heures sont réparties du lundi au dimanche. </w:t>
      </w:r>
      <w:bookmarkStart w:id="2" w:name="_Hlk215828995"/>
    </w:p>
    <w:p w14:paraId="17D266B1" w14:textId="77777777" w:rsidR="003A1118" w:rsidRPr="003A1118" w:rsidRDefault="003A1118" w:rsidP="003A1118">
      <w:pPr>
        <w:suppressAutoHyphens w:val="0"/>
        <w:autoSpaceDN/>
        <w:spacing w:line="276" w:lineRule="auto"/>
        <w:contextualSpacing/>
        <w:jc w:val="both"/>
        <w:textAlignment w:val="auto"/>
        <w:rPr>
          <w:rFonts w:ascii="Times New Roman" w:hAnsi="Times New Roman" w:cs="Times New Roman"/>
        </w:rPr>
      </w:pPr>
      <w:r w:rsidRPr="003A1118">
        <w:rPr>
          <w:rFonts w:ascii="Times New Roman" w:hAnsi="Times New Roman" w:cs="Times New Roman"/>
        </w:rPr>
        <w:t xml:space="preserve">La planification maximale par semaine sera de 42h. Toutefois, une planification supérieure pourra être prévue, sous réserve de l’accord express du salarié ou sur volontariat clairement exprimé par le salarié concerné. </w:t>
      </w:r>
    </w:p>
    <w:p w14:paraId="7DBA5B2E" w14:textId="74CFF85F" w:rsidR="003A1118" w:rsidRPr="003A1118" w:rsidRDefault="000C1D2E" w:rsidP="003A1118">
      <w:pPr>
        <w:suppressAutoHyphens w:val="0"/>
        <w:autoSpaceDN/>
        <w:spacing w:line="276" w:lineRule="auto"/>
        <w:contextualSpacing/>
        <w:jc w:val="both"/>
        <w:textAlignment w:val="auto"/>
        <w:rPr>
          <w:rFonts w:ascii="Times New Roman" w:hAnsi="Times New Roman" w:cs="Times New Roman"/>
        </w:rPr>
      </w:pPr>
      <w:r>
        <w:rPr>
          <w:rFonts w:ascii="Times New Roman" w:hAnsi="Times New Roman" w:cs="Times New Roman"/>
        </w:rPr>
        <w:t>En tout état de cause, la planification hebdomadaire</w:t>
      </w:r>
      <w:r w:rsidR="003A1118" w:rsidRPr="003A1118">
        <w:rPr>
          <w:rFonts w:ascii="Times New Roman" w:hAnsi="Times New Roman" w:cs="Times New Roman"/>
        </w:rPr>
        <w:t xml:space="preserve"> ne devra pas excéder les durées maximales de temps de travail hebdomadaires fixées légalement (à savoir 48h sur une même semaine et 44h par semaine en moyenne sur une période de 12 semaines consécutives). </w:t>
      </w:r>
    </w:p>
    <w:p w14:paraId="7148ED77" w14:textId="77777777" w:rsidR="003A1118" w:rsidRPr="003A1118" w:rsidRDefault="003A1118" w:rsidP="003A1118">
      <w:pPr>
        <w:suppressAutoHyphens w:val="0"/>
        <w:autoSpaceDN/>
        <w:spacing w:line="276" w:lineRule="auto"/>
        <w:contextualSpacing/>
        <w:jc w:val="both"/>
        <w:textAlignment w:val="auto"/>
        <w:rPr>
          <w:rFonts w:ascii="Times New Roman" w:hAnsi="Times New Roman" w:cs="Times New Roman"/>
        </w:rPr>
      </w:pPr>
    </w:p>
    <w:p w14:paraId="15CAF4E1" w14:textId="43995CE6" w:rsidR="003A1118" w:rsidRPr="003A1118" w:rsidRDefault="003A1118" w:rsidP="003A1118">
      <w:pPr>
        <w:suppressAutoHyphens w:val="0"/>
        <w:autoSpaceDN/>
        <w:spacing w:line="276" w:lineRule="auto"/>
        <w:contextualSpacing/>
        <w:jc w:val="both"/>
        <w:textAlignment w:val="auto"/>
        <w:rPr>
          <w:rFonts w:ascii="Times New Roman" w:hAnsi="Times New Roman" w:cs="Times New Roman"/>
        </w:rPr>
      </w:pPr>
      <w:r w:rsidRPr="003A1118">
        <w:rPr>
          <w:rFonts w:ascii="Times New Roman" w:hAnsi="Times New Roman" w:cs="Times New Roman"/>
        </w:rPr>
        <w:t>La borne de planification minimale de 24h étant supprimée</w:t>
      </w:r>
      <w:r w:rsidR="000C1D2E">
        <w:rPr>
          <w:rFonts w:ascii="Times New Roman" w:hAnsi="Times New Roman" w:cs="Times New Roman"/>
        </w:rPr>
        <w:t xml:space="preserve"> par le présent avenant</w:t>
      </w:r>
      <w:r w:rsidRPr="003A1118">
        <w:rPr>
          <w:rFonts w:ascii="Times New Roman" w:hAnsi="Times New Roman" w:cs="Times New Roman"/>
        </w:rPr>
        <w:t xml:space="preserve">, en contrepartie </w:t>
      </w:r>
      <w:r w:rsidR="000C1D2E">
        <w:rPr>
          <w:rFonts w:ascii="Times New Roman" w:hAnsi="Times New Roman" w:cs="Times New Roman"/>
        </w:rPr>
        <w:t>les Parties sont convenues</w:t>
      </w:r>
      <w:r w:rsidRPr="003A1118">
        <w:rPr>
          <w:rFonts w:ascii="Times New Roman" w:hAnsi="Times New Roman" w:cs="Times New Roman"/>
        </w:rPr>
        <w:t xml:space="preserve">, dans la mesure du possible, à limiter </w:t>
      </w:r>
      <w:r w:rsidR="000C1D2E">
        <w:rPr>
          <w:rFonts w:ascii="Times New Roman" w:hAnsi="Times New Roman" w:cs="Times New Roman"/>
        </w:rPr>
        <w:t xml:space="preserve">dans la planification </w:t>
      </w:r>
      <w:r w:rsidRPr="003A1118">
        <w:rPr>
          <w:rFonts w:ascii="Times New Roman" w:hAnsi="Times New Roman" w:cs="Times New Roman"/>
        </w:rPr>
        <w:t>le recours au</w:t>
      </w:r>
      <w:r w:rsidR="000C1D2E">
        <w:rPr>
          <w:rFonts w:ascii="Times New Roman" w:hAnsi="Times New Roman" w:cs="Times New Roman"/>
        </w:rPr>
        <w:t>x</w:t>
      </w:r>
      <w:r w:rsidRPr="003A1118">
        <w:rPr>
          <w:rFonts w:ascii="Times New Roman" w:hAnsi="Times New Roman" w:cs="Times New Roman"/>
        </w:rPr>
        <w:t xml:space="preserve"> vacation</w:t>
      </w:r>
      <w:r w:rsidR="000C1D2E">
        <w:rPr>
          <w:rFonts w:ascii="Times New Roman" w:hAnsi="Times New Roman" w:cs="Times New Roman"/>
        </w:rPr>
        <w:t>s</w:t>
      </w:r>
      <w:r w:rsidRPr="003A1118">
        <w:rPr>
          <w:rFonts w:ascii="Times New Roman" w:hAnsi="Times New Roman" w:cs="Times New Roman"/>
        </w:rPr>
        <w:t xml:space="preserve"> de 2h à deux fois par semaine et par salarié. Au-delà, cette possibilité reposera sur le volontariat </w:t>
      </w:r>
      <w:r w:rsidR="000C1D2E">
        <w:rPr>
          <w:rFonts w:ascii="Times New Roman" w:hAnsi="Times New Roman" w:cs="Times New Roman"/>
        </w:rPr>
        <w:t xml:space="preserve">clairement exprimé par le salarié </w:t>
      </w:r>
      <w:r w:rsidRPr="003A1118">
        <w:rPr>
          <w:rFonts w:ascii="Times New Roman" w:hAnsi="Times New Roman" w:cs="Times New Roman"/>
        </w:rPr>
        <w:t xml:space="preserve">ou sur l’accord express du salarié concerné. </w:t>
      </w:r>
    </w:p>
    <w:bookmarkEnd w:id="2"/>
    <w:p w14:paraId="38E8B88A" w14:textId="77777777" w:rsidR="00FB092C" w:rsidRPr="00B2499A" w:rsidRDefault="00FB092C" w:rsidP="00B2499A">
      <w:pPr>
        <w:suppressAutoHyphens w:val="0"/>
        <w:autoSpaceDN/>
        <w:spacing w:line="276" w:lineRule="auto"/>
        <w:contextualSpacing/>
        <w:jc w:val="both"/>
        <w:textAlignment w:val="auto"/>
        <w:rPr>
          <w:rFonts w:ascii="Times New Roman" w:hAnsi="Times New Roman" w:cs="Times New Roman"/>
        </w:rPr>
      </w:pPr>
    </w:p>
    <w:p w14:paraId="0FCB172E" w14:textId="748F4F79" w:rsidR="00ED13F1" w:rsidRPr="00B2499A" w:rsidRDefault="00ED13F1" w:rsidP="00B2499A">
      <w:pPr>
        <w:suppressAutoHyphens w:val="0"/>
        <w:autoSpaceDN/>
        <w:spacing w:line="276" w:lineRule="auto"/>
        <w:contextualSpacing/>
        <w:jc w:val="both"/>
        <w:textAlignment w:val="auto"/>
        <w:rPr>
          <w:rFonts w:ascii="Times New Roman" w:hAnsi="Times New Roman" w:cs="Times New Roman"/>
        </w:rPr>
      </w:pPr>
      <w:r w:rsidRPr="00B2499A">
        <w:rPr>
          <w:rFonts w:ascii="Times New Roman" w:hAnsi="Times New Roman" w:cs="Times New Roman"/>
        </w:rPr>
        <w:t xml:space="preserve">La répartition des horaires de travail au sein de chaque période prédéfinie </w:t>
      </w:r>
      <w:r w:rsidR="00F62DE7" w:rsidRPr="00B2499A">
        <w:rPr>
          <w:rFonts w:ascii="Times New Roman" w:hAnsi="Times New Roman" w:cs="Times New Roman"/>
        </w:rPr>
        <w:t xml:space="preserve">pourra être modifiée en cas de nécessité de remplacer des salariés absents ou d’adapter </w:t>
      </w:r>
      <w:r w:rsidR="000B7B4E" w:rsidRPr="00B2499A">
        <w:rPr>
          <w:rFonts w:ascii="Times New Roman" w:hAnsi="Times New Roman" w:cs="Times New Roman"/>
        </w:rPr>
        <w:t xml:space="preserve">la durée du travail aux besoins d’exploitation de l’aéroport. Dans ce cas, le responsable hiérarchique </w:t>
      </w:r>
      <w:r w:rsidR="004162C5" w:rsidRPr="00B2499A">
        <w:rPr>
          <w:rFonts w:ascii="Times New Roman" w:hAnsi="Times New Roman" w:cs="Times New Roman"/>
        </w:rPr>
        <w:t xml:space="preserve">devra respecter un délai de prévenance de 7 jours. Toutefois, ce délai de prévenance </w:t>
      </w:r>
      <w:r w:rsidR="00034323" w:rsidRPr="00B2499A">
        <w:rPr>
          <w:rFonts w:ascii="Times New Roman" w:hAnsi="Times New Roman" w:cs="Times New Roman"/>
        </w:rPr>
        <w:t xml:space="preserve">pourra être réduit à 24 heures si des aléas d’activité exceptionnels </w:t>
      </w:r>
      <w:r w:rsidR="00F61B55" w:rsidRPr="00B2499A">
        <w:rPr>
          <w:rFonts w:ascii="Times New Roman" w:hAnsi="Times New Roman" w:cs="Times New Roman"/>
        </w:rPr>
        <w:t>l</w:t>
      </w:r>
      <w:r w:rsidR="00034323" w:rsidRPr="00B2499A">
        <w:rPr>
          <w:rFonts w:ascii="Times New Roman" w:hAnsi="Times New Roman" w:cs="Times New Roman"/>
        </w:rPr>
        <w:t xml:space="preserve">e justifient (ex : </w:t>
      </w:r>
      <w:r w:rsidR="00F61B55" w:rsidRPr="00B2499A">
        <w:rPr>
          <w:rFonts w:ascii="Times New Roman" w:hAnsi="Times New Roman" w:cs="Times New Roman"/>
        </w:rPr>
        <w:t xml:space="preserve">intempéries, simultanéité d’absences, etc.). </w:t>
      </w:r>
    </w:p>
    <w:p w14:paraId="6F17F964" w14:textId="77777777" w:rsidR="00150CDC" w:rsidRPr="00B2499A" w:rsidRDefault="00150CDC" w:rsidP="00B2499A">
      <w:pPr>
        <w:suppressAutoHyphens w:val="0"/>
        <w:autoSpaceDN/>
        <w:spacing w:line="276" w:lineRule="auto"/>
        <w:contextualSpacing/>
        <w:jc w:val="both"/>
        <w:textAlignment w:val="auto"/>
        <w:rPr>
          <w:rFonts w:ascii="Times New Roman" w:hAnsi="Times New Roman" w:cs="Times New Roman"/>
        </w:rPr>
      </w:pPr>
    </w:p>
    <w:p w14:paraId="4C8F806E" w14:textId="66552087" w:rsidR="00150CDC" w:rsidRPr="00B2499A" w:rsidRDefault="00150CDC" w:rsidP="00B2499A">
      <w:pPr>
        <w:suppressAutoHyphens w:val="0"/>
        <w:autoSpaceDN/>
        <w:spacing w:line="276" w:lineRule="auto"/>
        <w:contextualSpacing/>
        <w:jc w:val="both"/>
        <w:textAlignment w:val="auto"/>
        <w:rPr>
          <w:rFonts w:ascii="Times New Roman" w:hAnsi="Times New Roman" w:cs="Times New Roman"/>
        </w:rPr>
      </w:pPr>
      <w:r w:rsidRPr="00B2499A">
        <w:rPr>
          <w:rFonts w:ascii="Times New Roman" w:hAnsi="Times New Roman" w:cs="Times New Roman"/>
        </w:rPr>
        <w:t xml:space="preserve">En fin de cycle, les heures supplémentaires seront réglées </w:t>
      </w:r>
      <w:r w:rsidR="00FB1753" w:rsidRPr="00B2499A">
        <w:rPr>
          <w:rFonts w:ascii="Times New Roman" w:hAnsi="Times New Roman" w:cs="Times New Roman"/>
        </w:rPr>
        <w:t xml:space="preserve">majorées à 125% au-delà de 1561 heures quel que soit le nombre de jours de congés supplémentaires </w:t>
      </w:r>
      <w:r w:rsidR="00173CBF" w:rsidRPr="00B2499A">
        <w:rPr>
          <w:rFonts w:ascii="Times New Roman" w:hAnsi="Times New Roman" w:cs="Times New Roman"/>
        </w:rPr>
        <w:t xml:space="preserve">acquis (fractionnement, ancienneté, etc.). </w:t>
      </w:r>
    </w:p>
    <w:p w14:paraId="75BCF8ED" w14:textId="77777777" w:rsidR="00173CBF" w:rsidRPr="00B2499A" w:rsidRDefault="00173CBF" w:rsidP="00B2499A">
      <w:pPr>
        <w:suppressAutoHyphens w:val="0"/>
        <w:autoSpaceDN/>
        <w:spacing w:line="276" w:lineRule="auto"/>
        <w:contextualSpacing/>
        <w:jc w:val="both"/>
        <w:textAlignment w:val="auto"/>
        <w:rPr>
          <w:rFonts w:ascii="Times New Roman" w:hAnsi="Times New Roman" w:cs="Times New Roman"/>
        </w:rPr>
      </w:pPr>
    </w:p>
    <w:p w14:paraId="2C6DC038" w14:textId="44980C28" w:rsidR="00173CBF" w:rsidRPr="00B2499A" w:rsidRDefault="00173CBF" w:rsidP="00B2499A">
      <w:pPr>
        <w:suppressAutoHyphens w:val="0"/>
        <w:autoSpaceDN/>
        <w:spacing w:line="276" w:lineRule="auto"/>
        <w:contextualSpacing/>
        <w:jc w:val="both"/>
        <w:textAlignment w:val="auto"/>
        <w:rPr>
          <w:rFonts w:ascii="Times New Roman" w:hAnsi="Times New Roman" w:cs="Times New Roman"/>
        </w:rPr>
      </w:pPr>
      <w:r w:rsidRPr="00B2499A">
        <w:rPr>
          <w:rFonts w:ascii="Times New Roman" w:hAnsi="Times New Roman" w:cs="Times New Roman"/>
        </w:rPr>
        <w:t xml:space="preserve">Il est précisé qu’un seuil individuel est fixé en début de cycle </w:t>
      </w:r>
      <w:r w:rsidR="00D40C4C" w:rsidRPr="00B2499A">
        <w:rPr>
          <w:rFonts w:ascii="Times New Roman" w:hAnsi="Times New Roman" w:cs="Times New Roman"/>
        </w:rPr>
        <w:t xml:space="preserve">prenant en compte les jours d’ancienneté et les jours de fractionnement. Les heures effectuées entre le seuil individuel et le seuil collectif </w:t>
      </w:r>
      <w:r w:rsidR="005F601A" w:rsidRPr="00B2499A">
        <w:rPr>
          <w:rFonts w:ascii="Times New Roman" w:hAnsi="Times New Roman" w:cs="Times New Roman"/>
        </w:rPr>
        <w:t xml:space="preserve">(1561h) seront </w:t>
      </w:r>
      <w:proofErr w:type="gramStart"/>
      <w:r w:rsidR="005F601A" w:rsidRPr="00B2499A">
        <w:rPr>
          <w:rFonts w:ascii="Times New Roman" w:hAnsi="Times New Roman" w:cs="Times New Roman"/>
        </w:rPr>
        <w:t>rémunérées</w:t>
      </w:r>
      <w:proofErr w:type="gramEnd"/>
      <w:r w:rsidR="005F601A" w:rsidRPr="00B2499A">
        <w:rPr>
          <w:rFonts w:ascii="Times New Roman" w:hAnsi="Times New Roman" w:cs="Times New Roman"/>
        </w:rPr>
        <w:t xml:space="preserve"> au taux normal. </w:t>
      </w:r>
    </w:p>
    <w:p w14:paraId="1D0034AB" w14:textId="77777777" w:rsidR="00F3151A" w:rsidRPr="00B2499A" w:rsidRDefault="00F3151A" w:rsidP="00B2499A">
      <w:pPr>
        <w:suppressAutoHyphens w:val="0"/>
        <w:autoSpaceDN/>
        <w:spacing w:line="276" w:lineRule="auto"/>
        <w:contextualSpacing/>
        <w:jc w:val="both"/>
        <w:textAlignment w:val="auto"/>
        <w:rPr>
          <w:rFonts w:ascii="Times New Roman" w:hAnsi="Times New Roman" w:cs="Times New Roman"/>
        </w:rPr>
      </w:pPr>
    </w:p>
    <w:p w14:paraId="50703700" w14:textId="57AF2E40" w:rsidR="004B5F91" w:rsidRPr="005F3BC8" w:rsidRDefault="003A1118" w:rsidP="00DB2F93">
      <w:pPr>
        <w:suppressAutoHyphens w:val="0"/>
        <w:autoSpaceDN/>
        <w:spacing w:line="276" w:lineRule="auto"/>
        <w:contextualSpacing/>
        <w:jc w:val="both"/>
        <w:textAlignment w:val="auto"/>
        <w:rPr>
          <w:rFonts w:ascii="Times New Roman" w:hAnsi="Times New Roman" w:cs="Times New Roman"/>
        </w:rPr>
      </w:pPr>
      <w:r w:rsidRPr="00B2499A">
        <w:rPr>
          <w:rFonts w:ascii="Times New Roman" w:hAnsi="Times New Roman" w:cs="Times New Roman"/>
        </w:rPr>
        <w:t xml:space="preserve">Les dispositions prévues dans </w:t>
      </w:r>
      <w:r w:rsidR="00B724B2">
        <w:rPr>
          <w:rFonts w:ascii="Times New Roman" w:hAnsi="Times New Roman" w:cs="Times New Roman"/>
        </w:rPr>
        <w:t xml:space="preserve">le </w:t>
      </w:r>
      <w:r w:rsidRPr="00B2499A">
        <w:rPr>
          <w:rFonts w:ascii="Times New Roman" w:hAnsi="Times New Roman" w:cs="Times New Roman"/>
        </w:rPr>
        <w:t>présent article</w:t>
      </w:r>
      <w:r>
        <w:rPr>
          <w:rFonts w:ascii="Times New Roman" w:hAnsi="Times New Roman" w:cs="Times New Roman"/>
        </w:rPr>
        <w:t xml:space="preserve"> </w:t>
      </w:r>
      <w:r w:rsidRPr="00B2499A">
        <w:rPr>
          <w:rFonts w:ascii="Times New Roman" w:hAnsi="Times New Roman" w:cs="Times New Roman"/>
        </w:rPr>
        <w:t xml:space="preserve">entreront en </w:t>
      </w:r>
      <w:r>
        <w:rPr>
          <w:rFonts w:ascii="Times New Roman" w:hAnsi="Times New Roman" w:cs="Times New Roman"/>
        </w:rPr>
        <w:t xml:space="preserve">vigueur </w:t>
      </w:r>
      <w:r w:rsidRPr="00B2499A">
        <w:rPr>
          <w:rFonts w:ascii="Times New Roman" w:hAnsi="Times New Roman" w:cs="Times New Roman"/>
        </w:rPr>
        <w:t>à compter du 1</w:t>
      </w:r>
      <w:r w:rsidRPr="00B2499A">
        <w:rPr>
          <w:rFonts w:ascii="Times New Roman" w:hAnsi="Times New Roman" w:cs="Times New Roman"/>
          <w:vertAlign w:val="superscript"/>
        </w:rPr>
        <w:t>er</w:t>
      </w:r>
      <w:r w:rsidRPr="00B2499A">
        <w:rPr>
          <w:rFonts w:ascii="Times New Roman" w:hAnsi="Times New Roman" w:cs="Times New Roman"/>
        </w:rPr>
        <w:t xml:space="preserve"> juin 2026. </w:t>
      </w:r>
    </w:p>
    <w:p w14:paraId="03E520BE" w14:textId="0475186B" w:rsidR="00454F87" w:rsidRPr="00320461" w:rsidRDefault="00454F87" w:rsidP="00454F87">
      <w:pPr>
        <w:pStyle w:val="Standard"/>
        <w:ind w:firstLine="691"/>
        <w:jc w:val="both"/>
        <w:rPr>
          <w:rFonts w:eastAsia="Calibri"/>
          <w:b/>
          <w:bCs/>
          <w:i/>
          <w:iCs/>
          <w:szCs w:val="22"/>
        </w:rPr>
      </w:pPr>
      <w:r w:rsidRPr="00320461">
        <w:rPr>
          <w:rFonts w:eastAsia="Calibri"/>
          <w:b/>
          <w:bCs/>
          <w:i/>
          <w:iCs/>
          <w:szCs w:val="22"/>
        </w:rPr>
        <w:t>Article 4-2.2.</w:t>
      </w:r>
      <w:r w:rsidR="00304411" w:rsidRPr="00320461">
        <w:rPr>
          <w:rFonts w:eastAsia="Calibri"/>
          <w:b/>
          <w:bCs/>
          <w:i/>
          <w:iCs/>
          <w:szCs w:val="22"/>
        </w:rPr>
        <w:t>2</w:t>
      </w:r>
      <w:r w:rsidRPr="00320461">
        <w:rPr>
          <w:rFonts w:eastAsia="Calibri"/>
          <w:b/>
          <w:bCs/>
          <w:i/>
          <w:iCs/>
          <w:szCs w:val="22"/>
        </w:rPr>
        <w:t xml:space="preserve"> – </w:t>
      </w:r>
      <w:r w:rsidR="00304411" w:rsidRPr="00320461">
        <w:rPr>
          <w:rFonts w:eastAsia="Calibri"/>
          <w:b/>
          <w:bCs/>
          <w:i/>
          <w:iCs/>
          <w:szCs w:val="22"/>
        </w:rPr>
        <w:t xml:space="preserve">Modalités de prise en compte </w:t>
      </w:r>
      <w:r w:rsidR="00D47F3E" w:rsidRPr="00320461">
        <w:rPr>
          <w:rFonts w:eastAsia="Calibri"/>
          <w:b/>
          <w:bCs/>
          <w:i/>
          <w:iCs/>
          <w:szCs w:val="22"/>
        </w:rPr>
        <w:t xml:space="preserve">des entrées/sorties et absences </w:t>
      </w:r>
      <w:r w:rsidRPr="00320461">
        <w:rPr>
          <w:rFonts w:eastAsia="Calibri"/>
          <w:b/>
          <w:bCs/>
          <w:i/>
          <w:iCs/>
          <w:szCs w:val="22"/>
        </w:rPr>
        <w:t xml:space="preserve"> </w:t>
      </w:r>
    </w:p>
    <w:p w14:paraId="1DE19DD5" w14:textId="77777777" w:rsidR="00B6234D" w:rsidRPr="00D21C23" w:rsidRDefault="00B6234D" w:rsidP="0045441E">
      <w:pPr>
        <w:pStyle w:val="Standard"/>
        <w:jc w:val="both"/>
        <w:rPr>
          <w:rFonts w:ascii="Vinci Sans" w:hAnsi="Vinci Sans"/>
          <w:b/>
          <w:bCs/>
          <w:i/>
          <w:iCs/>
          <w:szCs w:val="22"/>
        </w:rPr>
      </w:pPr>
    </w:p>
    <w:p w14:paraId="10E7CBA7" w14:textId="0BB1DBA0" w:rsidR="00320461" w:rsidRPr="00320461" w:rsidRDefault="00320461" w:rsidP="00320461">
      <w:pPr>
        <w:suppressAutoHyphens w:val="0"/>
        <w:autoSpaceDN/>
        <w:spacing w:line="276" w:lineRule="auto"/>
        <w:contextualSpacing/>
        <w:jc w:val="both"/>
        <w:textAlignment w:val="auto"/>
        <w:rPr>
          <w:rFonts w:ascii="Times New Roman" w:hAnsi="Times New Roman" w:cs="Times New Roman"/>
        </w:rPr>
      </w:pPr>
      <w:r>
        <w:rPr>
          <w:rFonts w:ascii="Times New Roman" w:hAnsi="Times New Roman" w:cs="Times New Roman"/>
        </w:rPr>
        <w:t xml:space="preserve">Les dispositions de l’article susvisé sont remplacées comme suit : </w:t>
      </w:r>
    </w:p>
    <w:p w14:paraId="7370AAB3" w14:textId="73A80C2B" w:rsidR="00B6234D" w:rsidRPr="003C4700" w:rsidRDefault="00B6234D" w:rsidP="00B6234D">
      <w:pPr>
        <w:pStyle w:val="Standard"/>
        <w:jc w:val="both"/>
        <w:rPr>
          <w:szCs w:val="22"/>
        </w:rPr>
      </w:pPr>
      <w:r w:rsidRPr="003C4700">
        <w:rPr>
          <w:szCs w:val="22"/>
        </w:rPr>
        <w:t>Dans le cadre de l'aménagement du temps de travail sur l'année, la rémunération du salarié est lissée mensuellement. Il s'agit du salaire de base (salaire mensuel individuel complété de la prime d'ancienneté). Les éléments variables sont pris en compte à chaque période de paie correspondante.</w:t>
      </w:r>
    </w:p>
    <w:p w14:paraId="44518951" w14:textId="77777777" w:rsidR="00B6234D" w:rsidRPr="003C4700" w:rsidRDefault="00B6234D" w:rsidP="00B6234D">
      <w:pPr>
        <w:pStyle w:val="Standard"/>
        <w:jc w:val="both"/>
        <w:rPr>
          <w:b/>
          <w:bCs/>
          <w:i/>
          <w:iCs/>
          <w:szCs w:val="22"/>
        </w:rPr>
      </w:pPr>
    </w:p>
    <w:p w14:paraId="070DBEAC" w14:textId="77777777" w:rsidR="00B6234D" w:rsidRPr="003C4700" w:rsidRDefault="00B6234D" w:rsidP="00B6234D">
      <w:pPr>
        <w:pStyle w:val="Standard"/>
        <w:jc w:val="both"/>
        <w:rPr>
          <w:szCs w:val="22"/>
        </w:rPr>
      </w:pPr>
      <w:r w:rsidRPr="003C4700">
        <w:rPr>
          <w:szCs w:val="22"/>
        </w:rPr>
        <w:t>Dans le cas d'une entrée en cours d'année et d'un droit à congés payés incomplet, le volume horaire de 1.561 heures est ajusté, en tenant compte du droit à congé incomplet.</w:t>
      </w:r>
    </w:p>
    <w:p w14:paraId="35588295" w14:textId="77777777" w:rsidR="00B6234D" w:rsidRPr="003C4700" w:rsidRDefault="00B6234D" w:rsidP="00B6234D">
      <w:pPr>
        <w:pStyle w:val="Standard"/>
        <w:jc w:val="both"/>
        <w:rPr>
          <w:szCs w:val="22"/>
        </w:rPr>
      </w:pPr>
    </w:p>
    <w:p w14:paraId="1F966D84" w14:textId="77777777" w:rsidR="00B6234D" w:rsidRPr="003C4700" w:rsidRDefault="00B6234D" w:rsidP="00B6234D">
      <w:pPr>
        <w:pStyle w:val="Standard"/>
        <w:jc w:val="both"/>
        <w:rPr>
          <w:szCs w:val="22"/>
        </w:rPr>
      </w:pPr>
      <w:r w:rsidRPr="003C4700">
        <w:rPr>
          <w:szCs w:val="22"/>
        </w:rPr>
        <w:t xml:space="preserve">Le temps de travail pourra ainsi être supérieur à 1.561 heures, sans nécessairement ouvrir droit à des heures supplémentaires.   </w:t>
      </w:r>
    </w:p>
    <w:p w14:paraId="68F41D31" w14:textId="77777777" w:rsidR="00B6234D" w:rsidRPr="003C4700" w:rsidRDefault="00B6234D" w:rsidP="00B6234D">
      <w:pPr>
        <w:pStyle w:val="Standard"/>
        <w:jc w:val="both"/>
        <w:rPr>
          <w:szCs w:val="22"/>
        </w:rPr>
      </w:pPr>
    </w:p>
    <w:p w14:paraId="7810E280" w14:textId="77777777" w:rsidR="00B6234D" w:rsidRPr="003C4700" w:rsidRDefault="00B6234D" w:rsidP="00B6234D">
      <w:pPr>
        <w:pStyle w:val="Standard"/>
        <w:jc w:val="both"/>
        <w:rPr>
          <w:szCs w:val="22"/>
        </w:rPr>
      </w:pPr>
      <w:r w:rsidRPr="003C4700">
        <w:rPr>
          <w:szCs w:val="22"/>
        </w:rPr>
        <w:t xml:space="preserve">Plus généralement, les heures correspondant aux périodes non travaillées du fait d'une entrée ou d'un départ en cours d'année seront déduites du seuil de déclenchement des heures supplémentaires, fixé à </w:t>
      </w:r>
    </w:p>
    <w:p w14:paraId="3ACE3273" w14:textId="77777777" w:rsidR="00B6234D" w:rsidRPr="003C4700" w:rsidRDefault="00B6234D" w:rsidP="00B6234D">
      <w:pPr>
        <w:pStyle w:val="Standard"/>
        <w:jc w:val="both"/>
        <w:rPr>
          <w:szCs w:val="22"/>
        </w:rPr>
      </w:pPr>
      <w:r w:rsidRPr="003C4700">
        <w:rPr>
          <w:szCs w:val="22"/>
        </w:rPr>
        <w:t>1 561 heures.</w:t>
      </w:r>
    </w:p>
    <w:p w14:paraId="137239A0" w14:textId="77777777" w:rsidR="00B6234D" w:rsidRPr="003C4700" w:rsidRDefault="00B6234D" w:rsidP="00B6234D">
      <w:pPr>
        <w:pStyle w:val="Standard"/>
        <w:jc w:val="both"/>
        <w:rPr>
          <w:szCs w:val="22"/>
        </w:rPr>
      </w:pPr>
    </w:p>
    <w:p w14:paraId="20196C6B" w14:textId="77777777" w:rsidR="00B6234D" w:rsidRPr="003C4700" w:rsidRDefault="00B6234D" w:rsidP="00B6234D">
      <w:pPr>
        <w:pStyle w:val="Standard"/>
        <w:jc w:val="both"/>
        <w:rPr>
          <w:szCs w:val="22"/>
        </w:rPr>
      </w:pPr>
      <w:r w:rsidRPr="003C4700">
        <w:rPr>
          <w:szCs w:val="22"/>
        </w:rPr>
        <w:t>En cas de rupture du contrat de travail, lorsque le salarié n'aura pas accompli la durée minimale de travail effectif correspondant à la rémunération mensuelle lissée ou l'aura dépassée, sa rémunération sera régularisée sur la base de son temps réel de travail.</w:t>
      </w:r>
    </w:p>
    <w:p w14:paraId="0A610EAE" w14:textId="77777777" w:rsidR="00B6234D" w:rsidRPr="003C4700" w:rsidRDefault="00B6234D" w:rsidP="00B6234D">
      <w:pPr>
        <w:pStyle w:val="Standard"/>
        <w:jc w:val="both"/>
        <w:rPr>
          <w:szCs w:val="22"/>
        </w:rPr>
      </w:pPr>
    </w:p>
    <w:p w14:paraId="487CD977" w14:textId="77777777" w:rsidR="00B6234D" w:rsidRPr="003C4700" w:rsidRDefault="00B6234D" w:rsidP="00B6234D">
      <w:pPr>
        <w:pStyle w:val="Standard"/>
        <w:jc w:val="both"/>
        <w:rPr>
          <w:szCs w:val="22"/>
        </w:rPr>
      </w:pPr>
      <w:r w:rsidRPr="003C4700">
        <w:rPr>
          <w:szCs w:val="22"/>
        </w:rPr>
        <w:t>Il en sera de même pour les salariés sous le régime d'un contrat de travail à durée déterminée dont la durée d'emploi sera inférieure à la durée annuelle.</w:t>
      </w:r>
    </w:p>
    <w:p w14:paraId="78AF832B" w14:textId="77777777" w:rsidR="00B6234D" w:rsidRPr="003C4700" w:rsidRDefault="00B6234D" w:rsidP="00B6234D">
      <w:pPr>
        <w:pStyle w:val="Standard"/>
        <w:jc w:val="both"/>
        <w:rPr>
          <w:szCs w:val="22"/>
        </w:rPr>
      </w:pPr>
    </w:p>
    <w:p w14:paraId="0047F9C4" w14:textId="77777777" w:rsidR="00B6234D" w:rsidRPr="003C4700" w:rsidRDefault="00B6234D" w:rsidP="00B6234D">
      <w:pPr>
        <w:pStyle w:val="Standard"/>
        <w:jc w:val="both"/>
        <w:rPr>
          <w:szCs w:val="22"/>
        </w:rPr>
      </w:pPr>
      <w:r w:rsidRPr="003C4700">
        <w:rPr>
          <w:szCs w:val="22"/>
        </w:rPr>
        <w:t>Les congés et absences rémunérées sont payés sur la base du salaire mensuel lissé.</w:t>
      </w:r>
    </w:p>
    <w:p w14:paraId="5C10DD43" w14:textId="77777777" w:rsidR="00B6234D" w:rsidRPr="003C4700" w:rsidRDefault="00B6234D" w:rsidP="00B6234D">
      <w:pPr>
        <w:pStyle w:val="Standard"/>
        <w:jc w:val="both"/>
        <w:rPr>
          <w:szCs w:val="22"/>
        </w:rPr>
      </w:pPr>
    </w:p>
    <w:p w14:paraId="0E052923" w14:textId="77777777" w:rsidR="00B6234D" w:rsidRPr="003C4700" w:rsidRDefault="00B6234D" w:rsidP="00B6234D">
      <w:pPr>
        <w:pStyle w:val="Standard"/>
        <w:jc w:val="both"/>
        <w:rPr>
          <w:szCs w:val="22"/>
        </w:rPr>
      </w:pPr>
      <w:r w:rsidRPr="003C4700">
        <w:rPr>
          <w:szCs w:val="22"/>
        </w:rPr>
        <w:t>Pour les congés et absences non rémunérées, chaque heure non effectuée est déduite de la rémunération lissée.</w:t>
      </w:r>
    </w:p>
    <w:p w14:paraId="7707D65D" w14:textId="77777777" w:rsidR="00B6234D" w:rsidRPr="003C4700" w:rsidRDefault="00B6234D" w:rsidP="00B6234D">
      <w:pPr>
        <w:pStyle w:val="Standard"/>
        <w:jc w:val="both"/>
        <w:rPr>
          <w:szCs w:val="22"/>
        </w:rPr>
      </w:pPr>
    </w:p>
    <w:p w14:paraId="02B7A5E6" w14:textId="77777777" w:rsidR="00B6234D" w:rsidRPr="003C4700" w:rsidRDefault="00B6234D" w:rsidP="00B6234D">
      <w:pPr>
        <w:pStyle w:val="Paragraphedeliste"/>
        <w:numPr>
          <w:ilvl w:val="0"/>
          <w:numId w:val="43"/>
        </w:numPr>
        <w:jc w:val="both"/>
        <w:rPr>
          <w:szCs w:val="22"/>
        </w:rPr>
      </w:pPr>
      <w:r w:rsidRPr="003C4700">
        <w:rPr>
          <w:b/>
          <w:bCs/>
          <w:szCs w:val="22"/>
          <w:u w:val="single"/>
        </w:rPr>
        <w:t>Prise en compte des périodes d’absences sur le compteur de modulation :</w:t>
      </w:r>
    </w:p>
    <w:p w14:paraId="5A64229F" w14:textId="77777777" w:rsidR="00B6234D" w:rsidRPr="003C4700" w:rsidRDefault="00B6234D" w:rsidP="00B6234D">
      <w:pPr>
        <w:pStyle w:val="Standard"/>
        <w:jc w:val="both"/>
        <w:rPr>
          <w:szCs w:val="22"/>
        </w:rPr>
      </w:pPr>
    </w:p>
    <w:p w14:paraId="0FA13136" w14:textId="124AE9DF" w:rsidR="009D07D9" w:rsidRPr="003C4700" w:rsidRDefault="00B6234D" w:rsidP="00B6234D">
      <w:pPr>
        <w:pStyle w:val="Standard"/>
        <w:jc w:val="both"/>
        <w:rPr>
          <w:szCs w:val="22"/>
        </w:rPr>
      </w:pPr>
      <w:r w:rsidRPr="003C4700">
        <w:rPr>
          <w:szCs w:val="22"/>
        </w:rPr>
        <w:t>Les périodes d’absence</w:t>
      </w:r>
      <w:r w:rsidR="003263DF" w:rsidRPr="003C4700">
        <w:rPr>
          <w:szCs w:val="22"/>
        </w:rPr>
        <w:t xml:space="preserve"> (autre</w:t>
      </w:r>
      <w:r w:rsidR="00176733">
        <w:rPr>
          <w:szCs w:val="22"/>
        </w:rPr>
        <w:t>s</w:t>
      </w:r>
      <w:r w:rsidR="003263DF" w:rsidRPr="003C4700">
        <w:rPr>
          <w:szCs w:val="22"/>
        </w:rPr>
        <w:t xml:space="preserve"> que celles pour congés payés</w:t>
      </w:r>
      <w:r w:rsidR="000C1D2E">
        <w:rPr>
          <w:szCs w:val="22"/>
        </w:rPr>
        <w:t xml:space="preserve">, </w:t>
      </w:r>
      <w:r w:rsidR="003263DF" w:rsidRPr="003C4700">
        <w:rPr>
          <w:szCs w:val="22"/>
        </w:rPr>
        <w:t xml:space="preserve">jours de repos </w:t>
      </w:r>
      <w:r w:rsidR="00CE230C">
        <w:rPr>
          <w:szCs w:val="22"/>
        </w:rPr>
        <w:t>en compensation</w:t>
      </w:r>
      <w:r w:rsidR="003263DF" w:rsidRPr="003C4700">
        <w:rPr>
          <w:szCs w:val="22"/>
        </w:rPr>
        <w:t xml:space="preserve"> ou heures de récupération) </w:t>
      </w:r>
      <w:r w:rsidR="009D07D9" w:rsidRPr="00E019B6">
        <w:rPr>
          <w:szCs w:val="22"/>
        </w:rPr>
        <w:t>ne sont pas assimilées à du temps de travail effectif.</w:t>
      </w:r>
      <w:r w:rsidR="009D07D9" w:rsidRPr="003C4700">
        <w:rPr>
          <w:szCs w:val="22"/>
        </w:rPr>
        <w:t xml:space="preserve"> </w:t>
      </w:r>
    </w:p>
    <w:p w14:paraId="314CF48A" w14:textId="77777777" w:rsidR="00B6234D" w:rsidRPr="003C4700" w:rsidRDefault="00B6234D" w:rsidP="00B6234D">
      <w:pPr>
        <w:pStyle w:val="Standard"/>
        <w:jc w:val="both"/>
        <w:rPr>
          <w:szCs w:val="22"/>
        </w:rPr>
      </w:pPr>
    </w:p>
    <w:p w14:paraId="704E11E5" w14:textId="77777777" w:rsidR="00B6234D" w:rsidRPr="003C4700" w:rsidRDefault="00B6234D" w:rsidP="00B6234D">
      <w:pPr>
        <w:pStyle w:val="Standard"/>
        <w:jc w:val="both"/>
        <w:rPr>
          <w:szCs w:val="22"/>
        </w:rPr>
      </w:pPr>
      <w:r w:rsidRPr="003C4700">
        <w:rPr>
          <w:szCs w:val="22"/>
        </w:rPr>
        <w:lastRenderedPageBreak/>
        <w:t xml:space="preserve">Pour apprécier l’impact des heures correspondant à ces périodes, afin notamment de neutraliser l’effet de l’absence sur le décompte des heures supplémentaires, un calcul individuel doit être fait pour redéfinir le seuil de déclenchement des heures supplémentaires, en distinguant :  </w:t>
      </w:r>
    </w:p>
    <w:p w14:paraId="7E116E21" w14:textId="77777777" w:rsidR="00B6234D" w:rsidRPr="003C4700" w:rsidRDefault="00B6234D" w:rsidP="00B6234D">
      <w:pPr>
        <w:pStyle w:val="Standard"/>
        <w:jc w:val="both"/>
        <w:rPr>
          <w:szCs w:val="22"/>
        </w:rPr>
      </w:pPr>
    </w:p>
    <w:p w14:paraId="7DBAF693" w14:textId="77777777" w:rsidR="00B6234D" w:rsidRPr="003C4700" w:rsidRDefault="00B6234D" w:rsidP="00B6234D">
      <w:pPr>
        <w:pStyle w:val="Standard"/>
        <w:numPr>
          <w:ilvl w:val="0"/>
          <w:numId w:val="46"/>
        </w:numPr>
        <w:jc w:val="both"/>
        <w:rPr>
          <w:szCs w:val="22"/>
        </w:rPr>
      </w:pPr>
      <w:r w:rsidRPr="003C4700">
        <w:rPr>
          <w:b/>
          <w:bCs/>
          <w:szCs w:val="22"/>
          <w:u w:val="single"/>
        </w:rPr>
        <w:t>Le compteur de suivi de modulation</w:t>
      </w:r>
      <w:r w:rsidRPr="003C4700">
        <w:rPr>
          <w:szCs w:val="22"/>
        </w:rPr>
        <w:t xml:space="preserve"> (ou « seuil individuel ») : </w:t>
      </w:r>
    </w:p>
    <w:p w14:paraId="089258B8" w14:textId="77777777" w:rsidR="00B6234D" w:rsidRPr="003C4700" w:rsidRDefault="00B6234D" w:rsidP="00B6234D">
      <w:pPr>
        <w:pStyle w:val="Standard"/>
        <w:jc w:val="both"/>
        <w:rPr>
          <w:szCs w:val="22"/>
        </w:rPr>
      </w:pPr>
    </w:p>
    <w:p w14:paraId="7162534C" w14:textId="77777777" w:rsidR="00B6234D" w:rsidRPr="003C4700" w:rsidRDefault="00B6234D" w:rsidP="00B6234D">
      <w:pPr>
        <w:pStyle w:val="Standard"/>
        <w:jc w:val="both"/>
        <w:rPr>
          <w:szCs w:val="22"/>
        </w:rPr>
      </w:pPr>
      <w:r w:rsidRPr="003C4700">
        <w:rPr>
          <w:szCs w:val="22"/>
        </w:rPr>
        <w:t xml:space="preserve">Le nombre d’heures qui seront déduites est le nombre d’heures que le salarié aurait réellement travaillé sur la période s’il avait été présent. </w:t>
      </w:r>
    </w:p>
    <w:p w14:paraId="0D7685BF" w14:textId="77777777" w:rsidR="00F22369" w:rsidRPr="003C4700" w:rsidRDefault="00F22369" w:rsidP="00F22369">
      <w:pPr>
        <w:pStyle w:val="Standard"/>
        <w:ind w:left="720"/>
        <w:jc w:val="both"/>
        <w:rPr>
          <w:szCs w:val="22"/>
        </w:rPr>
      </w:pPr>
    </w:p>
    <w:p w14:paraId="3CB88716" w14:textId="77777777" w:rsidR="00E80905" w:rsidRPr="003C4700" w:rsidRDefault="00E80905" w:rsidP="00E80905">
      <w:pPr>
        <w:pStyle w:val="Standard"/>
        <w:jc w:val="both"/>
        <w:rPr>
          <w:szCs w:val="22"/>
        </w:rPr>
      </w:pPr>
      <w:r w:rsidRPr="003C4700">
        <w:rPr>
          <w:szCs w:val="22"/>
        </w:rPr>
        <w:t xml:space="preserve">Ce nombre correspondra à la durée moyenne hebdomadaire de travail effectuée par les salariés travaillant au sein du service de rattachement du salarié absent. </w:t>
      </w:r>
    </w:p>
    <w:p w14:paraId="5F41AD20" w14:textId="77777777" w:rsidR="00B6234D" w:rsidRPr="003C4700" w:rsidRDefault="00B6234D" w:rsidP="009F315A">
      <w:pPr>
        <w:pStyle w:val="Standard"/>
        <w:jc w:val="both"/>
        <w:rPr>
          <w:szCs w:val="22"/>
        </w:rPr>
      </w:pPr>
    </w:p>
    <w:p w14:paraId="759B983D" w14:textId="77777777" w:rsidR="00B6234D" w:rsidRPr="003C4700" w:rsidRDefault="00B6234D" w:rsidP="00B6234D">
      <w:pPr>
        <w:pStyle w:val="Standard"/>
        <w:numPr>
          <w:ilvl w:val="0"/>
          <w:numId w:val="46"/>
        </w:numPr>
        <w:jc w:val="both"/>
        <w:rPr>
          <w:b/>
          <w:bCs/>
          <w:szCs w:val="22"/>
          <w:u w:val="single"/>
        </w:rPr>
      </w:pPr>
      <w:r w:rsidRPr="003C4700">
        <w:rPr>
          <w:b/>
          <w:bCs/>
          <w:szCs w:val="22"/>
          <w:u w:val="single"/>
        </w:rPr>
        <w:t xml:space="preserve">Le seuil de déclenchement des heures supplémentaires : </w:t>
      </w:r>
    </w:p>
    <w:p w14:paraId="6D2C4069" w14:textId="77777777" w:rsidR="00B6234D" w:rsidRPr="003C4700" w:rsidRDefault="00B6234D" w:rsidP="00B6234D">
      <w:pPr>
        <w:pStyle w:val="Standard"/>
        <w:jc w:val="both"/>
        <w:rPr>
          <w:szCs w:val="22"/>
        </w:rPr>
      </w:pPr>
    </w:p>
    <w:p w14:paraId="55AFFDD8" w14:textId="77777777" w:rsidR="00B6234D" w:rsidRPr="003C4700" w:rsidRDefault="00B6234D" w:rsidP="006F7ECD">
      <w:pPr>
        <w:pStyle w:val="Standard"/>
        <w:jc w:val="both"/>
        <w:rPr>
          <w:szCs w:val="22"/>
        </w:rPr>
      </w:pPr>
      <w:r w:rsidRPr="003C4700">
        <w:rPr>
          <w:szCs w:val="22"/>
        </w:rPr>
        <w:t xml:space="preserve">Le seuil sera réduit à proportion de la période d’absence valorisée selon la durée moyenne hebdomadaire de travail définie dans le présent accord, à savoir 34 heures. </w:t>
      </w:r>
    </w:p>
    <w:p w14:paraId="5BAA317E" w14:textId="77777777" w:rsidR="00B6234D" w:rsidRPr="003C4700" w:rsidRDefault="00B6234D" w:rsidP="006F7ECD">
      <w:pPr>
        <w:pStyle w:val="Standard"/>
        <w:jc w:val="both"/>
        <w:rPr>
          <w:szCs w:val="22"/>
        </w:rPr>
      </w:pPr>
      <w:r w:rsidRPr="003C4700">
        <w:rPr>
          <w:szCs w:val="22"/>
        </w:rPr>
        <w:t>Toute heure effectuée au-delà dudit seuil de déclenchement redéfini individuellement donnera droit à une majoration au titre des heures supplémentaires.</w:t>
      </w:r>
    </w:p>
    <w:p w14:paraId="2B398970" w14:textId="77777777" w:rsidR="00B6234D" w:rsidRPr="003C4700" w:rsidRDefault="00B6234D" w:rsidP="00B6234D">
      <w:pPr>
        <w:pStyle w:val="Standard"/>
        <w:jc w:val="both"/>
        <w:rPr>
          <w:szCs w:val="22"/>
        </w:rPr>
      </w:pPr>
    </w:p>
    <w:p w14:paraId="595A5F48" w14:textId="73CF902F" w:rsidR="00B6234D" w:rsidRPr="003C4700" w:rsidRDefault="00B6234D" w:rsidP="00B6234D">
      <w:pPr>
        <w:pStyle w:val="Standard"/>
        <w:jc w:val="both"/>
        <w:rPr>
          <w:szCs w:val="22"/>
        </w:rPr>
      </w:pPr>
      <w:r w:rsidRPr="003C4700">
        <w:rPr>
          <w:szCs w:val="22"/>
        </w:rPr>
        <w:t xml:space="preserve">Les traitements définis dans le présent article permettent d’éviter les discriminations indirectes en raison de </w:t>
      </w:r>
      <w:r w:rsidR="00F5280F" w:rsidRPr="003C4700">
        <w:rPr>
          <w:szCs w:val="22"/>
        </w:rPr>
        <w:t xml:space="preserve">l’absence </w:t>
      </w:r>
      <w:r w:rsidRPr="003C4700">
        <w:rPr>
          <w:szCs w:val="22"/>
        </w:rPr>
        <w:t xml:space="preserve">des salariés conformément à la position de la jurisprudence à la date de signature du présent avenant. </w:t>
      </w:r>
    </w:p>
    <w:p w14:paraId="7B0645F0" w14:textId="77777777" w:rsidR="00B6234D" w:rsidRPr="003C4700" w:rsidRDefault="00B6234D" w:rsidP="00B6234D">
      <w:pPr>
        <w:pStyle w:val="Standard"/>
        <w:jc w:val="both"/>
        <w:rPr>
          <w:b/>
          <w:bCs/>
          <w:szCs w:val="22"/>
        </w:rPr>
      </w:pPr>
    </w:p>
    <w:p w14:paraId="3AB600E6" w14:textId="77777777" w:rsidR="00B6234D" w:rsidRPr="003C4700" w:rsidRDefault="00B6234D" w:rsidP="00B6234D">
      <w:pPr>
        <w:pStyle w:val="Standard"/>
        <w:numPr>
          <w:ilvl w:val="0"/>
          <w:numId w:val="49"/>
        </w:numPr>
        <w:jc w:val="both"/>
        <w:rPr>
          <w:b/>
          <w:bCs/>
          <w:i/>
          <w:iCs/>
          <w:szCs w:val="22"/>
          <w:u w:val="single"/>
        </w:rPr>
      </w:pPr>
      <w:r w:rsidRPr="003C4700">
        <w:rPr>
          <w:b/>
          <w:bCs/>
          <w:szCs w:val="22"/>
          <w:u w:val="single"/>
        </w:rPr>
        <w:t xml:space="preserve">Traitement des périodes d’absence pour les congés payés :  </w:t>
      </w:r>
    </w:p>
    <w:p w14:paraId="734D4301" w14:textId="77777777" w:rsidR="00B6234D" w:rsidRPr="003C4700" w:rsidRDefault="00B6234D" w:rsidP="00B6234D">
      <w:pPr>
        <w:pStyle w:val="Standard"/>
        <w:jc w:val="both"/>
        <w:rPr>
          <w:i/>
          <w:iCs/>
          <w:szCs w:val="22"/>
        </w:rPr>
      </w:pPr>
    </w:p>
    <w:p w14:paraId="76107A31" w14:textId="77777777" w:rsidR="00B6234D" w:rsidRPr="003C4700" w:rsidRDefault="00B6234D" w:rsidP="00B6234D">
      <w:pPr>
        <w:pStyle w:val="Standard"/>
        <w:spacing w:before="120" w:after="120" w:line="276" w:lineRule="auto"/>
        <w:jc w:val="both"/>
        <w:outlineLvl w:val="2"/>
        <w:rPr>
          <w:szCs w:val="22"/>
        </w:rPr>
      </w:pPr>
      <w:r w:rsidRPr="003C4700">
        <w:rPr>
          <w:szCs w:val="22"/>
        </w:rPr>
        <w:t xml:space="preserve">Dans le cadre d’un report exceptionnel de congés (soumis à la validation de la Direction) :  </w:t>
      </w:r>
    </w:p>
    <w:p w14:paraId="712C9B51" w14:textId="77777777" w:rsidR="00B6234D" w:rsidRPr="003C4700" w:rsidRDefault="00B6234D" w:rsidP="00B6234D">
      <w:pPr>
        <w:pStyle w:val="Standard"/>
        <w:numPr>
          <w:ilvl w:val="0"/>
          <w:numId w:val="48"/>
        </w:numPr>
        <w:spacing w:before="120" w:after="120" w:line="276" w:lineRule="auto"/>
        <w:jc w:val="both"/>
        <w:rPr>
          <w:szCs w:val="22"/>
        </w:rPr>
      </w:pPr>
      <w:r w:rsidRPr="003C4700">
        <w:rPr>
          <w:szCs w:val="22"/>
        </w:rPr>
        <w:t>Le seuil de déclenchement des heures supplémentaires de l’année N sera augmenté de la valeur dudit report.</w:t>
      </w:r>
    </w:p>
    <w:p w14:paraId="574F5375" w14:textId="77777777" w:rsidR="00B6234D" w:rsidRPr="003C4700" w:rsidRDefault="00B6234D" w:rsidP="00B6234D">
      <w:pPr>
        <w:pStyle w:val="Standard"/>
        <w:numPr>
          <w:ilvl w:val="0"/>
          <w:numId w:val="48"/>
        </w:numPr>
        <w:spacing w:before="120" w:after="120" w:line="276" w:lineRule="auto"/>
        <w:jc w:val="both"/>
        <w:rPr>
          <w:szCs w:val="22"/>
        </w:rPr>
      </w:pPr>
      <w:r w:rsidRPr="003C4700">
        <w:rPr>
          <w:szCs w:val="22"/>
        </w:rPr>
        <w:t>Le seuil de déclenchement de l’année N-1 sera également réduit de cette même valeur.</w:t>
      </w:r>
    </w:p>
    <w:p w14:paraId="30F0F15F" w14:textId="77777777" w:rsidR="009F315A" w:rsidRPr="003C4700" w:rsidRDefault="009F315A" w:rsidP="009F315A">
      <w:pPr>
        <w:suppressAutoHyphens w:val="0"/>
        <w:autoSpaceDN/>
        <w:spacing w:line="276" w:lineRule="auto"/>
        <w:contextualSpacing/>
        <w:jc w:val="both"/>
        <w:textAlignment w:val="auto"/>
        <w:rPr>
          <w:rFonts w:ascii="Times New Roman" w:hAnsi="Times New Roman" w:cs="Times New Roman"/>
        </w:rPr>
      </w:pPr>
    </w:p>
    <w:p w14:paraId="6C681197" w14:textId="776FF83B" w:rsidR="009E1EF8" w:rsidRPr="003C4700" w:rsidRDefault="009E1EF8" w:rsidP="009E1EF8">
      <w:pPr>
        <w:suppressAutoHyphens w:val="0"/>
        <w:autoSpaceDN/>
        <w:spacing w:line="276" w:lineRule="auto"/>
        <w:contextualSpacing/>
        <w:jc w:val="both"/>
        <w:textAlignment w:val="auto"/>
        <w:rPr>
          <w:rFonts w:ascii="Times New Roman" w:hAnsi="Times New Roman" w:cs="Times New Roman"/>
        </w:rPr>
      </w:pPr>
      <w:r w:rsidRPr="003C4700">
        <w:rPr>
          <w:rFonts w:ascii="Times New Roman" w:hAnsi="Times New Roman" w:cs="Times New Roman"/>
        </w:rPr>
        <w:t xml:space="preserve">Les dispositions prévues dans </w:t>
      </w:r>
      <w:r w:rsidR="00B724B2">
        <w:rPr>
          <w:rFonts w:ascii="Times New Roman" w:hAnsi="Times New Roman" w:cs="Times New Roman"/>
        </w:rPr>
        <w:t xml:space="preserve">le </w:t>
      </w:r>
      <w:r w:rsidRPr="003C4700">
        <w:rPr>
          <w:rFonts w:ascii="Times New Roman" w:hAnsi="Times New Roman" w:cs="Times New Roman"/>
        </w:rPr>
        <w:t>présent article entreront en vigueur à compter du 1</w:t>
      </w:r>
      <w:r w:rsidRPr="003C4700">
        <w:rPr>
          <w:rFonts w:ascii="Times New Roman" w:hAnsi="Times New Roman" w:cs="Times New Roman"/>
          <w:vertAlign w:val="superscript"/>
        </w:rPr>
        <w:t>er</w:t>
      </w:r>
      <w:r w:rsidRPr="003C4700">
        <w:rPr>
          <w:rFonts w:ascii="Times New Roman" w:hAnsi="Times New Roman" w:cs="Times New Roman"/>
        </w:rPr>
        <w:t xml:space="preserve"> juin 2026.</w:t>
      </w:r>
    </w:p>
    <w:p w14:paraId="6B193E8C" w14:textId="77777777" w:rsidR="00010959" w:rsidRDefault="00010959" w:rsidP="00ED4141">
      <w:pPr>
        <w:pStyle w:val="Standard"/>
        <w:jc w:val="both"/>
        <w:rPr>
          <w:szCs w:val="22"/>
        </w:rPr>
      </w:pPr>
    </w:p>
    <w:p w14:paraId="7A6F94F1" w14:textId="25A70F27" w:rsidR="00010959" w:rsidRPr="00AD6358" w:rsidRDefault="00010959" w:rsidP="00AD6358">
      <w:pPr>
        <w:pStyle w:val="Standard"/>
        <w:spacing w:line="276" w:lineRule="auto"/>
        <w:ind w:firstLine="691"/>
        <w:jc w:val="both"/>
        <w:rPr>
          <w:rFonts w:eastAsia="Calibri"/>
          <w:b/>
          <w:bCs/>
          <w:i/>
          <w:iCs/>
          <w:szCs w:val="22"/>
        </w:rPr>
      </w:pPr>
      <w:r w:rsidRPr="00AD6358">
        <w:rPr>
          <w:rFonts w:eastAsia="Calibri"/>
          <w:b/>
          <w:bCs/>
          <w:i/>
          <w:iCs/>
          <w:szCs w:val="22"/>
        </w:rPr>
        <w:t xml:space="preserve">Article 4-2.2.5 – Modification de planning   </w:t>
      </w:r>
    </w:p>
    <w:p w14:paraId="46311F2F" w14:textId="77777777" w:rsidR="00347B6F" w:rsidRDefault="00347B6F" w:rsidP="00AD6358">
      <w:pPr>
        <w:pStyle w:val="Standard"/>
        <w:spacing w:line="276" w:lineRule="auto"/>
        <w:jc w:val="both"/>
        <w:rPr>
          <w:szCs w:val="22"/>
        </w:rPr>
      </w:pPr>
    </w:p>
    <w:p w14:paraId="29A51BDE" w14:textId="77777777" w:rsidR="0071674E" w:rsidRDefault="0071674E" w:rsidP="0071674E">
      <w:pPr>
        <w:pStyle w:val="Standard"/>
        <w:spacing w:line="276" w:lineRule="auto"/>
        <w:jc w:val="both"/>
        <w:rPr>
          <w:szCs w:val="22"/>
        </w:rPr>
      </w:pPr>
      <w:r>
        <w:rPr>
          <w:szCs w:val="22"/>
        </w:rPr>
        <w:t xml:space="preserve">Les parties sont convenues de modifier les dispositions de l’article susvisé comme suit : </w:t>
      </w:r>
    </w:p>
    <w:p w14:paraId="3E2AE65F" w14:textId="77777777" w:rsidR="0071674E" w:rsidRDefault="0071674E" w:rsidP="0071674E">
      <w:pPr>
        <w:pStyle w:val="Standard"/>
        <w:spacing w:line="276" w:lineRule="auto"/>
        <w:jc w:val="both"/>
        <w:rPr>
          <w:szCs w:val="22"/>
        </w:rPr>
      </w:pPr>
      <w:r>
        <w:rPr>
          <w:szCs w:val="22"/>
        </w:rPr>
        <w:t xml:space="preserve">Le remplacement de la partie : </w:t>
      </w:r>
    </w:p>
    <w:p w14:paraId="1F43F919" w14:textId="77777777" w:rsidR="00F97137" w:rsidRPr="00AD6358" w:rsidRDefault="00F97137" w:rsidP="00AD6358">
      <w:pPr>
        <w:pStyle w:val="Standard"/>
        <w:spacing w:line="276" w:lineRule="auto"/>
        <w:jc w:val="both"/>
        <w:rPr>
          <w:szCs w:val="22"/>
        </w:rPr>
      </w:pPr>
    </w:p>
    <w:p w14:paraId="10E7A7FD" w14:textId="5ADB6677" w:rsidR="00983A95" w:rsidRPr="00AD6358" w:rsidRDefault="00B41588" w:rsidP="00AD6358">
      <w:pPr>
        <w:pStyle w:val="Standard"/>
        <w:spacing w:line="276" w:lineRule="auto"/>
        <w:jc w:val="both"/>
        <w:rPr>
          <w:szCs w:val="22"/>
        </w:rPr>
      </w:pPr>
      <w:r w:rsidRPr="00AD6358">
        <w:rPr>
          <w:szCs w:val="22"/>
        </w:rPr>
        <w:t>« </w:t>
      </w:r>
      <w:r w:rsidR="00983A95" w:rsidRPr="000F66B9">
        <w:rPr>
          <w:b/>
          <w:bCs/>
          <w:szCs w:val="22"/>
        </w:rPr>
        <w:t>Changement des horaires de travail</w:t>
      </w:r>
      <w:r w:rsidR="00983A95" w:rsidRPr="00AD6358">
        <w:rPr>
          <w:szCs w:val="22"/>
        </w:rPr>
        <w:t xml:space="preserve"> : </w:t>
      </w:r>
    </w:p>
    <w:p w14:paraId="70D02DCD" w14:textId="6364EBD9" w:rsidR="00983A95" w:rsidRPr="00AD6358" w:rsidRDefault="00983A95" w:rsidP="00AD6358">
      <w:pPr>
        <w:pStyle w:val="Standard"/>
        <w:numPr>
          <w:ilvl w:val="0"/>
          <w:numId w:val="48"/>
        </w:numPr>
        <w:spacing w:line="276" w:lineRule="auto"/>
        <w:jc w:val="both"/>
        <w:rPr>
          <w:szCs w:val="22"/>
        </w:rPr>
      </w:pPr>
      <w:r w:rsidRPr="00F4316F">
        <w:rPr>
          <w:b/>
          <w:bCs/>
          <w:szCs w:val="22"/>
          <w:u w:val="single"/>
        </w:rPr>
        <w:t>Cas d’une journée prévue travaillée</w:t>
      </w:r>
      <w:r w:rsidRPr="00AD6358">
        <w:rPr>
          <w:szCs w:val="22"/>
        </w:rPr>
        <w:t xml:space="preserve"> : </w:t>
      </w:r>
    </w:p>
    <w:p w14:paraId="1CDD4146" w14:textId="117AC9FE" w:rsidR="00983A95" w:rsidRPr="00AD6358" w:rsidRDefault="00983A95" w:rsidP="00AD6358">
      <w:pPr>
        <w:pStyle w:val="Standard"/>
        <w:spacing w:line="276" w:lineRule="auto"/>
        <w:jc w:val="both"/>
        <w:rPr>
          <w:szCs w:val="22"/>
        </w:rPr>
      </w:pPr>
      <w:r w:rsidRPr="00AD6358">
        <w:rPr>
          <w:szCs w:val="22"/>
        </w:rPr>
        <w:t xml:space="preserve">Dans le cas d’un changement d’horaire </w:t>
      </w:r>
      <w:r w:rsidR="006961E0" w:rsidRPr="00AD6358">
        <w:rPr>
          <w:szCs w:val="22"/>
        </w:rPr>
        <w:t xml:space="preserve">avec ou sans changement de durée par rapport à la vacation initiale : </w:t>
      </w:r>
      <w:r w:rsidR="00F4316F">
        <w:rPr>
          <w:szCs w:val="22"/>
        </w:rPr>
        <w:t xml:space="preserve">le </w:t>
      </w:r>
      <w:r w:rsidR="006961E0" w:rsidRPr="00AD6358">
        <w:rPr>
          <w:szCs w:val="22"/>
        </w:rPr>
        <w:t xml:space="preserve">salarié concerné se verra crédité de 2 heures de récupération. </w:t>
      </w:r>
    </w:p>
    <w:p w14:paraId="506BA8A0" w14:textId="6BE809DD" w:rsidR="006961E0" w:rsidRPr="00AD6358" w:rsidRDefault="006961E0" w:rsidP="00AD6358">
      <w:pPr>
        <w:pStyle w:val="Standard"/>
        <w:spacing w:line="276" w:lineRule="auto"/>
        <w:jc w:val="both"/>
        <w:rPr>
          <w:szCs w:val="22"/>
        </w:rPr>
      </w:pPr>
      <w:r w:rsidRPr="00AD6358">
        <w:rPr>
          <w:szCs w:val="22"/>
        </w:rPr>
        <w:t xml:space="preserve">Les heures travaillées </w:t>
      </w:r>
      <w:r w:rsidR="00246EE6" w:rsidRPr="00AD6358">
        <w:rPr>
          <w:szCs w:val="22"/>
        </w:rPr>
        <w:t xml:space="preserve">entrent dans le compteur d’annualisation et ne donnent pas lieu à majoration. </w:t>
      </w:r>
    </w:p>
    <w:p w14:paraId="78291803" w14:textId="77777777" w:rsidR="00B13D70" w:rsidRPr="00AD6358" w:rsidRDefault="00B13D70" w:rsidP="00AD6358">
      <w:pPr>
        <w:pStyle w:val="Standard"/>
        <w:spacing w:line="276" w:lineRule="auto"/>
        <w:jc w:val="both"/>
        <w:rPr>
          <w:szCs w:val="22"/>
        </w:rPr>
      </w:pPr>
    </w:p>
    <w:p w14:paraId="05C38584" w14:textId="4405FF4C" w:rsidR="00B13D70" w:rsidRPr="00AD6358" w:rsidRDefault="00B13D70" w:rsidP="00AD6358">
      <w:pPr>
        <w:pStyle w:val="Standard"/>
        <w:numPr>
          <w:ilvl w:val="0"/>
          <w:numId w:val="48"/>
        </w:numPr>
        <w:spacing w:line="276" w:lineRule="auto"/>
        <w:jc w:val="both"/>
        <w:rPr>
          <w:szCs w:val="22"/>
        </w:rPr>
      </w:pPr>
      <w:r w:rsidRPr="00F4316F">
        <w:rPr>
          <w:b/>
          <w:bCs/>
          <w:szCs w:val="22"/>
          <w:u w:val="single"/>
        </w:rPr>
        <w:t xml:space="preserve">Cas d’une </w:t>
      </w:r>
      <w:r w:rsidR="00764597" w:rsidRPr="00F4316F">
        <w:rPr>
          <w:b/>
          <w:bCs/>
          <w:szCs w:val="22"/>
          <w:u w:val="single"/>
        </w:rPr>
        <w:t>journée prévue en repos</w:t>
      </w:r>
      <w:r w:rsidR="00764597" w:rsidRPr="00AD6358">
        <w:rPr>
          <w:szCs w:val="22"/>
        </w:rPr>
        <w:t xml:space="preserve"> (uniquement avec l’accord de l’agent) : </w:t>
      </w:r>
    </w:p>
    <w:p w14:paraId="7F3A9BDF" w14:textId="36DEE670" w:rsidR="00764597" w:rsidRPr="00AD6358" w:rsidRDefault="00764597" w:rsidP="00AD6358">
      <w:pPr>
        <w:pStyle w:val="Standard"/>
        <w:spacing w:line="276" w:lineRule="auto"/>
        <w:jc w:val="both"/>
        <w:rPr>
          <w:szCs w:val="22"/>
        </w:rPr>
      </w:pPr>
      <w:r w:rsidRPr="00AD6358">
        <w:rPr>
          <w:szCs w:val="22"/>
        </w:rPr>
        <w:t xml:space="preserve">L’horaire effectué est comptabilisé dans le compteur d’annualisation sans majoration. Un temps de récupération correspondant </w:t>
      </w:r>
      <w:r w:rsidR="00E86EC4" w:rsidRPr="00AD6358">
        <w:rPr>
          <w:szCs w:val="22"/>
        </w:rPr>
        <w:t xml:space="preserve">à 50% de l’horaire travaillé </w:t>
      </w:r>
      <w:r w:rsidR="00695D4D" w:rsidRPr="00AD6358">
        <w:rPr>
          <w:szCs w:val="22"/>
        </w:rPr>
        <w:t>sera accordé au salarié.</w:t>
      </w:r>
      <w:r w:rsidR="00B41588" w:rsidRPr="00AD6358">
        <w:rPr>
          <w:szCs w:val="22"/>
        </w:rPr>
        <w:t xml:space="preserve"> » </w:t>
      </w:r>
    </w:p>
    <w:p w14:paraId="1A73B4B3" w14:textId="77777777" w:rsidR="00B41588" w:rsidRPr="00AD6358" w:rsidRDefault="00B41588" w:rsidP="00AD6358">
      <w:pPr>
        <w:pStyle w:val="Standard"/>
        <w:spacing w:line="276" w:lineRule="auto"/>
        <w:jc w:val="both"/>
        <w:rPr>
          <w:szCs w:val="22"/>
        </w:rPr>
      </w:pPr>
    </w:p>
    <w:p w14:paraId="1EE502B7" w14:textId="77777777" w:rsidR="003F55F9" w:rsidRPr="003F55F9" w:rsidRDefault="003F55F9" w:rsidP="003F55F9">
      <w:pPr>
        <w:pStyle w:val="Standard"/>
      </w:pPr>
      <w:r w:rsidRPr="003F55F9">
        <w:t xml:space="preserve">Par le paragraphe suivant : </w:t>
      </w:r>
    </w:p>
    <w:p w14:paraId="52A5D7A2" w14:textId="77777777" w:rsidR="003F55F9" w:rsidRPr="003F55F9" w:rsidRDefault="003F55F9" w:rsidP="003F55F9">
      <w:pPr>
        <w:pStyle w:val="Standard"/>
      </w:pPr>
    </w:p>
    <w:p w14:paraId="3F4E41AF" w14:textId="77777777" w:rsidR="003F55F9" w:rsidRPr="003F55F9" w:rsidRDefault="003F55F9" w:rsidP="003F55F9">
      <w:pPr>
        <w:pStyle w:val="Standard"/>
      </w:pPr>
      <w:r w:rsidRPr="003F55F9">
        <w:lastRenderedPageBreak/>
        <w:t>« </w:t>
      </w:r>
      <w:r w:rsidRPr="000F66B9">
        <w:rPr>
          <w:b/>
          <w:bCs/>
        </w:rPr>
        <w:t>Changement des horaires de travail</w:t>
      </w:r>
      <w:r w:rsidRPr="003F55F9">
        <w:t xml:space="preserve"> : </w:t>
      </w:r>
    </w:p>
    <w:p w14:paraId="383ABCA1" w14:textId="77777777" w:rsidR="003F55F9" w:rsidRPr="003F55F9" w:rsidRDefault="003F55F9" w:rsidP="003F55F9">
      <w:pPr>
        <w:pStyle w:val="Standard"/>
        <w:numPr>
          <w:ilvl w:val="0"/>
          <w:numId w:val="48"/>
        </w:numPr>
      </w:pPr>
      <w:r w:rsidRPr="000F66B9">
        <w:rPr>
          <w:b/>
          <w:bCs/>
          <w:u w:val="single"/>
        </w:rPr>
        <w:t>Cas d’une journée prévue travaillée</w:t>
      </w:r>
      <w:r w:rsidRPr="003F55F9">
        <w:t xml:space="preserve"> : </w:t>
      </w:r>
    </w:p>
    <w:p w14:paraId="40632F1A" w14:textId="77777777" w:rsidR="003F55F9" w:rsidRPr="003F55F9" w:rsidRDefault="003F55F9" w:rsidP="003F55F9">
      <w:pPr>
        <w:pStyle w:val="Standard"/>
      </w:pPr>
      <w:r w:rsidRPr="003F55F9">
        <w:t xml:space="preserve">Dans le cas d’un changement d’horaire avec changement de durée par rapport à la vacation initiale : le salarié concerné se verra crédité de 2 heures de récupération. </w:t>
      </w:r>
    </w:p>
    <w:p w14:paraId="3812BE47" w14:textId="77777777" w:rsidR="003F55F9" w:rsidRPr="003F55F9" w:rsidRDefault="003F55F9" w:rsidP="003F55F9">
      <w:pPr>
        <w:pStyle w:val="Standard"/>
      </w:pPr>
      <w:r w:rsidRPr="003F55F9">
        <w:t xml:space="preserve">Toutefois, les 2 heures de récupération ne seront pas attribuées dans les cas suivants : </w:t>
      </w:r>
    </w:p>
    <w:p w14:paraId="421A8EB9" w14:textId="77777777" w:rsidR="003F55F9" w:rsidRPr="003F55F9" w:rsidRDefault="003F55F9" w:rsidP="003F55F9">
      <w:pPr>
        <w:pStyle w:val="Standard"/>
        <w:numPr>
          <w:ilvl w:val="0"/>
          <w:numId w:val="53"/>
        </w:numPr>
      </w:pPr>
      <w:r w:rsidRPr="003F55F9">
        <w:t xml:space="preserve">Dans le cas d’un changement horaire visant une modification de 15 minutes ou moins de la vacation initialement prévue. </w:t>
      </w:r>
    </w:p>
    <w:p w14:paraId="0FE21C63" w14:textId="77777777" w:rsidR="003F55F9" w:rsidRPr="003F55F9" w:rsidRDefault="003F55F9" w:rsidP="003F55F9">
      <w:pPr>
        <w:pStyle w:val="Standard"/>
        <w:numPr>
          <w:ilvl w:val="0"/>
          <w:numId w:val="53"/>
        </w:numPr>
      </w:pPr>
      <w:r w:rsidRPr="003F55F9">
        <w:t xml:space="preserve">Dans le cas d’un changement horaire visant à réduire la durée de la vacation initialement prévue. </w:t>
      </w:r>
    </w:p>
    <w:p w14:paraId="7067B8E2" w14:textId="77777777" w:rsidR="003F55F9" w:rsidRPr="003F55F9" w:rsidRDefault="003F55F9" w:rsidP="003F55F9">
      <w:pPr>
        <w:pStyle w:val="Standard"/>
      </w:pPr>
      <w:r w:rsidRPr="003F55F9">
        <w:t xml:space="preserve"> </w:t>
      </w:r>
    </w:p>
    <w:p w14:paraId="562CBBC6" w14:textId="77777777" w:rsidR="003F55F9" w:rsidRPr="003F55F9" w:rsidRDefault="003F55F9" w:rsidP="003F55F9">
      <w:pPr>
        <w:pStyle w:val="Standard"/>
      </w:pPr>
      <w:r w:rsidRPr="003F55F9">
        <w:t xml:space="preserve">Les heures travaillées entrent dans le compteur d’annualisation et ne donnent pas lieu à majoration. </w:t>
      </w:r>
    </w:p>
    <w:p w14:paraId="0D2C7692" w14:textId="77777777" w:rsidR="003F55F9" w:rsidRPr="003F55F9" w:rsidRDefault="003F55F9" w:rsidP="003F55F9">
      <w:pPr>
        <w:pStyle w:val="Standard"/>
      </w:pPr>
    </w:p>
    <w:p w14:paraId="7DCD7822" w14:textId="77777777" w:rsidR="003F55F9" w:rsidRPr="003F55F9" w:rsidRDefault="003F55F9" w:rsidP="003F55F9">
      <w:pPr>
        <w:pStyle w:val="Standard"/>
        <w:numPr>
          <w:ilvl w:val="0"/>
          <w:numId w:val="48"/>
        </w:numPr>
      </w:pPr>
      <w:r w:rsidRPr="000F66B9">
        <w:rPr>
          <w:b/>
          <w:bCs/>
          <w:u w:val="single"/>
        </w:rPr>
        <w:t>Cas d’une journée prévue en repos</w:t>
      </w:r>
      <w:r w:rsidRPr="003F55F9">
        <w:t xml:space="preserve"> (uniquement avec l’accord de l’agent) : </w:t>
      </w:r>
    </w:p>
    <w:p w14:paraId="4E8699ED" w14:textId="77777777" w:rsidR="003F55F9" w:rsidRPr="003F55F9" w:rsidRDefault="003F55F9" w:rsidP="003F55F9">
      <w:pPr>
        <w:pStyle w:val="Standard"/>
      </w:pPr>
      <w:r w:rsidRPr="003F55F9">
        <w:t xml:space="preserve">L’horaire effectué est comptabilisé dans le compteur d’annualisation sans majoration. Un temps de récupération correspondant à 50% de l’horaire travaillé sera accordé au salarié. » </w:t>
      </w:r>
    </w:p>
    <w:p w14:paraId="025B9347" w14:textId="77777777" w:rsidR="00F069BC" w:rsidRDefault="00F069BC" w:rsidP="00ED4141">
      <w:pPr>
        <w:pStyle w:val="Standard"/>
        <w:jc w:val="both"/>
        <w:rPr>
          <w:color w:val="0070C0"/>
          <w:szCs w:val="22"/>
        </w:rPr>
      </w:pPr>
    </w:p>
    <w:p w14:paraId="20A1DC33" w14:textId="7C4406E0" w:rsidR="0071674E" w:rsidRPr="00DB2F93" w:rsidRDefault="0071674E" w:rsidP="00ED4141">
      <w:pPr>
        <w:pStyle w:val="Standard"/>
        <w:jc w:val="both"/>
        <w:rPr>
          <w:szCs w:val="22"/>
        </w:rPr>
      </w:pPr>
      <w:r w:rsidRPr="00DB2F93">
        <w:rPr>
          <w:szCs w:val="22"/>
        </w:rPr>
        <w:t>Ainsi que la partie</w:t>
      </w:r>
      <w:r w:rsidR="00DE2B3D" w:rsidRPr="00DB2F93">
        <w:rPr>
          <w:szCs w:val="22"/>
        </w:rPr>
        <w:t xml:space="preserve"> suivante : </w:t>
      </w:r>
    </w:p>
    <w:p w14:paraId="1CD87D4D" w14:textId="77777777" w:rsidR="0071674E" w:rsidRDefault="0071674E" w:rsidP="00ED4141">
      <w:pPr>
        <w:pStyle w:val="Standard"/>
        <w:jc w:val="both"/>
        <w:rPr>
          <w:color w:val="0070C0"/>
          <w:szCs w:val="22"/>
        </w:rPr>
      </w:pPr>
    </w:p>
    <w:p w14:paraId="0CD0DCF4" w14:textId="672DA30A" w:rsidR="0071674E" w:rsidRPr="003D2F97" w:rsidRDefault="003D2F97" w:rsidP="0071674E">
      <w:pPr>
        <w:pStyle w:val="Standard"/>
        <w:jc w:val="both"/>
        <w:rPr>
          <w:szCs w:val="22"/>
        </w:rPr>
      </w:pPr>
      <w:r>
        <w:rPr>
          <w:szCs w:val="22"/>
        </w:rPr>
        <w:t>« </w:t>
      </w:r>
      <w:r w:rsidR="0071674E" w:rsidRPr="003D2F97">
        <w:rPr>
          <w:szCs w:val="22"/>
        </w:rPr>
        <w:t xml:space="preserve">En cas de changement d’horaire, un mail sera envoyé sur l’adresse </w:t>
      </w:r>
      <w:proofErr w:type="gramStart"/>
      <w:r w:rsidR="0071674E" w:rsidRPr="003D2F97">
        <w:rPr>
          <w:szCs w:val="22"/>
        </w:rPr>
        <w:t>mail</w:t>
      </w:r>
      <w:proofErr w:type="gramEnd"/>
      <w:r w:rsidR="0071674E" w:rsidRPr="003D2F97">
        <w:rPr>
          <w:szCs w:val="22"/>
        </w:rPr>
        <w:t xml:space="preserve"> professionnelle du salarié concerné et doublé d’un appel téléphonique. </w:t>
      </w:r>
    </w:p>
    <w:p w14:paraId="43B93237" w14:textId="24847A6A" w:rsidR="0071674E" w:rsidRDefault="0071674E" w:rsidP="0071674E">
      <w:pPr>
        <w:pStyle w:val="Standard"/>
        <w:jc w:val="both"/>
        <w:rPr>
          <w:szCs w:val="22"/>
        </w:rPr>
      </w:pPr>
      <w:r w:rsidRPr="003D2F97">
        <w:rPr>
          <w:szCs w:val="22"/>
        </w:rPr>
        <w:t>Le changement est considéré comme pris en compte par le salarié au jour de sa reprise du travail le cas échéant, dans l’heure suivant sa prise de poste</w:t>
      </w:r>
      <w:r w:rsidR="003D2F97">
        <w:rPr>
          <w:szCs w:val="22"/>
        </w:rPr>
        <w:t> »</w:t>
      </w:r>
      <w:r w:rsidRPr="003D2F97">
        <w:rPr>
          <w:szCs w:val="22"/>
        </w:rPr>
        <w:t xml:space="preserve">. </w:t>
      </w:r>
    </w:p>
    <w:p w14:paraId="242190F7" w14:textId="77777777" w:rsidR="003D2F97" w:rsidRDefault="003D2F97" w:rsidP="0071674E">
      <w:pPr>
        <w:pStyle w:val="Standard"/>
        <w:jc w:val="both"/>
        <w:rPr>
          <w:szCs w:val="22"/>
        </w:rPr>
      </w:pPr>
    </w:p>
    <w:p w14:paraId="77AD39A0" w14:textId="0BE97E75" w:rsidR="00084B3B" w:rsidRPr="00084B3B" w:rsidRDefault="00084B3B" w:rsidP="00084B3B">
      <w:pPr>
        <w:pStyle w:val="Standard"/>
      </w:pPr>
      <w:r w:rsidRPr="00084B3B">
        <w:t>Par</w:t>
      </w:r>
      <w:r w:rsidR="00DE2B3D">
        <w:t xml:space="preserve"> : </w:t>
      </w:r>
    </w:p>
    <w:p w14:paraId="4B88B399" w14:textId="069E83D0" w:rsidR="00084B3B" w:rsidRPr="00084B3B" w:rsidRDefault="00084B3B" w:rsidP="00084B3B">
      <w:pPr>
        <w:pStyle w:val="Standard"/>
      </w:pPr>
      <w:r w:rsidRPr="00084B3B">
        <w:t xml:space="preserve">« En cas de changement d’horaire, ce dernier sera transmis via </w:t>
      </w:r>
      <w:r w:rsidR="00F870F6">
        <w:t xml:space="preserve">l’outil dédié </w:t>
      </w:r>
      <w:r w:rsidRPr="00084B3B">
        <w:t xml:space="preserve">au salarié concerné. </w:t>
      </w:r>
      <w:r w:rsidR="00226AD0">
        <w:t>En cas de nécessité importante de service, une information complémentaire pourra être faite par voie téléphonique.</w:t>
      </w:r>
    </w:p>
    <w:p w14:paraId="565ED3D1" w14:textId="3D923105" w:rsidR="00084B3B" w:rsidRPr="00084B3B" w:rsidRDefault="00084B3B" w:rsidP="00084B3B">
      <w:pPr>
        <w:pStyle w:val="Standard"/>
      </w:pPr>
      <w:r w:rsidRPr="00084B3B">
        <w:t>Le changement est considéré comme pris en compte à sa validation par le salarié</w:t>
      </w:r>
      <w:r w:rsidR="00226AD0">
        <w:t xml:space="preserve"> via </w:t>
      </w:r>
      <w:r w:rsidR="00F870F6">
        <w:t>l’outil dédié</w:t>
      </w:r>
      <w:r w:rsidRPr="00084B3B">
        <w:t xml:space="preserve">. Dans le cas contraire, le changement horaire est considéré comme pris en compte par le salarié au jour de sa reprise du travail le cas échéant, dans l’heure suivant sa prise de poste ». </w:t>
      </w:r>
    </w:p>
    <w:p w14:paraId="0512DF98" w14:textId="77777777" w:rsidR="003C7904" w:rsidRDefault="003C7904" w:rsidP="00ED4141">
      <w:pPr>
        <w:pStyle w:val="Standard"/>
        <w:jc w:val="both"/>
        <w:rPr>
          <w:szCs w:val="22"/>
        </w:rPr>
      </w:pPr>
    </w:p>
    <w:p w14:paraId="0D61ACE1" w14:textId="77777777" w:rsidR="00DE2B3D" w:rsidRPr="003F55F9" w:rsidRDefault="00DE2B3D" w:rsidP="00DE2B3D">
      <w:pPr>
        <w:pStyle w:val="Standard"/>
        <w:spacing w:line="276" w:lineRule="auto"/>
      </w:pPr>
      <w:r w:rsidRPr="003F55F9">
        <w:t xml:space="preserve">Les autres dispositions restent inchangées. </w:t>
      </w:r>
    </w:p>
    <w:p w14:paraId="06980778" w14:textId="4964CC90" w:rsidR="003C7904" w:rsidRDefault="003C7904" w:rsidP="00ED4141">
      <w:pPr>
        <w:pStyle w:val="Standard"/>
        <w:jc w:val="both"/>
        <w:rPr>
          <w:szCs w:val="22"/>
        </w:rPr>
      </w:pPr>
    </w:p>
    <w:p w14:paraId="21421EEA" w14:textId="77777777" w:rsidR="0028591C" w:rsidRDefault="0028591C" w:rsidP="0028591C">
      <w:pPr>
        <w:pStyle w:val="Standard"/>
        <w:ind w:firstLine="691"/>
        <w:jc w:val="both"/>
        <w:rPr>
          <w:rFonts w:eastAsia="Calibri"/>
          <w:b/>
          <w:bCs/>
          <w:i/>
          <w:iCs/>
          <w:szCs w:val="22"/>
        </w:rPr>
      </w:pPr>
      <w:r w:rsidRPr="00CC3220">
        <w:rPr>
          <w:rFonts w:eastAsia="Calibri"/>
          <w:b/>
          <w:bCs/>
          <w:i/>
          <w:iCs/>
          <w:szCs w:val="22"/>
        </w:rPr>
        <w:t xml:space="preserve">Article 5-2 – Astreintes service Technique/Maintenance </w:t>
      </w:r>
    </w:p>
    <w:p w14:paraId="633D822A" w14:textId="77777777" w:rsidR="00F870F6" w:rsidRPr="00CC3220" w:rsidRDefault="00F870F6" w:rsidP="0028591C">
      <w:pPr>
        <w:pStyle w:val="Standard"/>
        <w:ind w:firstLine="691"/>
        <w:jc w:val="both"/>
        <w:rPr>
          <w:rFonts w:eastAsia="Calibri"/>
          <w:b/>
          <w:bCs/>
          <w:i/>
          <w:iCs/>
          <w:szCs w:val="22"/>
        </w:rPr>
      </w:pPr>
    </w:p>
    <w:p w14:paraId="00A8B008" w14:textId="77777777" w:rsidR="0028591C" w:rsidRPr="00CC3220" w:rsidRDefault="0028591C" w:rsidP="0028591C">
      <w:pPr>
        <w:pStyle w:val="Standard"/>
        <w:jc w:val="both"/>
        <w:rPr>
          <w:rFonts w:eastAsia="Calibri"/>
          <w:szCs w:val="22"/>
        </w:rPr>
      </w:pPr>
      <w:r w:rsidRPr="00CC3220">
        <w:rPr>
          <w:rFonts w:eastAsia="Calibri"/>
          <w:szCs w:val="22"/>
        </w:rPr>
        <w:t xml:space="preserve">Ces astreintes couvrent une période courte (week-end, jours fériés, …). Le service Technique/Maintenance répondant des besoins liés à l’exploitation, notamment maintenance mécanique et maintenance du bâtiment, est amené à être d’astreinte les week-ends (du vendredi après le service au lundi à la reprise du service) et jours fériés. </w:t>
      </w:r>
    </w:p>
    <w:p w14:paraId="6275DF26" w14:textId="77777777" w:rsidR="0028591C" w:rsidRPr="00CC3220" w:rsidRDefault="0028591C" w:rsidP="0028591C">
      <w:pPr>
        <w:pStyle w:val="Standard"/>
        <w:jc w:val="both"/>
        <w:rPr>
          <w:rFonts w:eastAsia="Calibri"/>
          <w:szCs w:val="22"/>
        </w:rPr>
      </w:pPr>
    </w:p>
    <w:p w14:paraId="5EFE9024" w14:textId="601A8DBF" w:rsidR="0028591C" w:rsidRPr="00CC3220" w:rsidRDefault="0028591C" w:rsidP="0028591C">
      <w:pPr>
        <w:pStyle w:val="Standard"/>
        <w:jc w:val="both"/>
        <w:rPr>
          <w:rFonts w:eastAsia="Calibri"/>
          <w:szCs w:val="22"/>
        </w:rPr>
      </w:pPr>
      <w:r w:rsidRPr="00CC3220">
        <w:rPr>
          <w:rFonts w:eastAsia="Calibri"/>
          <w:szCs w:val="22"/>
        </w:rPr>
        <w:t xml:space="preserve">Une compensation financière </w:t>
      </w:r>
      <w:r w:rsidR="00E4049D">
        <w:rPr>
          <w:rFonts w:eastAsia="Calibri"/>
          <w:szCs w:val="22"/>
        </w:rPr>
        <w:t xml:space="preserve">est </w:t>
      </w:r>
      <w:r w:rsidRPr="00CC3220">
        <w:rPr>
          <w:rFonts w:eastAsia="Calibri"/>
          <w:szCs w:val="22"/>
        </w:rPr>
        <w:t>liée à l’existence d’une permanence téléphon</w:t>
      </w:r>
      <w:r w:rsidR="00726908">
        <w:rPr>
          <w:rFonts w:eastAsia="Calibri"/>
          <w:szCs w:val="22"/>
        </w:rPr>
        <w:t>ique</w:t>
      </w:r>
      <w:r w:rsidRPr="00CC3220">
        <w:rPr>
          <w:rFonts w:eastAsia="Calibri"/>
          <w:szCs w:val="22"/>
        </w:rPr>
        <w:t xml:space="preserve"> de</w:t>
      </w:r>
      <w:r w:rsidR="005F043D">
        <w:rPr>
          <w:rFonts w:eastAsia="Calibri"/>
          <w:szCs w:val="22"/>
        </w:rPr>
        <w:t xml:space="preserve"> </w:t>
      </w:r>
      <w:r w:rsidR="00FB2E1E">
        <w:rPr>
          <w:rFonts w:eastAsia="Calibri"/>
          <w:szCs w:val="22"/>
        </w:rPr>
        <w:t xml:space="preserve">150€ </w:t>
      </w:r>
      <w:r w:rsidR="005F043D">
        <w:rPr>
          <w:rFonts w:eastAsia="Calibri"/>
          <w:szCs w:val="22"/>
        </w:rPr>
        <w:t>brut</w:t>
      </w:r>
      <w:r w:rsidRPr="00CC3220">
        <w:rPr>
          <w:rFonts w:eastAsia="Calibri"/>
          <w:szCs w:val="22"/>
        </w:rPr>
        <w:t xml:space="preserve"> le week-end et </w:t>
      </w:r>
      <w:r w:rsidR="00FB2E1E">
        <w:rPr>
          <w:rFonts w:eastAsia="Calibri"/>
          <w:szCs w:val="22"/>
        </w:rPr>
        <w:t xml:space="preserve">65€ brut </w:t>
      </w:r>
      <w:r w:rsidRPr="00CC3220">
        <w:rPr>
          <w:rFonts w:eastAsia="Calibri"/>
          <w:szCs w:val="22"/>
        </w:rPr>
        <w:t>les jours fériés</w:t>
      </w:r>
      <w:r w:rsidR="00CE2172">
        <w:rPr>
          <w:rFonts w:eastAsia="Calibri"/>
          <w:szCs w:val="22"/>
        </w:rPr>
        <w:t xml:space="preserve">. </w:t>
      </w:r>
    </w:p>
    <w:p w14:paraId="66ECAA7D" w14:textId="77777777" w:rsidR="0028591C" w:rsidRDefault="0028591C" w:rsidP="0028591C">
      <w:pPr>
        <w:pStyle w:val="Standard"/>
        <w:jc w:val="both"/>
        <w:rPr>
          <w:rFonts w:eastAsia="Calibri"/>
          <w:szCs w:val="22"/>
        </w:rPr>
      </w:pPr>
      <w:r w:rsidRPr="00CC3220">
        <w:rPr>
          <w:rFonts w:eastAsia="Calibri"/>
          <w:szCs w:val="22"/>
        </w:rPr>
        <w:t xml:space="preserve">Le temps maximal d’intervention entre la réception de l’appel téléphonique et l’arrivée à l’aéroport est d’une heure. </w:t>
      </w:r>
    </w:p>
    <w:p w14:paraId="60CE8DD1" w14:textId="77777777" w:rsidR="00015DC8" w:rsidRPr="00CC3220" w:rsidRDefault="00015DC8" w:rsidP="0028591C">
      <w:pPr>
        <w:pStyle w:val="Standard"/>
        <w:jc w:val="both"/>
        <w:rPr>
          <w:rFonts w:eastAsia="Calibri"/>
          <w:szCs w:val="22"/>
        </w:rPr>
      </w:pPr>
    </w:p>
    <w:p w14:paraId="20556F74" w14:textId="77777777" w:rsidR="0028591C" w:rsidRDefault="0028591C" w:rsidP="0028591C">
      <w:pPr>
        <w:pStyle w:val="Standard"/>
        <w:jc w:val="both"/>
        <w:rPr>
          <w:rFonts w:eastAsia="Calibri"/>
          <w:szCs w:val="22"/>
        </w:rPr>
      </w:pPr>
      <w:r w:rsidRPr="00CC3220">
        <w:rPr>
          <w:rFonts w:eastAsia="Calibri"/>
          <w:szCs w:val="22"/>
        </w:rPr>
        <w:t xml:space="preserve">Le temps d’intervention minimal de deux heures (temps minimum forfaitaire) sera rémunéré en heures supplémentaires. </w:t>
      </w:r>
    </w:p>
    <w:p w14:paraId="227CD5DF" w14:textId="77777777" w:rsidR="00C7123C" w:rsidRPr="00CC3220" w:rsidRDefault="00C7123C" w:rsidP="0028591C">
      <w:pPr>
        <w:pStyle w:val="Standard"/>
        <w:jc w:val="both"/>
        <w:rPr>
          <w:rFonts w:eastAsia="Calibri"/>
          <w:szCs w:val="22"/>
        </w:rPr>
      </w:pPr>
    </w:p>
    <w:p w14:paraId="08A17A27" w14:textId="77777777" w:rsidR="0028591C" w:rsidRPr="00CC3220" w:rsidRDefault="0028591C" w:rsidP="0028591C">
      <w:pPr>
        <w:pStyle w:val="Standard"/>
        <w:jc w:val="both"/>
        <w:rPr>
          <w:rFonts w:eastAsia="Calibri"/>
          <w:szCs w:val="22"/>
        </w:rPr>
      </w:pPr>
      <w:r w:rsidRPr="00CC3220">
        <w:rPr>
          <w:rFonts w:eastAsia="Calibri"/>
          <w:szCs w:val="22"/>
        </w:rPr>
        <w:t xml:space="preserve">Les frais de déplacement seront remboursés à l’agent selon les modalités en vigueur. </w:t>
      </w:r>
    </w:p>
    <w:p w14:paraId="428ABB2B" w14:textId="77777777" w:rsidR="00B246E3" w:rsidRDefault="00B246E3" w:rsidP="00ED4141">
      <w:pPr>
        <w:pStyle w:val="Standard"/>
        <w:jc w:val="both"/>
        <w:rPr>
          <w:szCs w:val="22"/>
        </w:rPr>
      </w:pPr>
    </w:p>
    <w:p w14:paraId="71A11DF8" w14:textId="6098712A" w:rsidR="00446C57" w:rsidRPr="002067E0" w:rsidRDefault="00C86188" w:rsidP="00ED4141">
      <w:pPr>
        <w:pStyle w:val="Standard"/>
        <w:jc w:val="both"/>
        <w:rPr>
          <w:szCs w:val="22"/>
        </w:rPr>
      </w:pPr>
      <w:r w:rsidRPr="002067E0">
        <w:rPr>
          <w:b/>
          <w:bCs/>
          <w:szCs w:val="22"/>
        </w:rPr>
        <w:t xml:space="preserve">Article </w:t>
      </w:r>
      <w:r w:rsidR="0023159A">
        <w:rPr>
          <w:b/>
          <w:bCs/>
          <w:szCs w:val="22"/>
        </w:rPr>
        <w:t>2</w:t>
      </w:r>
      <w:r w:rsidRPr="002067E0">
        <w:rPr>
          <w:b/>
          <w:bCs/>
          <w:szCs w:val="22"/>
        </w:rPr>
        <w:t xml:space="preserve"> – Dépôt et Publicité</w:t>
      </w:r>
    </w:p>
    <w:p w14:paraId="4D07B684" w14:textId="77777777" w:rsidR="00446C57" w:rsidRPr="002067E0" w:rsidRDefault="00446C57" w:rsidP="00ED4141">
      <w:pPr>
        <w:pStyle w:val="Standard"/>
        <w:jc w:val="both"/>
        <w:rPr>
          <w:szCs w:val="22"/>
          <w:u w:val="single"/>
        </w:rPr>
      </w:pPr>
    </w:p>
    <w:p w14:paraId="3BF1D6DF" w14:textId="77777777" w:rsidR="007C3DE2" w:rsidRPr="002067E0" w:rsidRDefault="007C3DE2" w:rsidP="007C3DE2">
      <w:pPr>
        <w:jc w:val="both"/>
        <w:rPr>
          <w:rFonts w:ascii="Times New Roman" w:hAnsi="Times New Roman" w:cs="Times New Roman"/>
        </w:rPr>
      </w:pPr>
      <w:r w:rsidRPr="002067E0">
        <w:rPr>
          <w:rFonts w:ascii="Times New Roman" w:hAnsi="Times New Roman" w:cs="Times New Roman"/>
        </w:rPr>
        <w:t>Le présent avenant sera déposé en ligne dès sa conclusion par l</w:t>
      </w:r>
      <w:r w:rsidR="00262C98">
        <w:rPr>
          <w:rFonts w:ascii="Times New Roman" w:hAnsi="Times New Roman" w:cs="Times New Roman"/>
        </w:rPr>
        <w:t>es soins de l’entreprise</w:t>
      </w:r>
      <w:r w:rsidRPr="002067E0">
        <w:rPr>
          <w:rFonts w:ascii="Times New Roman" w:hAnsi="Times New Roman" w:cs="Times New Roman"/>
        </w:rPr>
        <w:t xml:space="preserve"> sur la plateforme de téléprocédure </w:t>
      </w:r>
      <w:proofErr w:type="spellStart"/>
      <w:r w:rsidRPr="002067E0">
        <w:rPr>
          <w:rFonts w:ascii="Times New Roman" w:hAnsi="Times New Roman" w:cs="Times New Roman"/>
        </w:rPr>
        <w:t>TéléAccords</w:t>
      </w:r>
      <w:proofErr w:type="spellEnd"/>
      <w:r w:rsidRPr="002067E0">
        <w:rPr>
          <w:rFonts w:ascii="Times New Roman" w:hAnsi="Times New Roman" w:cs="Times New Roman"/>
        </w:rPr>
        <w:t xml:space="preserve"> en deux exemplaires, dont une version intégrale</w:t>
      </w:r>
      <w:r w:rsidR="00262C98">
        <w:rPr>
          <w:rFonts w:ascii="Times New Roman" w:hAnsi="Times New Roman" w:cs="Times New Roman"/>
        </w:rPr>
        <w:t xml:space="preserve"> sous format PDF signée </w:t>
      </w:r>
      <w:r w:rsidR="00262C98">
        <w:rPr>
          <w:rFonts w:ascii="Times New Roman" w:hAnsi="Times New Roman" w:cs="Times New Roman"/>
        </w:rPr>
        <w:lastRenderedPageBreak/>
        <w:t>par les parties</w:t>
      </w:r>
      <w:r w:rsidRPr="002067E0">
        <w:rPr>
          <w:rFonts w:ascii="Times New Roman" w:hAnsi="Times New Roman" w:cs="Times New Roman"/>
        </w:rPr>
        <w:t xml:space="preserve"> et une version dans laquelle auront été supprimées les mentions permettant d’identifier les signataires. </w:t>
      </w:r>
    </w:p>
    <w:p w14:paraId="546CFB72" w14:textId="77777777" w:rsidR="006D0696" w:rsidRDefault="007C3DE2" w:rsidP="007C3DE2">
      <w:pPr>
        <w:jc w:val="both"/>
        <w:rPr>
          <w:rFonts w:ascii="Times New Roman" w:hAnsi="Times New Roman" w:cs="Times New Roman"/>
        </w:rPr>
      </w:pPr>
      <w:r w:rsidRPr="002067E0">
        <w:rPr>
          <w:rFonts w:ascii="Times New Roman" w:hAnsi="Times New Roman" w:cs="Times New Roman"/>
        </w:rPr>
        <w:t>Un exemplaire</w:t>
      </w:r>
      <w:r w:rsidR="00262C98">
        <w:rPr>
          <w:rFonts w:ascii="Times New Roman" w:hAnsi="Times New Roman" w:cs="Times New Roman"/>
        </w:rPr>
        <w:t xml:space="preserve"> original papier</w:t>
      </w:r>
      <w:r w:rsidRPr="002067E0">
        <w:rPr>
          <w:rFonts w:ascii="Times New Roman" w:hAnsi="Times New Roman" w:cs="Times New Roman"/>
        </w:rPr>
        <w:t xml:space="preserve"> sera adressé au </w:t>
      </w:r>
      <w:r w:rsidR="00967D59">
        <w:rPr>
          <w:rFonts w:ascii="Times New Roman" w:hAnsi="Times New Roman" w:cs="Times New Roman"/>
        </w:rPr>
        <w:t xml:space="preserve">greffe du </w:t>
      </w:r>
      <w:r w:rsidRPr="002067E0">
        <w:rPr>
          <w:rFonts w:ascii="Times New Roman" w:hAnsi="Times New Roman" w:cs="Times New Roman"/>
        </w:rPr>
        <w:t>Conseil de Prud’hommes</w:t>
      </w:r>
      <w:r w:rsidR="00967D59">
        <w:rPr>
          <w:rFonts w:ascii="Times New Roman" w:hAnsi="Times New Roman" w:cs="Times New Roman"/>
        </w:rPr>
        <w:t xml:space="preserve"> du lieu de sa conclusion. </w:t>
      </w:r>
    </w:p>
    <w:p w14:paraId="6BFCC203" w14:textId="77777777" w:rsidR="006D0696" w:rsidRDefault="006D0696" w:rsidP="007C3DE2">
      <w:pPr>
        <w:jc w:val="both"/>
        <w:rPr>
          <w:rFonts w:ascii="Times New Roman" w:hAnsi="Times New Roman" w:cs="Times New Roman"/>
        </w:rPr>
      </w:pPr>
    </w:p>
    <w:p w14:paraId="6FDE1104" w14:textId="5AABECB1" w:rsidR="007C3DE2" w:rsidRPr="002067E0" w:rsidRDefault="007C3DE2" w:rsidP="007C3DE2">
      <w:pPr>
        <w:jc w:val="both"/>
        <w:rPr>
          <w:rFonts w:ascii="Times New Roman" w:hAnsi="Times New Roman" w:cs="Times New Roman"/>
        </w:rPr>
      </w:pPr>
      <w:r w:rsidRPr="002067E0">
        <w:rPr>
          <w:rFonts w:ascii="Times New Roman" w:hAnsi="Times New Roman" w:cs="Times New Roman"/>
        </w:rPr>
        <w:t>Chacune des parties signataires en conservera un exemplaire original.</w:t>
      </w:r>
    </w:p>
    <w:p w14:paraId="353FAE14" w14:textId="77777777" w:rsidR="007C3DE2" w:rsidRPr="002067E0" w:rsidRDefault="007C3DE2" w:rsidP="007C3DE2">
      <w:pPr>
        <w:jc w:val="both"/>
        <w:rPr>
          <w:rFonts w:ascii="Times New Roman" w:hAnsi="Times New Roman" w:cs="Times New Roman"/>
        </w:rPr>
      </w:pPr>
    </w:p>
    <w:p w14:paraId="38007F1F" w14:textId="77777777" w:rsidR="006D0696" w:rsidRDefault="006D0696" w:rsidP="007C3DE2">
      <w:pPr>
        <w:jc w:val="both"/>
        <w:rPr>
          <w:rFonts w:ascii="Times New Roman" w:hAnsi="Times New Roman" w:cs="Times New Roman"/>
        </w:rPr>
      </w:pPr>
    </w:p>
    <w:p w14:paraId="1B219693" w14:textId="77777777" w:rsidR="000E7854" w:rsidRDefault="000E7854" w:rsidP="007C3DE2">
      <w:pPr>
        <w:jc w:val="both"/>
        <w:rPr>
          <w:rFonts w:ascii="Times New Roman" w:hAnsi="Times New Roman" w:cs="Times New Roman"/>
        </w:rPr>
      </w:pPr>
    </w:p>
    <w:p w14:paraId="5CAFB1D2" w14:textId="77777777" w:rsidR="000E7854" w:rsidRDefault="000E7854" w:rsidP="007C3DE2">
      <w:pPr>
        <w:jc w:val="both"/>
        <w:rPr>
          <w:rFonts w:ascii="Times New Roman" w:hAnsi="Times New Roman" w:cs="Times New Roman"/>
        </w:rPr>
      </w:pPr>
    </w:p>
    <w:p w14:paraId="42FE35D1" w14:textId="77777777" w:rsidR="000E7854" w:rsidRDefault="000E7854" w:rsidP="007C3DE2">
      <w:pPr>
        <w:jc w:val="both"/>
        <w:rPr>
          <w:rFonts w:ascii="Times New Roman" w:hAnsi="Times New Roman" w:cs="Times New Roman"/>
        </w:rPr>
      </w:pPr>
    </w:p>
    <w:p w14:paraId="31A81753" w14:textId="77777777" w:rsidR="000E7854" w:rsidRDefault="000E7854" w:rsidP="007C3DE2">
      <w:pPr>
        <w:jc w:val="both"/>
        <w:rPr>
          <w:rFonts w:ascii="Times New Roman" w:hAnsi="Times New Roman" w:cs="Times New Roman"/>
        </w:rPr>
      </w:pPr>
    </w:p>
    <w:p w14:paraId="0740152B" w14:textId="77777777" w:rsidR="000E7854" w:rsidRDefault="000E7854" w:rsidP="007C3DE2">
      <w:pPr>
        <w:jc w:val="both"/>
        <w:rPr>
          <w:rFonts w:ascii="Times New Roman" w:hAnsi="Times New Roman" w:cs="Times New Roman"/>
        </w:rPr>
      </w:pPr>
    </w:p>
    <w:p w14:paraId="155FB026" w14:textId="77777777" w:rsidR="000E7854" w:rsidRDefault="000E7854" w:rsidP="007C3DE2">
      <w:pPr>
        <w:jc w:val="both"/>
        <w:rPr>
          <w:rFonts w:ascii="Times New Roman" w:hAnsi="Times New Roman" w:cs="Times New Roman"/>
        </w:rPr>
      </w:pPr>
    </w:p>
    <w:p w14:paraId="2A934AF4" w14:textId="77777777" w:rsidR="000E7854" w:rsidRDefault="000E7854" w:rsidP="007C3DE2">
      <w:pPr>
        <w:jc w:val="both"/>
        <w:rPr>
          <w:rFonts w:ascii="Times New Roman" w:hAnsi="Times New Roman" w:cs="Times New Roman"/>
        </w:rPr>
      </w:pPr>
    </w:p>
    <w:p w14:paraId="602D1963" w14:textId="77777777" w:rsidR="00107693" w:rsidRDefault="00107693" w:rsidP="007C3DE2">
      <w:pPr>
        <w:jc w:val="both"/>
        <w:rPr>
          <w:rFonts w:ascii="Times New Roman" w:hAnsi="Times New Roman" w:cs="Times New Roman"/>
        </w:rPr>
      </w:pPr>
    </w:p>
    <w:p w14:paraId="54032157" w14:textId="77777777" w:rsidR="00084B3B" w:rsidRDefault="00084B3B" w:rsidP="007C3DE2">
      <w:pPr>
        <w:jc w:val="both"/>
        <w:rPr>
          <w:rFonts w:ascii="Times New Roman" w:hAnsi="Times New Roman" w:cs="Times New Roman"/>
        </w:rPr>
      </w:pPr>
    </w:p>
    <w:p w14:paraId="175E0C38" w14:textId="77777777" w:rsidR="00084B3B" w:rsidRDefault="00084B3B" w:rsidP="007C3DE2">
      <w:pPr>
        <w:jc w:val="both"/>
        <w:rPr>
          <w:rFonts w:ascii="Times New Roman" w:hAnsi="Times New Roman" w:cs="Times New Roman"/>
        </w:rPr>
      </w:pPr>
    </w:p>
    <w:p w14:paraId="193E98C6" w14:textId="77777777" w:rsidR="0080439D" w:rsidRDefault="0080439D" w:rsidP="007C3DE2">
      <w:pPr>
        <w:jc w:val="both"/>
        <w:rPr>
          <w:rFonts w:ascii="Times New Roman" w:hAnsi="Times New Roman" w:cs="Times New Roman"/>
        </w:rPr>
      </w:pPr>
    </w:p>
    <w:p w14:paraId="335B00AB" w14:textId="77777777" w:rsidR="0080439D" w:rsidRDefault="0080439D" w:rsidP="007C3DE2">
      <w:pPr>
        <w:jc w:val="both"/>
        <w:rPr>
          <w:rFonts w:ascii="Times New Roman" w:hAnsi="Times New Roman" w:cs="Times New Roman"/>
        </w:rPr>
      </w:pPr>
    </w:p>
    <w:p w14:paraId="2787C6BC" w14:textId="77777777" w:rsidR="0080439D" w:rsidRDefault="0080439D" w:rsidP="007C3DE2">
      <w:pPr>
        <w:jc w:val="both"/>
        <w:rPr>
          <w:rFonts w:ascii="Times New Roman" w:hAnsi="Times New Roman" w:cs="Times New Roman"/>
        </w:rPr>
      </w:pPr>
    </w:p>
    <w:p w14:paraId="1C543E31" w14:textId="77777777" w:rsidR="0080439D" w:rsidRDefault="0080439D" w:rsidP="007C3DE2">
      <w:pPr>
        <w:jc w:val="both"/>
        <w:rPr>
          <w:rFonts w:ascii="Times New Roman" w:hAnsi="Times New Roman" w:cs="Times New Roman"/>
        </w:rPr>
      </w:pPr>
    </w:p>
    <w:p w14:paraId="0AAC91DB" w14:textId="77777777" w:rsidR="0080439D" w:rsidRDefault="0080439D" w:rsidP="007C3DE2">
      <w:pPr>
        <w:jc w:val="both"/>
        <w:rPr>
          <w:rFonts w:ascii="Times New Roman" w:hAnsi="Times New Roman" w:cs="Times New Roman"/>
        </w:rPr>
      </w:pPr>
    </w:p>
    <w:p w14:paraId="55872E88" w14:textId="77777777" w:rsidR="0080439D" w:rsidRDefault="0080439D" w:rsidP="007C3DE2">
      <w:pPr>
        <w:jc w:val="both"/>
        <w:rPr>
          <w:rFonts w:ascii="Times New Roman" w:hAnsi="Times New Roman" w:cs="Times New Roman"/>
        </w:rPr>
      </w:pPr>
    </w:p>
    <w:p w14:paraId="29FE030C" w14:textId="77777777" w:rsidR="0080439D" w:rsidRDefault="0080439D" w:rsidP="007C3DE2">
      <w:pPr>
        <w:jc w:val="both"/>
        <w:rPr>
          <w:rFonts w:ascii="Times New Roman" w:hAnsi="Times New Roman" w:cs="Times New Roman"/>
        </w:rPr>
      </w:pPr>
    </w:p>
    <w:p w14:paraId="29E2234F" w14:textId="77777777" w:rsidR="00FC51B5" w:rsidRDefault="00FC51B5" w:rsidP="007C3DE2">
      <w:pPr>
        <w:jc w:val="both"/>
        <w:rPr>
          <w:rFonts w:ascii="Times New Roman" w:hAnsi="Times New Roman" w:cs="Times New Roman"/>
        </w:rPr>
      </w:pPr>
    </w:p>
    <w:p w14:paraId="3E45ED6A" w14:textId="77777777" w:rsidR="00FC51B5" w:rsidRDefault="00FC51B5" w:rsidP="007C3DE2">
      <w:pPr>
        <w:jc w:val="both"/>
        <w:rPr>
          <w:rFonts w:ascii="Times New Roman" w:hAnsi="Times New Roman" w:cs="Times New Roman"/>
        </w:rPr>
      </w:pPr>
    </w:p>
    <w:p w14:paraId="0F2E509D" w14:textId="77777777" w:rsidR="00FC51B5" w:rsidRDefault="00FC51B5" w:rsidP="007C3DE2">
      <w:pPr>
        <w:jc w:val="both"/>
        <w:rPr>
          <w:rFonts w:ascii="Times New Roman" w:hAnsi="Times New Roman" w:cs="Times New Roman"/>
        </w:rPr>
      </w:pPr>
    </w:p>
    <w:p w14:paraId="1C929CBF" w14:textId="77777777" w:rsidR="00FC51B5" w:rsidRDefault="00FC51B5" w:rsidP="007C3DE2">
      <w:pPr>
        <w:jc w:val="both"/>
        <w:rPr>
          <w:rFonts w:ascii="Times New Roman" w:hAnsi="Times New Roman" w:cs="Times New Roman"/>
        </w:rPr>
      </w:pPr>
    </w:p>
    <w:p w14:paraId="0C1CF6DD" w14:textId="77777777" w:rsidR="00DB2F93" w:rsidRDefault="00DB2F93" w:rsidP="007C3DE2">
      <w:pPr>
        <w:jc w:val="both"/>
        <w:rPr>
          <w:rFonts w:ascii="Times New Roman" w:hAnsi="Times New Roman" w:cs="Times New Roman"/>
        </w:rPr>
      </w:pPr>
    </w:p>
    <w:p w14:paraId="3455D2DA" w14:textId="77777777" w:rsidR="00DB2F93" w:rsidRDefault="00DB2F93" w:rsidP="007C3DE2">
      <w:pPr>
        <w:jc w:val="both"/>
        <w:rPr>
          <w:rFonts w:ascii="Times New Roman" w:hAnsi="Times New Roman" w:cs="Times New Roman"/>
        </w:rPr>
      </w:pPr>
    </w:p>
    <w:p w14:paraId="5C1AD0F3" w14:textId="77777777" w:rsidR="00DB2F93" w:rsidRDefault="00DB2F93" w:rsidP="007C3DE2">
      <w:pPr>
        <w:jc w:val="both"/>
        <w:rPr>
          <w:rFonts w:ascii="Times New Roman" w:hAnsi="Times New Roman" w:cs="Times New Roman"/>
        </w:rPr>
      </w:pPr>
    </w:p>
    <w:p w14:paraId="1D2740F9" w14:textId="77777777" w:rsidR="00DB2F93" w:rsidRDefault="00DB2F93" w:rsidP="007C3DE2">
      <w:pPr>
        <w:jc w:val="both"/>
        <w:rPr>
          <w:rFonts w:ascii="Times New Roman" w:hAnsi="Times New Roman" w:cs="Times New Roman"/>
        </w:rPr>
      </w:pPr>
    </w:p>
    <w:p w14:paraId="0799D118" w14:textId="77777777" w:rsidR="00DB2F93" w:rsidRDefault="00DB2F93" w:rsidP="007C3DE2">
      <w:pPr>
        <w:jc w:val="both"/>
        <w:rPr>
          <w:rFonts w:ascii="Times New Roman" w:hAnsi="Times New Roman" w:cs="Times New Roman"/>
        </w:rPr>
      </w:pPr>
    </w:p>
    <w:p w14:paraId="3DD96A8E" w14:textId="07D6F444" w:rsidR="00E12EB8" w:rsidRPr="006D0696" w:rsidRDefault="007C3DE2" w:rsidP="007C3DE2">
      <w:pPr>
        <w:jc w:val="both"/>
        <w:rPr>
          <w:rFonts w:ascii="Times New Roman" w:hAnsi="Times New Roman" w:cs="Times New Roman"/>
        </w:rPr>
      </w:pPr>
      <w:r w:rsidRPr="002067E0">
        <w:rPr>
          <w:rFonts w:ascii="Times New Roman" w:hAnsi="Times New Roman" w:cs="Times New Roman"/>
        </w:rPr>
        <w:lastRenderedPageBreak/>
        <w:t xml:space="preserve">Fait à Hyères, le </w:t>
      </w:r>
      <w:r w:rsidR="000F1D69">
        <w:rPr>
          <w:rFonts w:ascii="Times New Roman" w:hAnsi="Times New Roman" w:cs="Times New Roman"/>
        </w:rPr>
        <w:t>29 janvier</w:t>
      </w:r>
      <w:r w:rsidR="005144B8">
        <w:rPr>
          <w:rFonts w:ascii="Times New Roman" w:hAnsi="Times New Roman" w:cs="Times New Roman"/>
        </w:rPr>
        <w:t xml:space="preserve"> 20</w:t>
      </w:r>
      <w:r w:rsidR="002A41D3">
        <w:rPr>
          <w:rFonts w:ascii="Times New Roman" w:hAnsi="Times New Roman" w:cs="Times New Roman"/>
        </w:rPr>
        <w:t>2</w:t>
      </w:r>
      <w:r w:rsidR="000F1D69">
        <w:rPr>
          <w:rFonts w:ascii="Times New Roman" w:hAnsi="Times New Roman" w:cs="Times New Roman"/>
        </w:rPr>
        <w:t>6</w:t>
      </w:r>
      <w:r w:rsidRPr="002067E0">
        <w:rPr>
          <w:rFonts w:ascii="Times New Roman" w:hAnsi="Times New Roman" w:cs="Times New Roman"/>
        </w:rPr>
        <w:t xml:space="preserve"> en </w:t>
      </w:r>
      <w:r w:rsidR="00E018AD" w:rsidRPr="002067E0">
        <w:rPr>
          <w:rFonts w:ascii="Times New Roman" w:hAnsi="Times New Roman" w:cs="Times New Roman"/>
        </w:rPr>
        <w:t>6</w:t>
      </w:r>
      <w:r w:rsidRPr="002067E0">
        <w:rPr>
          <w:rFonts w:ascii="Times New Roman" w:hAnsi="Times New Roman" w:cs="Times New Roman"/>
        </w:rPr>
        <w:t xml:space="preserve"> exemplaires</w:t>
      </w:r>
      <w:r w:rsidR="0080439D">
        <w:rPr>
          <w:rFonts w:ascii="Times New Roman" w:hAnsi="Times New Roman" w:cs="Times New Roman"/>
        </w:rPr>
        <w:t xml:space="preserve">. </w:t>
      </w:r>
    </w:p>
    <w:p w14:paraId="1436B761" w14:textId="77777777" w:rsidR="006D0696" w:rsidRDefault="006D0696" w:rsidP="007C3DE2">
      <w:pPr>
        <w:jc w:val="both"/>
        <w:rPr>
          <w:rFonts w:ascii="Times New Roman" w:hAnsi="Times New Roman" w:cs="Times New Roman"/>
          <w:u w:val="single"/>
        </w:rPr>
      </w:pPr>
    </w:p>
    <w:p w14:paraId="3195D04E" w14:textId="085DDEBD" w:rsidR="007C3DE2" w:rsidRPr="002067E0" w:rsidRDefault="007C3DE2" w:rsidP="007C3DE2">
      <w:pPr>
        <w:jc w:val="both"/>
        <w:rPr>
          <w:rFonts w:ascii="Times New Roman" w:hAnsi="Times New Roman" w:cs="Times New Roman"/>
        </w:rPr>
      </w:pPr>
      <w:r w:rsidRPr="002067E0">
        <w:rPr>
          <w:rFonts w:ascii="Times New Roman" w:hAnsi="Times New Roman" w:cs="Times New Roman"/>
          <w:u w:val="single"/>
        </w:rPr>
        <w:t>Pour la Direction</w:t>
      </w:r>
    </w:p>
    <w:p w14:paraId="5B6502A5" w14:textId="77777777" w:rsidR="007C3DE2" w:rsidRPr="002067E0" w:rsidRDefault="007C3DE2" w:rsidP="007C3DE2">
      <w:pPr>
        <w:ind w:firstLine="708"/>
        <w:jc w:val="both"/>
        <w:rPr>
          <w:rFonts w:ascii="Times New Roman" w:hAnsi="Times New Roman" w:cs="Times New Roman"/>
        </w:rPr>
      </w:pPr>
    </w:p>
    <w:p w14:paraId="4D236AA1" w14:textId="0D66E1A6" w:rsidR="007C3DE2" w:rsidRPr="002067E0" w:rsidRDefault="007C3DE2" w:rsidP="007C3DE2">
      <w:pPr>
        <w:ind w:firstLine="708"/>
        <w:jc w:val="both"/>
        <w:rPr>
          <w:rFonts w:ascii="Times New Roman" w:hAnsi="Times New Roman" w:cs="Times New Roman"/>
        </w:rPr>
      </w:pPr>
      <w:r w:rsidRPr="002067E0">
        <w:rPr>
          <w:rFonts w:ascii="Times New Roman" w:hAnsi="Times New Roman" w:cs="Times New Roman"/>
        </w:rPr>
        <w:t xml:space="preserve">La SEATH représentée par </w:t>
      </w:r>
      <w:r w:rsidR="00824095">
        <w:rPr>
          <w:b/>
          <w:lang w:bidi="en-US"/>
        </w:rPr>
        <w:t>[…]</w:t>
      </w:r>
    </w:p>
    <w:p w14:paraId="62BE7189" w14:textId="77777777" w:rsidR="007C3DE2" w:rsidRPr="002067E0" w:rsidRDefault="007C3DE2" w:rsidP="007C3DE2">
      <w:pPr>
        <w:jc w:val="both"/>
        <w:rPr>
          <w:rFonts w:ascii="Times New Roman" w:hAnsi="Times New Roman" w:cs="Times New Roman"/>
        </w:rPr>
      </w:pPr>
    </w:p>
    <w:p w14:paraId="46951C3E" w14:textId="77777777" w:rsidR="0064396F" w:rsidRDefault="0064396F" w:rsidP="007C3DE2">
      <w:pPr>
        <w:jc w:val="both"/>
        <w:rPr>
          <w:rFonts w:ascii="Times New Roman" w:hAnsi="Times New Roman" w:cs="Times New Roman"/>
        </w:rPr>
      </w:pPr>
    </w:p>
    <w:p w14:paraId="55FF8788" w14:textId="77777777" w:rsidR="00084B3B" w:rsidRDefault="00084B3B" w:rsidP="007C3DE2">
      <w:pPr>
        <w:jc w:val="both"/>
        <w:rPr>
          <w:rFonts w:ascii="Times New Roman" w:hAnsi="Times New Roman" w:cs="Times New Roman"/>
        </w:rPr>
      </w:pPr>
    </w:p>
    <w:p w14:paraId="0A1ACE96" w14:textId="77777777" w:rsidR="00084B3B" w:rsidRDefault="00084B3B" w:rsidP="007C3DE2">
      <w:pPr>
        <w:jc w:val="both"/>
        <w:rPr>
          <w:rFonts w:ascii="Times New Roman" w:hAnsi="Times New Roman" w:cs="Times New Roman"/>
        </w:rPr>
      </w:pPr>
    </w:p>
    <w:p w14:paraId="4D00EDC2" w14:textId="77777777" w:rsidR="00084B3B" w:rsidRPr="002067E0" w:rsidRDefault="00084B3B" w:rsidP="007C3DE2">
      <w:pPr>
        <w:jc w:val="both"/>
        <w:rPr>
          <w:rFonts w:ascii="Times New Roman" w:hAnsi="Times New Roman" w:cs="Times New Roman"/>
        </w:rPr>
      </w:pPr>
    </w:p>
    <w:p w14:paraId="61695635" w14:textId="77777777" w:rsidR="007C3DE2" w:rsidRPr="002067E0" w:rsidRDefault="007C3DE2" w:rsidP="007C3DE2">
      <w:pPr>
        <w:jc w:val="both"/>
        <w:rPr>
          <w:rFonts w:ascii="Times New Roman" w:hAnsi="Times New Roman" w:cs="Times New Roman"/>
          <w:u w:val="single"/>
        </w:rPr>
      </w:pPr>
      <w:r w:rsidRPr="002067E0">
        <w:rPr>
          <w:rFonts w:ascii="Times New Roman" w:hAnsi="Times New Roman" w:cs="Times New Roman"/>
          <w:u w:val="single"/>
        </w:rPr>
        <w:t xml:space="preserve">Pour les organisations syndicales </w:t>
      </w:r>
    </w:p>
    <w:p w14:paraId="211D075F" w14:textId="77777777" w:rsidR="007C3DE2" w:rsidRPr="002067E0" w:rsidRDefault="007C3DE2" w:rsidP="007C3DE2">
      <w:pPr>
        <w:jc w:val="both"/>
        <w:rPr>
          <w:rFonts w:ascii="Times New Roman" w:hAnsi="Times New Roman" w:cs="Times New Roman"/>
          <w:u w:val="single"/>
        </w:rPr>
      </w:pPr>
    </w:p>
    <w:p w14:paraId="71B0925D" w14:textId="001FDFB5" w:rsidR="007C3DE2" w:rsidRPr="002067E0" w:rsidRDefault="007C3DE2" w:rsidP="00E42215">
      <w:pPr>
        <w:pStyle w:val="Standard"/>
        <w:widowControl w:val="0"/>
        <w:numPr>
          <w:ilvl w:val="0"/>
          <w:numId w:val="50"/>
        </w:numPr>
        <w:spacing w:line="276" w:lineRule="auto"/>
        <w:jc w:val="both"/>
        <w:textAlignment w:val="auto"/>
        <w:rPr>
          <w:szCs w:val="22"/>
        </w:rPr>
      </w:pPr>
      <w:r w:rsidRPr="002067E0">
        <w:rPr>
          <w:color w:val="262626"/>
          <w:szCs w:val="22"/>
          <w:lang w:eastAsia="en-US" w:bidi="en-US"/>
        </w:rPr>
        <w:t xml:space="preserve">Syndicat </w:t>
      </w:r>
      <w:r w:rsidRPr="002067E0">
        <w:rPr>
          <w:b/>
          <w:szCs w:val="22"/>
          <w:lang w:eastAsia="en-US" w:bidi="en-US"/>
        </w:rPr>
        <w:t>CFTC</w:t>
      </w:r>
      <w:r w:rsidRPr="002067E0">
        <w:rPr>
          <w:color w:val="262626"/>
          <w:szCs w:val="22"/>
          <w:lang w:eastAsia="en-US" w:bidi="en-US"/>
        </w:rPr>
        <w:t xml:space="preserve"> représenté par </w:t>
      </w:r>
      <w:r w:rsidR="00824095">
        <w:rPr>
          <w:b/>
          <w:szCs w:val="22"/>
          <w:lang w:eastAsia="en-US" w:bidi="en-US"/>
        </w:rPr>
        <w:t>[…]</w:t>
      </w:r>
      <w:r w:rsidRPr="002067E0">
        <w:rPr>
          <w:b/>
          <w:color w:val="262626"/>
          <w:szCs w:val="22"/>
          <w:lang w:eastAsia="en-US" w:bidi="en-US"/>
        </w:rPr>
        <w:t xml:space="preserve">, </w:t>
      </w:r>
      <w:r w:rsidRPr="002067E0">
        <w:rPr>
          <w:bCs/>
          <w:color w:val="262626"/>
          <w:szCs w:val="22"/>
          <w:lang w:eastAsia="en-US" w:bidi="en-US"/>
        </w:rPr>
        <w:t>en sa qualité de</w:t>
      </w:r>
      <w:r w:rsidRPr="002067E0">
        <w:rPr>
          <w:b/>
          <w:color w:val="262626"/>
          <w:szCs w:val="22"/>
          <w:lang w:eastAsia="en-US" w:bidi="en-US"/>
        </w:rPr>
        <w:t xml:space="preserve"> Délégué Syndical.</w:t>
      </w:r>
    </w:p>
    <w:p w14:paraId="1DEBE53C" w14:textId="77777777" w:rsidR="00BF55BB" w:rsidRDefault="00BF55BB" w:rsidP="00BF55BB">
      <w:pPr>
        <w:pStyle w:val="Standard"/>
        <w:widowControl w:val="0"/>
        <w:spacing w:line="276" w:lineRule="auto"/>
        <w:ind w:left="720"/>
        <w:jc w:val="both"/>
        <w:textAlignment w:val="auto"/>
        <w:rPr>
          <w:color w:val="262626"/>
          <w:szCs w:val="22"/>
          <w:lang w:eastAsia="en-US" w:bidi="en-US"/>
        </w:rPr>
      </w:pPr>
    </w:p>
    <w:p w14:paraId="7940736E" w14:textId="77777777" w:rsidR="00084B3B" w:rsidRDefault="00084B3B" w:rsidP="00BF55BB">
      <w:pPr>
        <w:pStyle w:val="Standard"/>
        <w:widowControl w:val="0"/>
        <w:spacing w:line="276" w:lineRule="auto"/>
        <w:ind w:left="720"/>
        <w:jc w:val="both"/>
        <w:textAlignment w:val="auto"/>
        <w:rPr>
          <w:color w:val="262626"/>
          <w:szCs w:val="22"/>
          <w:lang w:eastAsia="en-US" w:bidi="en-US"/>
        </w:rPr>
      </w:pPr>
    </w:p>
    <w:p w14:paraId="29C36511" w14:textId="77777777" w:rsidR="00084B3B" w:rsidRDefault="00084B3B" w:rsidP="00BF55BB">
      <w:pPr>
        <w:pStyle w:val="Standard"/>
        <w:widowControl w:val="0"/>
        <w:spacing w:line="276" w:lineRule="auto"/>
        <w:ind w:left="720"/>
        <w:jc w:val="both"/>
        <w:textAlignment w:val="auto"/>
        <w:rPr>
          <w:color w:val="262626"/>
          <w:szCs w:val="22"/>
          <w:lang w:eastAsia="en-US" w:bidi="en-US"/>
        </w:rPr>
      </w:pPr>
    </w:p>
    <w:p w14:paraId="472BEABE" w14:textId="77777777" w:rsidR="00084B3B" w:rsidRPr="002067E0" w:rsidRDefault="00084B3B" w:rsidP="00BF55BB">
      <w:pPr>
        <w:pStyle w:val="Standard"/>
        <w:widowControl w:val="0"/>
        <w:spacing w:line="276" w:lineRule="auto"/>
        <w:ind w:left="720"/>
        <w:jc w:val="both"/>
        <w:textAlignment w:val="auto"/>
        <w:rPr>
          <w:color w:val="262626"/>
          <w:szCs w:val="22"/>
          <w:lang w:eastAsia="en-US" w:bidi="en-US"/>
        </w:rPr>
      </w:pPr>
    </w:p>
    <w:p w14:paraId="5045882F" w14:textId="77777777" w:rsidR="00090C36" w:rsidRDefault="00090C36" w:rsidP="00ED54C6">
      <w:pPr>
        <w:pStyle w:val="Standard"/>
        <w:widowControl w:val="0"/>
        <w:spacing w:line="276" w:lineRule="auto"/>
        <w:jc w:val="both"/>
        <w:textAlignment w:val="auto"/>
        <w:rPr>
          <w:szCs w:val="22"/>
        </w:rPr>
      </w:pPr>
    </w:p>
    <w:p w14:paraId="16864DD1" w14:textId="77777777" w:rsidR="0064396F" w:rsidRPr="002067E0" w:rsidRDefault="0064396F" w:rsidP="00BF55BB">
      <w:pPr>
        <w:pStyle w:val="Standard"/>
        <w:widowControl w:val="0"/>
        <w:spacing w:line="276" w:lineRule="auto"/>
        <w:ind w:left="720"/>
        <w:jc w:val="both"/>
        <w:textAlignment w:val="auto"/>
        <w:rPr>
          <w:szCs w:val="22"/>
        </w:rPr>
      </w:pPr>
    </w:p>
    <w:p w14:paraId="3963FD21" w14:textId="488C695E" w:rsidR="007C3DE2" w:rsidRPr="002067E0" w:rsidRDefault="007C3DE2" w:rsidP="00E42215">
      <w:pPr>
        <w:pStyle w:val="Standard"/>
        <w:widowControl w:val="0"/>
        <w:numPr>
          <w:ilvl w:val="0"/>
          <w:numId w:val="50"/>
        </w:numPr>
        <w:spacing w:line="276" w:lineRule="auto"/>
        <w:jc w:val="both"/>
        <w:textAlignment w:val="auto"/>
        <w:rPr>
          <w:szCs w:val="22"/>
        </w:rPr>
      </w:pPr>
      <w:r w:rsidRPr="002067E0">
        <w:rPr>
          <w:color w:val="262626"/>
          <w:szCs w:val="22"/>
          <w:lang w:eastAsia="en-US" w:bidi="en-US"/>
        </w:rPr>
        <w:t xml:space="preserve">Syndicat </w:t>
      </w:r>
      <w:r w:rsidRPr="002067E0">
        <w:rPr>
          <w:b/>
          <w:color w:val="262626"/>
          <w:szCs w:val="22"/>
          <w:lang w:eastAsia="en-US" w:bidi="en-US"/>
        </w:rPr>
        <w:t>CFDT</w:t>
      </w:r>
      <w:r w:rsidRPr="002067E0">
        <w:rPr>
          <w:color w:val="262626"/>
          <w:szCs w:val="22"/>
          <w:lang w:eastAsia="en-US" w:bidi="en-US"/>
        </w:rPr>
        <w:t xml:space="preserve"> représenté par </w:t>
      </w:r>
      <w:r w:rsidR="00824095">
        <w:rPr>
          <w:b/>
          <w:szCs w:val="22"/>
          <w:lang w:eastAsia="en-US" w:bidi="en-US"/>
        </w:rPr>
        <w:t>[…]</w:t>
      </w:r>
      <w:r w:rsidRPr="002067E0">
        <w:rPr>
          <w:b/>
          <w:color w:val="262626"/>
          <w:szCs w:val="22"/>
          <w:lang w:eastAsia="en-US" w:bidi="en-US"/>
        </w:rPr>
        <w:t xml:space="preserve">, </w:t>
      </w:r>
      <w:r w:rsidRPr="002067E0">
        <w:rPr>
          <w:bCs/>
          <w:color w:val="262626"/>
          <w:szCs w:val="22"/>
          <w:lang w:eastAsia="en-US" w:bidi="en-US"/>
        </w:rPr>
        <w:t>en sa qualité de</w:t>
      </w:r>
      <w:r w:rsidRPr="002067E0">
        <w:rPr>
          <w:b/>
          <w:color w:val="262626"/>
          <w:szCs w:val="22"/>
          <w:lang w:eastAsia="en-US" w:bidi="en-US"/>
        </w:rPr>
        <w:t xml:space="preserve"> Délégué</w:t>
      </w:r>
      <w:r w:rsidR="00E018AD" w:rsidRPr="002067E0">
        <w:rPr>
          <w:b/>
          <w:color w:val="262626"/>
          <w:szCs w:val="22"/>
          <w:lang w:eastAsia="en-US" w:bidi="en-US"/>
        </w:rPr>
        <w:t>e</w:t>
      </w:r>
      <w:r w:rsidRPr="002067E0">
        <w:rPr>
          <w:b/>
          <w:color w:val="262626"/>
          <w:szCs w:val="22"/>
          <w:lang w:eastAsia="en-US" w:bidi="en-US"/>
        </w:rPr>
        <w:t xml:space="preserve"> Syndical</w:t>
      </w:r>
      <w:r w:rsidR="00E018AD" w:rsidRPr="002067E0">
        <w:rPr>
          <w:b/>
          <w:color w:val="262626"/>
          <w:szCs w:val="22"/>
          <w:lang w:eastAsia="en-US" w:bidi="en-US"/>
        </w:rPr>
        <w:t>e</w:t>
      </w:r>
      <w:r w:rsidRPr="002067E0">
        <w:rPr>
          <w:color w:val="262626"/>
          <w:szCs w:val="22"/>
          <w:lang w:eastAsia="en-US" w:bidi="en-US"/>
        </w:rPr>
        <w:t>.</w:t>
      </w:r>
    </w:p>
    <w:p w14:paraId="4BF2A94A" w14:textId="77777777" w:rsidR="00BF55BB" w:rsidRPr="002067E0" w:rsidRDefault="00BF55BB" w:rsidP="00BF55BB">
      <w:pPr>
        <w:pStyle w:val="Standard"/>
        <w:widowControl w:val="0"/>
        <w:spacing w:line="276" w:lineRule="auto"/>
        <w:jc w:val="both"/>
        <w:textAlignment w:val="auto"/>
        <w:rPr>
          <w:szCs w:val="22"/>
        </w:rPr>
      </w:pPr>
    </w:p>
    <w:p w14:paraId="60571D9F" w14:textId="77777777" w:rsidR="006D0696" w:rsidRPr="002067E0" w:rsidRDefault="006D0696" w:rsidP="00BF55BB">
      <w:pPr>
        <w:pStyle w:val="Standard"/>
        <w:widowControl w:val="0"/>
        <w:spacing w:line="276" w:lineRule="auto"/>
        <w:jc w:val="both"/>
        <w:textAlignment w:val="auto"/>
        <w:rPr>
          <w:szCs w:val="22"/>
        </w:rPr>
      </w:pPr>
    </w:p>
    <w:p w14:paraId="2FF9ACF4" w14:textId="77777777" w:rsidR="0064396F" w:rsidRDefault="0064396F" w:rsidP="00BF55BB">
      <w:pPr>
        <w:pStyle w:val="Standard"/>
        <w:widowControl w:val="0"/>
        <w:spacing w:line="276" w:lineRule="auto"/>
        <w:jc w:val="both"/>
        <w:textAlignment w:val="auto"/>
        <w:rPr>
          <w:szCs w:val="22"/>
        </w:rPr>
      </w:pPr>
    </w:p>
    <w:p w14:paraId="582BC1A5" w14:textId="77777777" w:rsidR="00084B3B" w:rsidRDefault="00084B3B" w:rsidP="00BF55BB">
      <w:pPr>
        <w:pStyle w:val="Standard"/>
        <w:widowControl w:val="0"/>
        <w:spacing w:line="276" w:lineRule="auto"/>
        <w:jc w:val="both"/>
        <w:textAlignment w:val="auto"/>
        <w:rPr>
          <w:szCs w:val="22"/>
        </w:rPr>
      </w:pPr>
    </w:p>
    <w:p w14:paraId="186CCDC2" w14:textId="77777777" w:rsidR="00090C36" w:rsidRDefault="00090C36" w:rsidP="00BF55BB">
      <w:pPr>
        <w:pStyle w:val="Standard"/>
        <w:widowControl w:val="0"/>
        <w:spacing w:line="276" w:lineRule="auto"/>
        <w:jc w:val="both"/>
        <w:textAlignment w:val="auto"/>
        <w:rPr>
          <w:szCs w:val="22"/>
        </w:rPr>
      </w:pPr>
    </w:p>
    <w:p w14:paraId="2968F0F0" w14:textId="77777777" w:rsidR="00084B3B" w:rsidRPr="002067E0" w:rsidRDefault="00084B3B" w:rsidP="00BF55BB">
      <w:pPr>
        <w:pStyle w:val="Standard"/>
        <w:widowControl w:val="0"/>
        <w:spacing w:line="276" w:lineRule="auto"/>
        <w:jc w:val="both"/>
        <w:textAlignment w:val="auto"/>
        <w:rPr>
          <w:szCs w:val="22"/>
        </w:rPr>
      </w:pPr>
    </w:p>
    <w:p w14:paraId="211E3909" w14:textId="4BAC4B3A" w:rsidR="007C3DE2" w:rsidRPr="002067E0" w:rsidRDefault="007C3DE2" w:rsidP="00E42215">
      <w:pPr>
        <w:pStyle w:val="Standard"/>
        <w:widowControl w:val="0"/>
        <w:numPr>
          <w:ilvl w:val="0"/>
          <w:numId w:val="50"/>
        </w:numPr>
        <w:spacing w:line="276" w:lineRule="auto"/>
        <w:jc w:val="both"/>
        <w:textAlignment w:val="auto"/>
        <w:rPr>
          <w:szCs w:val="22"/>
        </w:rPr>
      </w:pPr>
      <w:r w:rsidRPr="002067E0">
        <w:rPr>
          <w:color w:val="262626"/>
          <w:szCs w:val="22"/>
          <w:lang w:eastAsia="en-US" w:bidi="en-US"/>
        </w:rPr>
        <w:t>Syndicat</w:t>
      </w:r>
      <w:r w:rsidRPr="002067E0">
        <w:rPr>
          <w:szCs w:val="22"/>
          <w:lang w:eastAsia="en-US" w:bidi="en-US"/>
        </w:rPr>
        <w:t xml:space="preserve"> </w:t>
      </w:r>
      <w:r w:rsidRPr="002067E0">
        <w:rPr>
          <w:b/>
          <w:szCs w:val="22"/>
          <w:lang w:eastAsia="en-US" w:bidi="en-US"/>
        </w:rPr>
        <w:t>CFE – CGC</w:t>
      </w:r>
      <w:r w:rsidRPr="002067E0">
        <w:rPr>
          <w:szCs w:val="22"/>
          <w:lang w:eastAsia="en-US" w:bidi="en-US"/>
        </w:rPr>
        <w:t xml:space="preserve"> </w:t>
      </w:r>
      <w:r w:rsidRPr="002067E0">
        <w:rPr>
          <w:color w:val="262626"/>
          <w:szCs w:val="22"/>
          <w:lang w:eastAsia="en-US" w:bidi="en-US"/>
        </w:rPr>
        <w:t xml:space="preserve">représenté par </w:t>
      </w:r>
      <w:r w:rsidR="00824095">
        <w:rPr>
          <w:b/>
          <w:szCs w:val="22"/>
          <w:lang w:eastAsia="en-US" w:bidi="en-US"/>
        </w:rPr>
        <w:t>[…]</w:t>
      </w:r>
      <w:r w:rsidRPr="002067E0">
        <w:rPr>
          <w:szCs w:val="22"/>
          <w:lang w:eastAsia="en-US" w:bidi="en-US"/>
        </w:rPr>
        <w:t xml:space="preserve">, en sa qualité de </w:t>
      </w:r>
      <w:r w:rsidRPr="002067E0">
        <w:rPr>
          <w:b/>
          <w:bCs/>
          <w:szCs w:val="22"/>
          <w:lang w:eastAsia="en-US" w:bidi="en-US"/>
        </w:rPr>
        <w:t>Délégué Syndical</w:t>
      </w:r>
      <w:r w:rsidRPr="002067E0">
        <w:rPr>
          <w:szCs w:val="22"/>
          <w:lang w:eastAsia="en-US" w:bidi="en-US"/>
        </w:rPr>
        <w:t>.</w:t>
      </w:r>
    </w:p>
    <w:p w14:paraId="1F7ED288" w14:textId="77777777" w:rsidR="00446C57" w:rsidRPr="002067E0" w:rsidRDefault="00446C57" w:rsidP="00BD670F">
      <w:pPr>
        <w:pStyle w:val="Standard"/>
        <w:spacing w:line="276" w:lineRule="auto"/>
        <w:rPr>
          <w:szCs w:val="22"/>
        </w:rPr>
      </w:pPr>
    </w:p>
    <w:sectPr w:rsidR="00446C57" w:rsidRPr="002067E0" w:rsidSect="00BD39A8">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04C0A" w14:textId="77777777" w:rsidR="00A76DFC" w:rsidRDefault="00A76DFC">
      <w:pPr>
        <w:spacing w:after="0" w:line="240" w:lineRule="auto"/>
      </w:pPr>
      <w:r>
        <w:separator/>
      </w:r>
    </w:p>
  </w:endnote>
  <w:endnote w:type="continuationSeparator" w:id="0">
    <w:p w14:paraId="53F4C0C9" w14:textId="77777777" w:rsidR="00A76DFC" w:rsidRDefault="00A76D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inci Sans">
    <w:panose1 w:val="02000000000000000000"/>
    <w:charset w:val="00"/>
    <w:family w:val="auto"/>
    <w:pitch w:val="variable"/>
    <w:sig w:usb0="A00000AF" w:usb1="4000205B" w:usb2="00000000" w:usb3="00000000" w:csb0="0000009B"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
    <w:altName w:val="Calibri"/>
    <w:charset w:val="00"/>
    <w:family w:val="auto"/>
    <w:pitch w:val="variable"/>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D13ED" w14:textId="77777777" w:rsidR="00746F21" w:rsidRDefault="00746F2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CFADC" w14:textId="77777777" w:rsidR="007D2309" w:rsidRPr="00626235" w:rsidRDefault="00C86188">
    <w:pPr>
      <w:pStyle w:val="Pieddepage"/>
      <w:jc w:val="right"/>
      <w:rPr>
        <w:sz w:val="16"/>
        <w:szCs w:val="16"/>
      </w:rPr>
    </w:pPr>
    <w:r w:rsidRPr="00626235">
      <w:rPr>
        <w:rFonts w:ascii="Vinci Sans" w:hAnsi="Vinci Sans"/>
        <w:i/>
        <w:sz w:val="16"/>
        <w:szCs w:val="16"/>
      </w:rPr>
      <w:t xml:space="preserve">Page </w:t>
    </w:r>
    <w:r w:rsidRPr="00626235">
      <w:rPr>
        <w:sz w:val="16"/>
        <w:szCs w:val="16"/>
      </w:rPr>
      <w:fldChar w:fldCharType="begin"/>
    </w:r>
    <w:r w:rsidRPr="00626235">
      <w:rPr>
        <w:sz w:val="16"/>
        <w:szCs w:val="16"/>
      </w:rPr>
      <w:instrText xml:space="preserve"> PAGE </w:instrText>
    </w:r>
    <w:r w:rsidRPr="00626235">
      <w:rPr>
        <w:sz w:val="16"/>
        <w:szCs w:val="16"/>
      </w:rPr>
      <w:fldChar w:fldCharType="separate"/>
    </w:r>
    <w:r w:rsidR="00CC7E90">
      <w:rPr>
        <w:noProof/>
        <w:sz w:val="16"/>
        <w:szCs w:val="16"/>
      </w:rPr>
      <w:t>1</w:t>
    </w:r>
    <w:r w:rsidRPr="00626235">
      <w:rPr>
        <w:sz w:val="16"/>
        <w:szCs w:val="16"/>
      </w:rPr>
      <w:fldChar w:fldCharType="end"/>
    </w:r>
    <w:r w:rsidRPr="00626235">
      <w:rPr>
        <w:rFonts w:ascii="Vinci Sans" w:hAnsi="Vinci Sans"/>
        <w:i/>
        <w:sz w:val="16"/>
        <w:szCs w:val="16"/>
      </w:rPr>
      <w:t xml:space="preserve"> sur </w:t>
    </w:r>
    <w:r w:rsidR="00B0113F" w:rsidRPr="00626235">
      <w:rPr>
        <w:sz w:val="16"/>
        <w:szCs w:val="16"/>
      </w:rPr>
      <w:fldChar w:fldCharType="begin"/>
    </w:r>
    <w:r w:rsidR="00B0113F" w:rsidRPr="00626235">
      <w:rPr>
        <w:sz w:val="16"/>
        <w:szCs w:val="16"/>
      </w:rPr>
      <w:instrText xml:space="preserve"> NUMPAGES </w:instrText>
    </w:r>
    <w:r w:rsidR="00B0113F" w:rsidRPr="00626235">
      <w:rPr>
        <w:sz w:val="16"/>
        <w:szCs w:val="16"/>
      </w:rPr>
      <w:fldChar w:fldCharType="separate"/>
    </w:r>
    <w:r w:rsidR="00CC7E90">
      <w:rPr>
        <w:noProof/>
        <w:sz w:val="16"/>
        <w:szCs w:val="16"/>
      </w:rPr>
      <w:t>3</w:t>
    </w:r>
    <w:r w:rsidR="00B0113F" w:rsidRPr="00626235">
      <w:rPr>
        <w:noProof/>
        <w:sz w:val="16"/>
        <w:szCs w:val="16"/>
      </w:rPr>
      <w:fldChar w:fldCharType="end"/>
    </w:r>
  </w:p>
  <w:p w14:paraId="5900A3AF" w14:textId="77777777" w:rsidR="00D309ED" w:rsidRPr="00872E03" w:rsidRDefault="00D309ED">
    <w:pPr>
      <w:pStyle w:val="Pieddepage"/>
      <w:rPr>
        <w:i/>
        <w:sz w:val="18"/>
        <w:szCs w:val="18"/>
      </w:rPr>
    </w:pPr>
    <w:r w:rsidRPr="00872E03">
      <w:rPr>
        <w:i/>
        <w:sz w:val="18"/>
        <w:szCs w:val="18"/>
      </w:rPr>
      <w:t xml:space="preserve">La forme masculine est utilisée dans le présent accord. </w:t>
    </w:r>
    <w:r w:rsidR="00872E03" w:rsidRPr="00872E03">
      <w:rPr>
        <w:i/>
        <w:sz w:val="18"/>
        <w:szCs w:val="18"/>
      </w:rPr>
      <w:t>Elle concerne les collaborateurs féminins et masculins</w:t>
    </w:r>
  </w:p>
  <w:p w14:paraId="089461A5" w14:textId="598345BA" w:rsidR="007D2309" w:rsidRPr="00872E03" w:rsidRDefault="00936CE8">
    <w:pPr>
      <w:pStyle w:val="Pieddepage"/>
    </w:pPr>
    <w:r w:rsidRPr="00872E03">
      <w:rPr>
        <w:i/>
        <w:sz w:val="18"/>
        <w:szCs w:val="18"/>
      </w:rPr>
      <w:t>A</w:t>
    </w:r>
    <w:r w:rsidR="00C86188" w:rsidRPr="00872E03">
      <w:rPr>
        <w:i/>
        <w:sz w:val="18"/>
        <w:szCs w:val="18"/>
      </w:rPr>
      <w:t>venant n°</w:t>
    </w:r>
    <w:r w:rsidR="00294C38">
      <w:rPr>
        <w:i/>
        <w:sz w:val="18"/>
        <w:szCs w:val="18"/>
      </w:rPr>
      <w:t>3</w:t>
    </w:r>
    <w:r w:rsidR="00C86188" w:rsidRPr="00872E03">
      <w:rPr>
        <w:i/>
        <w:sz w:val="18"/>
        <w:szCs w:val="18"/>
      </w:rPr>
      <w:t xml:space="preserve"> à l’accord d’entreprise sur le régime social du personnel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1D9A7" w14:textId="77777777" w:rsidR="00746F21" w:rsidRDefault="00746F2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71B95" w14:textId="77777777" w:rsidR="00A76DFC" w:rsidRDefault="00A76DFC">
      <w:pPr>
        <w:spacing w:after="0" w:line="240" w:lineRule="auto"/>
      </w:pPr>
      <w:r>
        <w:rPr>
          <w:color w:val="000000"/>
        </w:rPr>
        <w:separator/>
      </w:r>
    </w:p>
  </w:footnote>
  <w:footnote w:type="continuationSeparator" w:id="0">
    <w:p w14:paraId="2104C807" w14:textId="77777777" w:rsidR="00A76DFC" w:rsidRDefault="00A76D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86FAE" w14:textId="0F0A405A" w:rsidR="007D2309" w:rsidRDefault="007D230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1744D" w14:textId="175364C9" w:rsidR="007D2309" w:rsidRDefault="007D230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420B8" w14:textId="760DEB56" w:rsidR="00746F21" w:rsidRDefault="00746F2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B458D"/>
    <w:multiLevelType w:val="hybridMultilevel"/>
    <w:tmpl w:val="63341CF4"/>
    <w:lvl w:ilvl="0" w:tplc="1E145B48">
      <w:start w:val="4"/>
      <w:numFmt w:val="bullet"/>
      <w:lvlText w:val="-"/>
      <w:lvlJc w:val="left"/>
      <w:pPr>
        <w:ind w:left="720" w:hanging="360"/>
      </w:pPr>
      <w:rPr>
        <w:rFonts w:ascii="Vinci Sans" w:eastAsia="Times New Roman" w:hAnsi="Vinci San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9D07FC"/>
    <w:multiLevelType w:val="multilevel"/>
    <w:tmpl w:val="E690E714"/>
    <w:styleLink w:val="WWNum19"/>
    <w:lvl w:ilvl="0">
      <w:numFmt w:val="bullet"/>
      <w:lvlText w:val="-"/>
      <w:lvlJc w:val="left"/>
      <w:pPr>
        <w:ind w:left="720" w:hanging="360"/>
      </w:pPr>
      <w:rPr>
        <w:rFonts w:ascii="Times New Roman" w:eastAsia="Times New Roman" w:hAnsi="Times New Roman" w:cs="Arial"/>
        <w:b/>
        <w:color w:val="00000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3D23C4F"/>
    <w:multiLevelType w:val="multilevel"/>
    <w:tmpl w:val="BFF6E918"/>
    <w:styleLink w:val="WWNum29"/>
    <w:lvl w:ilvl="0">
      <w:start w:val="2"/>
      <w:numFmt w:val="decimal"/>
      <w:lvlText w:val="%1."/>
      <w:lvlJc w:val="left"/>
      <w:pPr>
        <w:ind w:left="360" w:hanging="360"/>
      </w:pPr>
    </w:lvl>
    <w:lvl w:ilvl="1">
      <w:start w:val="2"/>
      <w:numFmt w:val="decimal"/>
      <w:lvlText w:val="%1.%2."/>
      <w:lvlJc w:val="left"/>
      <w:pPr>
        <w:ind w:left="792" w:hanging="432"/>
      </w:pPr>
      <w:rPr>
        <w:b/>
      </w:rPr>
    </w:lvl>
    <w:lvl w:ilvl="2">
      <w:start w:val="1"/>
      <w:numFmt w:val="decimal"/>
      <w:lvlText w:val="%1.%2.%3."/>
      <w:lvlJc w:val="left"/>
      <w:pPr>
        <w:ind w:left="1355" w:hanging="504"/>
      </w:pPr>
      <w:rPr>
        <w:u w:val="singl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375D24"/>
    <w:multiLevelType w:val="multilevel"/>
    <w:tmpl w:val="D06E8BAC"/>
    <w:styleLink w:val="WWNum43"/>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048C1856"/>
    <w:multiLevelType w:val="hybridMultilevel"/>
    <w:tmpl w:val="B296C8DC"/>
    <w:lvl w:ilvl="0" w:tplc="3CC4A2CA">
      <w:start w:val="1"/>
      <w:numFmt w:val="bullet"/>
      <w:lvlText w:val=""/>
      <w:lvlJc w:val="left"/>
      <w:pPr>
        <w:ind w:left="720" w:hanging="360"/>
      </w:pPr>
      <w:rPr>
        <w:rFonts w:ascii="Symbol" w:hAnsi="Symbol"/>
      </w:rPr>
    </w:lvl>
    <w:lvl w:ilvl="1" w:tplc="C4BE21D2">
      <w:start w:val="1"/>
      <w:numFmt w:val="bullet"/>
      <w:lvlText w:val=""/>
      <w:lvlJc w:val="left"/>
      <w:pPr>
        <w:ind w:left="720" w:hanging="360"/>
      </w:pPr>
      <w:rPr>
        <w:rFonts w:ascii="Symbol" w:hAnsi="Symbol"/>
      </w:rPr>
    </w:lvl>
    <w:lvl w:ilvl="2" w:tplc="F2961916">
      <w:start w:val="1"/>
      <w:numFmt w:val="bullet"/>
      <w:lvlText w:val=""/>
      <w:lvlJc w:val="left"/>
      <w:pPr>
        <w:ind w:left="720" w:hanging="360"/>
      </w:pPr>
      <w:rPr>
        <w:rFonts w:ascii="Symbol" w:hAnsi="Symbol"/>
      </w:rPr>
    </w:lvl>
    <w:lvl w:ilvl="3" w:tplc="A25E87A0">
      <w:start w:val="1"/>
      <w:numFmt w:val="bullet"/>
      <w:lvlText w:val=""/>
      <w:lvlJc w:val="left"/>
      <w:pPr>
        <w:ind w:left="720" w:hanging="360"/>
      </w:pPr>
      <w:rPr>
        <w:rFonts w:ascii="Symbol" w:hAnsi="Symbol"/>
      </w:rPr>
    </w:lvl>
    <w:lvl w:ilvl="4" w:tplc="79728FBA">
      <w:start w:val="1"/>
      <w:numFmt w:val="bullet"/>
      <w:lvlText w:val=""/>
      <w:lvlJc w:val="left"/>
      <w:pPr>
        <w:ind w:left="720" w:hanging="360"/>
      </w:pPr>
      <w:rPr>
        <w:rFonts w:ascii="Symbol" w:hAnsi="Symbol"/>
      </w:rPr>
    </w:lvl>
    <w:lvl w:ilvl="5" w:tplc="4288D064">
      <w:start w:val="1"/>
      <w:numFmt w:val="bullet"/>
      <w:lvlText w:val=""/>
      <w:lvlJc w:val="left"/>
      <w:pPr>
        <w:ind w:left="720" w:hanging="360"/>
      </w:pPr>
      <w:rPr>
        <w:rFonts w:ascii="Symbol" w:hAnsi="Symbol"/>
      </w:rPr>
    </w:lvl>
    <w:lvl w:ilvl="6" w:tplc="0D607988">
      <w:start w:val="1"/>
      <w:numFmt w:val="bullet"/>
      <w:lvlText w:val=""/>
      <w:lvlJc w:val="left"/>
      <w:pPr>
        <w:ind w:left="720" w:hanging="360"/>
      </w:pPr>
      <w:rPr>
        <w:rFonts w:ascii="Symbol" w:hAnsi="Symbol"/>
      </w:rPr>
    </w:lvl>
    <w:lvl w:ilvl="7" w:tplc="B2DC1DE6">
      <w:start w:val="1"/>
      <w:numFmt w:val="bullet"/>
      <w:lvlText w:val=""/>
      <w:lvlJc w:val="left"/>
      <w:pPr>
        <w:ind w:left="720" w:hanging="360"/>
      </w:pPr>
      <w:rPr>
        <w:rFonts w:ascii="Symbol" w:hAnsi="Symbol"/>
      </w:rPr>
    </w:lvl>
    <w:lvl w:ilvl="8" w:tplc="40A0A6CE">
      <w:start w:val="1"/>
      <w:numFmt w:val="bullet"/>
      <w:lvlText w:val=""/>
      <w:lvlJc w:val="left"/>
      <w:pPr>
        <w:ind w:left="720" w:hanging="360"/>
      </w:pPr>
      <w:rPr>
        <w:rFonts w:ascii="Symbol" w:hAnsi="Symbol"/>
      </w:rPr>
    </w:lvl>
  </w:abstractNum>
  <w:abstractNum w:abstractNumId="5" w15:restartNumberingAfterBreak="0">
    <w:nsid w:val="07032A76"/>
    <w:multiLevelType w:val="hybridMultilevel"/>
    <w:tmpl w:val="5ABC3D4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8781747"/>
    <w:multiLevelType w:val="multilevel"/>
    <w:tmpl w:val="56600D24"/>
    <w:styleLink w:val="WWNum45"/>
    <w:lvl w:ilvl="0">
      <w:numFmt w:val="bullet"/>
      <w:lvlText w:val=""/>
      <w:lvlJc w:val="left"/>
      <w:pPr>
        <w:ind w:left="786" w:hanging="360"/>
      </w:pPr>
      <w:rPr>
        <w:rFonts w:ascii="Wingdings" w:hAnsi="Wingdings"/>
      </w:rPr>
    </w:lvl>
    <w:lvl w:ilvl="1">
      <w:numFmt w:val="bullet"/>
      <w:lvlText w:val="o"/>
      <w:lvlJc w:val="left"/>
      <w:pPr>
        <w:ind w:left="1506" w:hanging="360"/>
      </w:pPr>
      <w:rPr>
        <w:rFonts w:ascii="Courier New" w:hAnsi="Courier New" w:cs="Courier New"/>
      </w:rPr>
    </w:lvl>
    <w:lvl w:ilvl="2">
      <w:numFmt w:val="bullet"/>
      <w:lvlText w:val=""/>
      <w:lvlJc w:val="left"/>
      <w:pPr>
        <w:ind w:left="2226" w:hanging="360"/>
      </w:pPr>
      <w:rPr>
        <w:rFonts w:ascii="Wingdings" w:hAnsi="Wingdings"/>
      </w:rPr>
    </w:lvl>
    <w:lvl w:ilvl="3">
      <w:numFmt w:val="bullet"/>
      <w:lvlText w:val=""/>
      <w:lvlJc w:val="left"/>
      <w:pPr>
        <w:ind w:left="2946" w:hanging="360"/>
      </w:pPr>
      <w:rPr>
        <w:rFonts w:ascii="Symbol" w:hAnsi="Symbol"/>
      </w:rPr>
    </w:lvl>
    <w:lvl w:ilvl="4">
      <w:numFmt w:val="bullet"/>
      <w:lvlText w:val="o"/>
      <w:lvlJc w:val="left"/>
      <w:pPr>
        <w:ind w:left="3666" w:hanging="360"/>
      </w:pPr>
      <w:rPr>
        <w:rFonts w:ascii="Courier New" w:hAnsi="Courier New" w:cs="Courier New"/>
      </w:rPr>
    </w:lvl>
    <w:lvl w:ilvl="5">
      <w:numFmt w:val="bullet"/>
      <w:lvlText w:val=""/>
      <w:lvlJc w:val="left"/>
      <w:pPr>
        <w:ind w:left="4386" w:hanging="360"/>
      </w:pPr>
      <w:rPr>
        <w:rFonts w:ascii="Wingdings" w:hAnsi="Wingdings"/>
      </w:rPr>
    </w:lvl>
    <w:lvl w:ilvl="6">
      <w:numFmt w:val="bullet"/>
      <w:lvlText w:val=""/>
      <w:lvlJc w:val="left"/>
      <w:pPr>
        <w:ind w:left="5106" w:hanging="360"/>
      </w:pPr>
      <w:rPr>
        <w:rFonts w:ascii="Symbol" w:hAnsi="Symbol"/>
      </w:rPr>
    </w:lvl>
    <w:lvl w:ilvl="7">
      <w:numFmt w:val="bullet"/>
      <w:lvlText w:val="o"/>
      <w:lvlJc w:val="left"/>
      <w:pPr>
        <w:ind w:left="5826" w:hanging="360"/>
      </w:pPr>
      <w:rPr>
        <w:rFonts w:ascii="Courier New" w:hAnsi="Courier New" w:cs="Courier New"/>
      </w:rPr>
    </w:lvl>
    <w:lvl w:ilvl="8">
      <w:numFmt w:val="bullet"/>
      <w:lvlText w:val=""/>
      <w:lvlJc w:val="left"/>
      <w:pPr>
        <w:ind w:left="6546" w:hanging="360"/>
      </w:pPr>
      <w:rPr>
        <w:rFonts w:ascii="Wingdings" w:hAnsi="Wingdings"/>
      </w:rPr>
    </w:lvl>
  </w:abstractNum>
  <w:abstractNum w:abstractNumId="7" w15:restartNumberingAfterBreak="0">
    <w:nsid w:val="09F2445E"/>
    <w:multiLevelType w:val="multilevel"/>
    <w:tmpl w:val="0DB2AC78"/>
    <w:styleLink w:val="WWNum38"/>
    <w:lvl w:ilvl="0">
      <w:numFmt w:val="bullet"/>
      <w:lvlText w:val=""/>
      <w:lvlJc w:val="left"/>
      <w:pPr>
        <w:ind w:left="393" w:hanging="360"/>
      </w:pPr>
      <w:rPr>
        <w:rFonts w:ascii="Wingdings" w:eastAsia="Times New Roman" w:hAnsi="Wingdings" w:cs="Times New Roman"/>
      </w:rPr>
    </w:lvl>
    <w:lvl w:ilvl="1">
      <w:numFmt w:val="bullet"/>
      <w:lvlText w:val="o"/>
      <w:lvlJc w:val="left"/>
      <w:pPr>
        <w:ind w:left="1113" w:hanging="360"/>
      </w:pPr>
      <w:rPr>
        <w:rFonts w:ascii="Courier New" w:hAnsi="Courier New" w:cs="Courier New"/>
      </w:rPr>
    </w:lvl>
    <w:lvl w:ilvl="2">
      <w:numFmt w:val="bullet"/>
      <w:lvlText w:val=""/>
      <w:lvlJc w:val="left"/>
      <w:pPr>
        <w:ind w:left="1833" w:hanging="360"/>
      </w:pPr>
      <w:rPr>
        <w:rFonts w:ascii="Wingdings" w:hAnsi="Wingdings"/>
      </w:rPr>
    </w:lvl>
    <w:lvl w:ilvl="3">
      <w:numFmt w:val="bullet"/>
      <w:lvlText w:val=""/>
      <w:lvlJc w:val="left"/>
      <w:pPr>
        <w:ind w:left="2553" w:hanging="360"/>
      </w:pPr>
      <w:rPr>
        <w:rFonts w:ascii="Symbol" w:hAnsi="Symbol"/>
      </w:rPr>
    </w:lvl>
    <w:lvl w:ilvl="4">
      <w:numFmt w:val="bullet"/>
      <w:lvlText w:val="o"/>
      <w:lvlJc w:val="left"/>
      <w:pPr>
        <w:ind w:left="3273" w:hanging="360"/>
      </w:pPr>
      <w:rPr>
        <w:rFonts w:ascii="Courier New" w:hAnsi="Courier New" w:cs="Courier New"/>
      </w:rPr>
    </w:lvl>
    <w:lvl w:ilvl="5">
      <w:numFmt w:val="bullet"/>
      <w:lvlText w:val=""/>
      <w:lvlJc w:val="left"/>
      <w:pPr>
        <w:ind w:left="3993" w:hanging="360"/>
      </w:pPr>
      <w:rPr>
        <w:rFonts w:ascii="Wingdings" w:hAnsi="Wingdings"/>
      </w:rPr>
    </w:lvl>
    <w:lvl w:ilvl="6">
      <w:numFmt w:val="bullet"/>
      <w:lvlText w:val=""/>
      <w:lvlJc w:val="left"/>
      <w:pPr>
        <w:ind w:left="4713" w:hanging="360"/>
      </w:pPr>
      <w:rPr>
        <w:rFonts w:ascii="Symbol" w:hAnsi="Symbol"/>
      </w:rPr>
    </w:lvl>
    <w:lvl w:ilvl="7">
      <w:numFmt w:val="bullet"/>
      <w:lvlText w:val="o"/>
      <w:lvlJc w:val="left"/>
      <w:pPr>
        <w:ind w:left="5433" w:hanging="360"/>
      </w:pPr>
      <w:rPr>
        <w:rFonts w:ascii="Courier New" w:hAnsi="Courier New" w:cs="Courier New"/>
      </w:rPr>
    </w:lvl>
    <w:lvl w:ilvl="8">
      <w:numFmt w:val="bullet"/>
      <w:lvlText w:val=""/>
      <w:lvlJc w:val="left"/>
      <w:pPr>
        <w:ind w:left="6153" w:hanging="360"/>
      </w:pPr>
      <w:rPr>
        <w:rFonts w:ascii="Wingdings" w:hAnsi="Wingdings"/>
      </w:rPr>
    </w:lvl>
  </w:abstractNum>
  <w:abstractNum w:abstractNumId="8" w15:restartNumberingAfterBreak="0">
    <w:nsid w:val="0B44535C"/>
    <w:multiLevelType w:val="hybridMultilevel"/>
    <w:tmpl w:val="D01A2D68"/>
    <w:lvl w:ilvl="0" w:tplc="72745CE2">
      <w:start w:val="1"/>
      <w:numFmt w:val="bullet"/>
      <w:lvlText w:val="-"/>
      <w:lvlJc w:val="left"/>
      <w:pPr>
        <w:ind w:left="720" w:hanging="360"/>
      </w:pPr>
      <w:rPr>
        <w:rFonts w:ascii="Vinci Sans" w:eastAsia="Times New Roman" w:hAnsi="Vinci San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C1A0458"/>
    <w:multiLevelType w:val="multilevel"/>
    <w:tmpl w:val="C6FC285E"/>
    <w:styleLink w:val="WWNum39"/>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0D2C7B06"/>
    <w:multiLevelType w:val="multilevel"/>
    <w:tmpl w:val="CE6CC136"/>
    <w:styleLink w:val="WWNum4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0DED70BB"/>
    <w:multiLevelType w:val="multilevel"/>
    <w:tmpl w:val="0BBA5B44"/>
    <w:styleLink w:val="WWNum8"/>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1CFB7BEA"/>
    <w:multiLevelType w:val="multilevel"/>
    <w:tmpl w:val="30D85A5E"/>
    <w:styleLink w:val="WWNum1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218B19F4"/>
    <w:multiLevelType w:val="multilevel"/>
    <w:tmpl w:val="A3EAFA1C"/>
    <w:styleLink w:val="WWNum1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4" w15:restartNumberingAfterBreak="0">
    <w:nsid w:val="22281628"/>
    <w:multiLevelType w:val="multilevel"/>
    <w:tmpl w:val="7EFE4868"/>
    <w:styleLink w:val="WWNum37"/>
    <w:lvl w:ilvl="0">
      <w:numFmt w:val="bullet"/>
      <w:lvlText w:val="o"/>
      <w:lvlJc w:val="left"/>
      <w:pPr>
        <w:ind w:left="426" w:hanging="360"/>
      </w:pPr>
      <w:rPr>
        <w:rFonts w:ascii="Courier New" w:hAnsi="Courier New" w:cs="Courier New"/>
      </w:rPr>
    </w:lvl>
    <w:lvl w:ilvl="1">
      <w:numFmt w:val="bullet"/>
      <w:lvlText w:val="o"/>
      <w:lvlJc w:val="left"/>
      <w:pPr>
        <w:ind w:left="1473" w:hanging="360"/>
      </w:pPr>
      <w:rPr>
        <w:rFonts w:ascii="Courier New" w:hAnsi="Courier New" w:cs="Courier New"/>
      </w:rPr>
    </w:lvl>
    <w:lvl w:ilvl="2">
      <w:numFmt w:val="bullet"/>
      <w:lvlText w:val=""/>
      <w:lvlJc w:val="left"/>
      <w:pPr>
        <w:ind w:left="2193" w:hanging="360"/>
      </w:pPr>
      <w:rPr>
        <w:rFonts w:ascii="Wingdings" w:hAnsi="Wingdings"/>
      </w:rPr>
    </w:lvl>
    <w:lvl w:ilvl="3">
      <w:numFmt w:val="bullet"/>
      <w:lvlText w:val=""/>
      <w:lvlJc w:val="left"/>
      <w:pPr>
        <w:ind w:left="2913" w:hanging="360"/>
      </w:pPr>
      <w:rPr>
        <w:rFonts w:ascii="Symbol" w:hAnsi="Symbol"/>
      </w:rPr>
    </w:lvl>
    <w:lvl w:ilvl="4">
      <w:numFmt w:val="bullet"/>
      <w:lvlText w:val="o"/>
      <w:lvlJc w:val="left"/>
      <w:pPr>
        <w:ind w:left="3633" w:hanging="360"/>
      </w:pPr>
      <w:rPr>
        <w:rFonts w:ascii="Courier New" w:hAnsi="Courier New" w:cs="Courier New"/>
      </w:rPr>
    </w:lvl>
    <w:lvl w:ilvl="5">
      <w:numFmt w:val="bullet"/>
      <w:lvlText w:val=""/>
      <w:lvlJc w:val="left"/>
      <w:pPr>
        <w:ind w:left="4353" w:hanging="360"/>
      </w:pPr>
      <w:rPr>
        <w:rFonts w:ascii="Wingdings" w:hAnsi="Wingdings"/>
      </w:rPr>
    </w:lvl>
    <w:lvl w:ilvl="6">
      <w:numFmt w:val="bullet"/>
      <w:lvlText w:val=""/>
      <w:lvlJc w:val="left"/>
      <w:pPr>
        <w:ind w:left="5073" w:hanging="360"/>
      </w:pPr>
      <w:rPr>
        <w:rFonts w:ascii="Symbol" w:hAnsi="Symbol"/>
      </w:rPr>
    </w:lvl>
    <w:lvl w:ilvl="7">
      <w:numFmt w:val="bullet"/>
      <w:lvlText w:val="o"/>
      <w:lvlJc w:val="left"/>
      <w:pPr>
        <w:ind w:left="5793" w:hanging="360"/>
      </w:pPr>
      <w:rPr>
        <w:rFonts w:ascii="Courier New" w:hAnsi="Courier New" w:cs="Courier New"/>
      </w:rPr>
    </w:lvl>
    <w:lvl w:ilvl="8">
      <w:numFmt w:val="bullet"/>
      <w:lvlText w:val=""/>
      <w:lvlJc w:val="left"/>
      <w:pPr>
        <w:ind w:left="6513" w:hanging="360"/>
      </w:pPr>
      <w:rPr>
        <w:rFonts w:ascii="Wingdings" w:hAnsi="Wingdings"/>
      </w:rPr>
    </w:lvl>
  </w:abstractNum>
  <w:abstractNum w:abstractNumId="15" w15:restartNumberingAfterBreak="0">
    <w:nsid w:val="233018E6"/>
    <w:multiLevelType w:val="multilevel"/>
    <w:tmpl w:val="E258E582"/>
    <w:lvl w:ilvl="0">
      <w:numFmt w:val="bullet"/>
      <w:lvlText w:val="-"/>
      <w:lvlJc w:val="left"/>
      <w:pPr>
        <w:ind w:left="1080" w:hanging="360"/>
      </w:pPr>
      <w:rPr>
        <w:rFonts w:ascii="Vinci Sans" w:hAnsi="Vinci Sans"/>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6" w15:restartNumberingAfterBreak="0">
    <w:nsid w:val="23AB09E0"/>
    <w:multiLevelType w:val="multilevel"/>
    <w:tmpl w:val="2A2AF6AE"/>
    <w:styleLink w:val="WWNum1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25FB384D"/>
    <w:multiLevelType w:val="multilevel"/>
    <w:tmpl w:val="4B6E16E4"/>
    <w:styleLink w:val="WWNum1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7E36BE6"/>
    <w:multiLevelType w:val="multilevel"/>
    <w:tmpl w:val="29F2A542"/>
    <w:styleLink w:val="WWNum36"/>
    <w:lvl w:ilvl="0">
      <w:numFmt w:val="bullet"/>
      <w:lvlText w:val="-"/>
      <w:lvlJc w:val="left"/>
      <w:pPr>
        <w:ind w:left="810" w:hanging="360"/>
      </w:pPr>
      <w:rPr>
        <w:rFonts w:ascii="Times New Roman" w:eastAsia="Times New Roman" w:hAnsi="Times New Roman" w:cs="Times New Roman"/>
      </w:rPr>
    </w:lvl>
    <w:lvl w:ilvl="1">
      <w:numFmt w:val="bullet"/>
      <w:lvlText w:val="o"/>
      <w:lvlJc w:val="left"/>
      <w:pPr>
        <w:ind w:left="1464" w:hanging="360"/>
      </w:pPr>
      <w:rPr>
        <w:rFonts w:ascii="Courier New" w:hAnsi="Courier New"/>
      </w:rPr>
    </w:lvl>
    <w:lvl w:ilvl="2">
      <w:numFmt w:val="bullet"/>
      <w:lvlText w:val=""/>
      <w:lvlJc w:val="left"/>
      <w:pPr>
        <w:ind w:left="2184" w:hanging="360"/>
      </w:pPr>
      <w:rPr>
        <w:rFonts w:ascii="Wingdings" w:hAnsi="Wingdings"/>
      </w:rPr>
    </w:lvl>
    <w:lvl w:ilvl="3">
      <w:numFmt w:val="bullet"/>
      <w:lvlText w:val=""/>
      <w:lvlJc w:val="left"/>
      <w:pPr>
        <w:ind w:left="2904" w:hanging="360"/>
      </w:pPr>
      <w:rPr>
        <w:rFonts w:ascii="Symbol" w:hAnsi="Symbol"/>
      </w:rPr>
    </w:lvl>
    <w:lvl w:ilvl="4">
      <w:numFmt w:val="bullet"/>
      <w:lvlText w:val="o"/>
      <w:lvlJc w:val="left"/>
      <w:pPr>
        <w:ind w:left="3624" w:hanging="360"/>
      </w:pPr>
      <w:rPr>
        <w:rFonts w:ascii="Courier New" w:hAnsi="Courier New"/>
      </w:rPr>
    </w:lvl>
    <w:lvl w:ilvl="5">
      <w:numFmt w:val="bullet"/>
      <w:lvlText w:val=""/>
      <w:lvlJc w:val="left"/>
      <w:pPr>
        <w:ind w:left="4344" w:hanging="360"/>
      </w:pPr>
      <w:rPr>
        <w:rFonts w:ascii="Wingdings" w:hAnsi="Wingdings"/>
      </w:rPr>
    </w:lvl>
    <w:lvl w:ilvl="6">
      <w:numFmt w:val="bullet"/>
      <w:lvlText w:val=""/>
      <w:lvlJc w:val="left"/>
      <w:pPr>
        <w:ind w:left="5064" w:hanging="360"/>
      </w:pPr>
      <w:rPr>
        <w:rFonts w:ascii="Symbol" w:hAnsi="Symbol"/>
      </w:rPr>
    </w:lvl>
    <w:lvl w:ilvl="7">
      <w:numFmt w:val="bullet"/>
      <w:lvlText w:val="o"/>
      <w:lvlJc w:val="left"/>
      <w:pPr>
        <w:ind w:left="5784" w:hanging="360"/>
      </w:pPr>
      <w:rPr>
        <w:rFonts w:ascii="Courier New" w:hAnsi="Courier New"/>
      </w:rPr>
    </w:lvl>
    <w:lvl w:ilvl="8">
      <w:numFmt w:val="bullet"/>
      <w:lvlText w:val=""/>
      <w:lvlJc w:val="left"/>
      <w:pPr>
        <w:ind w:left="6504" w:hanging="360"/>
      </w:pPr>
      <w:rPr>
        <w:rFonts w:ascii="Wingdings" w:hAnsi="Wingdings"/>
      </w:rPr>
    </w:lvl>
  </w:abstractNum>
  <w:abstractNum w:abstractNumId="19" w15:restartNumberingAfterBreak="0">
    <w:nsid w:val="29AF5A13"/>
    <w:multiLevelType w:val="multilevel"/>
    <w:tmpl w:val="C59A5094"/>
    <w:styleLink w:val="WWNum34"/>
    <w:lvl w:ilvl="0">
      <w:numFmt w:val="bullet"/>
      <w:lvlText w:val="-"/>
      <w:lvlJc w:val="left"/>
      <w:pPr>
        <w:ind w:left="1080" w:hanging="360"/>
      </w:pPr>
      <w:rPr>
        <w:rFonts w:ascii="Times New Roman" w:eastAsia="Calibri" w:hAnsi="Times New Roman" w:cs="Times New Roman"/>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0" w15:restartNumberingAfterBreak="0">
    <w:nsid w:val="2BFB7A2C"/>
    <w:multiLevelType w:val="multilevel"/>
    <w:tmpl w:val="5A7010E6"/>
    <w:styleLink w:val="WWNum15"/>
    <w:lvl w:ilvl="0">
      <w:numFmt w:val="bullet"/>
      <w:lvlText w:val="o"/>
      <w:lvlJc w:val="left"/>
      <w:pPr>
        <w:ind w:left="1440" w:hanging="360"/>
      </w:pPr>
      <w:rPr>
        <w:rFonts w:ascii="Courier New" w:hAnsi="Courier New" w:cs="Courier New"/>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21" w15:restartNumberingAfterBreak="0">
    <w:nsid w:val="2E9E1EA2"/>
    <w:multiLevelType w:val="multilevel"/>
    <w:tmpl w:val="CB4A70DC"/>
    <w:styleLink w:val="WWNum42"/>
    <w:lvl w:ilvl="0">
      <w:numFmt w:val="bullet"/>
      <w:lvlText w:val=""/>
      <w:lvlJc w:val="left"/>
      <w:pPr>
        <w:ind w:left="720" w:hanging="360"/>
      </w:pPr>
      <w:rPr>
        <w:rFonts w:ascii="Wingdings" w:eastAsia="Calibri" w:hAnsi="Wingdings"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2FD65080"/>
    <w:multiLevelType w:val="multilevel"/>
    <w:tmpl w:val="0178D332"/>
    <w:styleLink w:val="WWNum27"/>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31221C9E"/>
    <w:multiLevelType w:val="multilevel"/>
    <w:tmpl w:val="048CCB72"/>
    <w:styleLink w:val="WWNum33"/>
    <w:lvl w:ilvl="0">
      <w:start w:val="2"/>
      <w:numFmt w:val="decimal"/>
      <w:lvlText w:val="%1."/>
      <w:lvlJc w:val="left"/>
      <w:pPr>
        <w:ind w:left="360" w:hanging="360"/>
      </w:pPr>
    </w:lvl>
    <w:lvl w:ilvl="1">
      <w:start w:val="2"/>
      <w:numFmt w:val="decimal"/>
      <w:lvlText w:val="%1.%2."/>
      <w:lvlJc w:val="left"/>
      <w:pPr>
        <w:ind w:left="792" w:hanging="432"/>
      </w:pPr>
      <w:rPr>
        <w:b/>
      </w:rPr>
    </w:lvl>
    <w:lvl w:ilvl="2">
      <w:start w:val="1"/>
      <w:numFmt w:val="decimal"/>
      <w:lvlText w:val="%1.%2.%3."/>
      <w:lvlJc w:val="left"/>
      <w:pPr>
        <w:ind w:left="1355" w:hanging="504"/>
      </w:pPr>
      <w:rPr>
        <w:u w:val="singl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505632"/>
    <w:multiLevelType w:val="multilevel"/>
    <w:tmpl w:val="187E1D5A"/>
    <w:styleLink w:val="WWNum25"/>
    <w:lvl w:ilvl="0">
      <w:numFmt w:val="bullet"/>
      <w:lvlText w:val=""/>
      <w:lvlJc w:val="left"/>
      <w:pPr>
        <w:ind w:left="858" w:hanging="360"/>
      </w:pPr>
      <w:rPr>
        <w:rFonts w:ascii="Symbol" w:hAnsi="Symbol"/>
        <w:color w:val="00000A"/>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25" w15:restartNumberingAfterBreak="0">
    <w:nsid w:val="325B1966"/>
    <w:multiLevelType w:val="multilevel"/>
    <w:tmpl w:val="49C6B65C"/>
    <w:styleLink w:val="WWNum2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32D43AE4"/>
    <w:multiLevelType w:val="multilevel"/>
    <w:tmpl w:val="E38876A8"/>
    <w:styleLink w:val="WWNum2"/>
    <w:lvl w:ilvl="0">
      <w:numFmt w:val="bullet"/>
      <w:lvlText w:val="-"/>
      <w:lvlJc w:val="left"/>
      <w:pPr>
        <w:ind w:left="720" w:hanging="360"/>
      </w:pPr>
      <w:rPr>
        <w:rFonts w:ascii="Times New Roman" w:eastAsia="Times New Roman" w:hAnsi="Times New Roman" w:cs="Times New Roman"/>
      </w:rPr>
    </w:lvl>
    <w:lvl w:ilvl="1">
      <w:numFmt w:val="bullet"/>
      <w:lvlText w:val="—"/>
      <w:lvlJc w:val="left"/>
      <w:pPr>
        <w:ind w:left="1440" w:hanging="360"/>
      </w:pPr>
      <w:rPr>
        <w:rFonts w:ascii="Times New Roman" w:eastAsia="Times New Roman" w:hAnsi="Times New Roman" w:cs="Arial"/>
        <w:b/>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368E2C4D"/>
    <w:multiLevelType w:val="multilevel"/>
    <w:tmpl w:val="6C6AA9B0"/>
    <w:styleLink w:val="WWNum24"/>
    <w:lvl w:ilvl="0">
      <w:numFmt w:val="bullet"/>
      <w:lvlText w:val=""/>
      <w:lvlJc w:val="left"/>
      <w:pPr>
        <w:ind w:left="574" w:hanging="360"/>
      </w:pPr>
      <w:rPr>
        <w:rFonts w:ascii="Symbol" w:hAnsi="Symbol"/>
        <w:color w:val="00000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3BF42D7F"/>
    <w:multiLevelType w:val="multilevel"/>
    <w:tmpl w:val="5F4E8E54"/>
    <w:styleLink w:val="WWNum4"/>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3C000AD1"/>
    <w:multiLevelType w:val="multilevel"/>
    <w:tmpl w:val="5B9616EA"/>
    <w:styleLink w:val="WWNum23"/>
    <w:lvl w:ilvl="0">
      <w:numFmt w:val="bullet"/>
      <w:lvlText w:val="-"/>
      <w:lvlJc w:val="left"/>
      <w:pPr>
        <w:ind w:left="720" w:hanging="360"/>
      </w:pPr>
      <w:rPr>
        <w:rFonts w:ascii="Times New Roman" w:hAnsi="Times New Roman"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40274D4A"/>
    <w:multiLevelType w:val="multilevel"/>
    <w:tmpl w:val="A4D648AC"/>
    <w:styleLink w:val="WWNum3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40A831A9"/>
    <w:multiLevelType w:val="multilevel"/>
    <w:tmpl w:val="A45E5112"/>
    <w:styleLink w:val="WWNum3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448B4BF5"/>
    <w:multiLevelType w:val="multilevel"/>
    <w:tmpl w:val="96F25326"/>
    <w:styleLink w:val="WWNum26"/>
    <w:lvl w:ilvl="0">
      <w:start w:val="2"/>
      <w:numFmt w:val="decimal"/>
      <w:lvlText w:val="%1."/>
      <w:lvlJc w:val="left"/>
      <w:pPr>
        <w:ind w:left="360" w:hanging="360"/>
      </w:pPr>
    </w:lvl>
    <w:lvl w:ilvl="1">
      <w:start w:val="2"/>
      <w:numFmt w:val="decimal"/>
      <w:lvlText w:val="%1.%2."/>
      <w:lvlJc w:val="left"/>
      <w:pPr>
        <w:ind w:left="792" w:hanging="432"/>
      </w:pPr>
      <w:rPr>
        <w:b/>
      </w:rPr>
    </w:lvl>
    <w:lvl w:ilvl="2">
      <w:start w:val="1"/>
      <w:numFmt w:val="decimal"/>
      <w:lvlText w:val="%1.%2.%3."/>
      <w:lvlJc w:val="left"/>
      <w:pPr>
        <w:ind w:left="1497" w:hanging="504"/>
      </w:pPr>
      <w:rPr>
        <w:u w:val="singl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83601DB"/>
    <w:multiLevelType w:val="multilevel"/>
    <w:tmpl w:val="E0D26912"/>
    <w:styleLink w:val="WWNum22"/>
    <w:lvl w:ilvl="0">
      <w:numFmt w:val="bullet"/>
      <w:lvlText w:val=""/>
      <w:lvlJc w:val="left"/>
      <w:pPr>
        <w:ind w:left="720" w:hanging="360"/>
      </w:pPr>
      <w:rPr>
        <w:rFonts w:ascii="Wingdings" w:hAnsi="Wingdings"/>
        <w:u w:val="none"/>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49AE5809"/>
    <w:multiLevelType w:val="hybridMultilevel"/>
    <w:tmpl w:val="988CB280"/>
    <w:lvl w:ilvl="0" w:tplc="5EFC765E">
      <w:start w:val="2"/>
      <w:numFmt w:val="bullet"/>
      <w:lvlText w:val="-"/>
      <w:lvlJc w:val="left"/>
      <w:pPr>
        <w:ind w:left="720" w:hanging="360"/>
      </w:pPr>
      <w:rPr>
        <w:rFonts w:ascii="Vinci Sans" w:eastAsia="Times New Roman" w:hAnsi="Vinci San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EBA0915"/>
    <w:multiLevelType w:val="multilevel"/>
    <w:tmpl w:val="3092BFDC"/>
    <w:styleLink w:val="WWNum28"/>
    <w:lvl w:ilvl="0">
      <w:numFmt w:val="bullet"/>
      <w:lvlText w:val="-"/>
      <w:lvlJc w:val="left"/>
      <w:pPr>
        <w:ind w:left="720" w:hanging="360"/>
      </w:pPr>
      <w:rPr>
        <w:rFonts w:ascii="Times New Roman" w:eastAsia="Times New Roman" w:hAnsi="Times New Roman" w:cs="Arial"/>
        <w:b w:val="0"/>
        <w:color w:val="00000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4EF71648"/>
    <w:multiLevelType w:val="multilevel"/>
    <w:tmpl w:val="E7C6517A"/>
    <w:styleLink w:val="WWNum1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7" w15:restartNumberingAfterBreak="0">
    <w:nsid w:val="527761FA"/>
    <w:multiLevelType w:val="multilevel"/>
    <w:tmpl w:val="071AEDC2"/>
    <w:styleLink w:val="WWNum16"/>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544F18E6"/>
    <w:multiLevelType w:val="multilevel"/>
    <w:tmpl w:val="BB60CAFA"/>
    <w:styleLink w:val="WWNum3"/>
    <w:lvl w:ilvl="0">
      <w:numFmt w:val="bullet"/>
      <w:lvlText w:val="-"/>
      <w:lvlJc w:val="left"/>
      <w:pPr>
        <w:ind w:left="720" w:hanging="360"/>
      </w:pPr>
      <w:rPr>
        <w:rFonts w:ascii="Times New Roman" w:eastAsia="Times New Roman" w:hAnsi="Times New Roman" w:cs="Times New Roman"/>
      </w:rPr>
    </w:lvl>
    <w:lvl w:ilvl="1">
      <w:numFmt w:val="bullet"/>
      <w:lvlText w:val="—"/>
      <w:lvlJc w:val="left"/>
      <w:pPr>
        <w:ind w:left="1440" w:hanging="360"/>
      </w:pPr>
      <w:rPr>
        <w:rFonts w:ascii="Times New Roman" w:eastAsia="Times New Roman" w:hAnsi="Times New Roman" w:cs="Arial"/>
        <w:b/>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566A7986"/>
    <w:multiLevelType w:val="multilevel"/>
    <w:tmpl w:val="B546E596"/>
    <w:styleLink w:val="WWNum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56C468CB"/>
    <w:multiLevelType w:val="multilevel"/>
    <w:tmpl w:val="12EC44A0"/>
    <w:styleLink w:val="WWNum9"/>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15:restartNumberingAfterBreak="0">
    <w:nsid w:val="58742052"/>
    <w:multiLevelType w:val="multilevel"/>
    <w:tmpl w:val="3426E450"/>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59600DD1"/>
    <w:multiLevelType w:val="multilevel"/>
    <w:tmpl w:val="6CE2BAF6"/>
    <w:styleLink w:val="WWNum5"/>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5B7B487B"/>
    <w:multiLevelType w:val="multilevel"/>
    <w:tmpl w:val="98348C48"/>
    <w:styleLink w:val="WWNum17"/>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5ED31186"/>
    <w:multiLevelType w:val="multilevel"/>
    <w:tmpl w:val="DE46DB34"/>
    <w:styleLink w:val="WWNum44"/>
    <w:lvl w:ilvl="0">
      <w:numFmt w:val="bullet"/>
      <w:lvlText w:val=""/>
      <w:lvlJc w:val="left"/>
      <w:pPr>
        <w:ind w:left="753" w:hanging="360"/>
      </w:pPr>
      <w:rPr>
        <w:rFonts w:ascii="Symbol" w:hAnsi="Symbol"/>
      </w:rPr>
    </w:lvl>
    <w:lvl w:ilvl="1">
      <w:numFmt w:val="bullet"/>
      <w:lvlText w:val="o"/>
      <w:lvlJc w:val="left"/>
      <w:pPr>
        <w:ind w:left="1473" w:hanging="360"/>
      </w:pPr>
      <w:rPr>
        <w:rFonts w:ascii="Courier New" w:hAnsi="Courier New" w:cs="Courier New"/>
      </w:rPr>
    </w:lvl>
    <w:lvl w:ilvl="2">
      <w:numFmt w:val="bullet"/>
      <w:lvlText w:val=""/>
      <w:lvlJc w:val="left"/>
      <w:pPr>
        <w:ind w:left="2193" w:hanging="360"/>
      </w:pPr>
      <w:rPr>
        <w:rFonts w:ascii="Wingdings" w:hAnsi="Wingdings"/>
      </w:rPr>
    </w:lvl>
    <w:lvl w:ilvl="3">
      <w:numFmt w:val="bullet"/>
      <w:lvlText w:val=""/>
      <w:lvlJc w:val="left"/>
      <w:pPr>
        <w:ind w:left="2913" w:hanging="360"/>
      </w:pPr>
      <w:rPr>
        <w:rFonts w:ascii="Symbol" w:hAnsi="Symbol"/>
      </w:rPr>
    </w:lvl>
    <w:lvl w:ilvl="4">
      <w:numFmt w:val="bullet"/>
      <w:lvlText w:val="o"/>
      <w:lvlJc w:val="left"/>
      <w:pPr>
        <w:ind w:left="3633" w:hanging="360"/>
      </w:pPr>
      <w:rPr>
        <w:rFonts w:ascii="Courier New" w:hAnsi="Courier New" w:cs="Courier New"/>
      </w:rPr>
    </w:lvl>
    <w:lvl w:ilvl="5">
      <w:numFmt w:val="bullet"/>
      <w:lvlText w:val=""/>
      <w:lvlJc w:val="left"/>
      <w:pPr>
        <w:ind w:left="4353" w:hanging="360"/>
      </w:pPr>
      <w:rPr>
        <w:rFonts w:ascii="Wingdings" w:hAnsi="Wingdings"/>
      </w:rPr>
    </w:lvl>
    <w:lvl w:ilvl="6">
      <w:numFmt w:val="bullet"/>
      <w:lvlText w:val=""/>
      <w:lvlJc w:val="left"/>
      <w:pPr>
        <w:ind w:left="5073" w:hanging="360"/>
      </w:pPr>
      <w:rPr>
        <w:rFonts w:ascii="Symbol" w:hAnsi="Symbol"/>
      </w:rPr>
    </w:lvl>
    <w:lvl w:ilvl="7">
      <w:numFmt w:val="bullet"/>
      <w:lvlText w:val="o"/>
      <w:lvlJc w:val="left"/>
      <w:pPr>
        <w:ind w:left="5793" w:hanging="360"/>
      </w:pPr>
      <w:rPr>
        <w:rFonts w:ascii="Courier New" w:hAnsi="Courier New" w:cs="Courier New"/>
      </w:rPr>
    </w:lvl>
    <w:lvl w:ilvl="8">
      <w:numFmt w:val="bullet"/>
      <w:lvlText w:val=""/>
      <w:lvlJc w:val="left"/>
      <w:pPr>
        <w:ind w:left="6513" w:hanging="360"/>
      </w:pPr>
      <w:rPr>
        <w:rFonts w:ascii="Wingdings" w:hAnsi="Wingdings"/>
      </w:rPr>
    </w:lvl>
  </w:abstractNum>
  <w:abstractNum w:abstractNumId="45" w15:restartNumberingAfterBreak="0">
    <w:nsid w:val="5F405E6F"/>
    <w:multiLevelType w:val="multilevel"/>
    <w:tmpl w:val="05281726"/>
    <w:styleLink w:val="WWNum41"/>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62BC1D7A"/>
    <w:multiLevelType w:val="multilevel"/>
    <w:tmpl w:val="FD36B6F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678B1ADB"/>
    <w:multiLevelType w:val="multilevel"/>
    <w:tmpl w:val="E1E81F12"/>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6A7277C3"/>
    <w:multiLevelType w:val="multilevel"/>
    <w:tmpl w:val="7C7656B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6C36204C"/>
    <w:multiLevelType w:val="multilevel"/>
    <w:tmpl w:val="52D636F8"/>
    <w:styleLink w:val="WWNum7"/>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6EEE031B"/>
    <w:multiLevelType w:val="multilevel"/>
    <w:tmpl w:val="BE5A0B0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1" w15:restartNumberingAfterBreak="0">
    <w:nsid w:val="70C047B9"/>
    <w:multiLevelType w:val="hybridMultilevel"/>
    <w:tmpl w:val="22B4DB24"/>
    <w:lvl w:ilvl="0" w:tplc="8FCC0DF0">
      <w:start w:val="2"/>
      <w:numFmt w:val="bullet"/>
      <w:lvlText w:val="-"/>
      <w:lvlJc w:val="left"/>
      <w:pPr>
        <w:ind w:left="720" w:hanging="360"/>
      </w:pPr>
      <w:rPr>
        <w:rFonts w:ascii="Vinci Sans" w:eastAsia="Times New Roman" w:hAnsi="Vinci San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4E84579"/>
    <w:multiLevelType w:val="multilevel"/>
    <w:tmpl w:val="F2B47848"/>
    <w:styleLink w:val="WWNum6"/>
    <w:lvl w:ilvl="0">
      <w:numFmt w:val="bullet"/>
      <w:lvlText w:val="-"/>
      <w:lvlJc w:val="left"/>
      <w:pPr>
        <w:ind w:left="720" w:hanging="360"/>
      </w:pPr>
      <w:rPr>
        <w:rFonts w:ascii="Times New Roman" w:eastAsia="Calibri" w:hAnsi="Times New Roman" w:cs="Segoe U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7D811328"/>
    <w:multiLevelType w:val="multilevel"/>
    <w:tmpl w:val="3A482486"/>
    <w:styleLink w:val="WWNum30"/>
    <w:lvl w:ilvl="0">
      <w:numFmt w:val="bullet"/>
      <w:lvlText w:val="-"/>
      <w:lvlJc w:val="left"/>
      <w:pPr>
        <w:ind w:left="720" w:hanging="360"/>
      </w:pPr>
      <w:rPr>
        <w:rFonts w:ascii="Times New Roman" w:eastAsia="Times New Roman" w:hAnsi="Times New Roman" w:cs="Arial"/>
        <w:b w:val="0"/>
        <w:color w:val="00000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902984739">
    <w:abstractNumId w:val="47"/>
  </w:num>
  <w:num w:numId="2" w16cid:durableId="1330328458">
    <w:abstractNumId w:val="26"/>
  </w:num>
  <w:num w:numId="3" w16cid:durableId="1773698574">
    <w:abstractNumId w:val="38"/>
  </w:num>
  <w:num w:numId="4" w16cid:durableId="1525168772">
    <w:abstractNumId w:val="28"/>
  </w:num>
  <w:num w:numId="5" w16cid:durableId="1666517685">
    <w:abstractNumId w:val="42"/>
  </w:num>
  <w:num w:numId="6" w16cid:durableId="2058385123">
    <w:abstractNumId w:val="52"/>
  </w:num>
  <w:num w:numId="7" w16cid:durableId="1472601672">
    <w:abstractNumId w:val="49"/>
  </w:num>
  <w:num w:numId="8" w16cid:durableId="832720231">
    <w:abstractNumId w:val="11"/>
  </w:num>
  <w:num w:numId="9" w16cid:durableId="1808355754">
    <w:abstractNumId w:val="40"/>
  </w:num>
  <w:num w:numId="10" w16cid:durableId="1054237735">
    <w:abstractNumId w:val="12"/>
  </w:num>
  <w:num w:numId="11" w16cid:durableId="172957460">
    <w:abstractNumId w:val="13"/>
  </w:num>
  <w:num w:numId="12" w16cid:durableId="679234471">
    <w:abstractNumId w:val="36"/>
  </w:num>
  <w:num w:numId="13" w16cid:durableId="1069615504">
    <w:abstractNumId w:val="17"/>
  </w:num>
  <w:num w:numId="14" w16cid:durableId="98960395">
    <w:abstractNumId w:val="41"/>
  </w:num>
  <w:num w:numId="15" w16cid:durableId="1017343055">
    <w:abstractNumId w:val="20"/>
  </w:num>
  <w:num w:numId="16" w16cid:durableId="363597839">
    <w:abstractNumId w:val="37"/>
  </w:num>
  <w:num w:numId="17" w16cid:durableId="273053797">
    <w:abstractNumId w:val="43"/>
  </w:num>
  <w:num w:numId="18" w16cid:durableId="692651557">
    <w:abstractNumId w:val="16"/>
  </w:num>
  <w:num w:numId="19" w16cid:durableId="687751886">
    <w:abstractNumId w:val="1"/>
  </w:num>
  <w:num w:numId="20" w16cid:durableId="1496798263">
    <w:abstractNumId w:val="39"/>
  </w:num>
  <w:num w:numId="21" w16cid:durableId="524560503">
    <w:abstractNumId w:val="25"/>
  </w:num>
  <w:num w:numId="22" w16cid:durableId="1737166517">
    <w:abstractNumId w:val="33"/>
  </w:num>
  <w:num w:numId="23" w16cid:durableId="1845898455">
    <w:abstractNumId w:val="29"/>
  </w:num>
  <w:num w:numId="24" w16cid:durableId="408579916">
    <w:abstractNumId w:val="27"/>
  </w:num>
  <w:num w:numId="25" w16cid:durableId="1488085994">
    <w:abstractNumId w:val="24"/>
  </w:num>
  <w:num w:numId="26" w16cid:durableId="906569995">
    <w:abstractNumId w:val="32"/>
  </w:num>
  <w:num w:numId="27" w16cid:durableId="731124312">
    <w:abstractNumId w:val="22"/>
  </w:num>
  <w:num w:numId="28" w16cid:durableId="1919165547">
    <w:abstractNumId w:val="35"/>
  </w:num>
  <w:num w:numId="29" w16cid:durableId="1265766064">
    <w:abstractNumId w:val="2"/>
  </w:num>
  <w:num w:numId="30" w16cid:durableId="1720090006">
    <w:abstractNumId w:val="53"/>
  </w:num>
  <w:num w:numId="31" w16cid:durableId="272520076">
    <w:abstractNumId w:val="31"/>
  </w:num>
  <w:num w:numId="32" w16cid:durableId="2065522905">
    <w:abstractNumId w:val="30"/>
  </w:num>
  <w:num w:numId="33" w16cid:durableId="757210877">
    <w:abstractNumId w:val="23"/>
  </w:num>
  <w:num w:numId="34" w16cid:durableId="1646202621">
    <w:abstractNumId w:val="19"/>
  </w:num>
  <w:num w:numId="35" w16cid:durableId="356809192">
    <w:abstractNumId w:val="48"/>
  </w:num>
  <w:num w:numId="36" w16cid:durableId="1520006874">
    <w:abstractNumId w:val="18"/>
  </w:num>
  <w:num w:numId="37" w16cid:durableId="360519749">
    <w:abstractNumId w:val="14"/>
  </w:num>
  <w:num w:numId="38" w16cid:durableId="688525815">
    <w:abstractNumId w:val="7"/>
  </w:num>
  <w:num w:numId="39" w16cid:durableId="28725539">
    <w:abstractNumId w:val="9"/>
  </w:num>
  <w:num w:numId="40" w16cid:durableId="1561282105">
    <w:abstractNumId w:val="10"/>
  </w:num>
  <w:num w:numId="41" w16cid:durableId="1467509984">
    <w:abstractNumId w:val="45"/>
  </w:num>
  <w:num w:numId="42" w16cid:durableId="1962808885">
    <w:abstractNumId w:val="21"/>
  </w:num>
  <w:num w:numId="43" w16cid:durableId="1894727904">
    <w:abstractNumId w:val="3"/>
  </w:num>
  <w:num w:numId="44" w16cid:durableId="1300572899">
    <w:abstractNumId w:val="44"/>
  </w:num>
  <w:num w:numId="45" w16cid:durableId="1703631025">
    <w:abstractNumId w:val="6"/>
  </w:num>
  <w:num w:numId="46" w16cid:durableId="1663587400">
    <w:abstractNumId w:val="46"/>
  </w:num>
  <w:num w:numId="47" w16cid:durableId="746802763">
    <w:abstractNumId w:val="15"/>
  </w:num>
  <w:num w:numId="48" w16cid:durableId="601497458">
    <w:abstractNumId w:val="50"/>
  </w:num>
  <w:num w:numId="49" w16cid:durableId="1880429523">
    <w:abstractNumId w:val="5"/>
  </w:num>
  <w:num w:numId="50" w16cid:durableId="2065325090">
    <w:abstractNumId w:val="47"/>
  </w:num>
  <w:num w:numId="51" w16cid:durableId="1503739645">
    <w:abstractNumId w:val="51"/>
  </w:num>
  <w:num w:numId="52" w16cid:durableId="16931297">
    <w:abstractNumId w:val="34"/>
  </w:num>
  <w:num w:numId="53" w16cid:durableId="1402018487">
    <w:abstractNumId w:val="8"/>
  </w:num>
  <w:num w:numId="54" w16cid:durableId="1322270148">
    <w:abstractNumId w:val="4"/>
  </w:num>
  <w:num w:numId="55" w16cid:durableId="1466393876">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6C57"/>
    <w:rsid w:val="000071AF"/>
    <w:rsid w:val="00010959"/>
    <w:rsid w:val="00015DC8"/>
    <w:rsid w:val="000230DB"/>
    <w:rsid w:val="000338DF"/>
    <w:rsid w:val="00034323"/>
    <w:rsid w:val="000407DD"/>
    <w:rsid w:val="00040F5D"/>
    <w:rsid w:val="0006092F"/>
    <w:rsid w:val="00064D22"/>
    <w:rsid w:val="0006747A"/>
    <w:rsid w:val="00082228"/>
    <w:rsid w:val="00084B3B"/>
    <w:rsid w:val="00090C36"/>
    <w:rsid w:val="000919A5"/>
    <w:rsid w:val="000954DC"/>
    <w:rsid w:val="000A6B91"/>
    <w:rsid w:val="000B7B4E"/>
    <w:rsid w:val="000C1D2E"/>
    <w:rsid w:val="000C6F85"/>
    <w:rsid w:val="000D3A07"/>
    <w:rsid w:val="000E7854"/>
    <w:rsid w:val="000F1D69"/>
    <w:rsid w:val="000F535E"/>
    <w:rsid w:val="000F5E73"/>
    <w:rsid w:val="000F66B9"/>
    <w:rsid w:val="001009AF"/>
    <w:rsid w:val="0010768D"/>
    <w:rsid w:val="00107693"/>
    <w:rsid w:val="00113782"/>
    <w:rsid w:val="0011392F"/>
    <w:rsid w:val="001304FF"/>
    <w:rsid w:val="00145977"/>
    <w:rsid w:val="00147A04"/>
    <w:rsid w:val="00150CDC"/>
    <w:rsid w:val="00152BCE"/>
    <w:rsid w:val="00154520"/>
    <w:rsid w:val="00157D35"/>
    <w:rsid w:val="001676D9"/>
    <w:rsid w:val="0017059F"/>
    <w:rsid w:val="00173CBF"/>
    <w:rsid w:val="00176733"/>
    <w:rsid w:val="0018307F"/>
    <w:rsid w:val="0018664D"/>
    <w:rsid w:val="001900F8"/>
    <w:rsid w:val="00191684"/>
    <w:rsid w:val="001B319A"/>
    <w:rsid w:val="001B3B7B"/>
    <w:rsid w:val="001B6624"/>
    <w:rsid w:val="001B754A"/>
    <w:rsid w:val="001D4089"/>
    <w:rsid w:val="00200DB3"/>
    <w:rsid w:val="002046D4"/>
    <w:rsid w:val="002058C0"/>
    <w:rsid w:val="002067E0"/>
    <w:rsid w:val="00210CC9"/>
    <w:rsid w:val="00226AD0"/>
    <w:rsid w:val="0023159A"/>
    <w:rsid w:val="00236D24"/>
    <w:rsid w:val="0024118A"/>
    <w:rsid w:val="00242121"/>
    <w:rsid w:val="00246EE6"/>
    <w:rsid w:val="00247526"/>
    <w:rsid w:val="002535D6"/>
    <w:rsid w:val="002543FA"/>
    <w:rsid w:val="00262C98"/>
    <w:rsid w:val="002722A9"/>
    <w:rsid w:val="0027766B"/>
    <w:rsid w:val="0028591C"/>
    <w:rsid w:val="00294C38"/>
    <w:rsid w:val="00294C9D"/>
    <w:rsid w:val="002957F9"/>
    <w:rsid w:val="002A05BE"/>
    <w:rsid w:val="002A41D3"/>
    <w:rsid w:val="002A48A0"/>
    <w:rsid w:val="002A5C91"/>
    <w:rsid w:val="002A77BB"/>
    <w:rsid w:val="002B6C5B"/>
    <w:rsid w:val="002D6E64"/>
    <w:rsid w:val="00304411"/>
    <w:rsid w:val="0032021A"/>
    <w:rsid w:val="00320461"/>
    <w:rsid w:val="00322DF3"/>
    <w:rsid w:val="00325DE5"/>
    <w:rsid w:val="003263DF"/>
    <w:rsid w:val="00347B6F"/>
    <w:rsid w:val="003527C1"/>
    <w:rsid w:val="00361945"/>
    <w:rsid w:val="003705FA"/>
    <w:rsid w:val="003737F5"/>
    <w:rsid w:val="003834E7"/>
    <w:rsid w:val="0038565A"/>
    <w:rsid w:val="00396FD9"/>
    <w:rsid w:val="003A1118"/>
    <w:rsid w:val="003A314A"/>
    <w:rsid w:val="003A3709"/>
    <w:rsid w:val="003A4AA0"/>
    <w:rsid w:val="003A7638"/>
    <w:rsid w:val="003B5533"/>
    <w:rsid w:val="003B58EA"/>
    <w:rsid w:val="003C16FB"/>
    <w:rsid w:val="003C34BB"/>
    <w:rsid w:val="003C3B5C"/>
    <w:rsid w:val="003C4700"/>
    <w:rsid w:val="003C7904"/>
    <w:rsid w:val="003D2C64"/>
    <w:rsid w:val="003D2F97"/>
    <w:rsid w:val="003F55F9"/>
    <w:rsid w:val="00406682"/>
    <w:rsid w:val="004162C5"/>
    <w:rsid w:val="00417A80"/>
    <w:rsid w:val="004203E0"/>
    <w:rsid w:val="00446C57"/>
    <w:rsid w:val="00450500"/>
    <w:rsid w:val="00452AA3"/>
    <w:rsid w:val="0045441E"/>
    <w:rsid w:val="00454F87"/>
    <w:rsid w:val="00455B9F"/>
    <w:rsid w:val="004655A7"/>
    <w:rsid w:val="004704A8"/>
    <w:rsid w:val="00486963"/>
    <w:rsid w:val="004900A3"/>
    <w:rsid w:val="00493562"/>
    <w:rsid w:val="004965BD"/>
    <w:rsid w:val="004B5F91"/>
    <w:rsid w:val="004B7886"/>
    <w:rsid w:val="004C0E54"/>
    <w:rsid w:val="004C5382"/>
    <w:rsid w:val="004C58C7"/>
    <w:rsid w:val="004C77B1"/>
    <w:rsid w:val="004E0844"/>
    <w:rsid w:val="004F011F"/>
    <w:rsid w:val="004F280D"/>
    <w:rsid w:val="004F46E6"/>
    <w:rsid w:val="004F5D23"/>
    <w:rsid w:val="004F5D66"/>
    <w:rsid w:val="004F618D"/>
    <w:rsid w:val="00507A8A"/>
    <w:rsid w:val="005144B8"/>
    <w:rsid w:val="00520EB8"/>
    <w:rsid w:val="005260F9"/>
    <w:rsid w:val="005363B0"/>
    <w:rsid w:val="005425F6"/>
    <w:rsid w:val="00542E5B"/>
    <w:rsid w:val="00545F58"/>
    <w:rsid w:val="00554E38"/>
    <w:rsid w:val="00574EF9"/>
    <w:rsid w:val="005759B0"/>
    <w:rsid w:val="0058218A"/>
    <w:rsid w:val="00584595"/>
    <w:rsid w:val="00590B82"/>
    <w:rsid w:val="005A7364"/>
    <w:rsid w:val="005B435D"/>
    <w:rsid w:val="005B44F4"/>
    <w:rsid w:val="005D0B3A"/>
    <w:rsid w:val="005D15E7"/>
    <w:rsid w:val="005D4E2D"/>
    <w:rsid w:val="005D6179"/>
    <w:rsid w:val="005D7DEE"/>
    <w:rsid w:val="005F043D"/>
    <w:rsid w:val="005F3BC8"/>
    <w:rsid w:val="005F601A"/>
    <w:rsid w:val="006002D9"/>
    <w:rsid w:val="006107EC"/>
    <w:rsid w:val="00625920"/>
    <w:rsid w:val="00626235"/>
    <w:rsid w:val="00636041"/>
    <w:rsid w:val="0064396F"/>
    <w:rsid w:val="00650AD4"/>
    <w:rsid w:val="00655491"/>
    <w:rsid w:val="00667BA6"/>
    <w:rsid w:val="00674EA6"/>
    <w:rsid w:val="00674F3D"/>
    <w:rsid w:val="0068180A"/>
    <w:rsid w:val="00682D14"/>
    <w:rsid w:val="0068474A"/>
    <w:rsid w:val="00687C0F"/>
    <w:rsid w:val="0069144A"/>
    <w:rsid w:val="00695D4D"/>
    <w:rsid w:val="006961E0"/>
    <w:rsid w:val="006A4F45"/>
    <w:rsid w:val="006B17DC"/>
    <w:rsid w:val="006B4508"/>
    <w:rsid w:val="006B552B"/>
    <w:rsid w:val="006C09C3"/>
    <w:rsid w:val="006C5993"/>
    <w:rsid w:val="006C6E00"/>
    <w:rsid w:val="006D0696"/>
    <w:rsid w:val="006D1621"/>
    <w:rsid w:val="006D323D"/>
    <w:rsid w:val="006D3F3D"/>
    <w:rsid w:val="006D672E"/>
    <w:rsid w:val="006D7529"/>
    <w:rsid w:val="006F7ECD"/>
    <w:rsid w:val="0070052F"/>
    <w:rsid w:val="007053F5"/>
    <w:rsid w:val="00714D0A"/>
    <w:rsid w:val="0071674E"/>
    <w:rsid w:val="007173E6"/>
    <w:rsid w:val="00726908"/>
    <w:rsid w:val="007307A2"/>
    <w:rsid w:val="00730CC7"/>
    <w:rsid w:val="0073115E"/>
    <w:rsid w:val="00746F21"/>
    <w:rsid w:val="00750F02"/>
    <w:rsid w:val="00761FF5"/>
    <w:rsid w:val="00764597"/>
    <w:rsid w:val="007657B2"/>
    <w:rsid w:val="00770772"/>
    <w:rsid w:val="007A434F"/>
    <w:rsid w:val="007B10D7"/>
    <w:rsid w:val="007B162E"/>
    <w:rsid w:val="007B39F4"/>
    <w:rsid w:val="007B3CBB"/>
    <w:rsid w:val="007B617B"/>
    <w:rsid w:val="007C2719"/>
    <w:rsid w:val="007C3DE2"/>
    <w:rsid w:val="007D0096"/>
    <w:rsid w:val="007D0ECD"/>
    <w:rsid w:val="007D1F4B"/>
    <w:rsid w:val="007D2309"/>
    <w:rsid w:val="007D26E6"/>
    <w:rsid w:val="007D31E3"/>
    <w:rsid w:val="007D6C8A"/>
    <w:rsid w:val="007D760B"/>
    <w:rsid w:val="007E2CB5"/>
    <w:rsid w:val="007E430C"/>
    <w:rsid w:val="007E43CF"/>
    <w:rsid w:val="007F5086"/>
    <w:rsid w:val="00801365"/>
    <w:rsid w:val="008019FC"/>
    <w:rsid w:val="00803C99"/>
    <w:rsid w:val="0080439D"/>
    <w:rsid w:val="00824095"/>
    <w:rsid w:val="00832D5D"/>
    <w:rsid w:val="00835DCF"/>
    <w:rsid w:val="0083781B"/>
    <w:rsid w:val="00840655"/>
    <w:rsid w:val="008658C5"/>
    <w:rsid w:val="00871AE9"/>
    <w:rsid w:val="00872E03"/>
    <w:rsid w:val="00876263"/>
    <w:rsid w:val="008861F3"/>
    <w:rsid w:val="00887979"/>
    <w:rsid w:val="00892A01"/>
    <w:rsid w:val="00896750"/>
    <w:rsid w:val="008A5FBB"/>
    <w:rsid w:val="008B27FD"/>
    <w:rsid w:val="008D38DA"/>
    <w:rsid w:val="008D6C67"/>
    <w:rsid w:val="008E1CBC"/>
    <w:rsid w:val="008F3C6E"/>
    <w:rsid w:val="008F5F85"/>
    <w:rsid w:val="00900C4D"/>
    <w:rsid w:val="00905853"/>
    <w:rsid w:val="009166DF"/>
    <w:rsid w:val="009210D9"/>
    <w:rsid w:val="009235D1"/>
    <w:rsid w:val="00936CE8"/>
    <w:rsid w:val="009454D1"/>
    <w:rsid w:val="00945AB9"/>
    <w:rsid w:val="00951109"/>
    <w:rsid w:val="0096183D"/>
    <w:rsid w:val="00966B76"/>
    <w:rsid w:val="00967D59"/>
    <w:rsid w:val="0097193C"/>
    <w:rsid w:val="00983A95"/>
    <w:rsid w:val="00984751"/>
    <w:rsid w:val="00985BB6"/>
    <w:rsid w:val="00986BD0"/>
    <w:rsid w:val="009907F7"/>
    <w:rsid w:val="009929B2"/>
    <w:rsid w:val="009A7102"/>
    <w:rsid w:val="009B10F6"/>
    <w:rsid w:val="009B6506"/>
    <w:rsid w:val="009D07D9"/>
    <w:rsid w:val="009D4F3E"/>
    <w:rsid w:val="009E1EDC"/>
    <w:rsid w:val="009E1EF8"/>
    <w:rsid w:val="009F315A"/>
    <w:rsid w:val="009F5132"/>
    <w:rsid w:val="00A072F8"/>
    <w:rsid w:val="00A26D2B"/>
    <w:rsid w:val="00A27C59"/>
    <w:rsid w:val="00A51437"/>
    <w:rsid w:val="00A545CD"/>
    <w:rsid w:val="00A60E3E"/>
    <w:rsid w:val="00A65A31"/>
    <w:rsid w:val="00A65DCB"/>
    <w:rsid w:val="00A66BF9"/>
    <w:rsid w:val="00A758CA"/>
    <w:rsid w:val="00A76DFC"/>
    <w:rsid w:val="00AA3C5D"/>
    <w:rsid w:val="00AB192F"/>
    <w:rsid w:val="00AB6963"/>
    <w:rsid w:val="00AB7466"/>
    <w:rsid w:val="00AC4613"/>
    <w:rsid w:val="00AD056E"/>
    <w:rsid w:val="00AD4650"/>
    <w:rsid w:val="00AD528F"/>
    <w:rsid w:val="00AD5E7D"/>
    <w:rsid w:val="00AD6358"/>
    <w:rsid w:val="00AE6970"/>
    <w:rsid w:val="00AF1FC4"/>
    <w:rsid w:val="00AF57CB"/>
    <w:rsid w:val="00AF6485"/>
    <w:rsid w:val="00AF7596"/>
    <w:rsid w:val="00B0113F"/>
    <w:rsid w:val="00B1238E"/>
    <w:rsid w:val="00B13294"/>
    <w:rsid w:val="00B13D70"/>
    <w:rsid w:val="00B15540"/>
    <w:rsid w:val="00B15667"/>
    <w:rsid w:val="00B15A2F"/>
    <w:rsid w:val="00B246E3"/>
    <w:rsid w:val="00B2499A"/>
    <w:rsid w:val="00B3470D"/>
    <w:rsid w:val="00B40603"/>
    <w:rsid w:val="00B41588"/>
    <w:rsid w:val="00B42693"/>
    <w:rsid w:val="00B437D9"/>
    <w:rsid w:val="00B52DB0"/>
    <w:rsid w:val="00B52FA6"/>
    <w:rsid w:val="00B53F85"/>
    <w:rsid w:val="00B6234D"/>
    <w:rsid w:val="00B628D2"/>
    <w:rsid w:val="00B722C8"/>
    <w:rsid w:val="00B724B2"/>
    <w:rsid w:val="00B75465"/>
    <w:rsid w:val="00B819C4"/>
    <w:rsid w:val="00B81C99"/>
    <w:rsid w:val="00B832A4"/>
    <w:rsid w:val="00B836D0"/>
    <w:rsid w:val="00B872A5"/>
    <w:rsid w:val="00BA40F7"/>
    <w:rsid w:val="00BB03C9"/>
    <w:rsid w:val="00BB11B7"/>
    <w:rsid w:val="00BC7DB5"/>
    <w:rsid w:val="00BD2941"/>
    <w:rsid w:val="00BD39A8"/>
    <w:rsid w:val="00BD670F"/>
    <w:rsid w:val="00BF0ECF"/>
    <w:rsid w:val="00BF55BB"/>
    <w:rsid w:val="00C00549"/>
    <w:rsid w:val="00C10B3E"/>
    <w:rsid w:val="00C165EB"/>
    <w:rsid w:val="00C16D7D"/>
    <w:rsid w:val="00C20592"/>
    <w:rsid w:val="00C23F68"/>
    <w:rsid w:val="00C62475"/>
    <w:rsid w:val="00C65476"/>
    <w:rsid w:val="00C65774"/>
    <w:rsid w:val="00C67203"/>
    <w:rsid w:val="00C7123C"/>
    <w:rsid w:val="00C76E73"/>
    <w:rsid w:val="00C86188"/>
    <w:rsid w:val="00C90A6A"/>
    <w:rsid w:val="00C9464C"/>
    <w:rsid w:val="00CA4F1D"/>
    <w:rsid w:val="00CB0C31"/>
    <w:rsid w:val="00CB22CA"/>
    <w:rsid w:val="00CB5A94"/>
    <w:rsid w:val="00CC3220"/>
    <w:rsid w:val="00CC441E"/>
    <w:rsid w:val="00CC7E90"/>
    <w:rsid w:val="00CC7F68"/>
    <w:rsid w:val="00CD35BF"/>
    <w:rsid w:val="00CD709C"/>
    <w:rsid w:val="00CD72DA"/>
    <w:rsid w:val="00CE2172"/>
    <w:rsid w:val="00CE230C"/>
    <w:rsid w:val="00CE4530"/>
    <w:rsid w:val="00D00FD3"/>
    <w:rsid w:val="00D06198"/>
    <w:rsid w:val="00D12D86"/>
    <w:rsid w:val="00D21C23"/>
    <w:rsid w:val="00D25C9D"/>
    <w:rsid w:val="00D303AD"/>
    <w:rsid w:val="00D309ED"/>
    <w:rsid w:val="00D40C4C"/>
    <w:rsid w:val="00D45B63"/>
    <w:rsid w:val="00D477EB"/>
    <w:rsid w:val="00D47F3E"/>
    <w:rsid w:val="00D77B32"/>
    <w:rsid w:val="00D82CD4"/>
    <w:rsid w:val="00D945A5"/>
    <w:rsid w:val="00D97C5B"/>
    <w:rsid w:val="00DA42EB"/>
    <w:rsid w:val="00DB2F93"/>
    <w:rsid w:val="00DB588E"/>
    <w:rsid w:val="00DB7633"/>
    <w:rsid w:val="00DC0005"/>
    <w:rsid w:val="00DD0700"/>
    <w:rsid w:val="00DD11B6"/>
    <w:rsid w:val="00DD2CBE"/>
    <w:rsid w:val="00DD68CA"/>
    <w:rsid w:val="00DD7DA3"/>
    <w:rsid w:val="00DE115B"/>
    <w:rsid w:val="00DE22CE"/>
    <w:rsid w:val="00DE2B3D"/>
    <w:rsid w:val="00DE49F9"/>
    <w:rsid w:val="00DF46A1"/>
    <w:rsid w:val="00E018AD"/>
    <w:rsid w:val="00E019B6"/>
    <w:rsid w:val="00E05C63"/>
    <w:rsid w:val="00E12EB8"/>
    <w:rsid w:val="00E151D9"/>
    <w:rsid w:val="00E16F35"/>
    <w:rsid w:val="00E24810"/>
    <w:rsid w:val="00E25B32"/>
    <w:rsid w:val="00E3002D"/>
    <w:rsid w:val="00E3011A"/>
    <w:rsid w:val="00E36B46"/>
    <w:rsid w:val="00E40079"/>
    <w:rsid w:val="00E4049D"/>
    <w:rsid w:val="00E42215"/>
    <w:rsid w:val="00E53106"/>
    <w:rsid w:val="00E65720"/>
    <w:rsid w:val="00E662C7"/>
    <w:rsid w:val="00E74ED0"/>
    <w:rsid w:val="00E76FEE"/>
    <w:rsid w:val="00E80905"/>
    <w:rsid w:val="00E819FD"/>
    <w:rsid w:val="00E86EC4"/>
    <w:rsid w:val="00E8714D"/>
    <w:rsid w:val="00E91D56"/>
    <w:rsid w:val="00E95F54"/>
    <w:rsid w:val="00E96E83"/>
    <w:rsid w:val="00EA1B43"/>
    <w:rsid w:val="00EB0359"/>
    <w:rsid w:val="00EB1F74"/>
    <w:rsid w:val="00EB542F"/>
    <w:rsid w:val="00EB6666"/>
    <w:rsid w:val="00EB7B66"/>
    <w:rsid w:val="00ED13F1"/>
    <w:rsid w:val="00ED4141"/>
    <w:rsid w:val="00ED54C6"/>
    <w:rsid w:val="00EE2D57"/>
    <w:rsid w:val="00EE6F23"/>
    <w:rsid w:val="00EF5A3C"/>
    <w:rsid w:val="00EF610D"/>
    <w:rsid w:val="00F039ED"/>
    <w:rsid w:val="00F04CDC"/>
    <w:rsid w:val="00F05176"/>
    <w:rsid w:val="00F069BC"/>
    <w:rsid w:val="00F06FE9"/>
    <w:rsid w:val="00F104CF"/>
    <w:rsid w:val="00F16116"/>
    <w:rsid w:val="00F22369"/>
    <w:rsid w:val="00F25659"/>
    <w:rsid w:val="00F3151A"/>
    <w:rsid w:val="00F3222A"/>
    <w:rsid w:val="00F34E22"/>
    <w:rsid w:val="00F4316F"/>
    <w:rsid w:val="00F47859"/>
    <w:rsid w:val="00F51369"/>
    <w:rsid w:val="00F5175F"/>
    <w:rsid w:val="00F5280F"/>
    <w:rsid w:val="00F60587"/>
    <w:rsid w:val="00F61B55"/>
    <w:rsid w:val="00F62DE7"/>
    <w:rsid w:val="00F7774B"/>
    <w:rsid w:val="00F858A5"/>
    <w:rsid w:val="00F86778"/>
    <w:rsid w:val="00F870F6"/>
    <w:rsid w:val="00F934FB"/>
    <w:rsid w:val="00F96706"/>
    <w:rsid w:val="00F97137"/>
    <w:rsid w:val="00F97FE8"/>
    <w:rsid w:val="00FA51D1"/>
    <w:rsid w:val="00FA7829"/>
    <w:rsid w:val="00FA7D03"/>
    <w:rsid w:val="00FB092C"/>
    <w:rsid w:val="00FB1753"/>
    <w:rsid w:val="00FB2E1E"/>
    <w:rsid w:val="00FB661C"/>
    <w:rsid w:val="00FC44FC"/>
    <w:rsid w:val="00FC51B5"/>
    <w:rsid w:val="00FD2985"/>
    <w:rsid w:val="00FE0D78"/>
    <w:rsid w:val="00FE205E"/>
    <w:rsid w:val="00FF1425"/>
    <w:rsid w:val="00FF536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F71C7B"/>
  <w15:docId w15:val="{95DFAFA4-F6E5-4F66-B545-70DA29E0E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3"/>
        <w:sz w:val="22"/>
        <w:szCs w:val="22"/>
        <w:lang w:val="fr-FR" w:eastAsia="en-US" w:bidi="ar-SA"/>
      </w:rPr>
    </w:rPrDefault>
    <w:pPrDefault>
      <w:pPr>
        <w:widowControl w:val="0"/>
        <w:autoSpaceDN w:val="0"/>
        <w:spacing w:after="160" w:line="247"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461"/>
    <w:pPr>
      <w:suppressAutoHyphens/>
    </w:pPr>
  </w:style>
  <w:style w:type="paragraph" w:styleId="Titre2">
    <w:name w:val="heading 2"/>
    <w:basedOn w:val="Standard"/>
    <w:next w:val="Textbody"/>
    <w:uiPriority w:val="9"/>
    <w:semiHidden/>
    <w:unhideWhenUsed/>
    <w:qFormat/>
    <w:pPr>
      <w:keepNext/>
      <w:keepLines/>
      <w:spacing w:before="320" w:after="240"/>
      <w:jc w:val="both"/>
      <w:outlineLvl w:val="1"/>
    </w:pPr>
    <w:rPr>
      <w:rFonts w:ascii="Segoe UI" w:eastAsia="Malgun Gothic" w:hAnsi="Segoe UI" w:cs="F"/>
      <w:b/>
      <w:bCs/>
      <w:color w:val="555960"/>
      <w:szCs w:val="26"/>
    </w:rPr>
  </w:style>
  <w:style w:type="paragraph" w:styleId="Titre4">
    <w:name w:val="heading 4"/>
    <w:basedOn w:val="Standard"/>
    <w:next w:val="Textbody"/>
    <w:uiPriority w:val="9"/>
    <w:semiHidden/>
    <w:unhideWhenUsed/>
    <w:qFormat/>
    <w:pPr>
      <w:keepNext/>
      <w:keepLines/>
      <w:spacing w:before="200"/>
      <w:jc w:val="both"/>
      <w:outlineLvl w:val="3"/>
    </w:pPr>
    <w:rPr>
      <w:rFonts w:ascii="Calibri" w:eastAsia="Malgun Gothic" w:hAnsi="Calibri" w:cs="Calibri"/>
      <w:bCs/>
      <w:i/>
      <w:iCs/>
      <w:color w:val="B0B6BF"/>
      <w:sz w:val="20"/>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pPr>
      <w:widowControl/>
      <w:suppressAutoHyphens/>
      <w:spacing w:after="0" w:line="240" w:lineRule="auto"/>
    </w:pPr>
    <w:rPr>
      <w:rFonts w:ascii="Times New Roman" w:eastAsia="Times New Roman" w:hAnsi="Times New Roman" w:cs="Times New Roman"/>
      <w:szCs w:val="20"/>
      <w:lang w:eastAsia="fr-FR"/>
    </w:r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120"/>
    </w:pPr>
  </w:style>
  <w:style w:type="paragraph" w:styleId="Liste">
    <w:name w:val="List"/>
    <w:basedOn w:val="Textbody"/>
    <w:rPr>
      <w:rFonts w:cs="Mangal"/>
    </w:rPr>
  </w:style>
  <w:style w:type="paragraph" w:styleId="Lgende">
    <w:name w:val="caption"/>
    <w:basedOn w:val="Standard"/>
    <w:pPr>
      <w:suppressLineNumbers/>
      <w:spacing w:before="120" w:after="120"/>
    </w:pPr>
    <w:rPr>
      <w:rFonts w:cs="Mangal"/>
      <w:i/>
      <w:iCs/>
      <w:sz w:val="24"/>
      <w:szCs w:val="24"/>
    </w:rPr>
  </w:style>
  <w:style w:type="paragraph" w:customStyle="1" w:styleId="Index">
    <w:name w:val="Index"/>
    <w:basedOn w:val="Standard"/>
    <w:pPr>
      <w:suppressLineNumbers/>
    </w:pPr>
    <w:rPr>
      <w:rFonts w:cs="Mangal"/>
    </w:rPr>
  </w:style>
  <w:style w:type="paragraph" w:styleId="En-tte">
    <w:name w:val="header"/>
    <w:basedOn w:val="Standard"/>
    <w:pPr>
      <w:suppressLineNumbers/>
      <w:tabs>
        <w:tab w:val="center" w:pos="4536"/>
        <w:tab w:val="right" w:pos="9072"/>
      </w:tabs>
    </w:pPr>
  </w:style>
  <w:style w:type="paragraph" w:styleId="Pieddepage">
    <w:name w:val="footer"/>
    <w:basedOn w:val="Standard"/>
    <w:pPr>
      <w:suppressLineNumbers/>
      <w:tabs>
        <w:tab w:val="center" w:pos="4536"/>
        <w:tab w:val="right" w:pos="9072"/>
      </w:tabs>
    </w:pPr>
  </w:style>
  <w:style w:type="paragraph" w:styleId="Commentaire">
    <w:name w:val="annotation text"/>
    <w:basedOn w:val="Standard"/>
    <w:uiPriority w:val="99"/>
    <w:rPr>
      <w:sz w:val="20"/>
    </w:rPr>
  </w:style>
  <w:style w:type="paragraph" w:styleId="Textedebulles">
    <w:name w:val="Balloon Text"/>
    <w:basedOn w:val="Standard"/>
    <w:rPr>
      <w:rFonts w:ascii="Segoe UI" w:hAnsi="Segoe UI" w:cs="Segoe UI"/>
      <w:sz w:val="18"/>
      <w:szCs w:val="18"/>
    </w:rPr>
  </w:style>
  <w:style w:type="paragraph" w:styleId="Objetducommentaire">
    <w:name w:val="annotation subject"/>
    <w:basedOn w:val="Commentaire"/>
    <w:rPr>
      <w:b/>
      <w:bCs/>
    </w:rPr>
  </w:style>
  <w:style w:type="paragraph" w:styleId="Paragraphedeliste">
    <w:name w:val="List Paragraph"/>
    <w:basedOn w:val="Standard"/>
    <w:qFormat/>
    <w:pPr>
      <w:ind w:left="720"/>
    </w:pPr>
  </w:style>
  <w:style w:type="paragraph" w:customStyle="1" w:styleId="voxcorpstexte">
    <w:name w:val="vox_corpstexte"/>
    <w:pPr>
      <w:widowControl/>
      <w:suppressAutoHyphens/>
      <w:spacing w:before="120" w:after="0" w:line="240" w:lineRule="auto"/>
      <w:jc w:val="both"/>
    </w:pPr>
    <w:rPr>
      <w:rFonts w:ascii="Arial" w:eastAsia="Times New Roman" w:hAnsi="Arial" w:cs="Arial"/>
      <w:lang w:eastAsia="fr-FR"/>
    </w:rPr>
  </w:style>
  <w:style w:type="paragraph" w:styleId="Corpsdetexte2">
    <w:name w:val="Body Text 2"/>
    <w:basedOn w:val="Standard"/>
    <w:pPr>
      <w:jc w:val="both"/>
    </w:pPr>
    <w:rPr>
      <w:b/>
      <w:lang w:eastAsia="en-US"/>
    </w:rPr>
  </w:style>
  <w:style w:type="paragraph" w:customStyle="1" w:styleId="Corpsdetexte21">
    <w:name w:val="Corps de texte 21"/>
    <w:basedOn w:val="Standard"/>
    <w:pPr>
      <w:tabs>
        <w:tab w:val="left" w:pos="709"/>
      </w:tabs>
      <w:spacing w:line="240" w:lineRule="atLeast"/>
      <w:jc w:val="both"/>
    </w:pPr>
    <w:rPr>
      <w:lang w:eastAsia="en-US"/>
    </w:rPr>
  </w:style>
  <w:style w:type="character" w:customStyle="1" w:styleId="En-tteCar">
    <w:name w:val="En-tête Car"/>
    <w:basedOn w:val="Policepardfaut"/>
  </w:style>
  <w:style w:type="character" w:customStyle="1" w:styleId="PieddepageCar">
    <w:name w:val="Pied de page Car"/>
    <w:basedOn w:val="Policepardfaut"/>
  </w:style>
  <w:style w:type="character" w:customStyle="1" w:styleId="Internetlink">
    <w:name w:val="Internet link"/>
    <w:rPr>
      <w:color w:val="0000FF"/>
      <w:u w:val="single"/>
    </w:rPr>
  </w:style>
  <w:style w:type="character" w:styleId="Marquedecommentaire">
    <w:name w:val="annotation reference"/>
    <w:uiPriority w:val="99"/>
    <w:rPr>
      <w:sz w:val="16"/>
      <w:szCs w:val="16"/>
    </w:rPr>
  </w:style>
  <w:style w:type="character" w:customStyle="1" w:styleId="CommentaireCar">
    <w:name w:val="Commentaire Car"/>
    <w:basedOn w:val="Policepardfaut"/>
    <w:uiPriority w:val="99"/>
    <w:rPr>
      <w:rFonts w:ascii="Times New Roman" w:eastAsia="Times New Roman" w:hAnsi="Times New Roman" w:cs="Times New Roman"/>
      <w:sz w:val="20"/>
      <w:szCs w:val="20"/>
      <w:lang w:eastAsia="fr-FR"/>
    </w:rPr>
  </w:style>
  <w:style w:type="character" w:customStyle="1" w:styleId="TextedebullesCar">
    <w:name w:val="Texte de bulles Car"/>
    <w:basedOn w:val="Policepardfaut"/>
    <w:rPr>
      <w:rFonts w:ascii="Segoe UI" w:eastAsia="Times New Roman" w:hAnsi="Segoe UI" w:cs="Segoe UI"/>
      <w:sz w:val="18"/>
      <w:szCs w:val="18"/>
      <w:lang w:eastAsia="fr-FR"/>
    </w:rPr>
  </w:style>
  <w:style w:type="character" w:customStyle="1" w:styleId="ObjetducommentaireCar">
    <w:name w:val="Objet du commentaire Car"/>
    <w:basedOn w:val="CommentaireCar"/>
    <w:rPr>
      <w:rFonts w:ascii="Times New Roman" w:eastAsia="Times New Roman" w:hAnsi="Times New Roman" w:cs="Times New Roman"/>
      <w:b/>
      <w:bCs/>
      <w:sz w:val="20"/>
      <w:szCs w:val="20"/>
      <w:lang w:eastAsia="fr-FR"/>
    </w:rPr>
  </w:style>
  <w:style w:type="character" w:customStyle="1" w:styleId="ParagraphedelisteCar">
    <w:name w:val="Paragraphe de liste Car"/>
    <w:basedOn w:val="Policepardfaut"/>
    <w:rPr>
      <w:rFonts w:ascii="Times New Roman" w:eastAsia="Times New Roman" w:hAnsi="Times New Roman" w:cs="Times New Roman"/>
      <w:szCs w:val="20"/>
      <w:lang w:eastAsia="fr-FR"/>
    </w:rPr>
  </w:style>
  <w:style w:type="character" w:customStyle="1" w:styleId="Titre2Car">
    <w:name w:val="Titre 2 Car"/>
    <w:basedOn w:val="Policepardfaut"/>
    <w:rPr>
      <w:rFonts w:ascii="Segoe UI" w:eastAsia="Malgun Gothic" w:hAnsi="Segoe UI"/>
      <w:b/>
      <w:bCs/>
      <w:color w:val="555960"/>
      <w:szCs w:val="26"/>
      <w:lang w:eastAsia="fr-FR"/>
    </w:rPr>
  </w:style>
  <w:style w:type="character" w:customStyle="1" w:styleId="Titre4Car">
    <w:name w:val="Titre 4 Car"/>
    <w:basedOn w:val="Policepardfaut"/>
    <w:rPr>
      <w:rFonts w:eastAsia="Malgun Gothic" w:cs="Calibri"/>
      <w:bCs/>
      <w:i/>
      <w:iCs/>
      <w:color w:val="B0B6BF"/>
      <w:sz w:val="20"/>
      <w:lang w:eastAsia="fr-FR"/>
    </w:rPr>
  </w:style>
  <w:style w:type="character" w:customStyle="1" w:styleId="Corpsdetexte2Car">
    <w:name w:val="Corps de texte 2 Car"/>
    <w:basedOn w:val="Policepardfaut"/>
    <w:rPr>
      <w:rFonts w:ascii="Times New Roman" w:eastAsia="Times New Roman" w:hAnsi="Times New Roman" w:cs="Times New Roman"/>
      <w:b/>
      <w:szCs w:val="20"/>
    </w:rPr>
  </w:style>
  <w:style w:type="character" w:customStyle="1" w:styleId="ListLabel1">
    <w:name w:val="ListLabel 1"/>
    <w:rPr>
      <w:rFonts w:cs="Courier New"/>
    </w:rPr>
  </w:style>
  <w:style w:type="character" w:customStyle="1" w:styleId="ListLabel2">
    <w:name w:val="ListLabel 2"/>
    <w:rPr>
      <w:rFonts w:eastAsia="Times New Roman" w:cs="Times New Roman"/>
    </w:rPr>
  </w:style>
  <w:style w:type="character" w:customStyle="1" w:styleId="ListLabel3">
    <w:name w:val="ListLabel 3"/>
    <w:rPr>
      <w:rFonts w:eastAsia="Times New Roman" w:cs="Arial"/>
      <w:b/>
    </w:rPr>
  </w:style>
  <w:style w:type="character" w:customStyle="1" w:styleId="ListLabel4">
    <w:name w:val="ListLabel 4"/>
    <w:rPr>
      <w:rFonts w:eastAsia="Calibri" w:cs="Segoe UI"/>
    </w:rPr>
  </w:style>
  <w:style w:type="character" w:customStyle="1" w:styleId="ListLabel5">
    <w:name w:val="ListLabel 5"/>
    <w:rPr>
      <w:rFonts w:eastAsia="Times New Roman" w:cs="Arial"/>
      <w:b/>
      <w:color w:val="00000A"/>
    </w:rPr>
  </w:style>
  <w:style w:type="character" w:customStyle="1" w:styleId="ListLabel6">
    <w:name w:val="ListLabel 6"/>
    <w:rPr>
      <w:u w:val="none"/>
    </w:rPr>
  </w:style>
  <w:style w:type="character" w:customStyle="1" w:styleId="ListLabel7">
    <w:name w:val="ListLabel 7"/>
    <w:rPr>
      <w:rFonts w:cs="F"/>
    </w:rPr>
  </w:style>
  <w:style w:type="character" w:customStyle="1" w:styleId="ListLabel8">
    <w:name w:val="ListLabel 8"/>
    <w:rPr>
      <w:color w:val="00000A"/>
    </w:rPr>
  </w:style>
  <w:style w:type="character" w:customStyle="1" w:styleId="ListLabel9">
    <w:name w:val="ListLabel 9"/>
    <w:rPr>
      <w:b/>
    </w:rPr>
  </w:style>
  <w:style w:type="character" w:customStyle="1" w:styleId="ListLabel10">
    <w:name w:val="ListLabel 10"/>
    <w:rPr>
      <w:u w:val="single"/>
    </w:rPr>
  </w:style>
  <w:style w:type="character" w:customStyle="1" w:styleId="ListLabel11">
    <w:name w:val="ListLabel 11"/>
    <w:rPr>
      <w:rFonts w:eastAsia="Times New Roman" w:cs="Arial"/>
      <w:b w:val="0"/>
      <w:color w:val="00000A"/>
    </w:rPr>
  </w:style>
  <w:style w:type="character" w:customStyle="1" w:styleId="ListLabel12">
    <w:name w:val="ListLabel 12"/>
    <w:rPr>
      <w:rFonts w:eastAsia="Calibri" w:cs="Times New Roman"/>
    </w:rPr>
  </w:style>
  <w:style w:type="numbering" w:customStyle="1" w:styleId="WWNum1">
    <w:name w:val="WWNum1"/>
    <w:basedOn w:val="Aucuneliste"/>
    <w:pPr>
      <w:numPr>
        <w:numId w:val="1"/>
      </w:numPr>
    </w:pPr>
  </w:style>
  <w:style w:type="numbering" w:customStyle="1" w:styleId="WWNum2">
    <w:name w:val="WWNum2"/>
    <w:basedOn w:val="Aucuneliste"/>
    <w:pPr>
      <w:numPr>
        <w:numId w:val="2"/>
      </w:numPr>
    </w:pPr>
  </w:style>
  <w:style w:type="numbering" w:customStyle="1" w:styleId="WWNum3">
    <w:name w:val="WWNum3"/>
    <w:basedOn w:val="Aucuneliste"/>
    <w:pPr>
      <w:numPr>
        <w:numId w:val="3"/>
      </w:numPr>
    </w:pPr>
  </w:style>
  <w:style w:type="numbering" w:customStyle="1" w:styleId="WWNum4">
    <w:name w:val="WWNum4"/>
    <w:basedOn w:val="Aucuneliste"/>
    <w:pPr>
      <w:numPr>
        <w:numId w:val="4"/>
      </w:numPr>
    </w:pPr>
  </w:style>
  <w:style w:type="numbering" w:customStyle="1" w:styleId="WWNum5">
    <w:name w:val="WWNum5"/>
    <w:basedOn w:val="Aucuneliste"/>
    <w:pPr>
      <w:numPr>
        <w:numId w:val="5"/>
      </w:numPr>
    </w:pPr>
  </w:style>
  <w:style w:type="numbering" w:customStyle="1" w:styleId="WWNum6">
    <w:name w:val="WWNum6"/>
    <w:basedOn w:val="Aucuneliste"/>
    <w:pPr>
      <w:numPr>
        <w:numId w:val="6"/>
      </w:numPr>
    </w:pPr>
  </w:style>
  <w:style w:type="numbering" w:customStyle="1" w:styleId="WWNum7">
    <w:name w:val="WWNum7"/>
    <w:basedOn w:val="Aucuneliste"/>
    <w:pPr>
      <w:numPr>
        <w:numId w:val="7"/>
      </w:numPr>
    </w:pPr>
  </w:style>
  <w:style w:type="numbering" w:customStyle="1" w:styleId="WWNum8">
    <w:name w:val="WWNum8"/>
    <w:basedOn w:val="Aucuneliste"/>
    <w:pPr>
      <w:numPr>
        <w:numId w:val="8"/>
      </w:numPr>
    </w:pPr>
  </w:style>
  <w:style w:type="numbering" w:customStyle="1" w:styleId="WWNum9">
    <w:name w:val="WWNum9"/>
    <w:basedOn w:val="Aucuneliste"/>
    <w:pPr>
      <w:numPr>
        <w:numId w:val="9"/>
      </w:numPr>
    </w:pPr>
  </w:style>
  <w:style w:type="numbering" w:customStyle="1" w:styleId="WWNum10">
    <w:name w:val="WWNum10"/>
    <w:basedOn w:val="Aucuneliste"/>
    <w:pPr>
      <w:numPr>
        <w:numId w:val="10"/>
      </w:numPr>
    </w:pPr>
  </w:style>
  <w:style w:type="numbering" w:customStyle="1" w:styleId="WWNum11">
    <w:name w:val="WWNum11"/>
    <w:basedOn w:val="Aucuneliste"/>
    <w:pPr>
      <w:numPr>
        <w:numId w:val="11"/>
      </w:numPr>
    </w:pPr>
  </w:style>
  <w:style w:type="numbering" w:customStyle="1" w:styleId="WWNum12">
    <w:name w:val="WWNum12"/>
    <w:basedOn w:val="Aucuneliste"/>
    <w:pPr>
      <w:numPr>
        <w:numId w:val="12"/>
      </w:numPr>
    </w:pPr>
  </w:style>
  <w:style w:type="numbering" w:customStyle="1" w:styleId="WWNum13">
    <w:name w:val="WWNum13"/>
    <w:basedOn w:val="Aucuneliste"/>
    <w:pPr>
      <w:numPr>
        <w:numId w:val="13"/>
      </w:numPr>
    </w:pPr>
  </w:style>
  <w:style w:type="numbering" w:customStyle="1" w:styleId="WWNum14">
    <w:name w:val="WWNum14"/>
    <w:basedOn w:val="Aucuneliste"/>
    <w:pPr>
      <w:numPr>
        <w:numId w:val="14"/>
      </w:numPr>
    </w:pPr>
  </w:style>
  <w:style w:type="numbering" w:customStyle="1" w:styleId="WWNum15">
    <w:name w:val="WWNum15"/>
    <w:basedOn w:val="Aucuneliste"/>
    <w:pPr>
      <w:numPr>
        <w:numId w:val="15"/>
      </w:numPr>
    </w:pPr>
  </w:style>
  <w:style w:type="numbering" w:customStyle="1" w:styleId="WWNum16">
    <w:name w:val="WWNum16"/>
    <w:basedOn w:val="Aucuneliste"/>
    <w:pPr>
      <w:numPr>
        <w:numId w:val="16"/>
      </w:numPr>
    </w:pPr>
  </w:style>
  <w:style w:type="numbering" w:customStyle="1" w:styleId="WWNum17">
    <w:name w:val="WWNum17"/>
    <w:basedOn w:val="Aucuneliste"/>
    <w:pPr>
      <w:numPr>
        <w:numId w:val="17"/>
      </w:numPr>
    </w:pPr>
  </w:style>
  <w:style w:type="numbering" w:customStyle="1" w:styleId="WWNum18">
    <w:name w:val="WWNum18"/>
    <w:basedOn w:val="Aucuneliste"/>
    <w:pPr>
      <w:numPr>
        <w:numId w:val="18"/>
      </w:numPr>
    </w:pPr>
  </w:style>
  <w:style w:type="numbering" w:customStyle="1" w:styleId="WWNum19">
    <w:name w:val="WWNum19"/>
    <w:basedOn w:val="Aucuneliste"/>
    <w:pPr>
      <w:numPr>
        <w:numId w:val="19"/>
      </w:numPr>
    </w:pPr>
  </w:style>
  <w:style w:type="numbering" w:customStyle="1" w:styleId="WWNum20">
    <w:name w:val="WWNum20"/>
    <w:basedOn w:val="Aucuneliste"/>
    <w:pPr>
      <w:numPr>
        <w:numId w:val="20"/>
      </w:numPr>
    </w:pPr>
  </w:style>
  <w:style w:type="numbering" w:customStyle="1" w:styleId="WWNum21">
    <w:name w:val="WWNum21"/>
    <w:basedOn w:val="Aucuneliste"/>
    <w:pPr>
      <w:numPr>
        <w:numId w:val="21"/>
      </w:numPr>
    </w:pPr>
  </w:style>
  <w:style w:type="numbering" w:customStyle="1" w:styleId="WWNum22">
    <w:name w:val="WWNum22"/>
    <w:basedOn w:val="Aucuneliste"/>
    <w:pPr>
      <w:numPr>
        <w:numId w:val="22"/>
      </w:numPr>
    </w:pPr>
  </w:style>
  <w:style w:type="numbering" w:customStyle="1" w:styleId="WWNum23">
    <w:name w:val="WWNum23"/>
    <w:basedOn w:val="Aucuneliste"/>
    <w:pPr>
      <w:numPr>
        <w:numId w:val="23"/>
      </w:numPr>
    </w:pPr>
  </w:style>
  <w:style w:type="numbering" w:customStyle="1" w:styleId="WWNum24">
    <w:name w:val="WWNum24"/>
    <w:basedOn w:val="Aucuneliste"/>
    <w:pPr>
      <w:numPr>
        <w:numId w:val="24"/>
      </w:numPr>
    </w:pPr>
  </w:style>
  <w:style w:type="numbering" w:customStyle="1" w:styleId="WWNum25">
    <w:name w:val="WWNum25"/>
    <w:basedOn w:val="Aucuneliste"/>
    <w:pPr>
      <w:numPr>
        <w:numId w:val="25"/>
      </w:numPr>
    </w:pPr>
  </w:style>
  <w:style w:type="numbering" w:customStyle="1" w:styleId="WWNum26">
    <w:name w:val="WWNum26"/>
    <w:basedOn w:val="Aucuneliste"/>
    <w:pPr>
      <w:numPr>
        <w:numId w:val="26"/>
      </w:numPr>
    </w:pPr>
  </w:style>
  <w:style w:type="numbering" w:customStyle="1" w:styleId="WWNum27">
    <w:name w:val="WWNum27"/>
    <w:basedOn w:val="Aucuneliste"/>
    <w:pPr>
      <w:numPr>
        <w:numId w:val="27"/>
      </w:numPr>
    </w:pPr>
  </w:style>
  <w:style w:type="numbering" w:customStyle="1" w:styleId="WWNum28">
    <w:name w:val="WWNum28"/>
    <w:basedOn w:val="Aucuneliste"/>
    <w:pPr>
      <w:numPr>
        <w:numId w:val="28"/>
      </w:numPr>
    </w:pPr>
  </w:style>
  <w:style w:type="numbering" w:customStyle="1" w:styleId="WWNum29">
    <w:name w:val="WWNum29"/>
    <w:basedOn w:val="Aucuneliste"/>
    <w:pPr>
      <w:numPr>
        <w:numId w:val="29"/>
      </w:numPr>
    </w:pPr>
  </w:style>
  <w:style w:type="numbering" w:customStyle="1" w:styleId="WWNum30">
    <w:name w:val="WWNum30"/>
    <w:basedOn w:val="Aucuneliste"/>
    <w:pPr>
      <w:numPr>
        <w:numId w:val="30"/>
      </w:numPr>
    </w:pPr>
  </w:style>
  <w:style w:type="numbering" w:customStyle="1" w:styleId="WWNum31">
    <w:name w:val="WWNum31"/>
    <w:basedOn w:val="Aucuneliste"/>
    <w:pPr>
      <w:numPr>
        <w:numId w:val="31"/>
      </w:numPr>
    </w:pPr>
  </w:style>
  <w:style w:type="numbering" w:customStyle="1" w:styleId="WWNum32">
    <w:name w:val="WWNum32"/>
    <w:basedOn w:val="Aucuneliste"/>
    <w:pPr>
      <w:numPr>
        <w:numId w:val="32"/>
      </w:numPr>
    </w:pPr>
  </w:style>
  <w:style w:type="numbering" w:customStyle="1" w:styleId="WWNum33">
    <w:name w:val="WWNum33"/>
    <w:basedOn w:val="Aucuneliste"/>
    <w:pPr>
      <w:numPr>
        <w:numId w:val="33"/>
      </w:numPr>
    </w:pPr>
  </w:style>
  <w:style w:type="numbering" w:customStyle="1" w:styleId="WWNum34">
    <w:name w:val="WWNum34"/>
    <w:basedOn w:val="Aucuneliste"/>
    <w:pPr>
      <w:numPr>
        <w:numId w:val="34"/>
      </w:numPr>
    </w:pPr>
  </w:style>
  <w:style w:type="numbering" w:customStyle="1" w:styleId="WWNum35">
    <w:name w:val="WWNum35"/>
    <w:basedOn w:val="Aucuneliste"/>
    <w:pPr>
      <w:numPr>
        <w:numId w:val="35"/>
      </w:numPr>
    </w:pPr>
  </w:style>
  <w:style w:type="numbering" w:customStyle="1" w:styleId="WWNum36">
    <w:name w:val="WWNum36"/>
    <w:basedOn w:val="Aucuneliste"/>
    <w:pPr>
      <w:numPr>
        <w:numId w:val="36"/>
      </w:numPr>
    </w:pPr>
  </w:style>
  <w:style w:type="numbering" w:customStyle="1" w:styleId="WWNum37">
    <w:name w:val="WWNum37"/>
    <w:basedOn w:val="Aucuneliste"/>
    <w:pPr>
      <w:numPr>
        <w:numId w:val="37"/>
      </w:numPr>
    </w:pPr>
  </w:style>
  <w:style w:type="numbering" w:customStyle="1" w:styleId="WWNum38">
    <w:name w:val="WWNum38"/>
    <w:basedOn w:val="Aucuneliste"/>
    <w:pPr>
      <w:numPr>
        <w:numId w:val="38"/>
      </w:numPr>
    </w:pPr>
  </w:style>
  <w:style w:type="numbering" w:customStyle="1" w:styleId="WWNum39">
    <w:name w:val="WWNum39"/>
    <w:basedOn w:val="Aucuneliste"/>
    <w:pPr>
      <w:numPr>
        <w:numId w:val="39"/>
      </w:numPr>
    </w:pPr>
  </w:style>
  <w:style w:type="numbering" w:customStyle="1" w:styleId="WWNum40">
    <w:name w:val="WWNum40"/>
    <w:basedOn w:val="Aucuneliste"/>
    <w:pPr>
      <w:numPr>
        <w:numId w:val="40"/>
      </w:numPr>
    </w:pPr>
  </w:style>
  <w:style w:type="numbering" w:customStyle="1" w:styleId="WWNum41">
    <w:name w:val="WWNum41"/>
    <w:basedOn w:val="Aucuneliste"/>
    <w:pPr>
      <w:numPr>
        <w:numId w:val="41"/>
      </w:numPr>
    </w:pPr>
  </w:style>
  <w:style w:type="numbering" w:customStyle="1" w:styleId="WWNum42">
    <w:name w:val="WWNum42"/>
    <w:basedOn w:val="Aucuneliste"/>
    <w:pPr>
      <w:numPr>
        <w:numId w:val="42"/>
      </w:numPr>
    </w:pPr>
  </w:style>
  <w:style w:type="numbering" w:customStyle="1" w:styleId="WWNum43">
    <w:name w:val="WWNum43"/>
    <w:basedOn w:val="Aucuneliste"/>
    <w:pPr>
      <w:numPr>
        <w:numId w:val="43"/>
      </w:numPr>
    </w:pPr>
  </w:style>
  <w:style w:type="numbering" w:customStyle="1" w:styleId="WWNum44">
    <w:name w:val="WWNum44"/>
    <w:basedOn w:val="Aucuneliste"/>
    <w:pPr>
      <w:numPr>
        <w:numId w:val="44"/>
      </w:numPr>
    </w:pPr>
  </w:style>
  <w:style w:type="numbering" w:customStyle="1" w:styleId="WWNum45">
    <w:name w:val="WWNum45"/>
    <w:basedOn w:val="Aucuneliste"/>
    <w:pPr>
      <w:numPr>
        <w:numId w:val="45"/>
      </w:numPr>
    </w:pPr>
  </w:style>
  <w:style w:type="paragraph" w:styleId="Rvision">
    <w:name w:val="Revision"/>
    <w:hidden/>
    <w:uiPriority w:val="99"/>
    <w:semiHidden/>
    <w:rsid w:val="006D323D"/>
    <w:pPr>
      <w:widowControl/>
      <w:autoSpaceDN/>
      <w:spacing w:after="0" w:line="240" w:lineRule="auto"/>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2447716">
      <w:bodyDiv w:val="1"/>
      <w:marLeft w:val="0"/>
      <w:marRight w:val="0"/>
      <w:marTop w:val="0"/>
      <w:marBottom w:val="0"/>
      <w:divBdr>
        <w:top w:val="none" w:sz="0" w:space="0" w:color="auto"/>
        <w:left w:val="none" w:sz="0" w:space="0" w:color="auto"/>
        <w:bottom w:val="none" w:sz="0" w:space="0" w:color="auto"/>
        <w:right w:val="none" w:sz="0" w:space="0" w:color="auto"/>
      </w:divBdr>
    </w:div>
    <w:div w:id="18945829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2751CA2CD4C76469FC3FE8D91A8A4BF" ma:contentTypeVersion="10" ma:contentTypeDescription="Crée un document." ma:contentTypeScope="" ma:versionID="c662783498048c776803b760184cbb48">
  <xsd:schema xmlns:xsd="http://www.w3.org/2001/XMLSchema" xmlns:xs="http://www.w3.org/2001/XMLSchema" xmlns:p="http://schemas.microsoft.com/office/2006/metadata/properties" xmlns:ns2="369d1883-1e89-4f35-92c9-845067f88ae4" xmlns:ns3="bbf8db02-4fb2-493a-bd7a-3c48f15504e5" targetNamespace="http://schemas.microsoft.com/office/2006/metadata/properties" ma:root="true" ma:fieldsID="49effcd7eb1c134831ef15da64cf001e" ns2:_="" ns3:_="">
    <xsd:import namespace="369d1883-1e89-4f35-92c9-845067f88ae4"/>
    <xsd:import namespace="bbf8db02-4fb2-493a-bd7a-3c48f15504e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9d1883-1e89-4f35-92c9-845067f88a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f8db02-4fb2-493a-bd7a-3c48f15504e5"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6C793D-78DB-4F17-A6B6-EDCD95A0C6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E4D9AC-A9D2-4D35-AF27-00E5BEB2FDCB}">
  <ds:schemaRefs>
    <ds:schemaRef ds:uri="http://schemas.microsoft.com/sharepoint/v3/contenttype/forms"/>
  </ds:schemaRefs>
</ds:datastoreItem>
</file>

<file path=customXml/itemProps3.xml><?xml version="1.0" encoding="utf-8"?>
<ds:datastoreItem xmlns:ds="http://schemas.openxmlformats.org/officeDocument/2006/customXml" ds:itemID="{36148D56-7B5F-4772-9E06-BD1E50D1A688}">
  <ds:schemaRefs>
    <ds:schemaRef ds:uri="http://schemas.openxmlformats.org/officeDocument/2006/bibliography"/>
  </ds:schemaRefs>
</ds:datastoreItem>
</file>

<file path=customXml/itemProps4.xml><?xml version="1.0" encoding="utf-8"?>
<ds:datastoreItem xmlns:ds="http://schemas.openxmlformats.org/officeDocument/2006/customXml" ds:itemID="{15D5E2FC-CBD7-4D66-A9E3-D17544EFA1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9d1883-1e89-4f35-92c9-845067f88ae4"/>
    <ds:schemaRef ds:uri="bbf8db02-4fb2-493a-bd7a-3c48f15504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2133</Words>
  <Characters>11735</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INSTALL</dc:creator>
  <cp:lastModifiedBy>Fleurs CARRARA</cp:lastModifiedBy>
  <cp:revision>5</cp:revision>
  <cp:lastPrinted>2026-02-04T10:12:00Z</cp:lastPrinted>
  <dcterms:created xsi:type="dcterms:W3CDTF">2026-02-03T11:07:00Z</dcterms:created>
  <dcterms:modified xsi:type="dcterms:W3CDTF">2026-03-11T16:03:00Z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VINCI Concessions</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0x01010032751CA2CD4C76469FC3FE8D91A8A4BF</vt:lpwstr>
  </property>
</Properties>
</file>