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58A61" w14:textId="44D9DAB6" w:rsidR="00E9213D" w:rsidRPr="001D5E49" w:rsidRDefault="00416EC9" w:rsidP="00E25C90">
      <w:pPr>
        <w:pBdr>
          <w:top w:val="single" w:sz="4" w:space="1" w:color="auto"/>
          <w:left w:val="single" w:sz="4" w:space="4" w:color="auto"/>
          <w:bottom w:val="single" w:sz="4" w:space="1" w:color="auto"/>
          <w:right w:val="single" w:sz="4" w:space="4" w:color="auto"/>
        </w:pBdr>
        <w:ind w:left="2835" w:right="432"/>
        <w:jc w:val="center"/>
        <w:rPr>
          <w:rFonts w:ascii="Calibri" w:hAnsi="Calibri"/>
          <w:b/>
          <w:smallCaps/>
          <w:sz w:val="32"/>
          <w:szCs w:val="32"/>
        </w:rPr>
      </w:pPr>
      <w:r w:rsidRPr="001017DF">
        <w:rPr>
          <w:rFonts w:ascii="Calibri" w:hAnsi="Calibri"/>
          <w:b/>
          <w:smallCaps/>
          <w:noProof/>
          <w:sz w:val="32"/>
          <w:szCs w:val="32"/>
          <w:lang w:eastAsia="fr-FR"/>
        </w:rPr>
        <w:drawing>
          <wp:anchor distT="0" distB="0" distL="114300" distR="114300" simplePos="0" relativeHeight="251659264" behindDoc="0" locked="0" layoutInCell="1" allowOverlap="1" wp14:anchorId="360F4246" wp14:editId="026E4C07">
            <wp:simplePos x="0" y="0"/>
            <wp:positionH relativeFrom="margin">
              <wp:align>left</wp:align>
            </wp:positionH>
            <wp:positionV relativeFrom="paragraph">
              <wp:posOffset>-76835</wp:posOffset>
            </wp:positionV>
            <wp:extent cx="1563994" cy="1038225"/>
            <wp:effectExtent l="0" t="0" r="0" b="0"/>
            <wp:wrapNone/>
            <wp:docPr id="46" name="Image 46" descr="EXE_Logo BLAZON p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XE_Logo BLAZON po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9896" cy="1042143"/>
                    </a:xfrm>
                    <a:prstGeom prst="rect">
                      <a:avLst/>
                    </a:prstGeom>
                    <a:noFill/>
                    <a:ln>
                      <a:noFill/>
                    </a:ln>
                  </pic:spPr>
                </pic:pic>
              </a:graphicData>
            </a:graphic>
            <wp14:sizeRelH relativeFrom="page">
              <wp14:pctWidth>0</wp14:pctWidth>
            </wp14:sizeRelH>
            <wp14:sizeRelV relativeFrom="page">
              <wp14:pctHeight>0</wp14:pctHeight>
            </wp14:sizeRelV>
          </wp:anchor>
        </w:drawing>
      </w:r>
      <w:r w:rsidR="00C243A1">
        <w:rPr>
          <w:rFonts w:ascii="Calibri" w:hAnsi="Calibri"/>
          <w:b/>
          <w:smallCaps/>
          <w:sz w:val="32"/>
          <w:szCs w:val="32"/>
        </w:rPr>
        <w:t xml:space="preserve">Avenant à l’accord </w:t>
      </w:r>
      <w:r w:rsidR="001E4422">
        <w:rPr>
          <w:rFonts w:ascii="Calibri" w:hAnsi="Calibri"/>
          <w:b/>
          <w:smallCaps/>
          <w:sz w:val="32"/>
          <w:szCs w:val="32"/>
        </w:rPr>
        <w:t>d’aménagement et la réduction du temps de travail du 30 novembre 1999</w:t>
      </w:r>
    </w:p>
    <w:p w14:paraId="732BC286" w14:textId="77777777" w:rsidR="00E9213D" w:rsidRPr="00E87D4B" w:rsidRDefault="00E9213D" w:rsidP="00E9213D">
      <w:pPr>
        <w:pStyle w:val="PS"/>
        <w:spacing w:before="200" w:after="100" w:line="240" w:lineRule="auto"/>
        <w:rPr>
          <w:rFonts w:asciiTheme="minorHAnsi" w:hAnsiTheme="minorHAnsi" w:cs="Arial"/>
          <w:sz w:val="22"/>
          <w:szCs w:val="22"/>
          <w:u w:val="single"/>
        </w:rPr>
      </w:pPr>
      <w:r w:rsidRPr="00E87D4B">
        <w:rPr>
          <w:rFonts w:asciiTheme="minorHAnsi" w:hAnsiTheme="minorHAnsi" w:cs="Arial"/>
          <w:sz w:val="22"/>
          <w:szCs w:val="22"/>
          <w:u w:val="single"/>
        </w:rPr>
        <w:t>Entre :</w:t>
      </w:r>
    </w:p>
    <w:p w14:paraId="70D29121" w14:textId="6C7F5E7A" w:rsidR="00E9213D" w:rsidRPr="00E87D4B" w:rsidRDefault="00E9213D" w:rsidP="007A1D05">
      <w:pPr>
        <w:spacing w:after="100"/>
        <w:jc w:val="both"/>
        <w:rPr>
          <w:rFonts w:asciiTheme="minorHAnsi" w:hAnsiTheme="minorHAnsi" w:cs="Arial"/>
          <w:sz w:val="22"/>
          <w:szCs w:val="22"/>
        </w:rPr>
      </w:pPr>
      <w:r w:rsidRPr="00E87D4B">
        <w:rPr>
          <w:rFonts w:asciiTheme="minorHAnsi" w:hAnsiTheme="minorHAnsi" w:cs="Arial"/>
          <w:sz w:val="22"/>
          <w:szCs w:val="22"/>
        </w:rPr>
        <w:t xml:space="preserve">La Société </w:t>
      </w:r>
      <w:proofErr w:type="spellStart"/>
      <w:r w:rsidRPr="00E87D4B">
        <w:rPr>
          <w:rFonts w:asciiTheme="minorHAnsi" w:hAnsiTheme="minorHAnsi" w:cs="Arial"/>
          <w:b/>
          <w:sz w:val="22"/>
          <w:szCs w:val="22"/>
        </w:rPr>
        <w:t>Luissier</w:t>
      </w:r>
      <w:proofErr w:type="spellEnd"/>
      <w:r w:rsidRPr="00E87D4B">
        <w:rPr>
          <w:rFonts w:asciiTheme="minorHAnsi" w:hAnsiTheme="minorHAnsi" w:cs="Arial"/>
          <w:b/>
          <w:sz w:val="22"/>
          <w:szCs w:val="22"/>
        </w:rPr>
        <w:t xml:space="preserve"> </w:t>
      </w:r>
      <w:proofErr w:type="spellStart"/>
      <w:r w:rsidRPr="00E87D4B">
        <w:rPr>
          <w:rFonts w:asciiTheme="minorHAnsi" w:hAnsiTheme="minorHAnsi" w:cs="Arial"/>
          <w:b/>
          <w:sz w:val="22"/>
          <w:szCs w:val="22"/>
        </w:rPr>
        <w:t>Bordeau</w:t>
      </w:r>
      <w:proofErr w:type="spellEnd"/>
      <w:r w:rsidRPr="00E87D4B">
        <w:rPr>
          <w:rFonts w:asciiTheme="minorHAnsi" w:hAnsiTheme="minorHAnsi" w:cs="Arial"/>
          <w:b/>
          <w:sz w:val="22"/>
          <w:szCs w:val="22"/>
        </w:rPr>
        <w:t xml:space="preserve"> </w:t>
      </w:r>
      <w:proofErr w:type="spellStart"/>
      <w:r w:rsidRPr="00E87D4B">
        <w:rPr>
          <w:rFonts w:asciiTheme="minorHAnsi" w:hAnsiTheme="minorHAnsi" w:cs="Arial"/>
          <w:b/>
          <w:sz w:val="22"/>
          <w:szCs w:val="22"/>
        </w:rPr>
        <w:t>Chesnel</w:t>
      </w:r>
      <w:proofErr w:type="spellEnd"/>
      <w:r w:rsidRPr="00E87D4B">
        <w:rPr>
          <w:rFonts w:asciiTheme="minorHAnsi" w:hAnsiTheme="minorHAnsi" w:cs="Arial"/>
          <w:sz w:val="22"/>
          <w:szCs w:val="22"/>
        </w:rPr>
        <w:t xml:space="preserve"> représentée par M</w:t>
      </w:r>
      <w:r w:rsidR="00AA0AD0">
        <w:rPr>
          <w:rFonts w:asciiTheme="minorHAnsi" w:hAnsiTheme="minorHAnsi" w:cs="Arial"/>
          <w:sz w:val="22"/>
          <w:szCs w:val="22"/>
        </w:rPr>
        <w:t xml:space="preserve">   </w:t>
      </w:r>
      <w:r w:rsidR="001B1138">
        <w:rPr>
          <w:rFonts w:asciiTheme="minorHAnsi" w:hAnsiTheme="minorHAnsi" w:cs="Arial"/>
          <w:sz w:val="22"/>
          <w:szCs w:val="22"/>
        </w:rPr>
        <w:t xml:space="preserve"> accompagné de M</w:t>
      </w:r>
      <w:r w:rsidR="00AA0AD0">
        <w:rPr>
          <w:rFonts w:asciiTheme="minorHAnsi" w:hAnsiTheme="minorHAnsi" w:cs="Arial"/>
          <w:sz w:val="22"/>
          <w:szCs w:val="22"/>
        </w:rPr>
        <w:t xml:space="preserve">           </w:t>
      </w:r>
      <w:proofErr w:type="gramStart"/>
      <w:r w:rsidR="00AA0AD0">
        <w:rPr>
          <w:rFonts w:asciiTheme="minorHAnsi" w:hAnsiTheme="minorHAnsi" w:cs="Arial"/>
          <w:sz w:val="22"/>
          <w:szCs w:val="22"/>
        </w:rPr>
        <w:t xml:space="preserve">  </w:t>
      </w:r>
      <w:r>
        <w:rPr>
          <w:rFonts w:asciiTheme="minorHAnsi" w:hAnsiTheme="minorHAnsi" w:cs="Arial"/>
          <w:sz w:val="22"/>
          <w:szCs w:val="22"/>
        </w:rPr>
        <w:t>.</w:t>
      </w:r>
      <w:proofErr w:type="gramEnd"/>
    </w:p>
    <w:p w14:paraId="591681F8" w14:textId="77777777" w:rsidR="00E9213D" w:rsidRPr="00E87D4B" w:rsidRDefault="00E9213D" w:rsidP="00E9213D">
      <w:pPr>
        <w:spacing w:after="100"/>
        <w:ind w:left="6840"/>
        <w:jc w:val="both"/>
        <w:rPr>
          <w:rFonts w:asciiTheme="minorHAnsi" w:hAnsiTheme="minorHAnsi" w:cs="Arial"/>
          <w:sz w:val="22"/>
          <w:szCs w:val="22"/>
        </w:rPr>
      </w:pPr>
      <w:r w:rsidRPr="00E87D4B">
        <w:rPr>
          <w:rFonts w:asciiTheme="minorHAnsi" w:hAnsiTheme="minorHAnsi" w:cs="Arial"/>
          <w:sz w:val="22"/>
          <w:szCs w:val="22"/>
        </w:rPr>
        <w:t>D’une part,</w:t>
      </w:r>
    </w:p>
    <w:p w14:paraId="4F84DEFC" w14:textId="77777777" w:rsidR="00E9213D" w:rsidRPr="00E87D4B" w:rsidRDefault="00E9213D" w:rsidP="00E9213D">
      <w:pPr>
        <w:spacing w:after="80"/>
        <w:jc w:val="both"/>
        <w:rPr>
          <w:rFonts w:asciiTheme="minorHAnsi" w:hAnsiTheme="minorHAnsi" w:cs="Arial"/>
          <w:sz w:val="22"/>
          <w:szCs w:val="22"/>
        </w:rPr>
      </w:pPr>
      <w:r w:rsidRPr="00E87D4B">
        <w:rPr>
          <w:rFonts w:asciiTheme="minorHAnsi" w:hAnsiTheme="minorHAnsi" w:cs="Arial"/>
          <w:sz w:val="22"/>
          <w:szCs w:val="22"/>
          <w:u w:val="single"/>
        </w:rPr>
        <w:t>Et :</w:t>
      </w:r>
      <w:r w:rsidRPr="00E87D4B">
        <w:rPr>
          <w:rFonts w:asciiTheme="minorHAnsi" w:hAnsiTheme="minorHAnsi" w:cs="Arial"/>
          <w:sz w:val="22"/>
          <w:szCs w:val="22"/>
        </w:rPr>
        <w:t xml:space="preserve"> </w:t>
      </w:r>
    </w:p>
    <w:p w14:paraId="376B45DC" w14:textId="617EF150" w:rsidR="00E9213D" w:rsidRPr="00907720" w:rsidRDefault="00E9213D" w:rsidP="007A1D05">
      <w:pPr>
        <w:spacing w:after="100"/>
        <w:jc w:val="both"/>
        <w:rPr>
          <w:rFonts w:asciiTheme="minorHAnsi" w:hAnsiTheme="minorHAnsi" w:cs="Arial"/>
          <w:sz w:val="22"/>
          <w:szCs w:val="22"/>
        </w:rPr>
      </w:pPr>
      <w:r w:rsidRPr="00E87D4B">
        <w:rPr>
          <w:rFonts w:asciiTheme="minorHAnsi" w:hAnsiTheme="minorHAnsi" w:cs="Arial"/>
          <w:sz w:val="22"/>
          <w:szCs w:val="22"/>
        </w:rPr>
        <w:t>L</w:t>
      </w:r>
      <w:r w:rsidR="00907720">
        <w:rPr>
          <w:rFonts w:asciiTheme="minorHAnsi" w:hAnsiTheme="minorHAnsi" w:cs="Arial"/>
          <w:sz w:val="22"/>
          <w:szCs w:val="22"/>
        </w:rPr>
        <w:t>’</w:t>
      </w:r>
      <w:r w:rsidRPr="00E87D4B">
        <w:rPr>
          <w:rFonts w:asciiTheme="minorHAnsi" w:hAnsiTheme="minorHAnsi" w:cs="Arial"/>
          <w:sz w:val="22"/>
          <w:szCs w:val="22"/>
        </w:rPr>
        <w:t>organisation syndicale</w:t>
      </w:r>
      <w:r w:rsidR="00907720">
        <w:rPr>
          <w:rFonts w:asciiTheme="minorHAnsi" w:hAnsiTheme="minorHAnsi" w:cs="Arial"/>
          <w:sz w:val="22"/>
          <w:szCs w:val="22"/>
        </w:rPr>
        <w:t xml:space="preserve"> </w:t>
      </w:r>
      <w:r w:rsidRPr="00907720">
        <w:rPr>
          <w:rFonts w:asciiTheme="minorHAnsi" w:hAnsiTheme="minorHAnsi" w:cs="Arial"/>
          <w:sz w:val="22"/>
          <w:szCs w:val="22"/>
        </w:rPr>
        <w:t>CGT représentée par M</w:t>
      </w:r>
    </w:p>
    <w:p w14:paraId="2963DA5F" w14:textId="77777777" w:rsidR="00E9213D" w:rsidRPr="00E87D4B" w:rsidRDefault="00E9213D" w:rsidP="00E9213D">
      <w:pPr>
        <w:spacing w:after="100"/>
        <w:ind w:left="6840"/>
        <w:jc w:val="both"/>
        <w:rPr>
          <w:rFonts w:asciiTheme="minorHAnsi" w:hAnsiTheme="minorHAnsi" w:cs="Arial"/>
          <w:sz w:val="22"/>
          <w:szCs w:val="22"/>
        </w:rPr>
      </w:pPr>
      <w:r w:rsidRPr="00E87D4B">
        <w:rPr>
          <w:rFonts w:asciiTheme="minorHAnsi" w:hAnsiTheme="minorHAnsi" w:cs="Arial"/>
          <w:sz w:val="22"/>
          <w:szCs w:val="22"/>
        </w:rPr>
        <w:t>D’autre part.</w:t>
      </w:r>
    </w:p>
    <w:p w14:paraId="1F1E0CED" w14:textId="77777777" w:rsidR="00FF0085" w:rsidRPr="00650760" w:rsidRDefault="00FF0085" w:rsidP="00650760">
      <w:pPr>
        <w:pStyle w:val="Titre212pt"/>
        <w:spacing w:before="240" w:after="120"/>
        <w:rPr>
          <w:rFonts w:asciiTheme="minorHAnsi" w:hAnsiTheme="minorHAnsi"/>
        </w:rPr>
      </w:pPr>
      <w:bookmarkStart w:id="0" w:name="_Toc522549894"/>
      <w:bookmarkStart w:id="1" w:name="_Toc522549893"/>
      <w:r w:rsidRPr="00650760">
        <w:rPr>
          <w:rFonts w:asciiTheme="minorHAnsi" w:hAnsiTheme="minorHAnsi"/>
        </w:rPr>
        <w:t>PREAMBULE</w:t>
      </w:r>
    </w:p>
    <w:p w14:paraId="5EE2AA93" w14:textId="75AE1231"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 xml:space="preserve">Un accord portant sur l’aménagement et la réduction du temps de travail a été conclu dans l’entreprise le </w:t>
      </w:r>
      <w:r w:rsidR="00C902F1">
        <w:rPr>
          <w:rFonts w:asciiTheme="minorHAnsi" w:hAnsiTheme="minorHAnsi" w:cs="Arial"/>
          <w:sz w:val="22"/>
          <w:szCs w:val="22"/>
        </w:rPr>
        <w:t>30 novembre 1999</w:t>
      </w:r>
      <w:r w:rsidRPr="00650760">
        <w:rPr>
          <w:rFonts w:asciiTheme="minorHAnsi" w:hAnsiTheme="minorHAnsi" w:cs="Arial"/>
          <w:sz w:val="22"/>
          <w:szCs w:val="22"/>
        </w:rPr>
        <w:t>. Concernant les salariés à temps partiel</w:t>
      </w:r>
      <w:r w:rsidR="00D660F9">
        <w:rPr>
          <w:rFonts w:asciiTheme="minorHAnsi" w:hAnsiTheme="minorHAnsi" w:cs="Arial"/>
          <w:sz w:val="22"/>
          <w:szCs w:val="22"/>
        </w:rPr>
        <w:t xml:space="preserve"> cet accord prévoyait la poursuite des temps partiel </w:t>
      </w:r>
      <w:r w:rsidR="00C033E9">
        <w:rPr>
          <w:rFonts w:asciiTheme="minorHAnsi" w:hAnsiTheme="minorHAnsi" w:cs="Arial"/>
          <w:sz w:val="22"/>
          <w:szCs w:val="22"/>
        </w:rPr>
        <w:t>en place avant l’accord.</w:t>
      </w:r>
    </w:p>
    <w:p w14:paraId="38B6B85F" w14:textId="35B8435A"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Les parties se sont réunies courant de l’année 202</w:t>
      </w:r>
      <w:r w:rsidR="00994093">
        <w:rPr>
          <w:rFonts w:asciiTheme="minorHAnsi" w:hAnsiTheme="minorHAnsi" w:cs="Arial"/>
          <w:sz w:val="22"/>
          <w:szCs w:val="22"/>
        </w:rPr>
        <w:t>6</w:t>
      </w:r>
      <w:r w:rsidRPr="00650760">
        <w:rPr>
          <w:rFonts w:asciiTheme="minorHAnsi" w:hAnsiTheme="minorHAnsi" w:cs="Arial"/>
          <w:sz w:val="22"/>
          <w:szCs w:val="22"/>
        </w:rPr>
        <w:t xml:space="preserve"> pour préciser les conditions d’exercice à temps partiel. </w:t>
      </w:r>
    </w:p>
    <w:p w14:paraId="2E9223B9" w14:textId="0090817C" w:rsidR="00FF0085" w:rsidRPr="00650760" w:rsidRDefault="00FF0085" w:rsidP="00650760">
      <w:pPr>
        <w:pStyle w:val="Titre212pt"/>
        <w:numPr>
          <w:ilvl w:val="0"/>
          <w:numId w:val="10"/>
        </w:numPr>
        <w:spacing w:before="240" w:after="120"/>
        <w:rPr>
          <w:rFonts w:asciiTheme="minorHAnsi" w:hAnsiTheme="minorHAnsi"/>
        </w:rPr>
      </w:pPr>
      <w:r w:rsidRPr="00650760">
        <w:rPr>
          <w:rFonts w:asciiTheme="minorHAnsi" w:hAnsiTheme="minorHAnsi"/>
        </w:rPr>
        <w:t>Répartition de la durée du travail calculée en heures sur une année des salariés à temps partiel, ou modulation</w:t>
      </w:r>
    </w:p>
    <w:p w14:paraId="377134FE" w14:textId="77777777" w:rsidR="00FF0085" w:rsidRPr="00650760" w:rsidRDefault="00FF0085" w:rsidP="00CB772F">
      <w:pPr>
        <w:pStyle w:val="Titre212pt"/>
        <w:numPr>
          <w:ilvl w:val="1"/>
          <w:numId w:val="10"/>
        </w:numPr>
        <w:spacing w:before="200" w:after="100"/>
        <w:ind w:left="1434" w:hanging="357"/>
        <w:rPr>
          <w:rFonts w:asciiTheme="minorHAnsi" w:hAnsiTheme="minorHAnsi"/>
        </w:rPr>
      </w:pPr>
      <w:r w:rsidRPr="00650760">
        <w:rPr>
          <w:rFonts w:asciiTheme="minorHAnsi" w:hAnsiTheme="minorHAnsi"/>
        </w:rPr>
        <w:t>Cadre juridique</w:t>
      </w:r>
    </w:p>
    <w:p w14:paraId="0D0AC460" w14:textId="135D733F"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 xml:space="preserve">Dans le cadre notamment des dispositions des articles L. 3121-44 et L. 3123-1 du code du travail, les dispositions ci-après ont pour objet de définir les modalités d'aménagement du temps de travail et d’organisation de la répartition de la durée du travail sur une période égale à l'année à compter du 1er </w:t>
      </w:r>
      <w:r w:rsidR="008F6BD5">
        <w:rPr>
          <w:rFonts w:asciiTheme="minorHAnsi" w:hAnsiTheme="minorHAnsi" w:cs="Arial"/>
          <w:sz w:val="22"/>
          <w:szCs w:val="22"/>
        </w:rPr>
        <w:t>janvier 2026</w:t>
      </w:r>
      <w:r w:rsidRPr="00650760">
        <w:rPr>
          <w:rFonts w:asciiTheme="minorHAnsi" w:hAnsiTheme="minorHAnsi" w:cs="Arial"/>
          <w:sz w:val="22"/>
          <w:szCs w:val="22"/>
        </w:rPr>
        <w:t xml:space="preserve">. </w:t>
      </w:r>
    </w:p>
    <w:p w14:paraId="711C5104" w14:textId="77777777" w:rsidR="00FF0085" w:rsidRPr="00650760" w:rsidRDefault="00FF0085" w:rsidP="00CB772F">
      <w:pPr>
        <w:pStyle w:val="Titre212pt"/>
        <w:numPr>
          <w:ilvl w:val="1"/>
          <w:numId w:val="10"/>
        </w:numPr>
        <w:spacing w:before="200" w:after="100"/>
        <w:ind w:left="1434" w:hanging="357"/>
        <w:rPr>
          <w:rFonts w:asciiTheme="minorHAnsi" w:hAnsiTheme="minorHAnsi"/>
        </w:rPr>
      </w:pPr>
      <w:r w:rsidRPr="00650760">
        <w:rPr>
          <w:rFonts w:asciiTheme="minorHAnsi" w:hAnsiTheme="minorHAnsi"/>
        </w:rPr>
        <w:t>Champ d’application</w:t>
      </w:r>
    </w:p>
    <w:p w14:paraId="665D04DB" w14:textId="256AEB36"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Sont concernés l’ensemble des salariés dont le temps de travail hebdomadaire est inférieur à 35</w:t>
      </w:r>
      <w:r w:rsidR="002C687E">
        <w:rPr>
          <w:rFonts w:asciiTheme="minorHAnsi" w:hAnsiTheme="minorHAnsi" w:cs="Arial"/>
          <w:sz w:val="22"/>
          <w:szCs w:val="22"/>
        </w:rPr>
        <w:t xml:space="preserve"> </w:t>
      </w:r>
      <w:r w:rsidRPr="00650760">
        <w:rPr>
          <w:rFonts w:asciiTheme="minorHAnsi" w:hAnsiTheme="minorHAnsi" w:cs="Arial"/>
          <w:sz w:val="22"/>
          <w:szCs w:val="22"/>
        </w:rPr>
        <w:t>h</w:t>
      </w:r>
      <w:r w:rsidR="006501FD">
        <w:rPr>
          <w:rFonts w:asciiTheme="minorHAnsi" w:hAnsiTheme="minorHAnsi" w:cs="Arial"/>
          <w:sz w:val="22"/>
          <w:szCs w:val="22"/>
        </w:rPr>
        <w:t xml:space="preserve"> (ou 37</w:t>
      </w:r>
      <w:r w:rsidR="00E833F2">
        <w:rPr>
          <w:rFonts w:asciiTheme="minorHAnsi" w:hAnsiTheme="minorHAnsi" w:cs="Arial"/>
          <w:sz w:val="22"/>
          <w:szCs w:val="22"/>
        </w:rPr>
        <w:t>,5</w:t>
      </w:r>
      <w:r w:rsidR="002C687E">
        <w:rPr>
          <w:rFonts w:asciiTheme="minorHAnsi" w:hAnsiTheme="minorHAnsi" w:cs="Arial"/>
          <w:sz w:val="22"/>
          <w:szCs w:val="22"/>
        </w:rPr>
        <w:t xml:space="preserve"> </w:t>
      </w:r>
      <w:r w:rsidR="006501FD">
        <w:rPr>
          <w:rFonts w:asciiTheme="minorHAnsi" w:hAnsiTheme="minorHAnsi" w:cs="Arial"/>
          <w:sz w:val="22"/>
          <w:szCs w:val="22"/>
        </w:rPr>
        <w:t>h pour un agent de maîtrise)</w:t>
      </w:r>
      <w:r w:rsidRPr="00650760">
        <w:rPr>
          <w:rFonts w:asciiTheme="minorHAnsi" w:hAnsiTheme="minorHAnsi" w:cs="Arial"/>
          <w:sz w:val="22"/>
          <w:szCs w:val="22"/>
        </w:rPr>
        <w:t>, y compris par conséquent les salariés signataires d’un contrat de travail à durée indéterminée ou déterminée, lorsque la durée du contrat de travail est inférieure à douze mois.</w:t>
      </w:r>
    </w:p>
    <w:p w14:paraId="19902FE2" w14:textId="77777777" w:rsidR="00FF0085" w:rsidRPr="00650760" w:rsidRDefault="00FF0085" w:rsidP="00CB772F">
      <w:pPr>
        <w:pStyle w:val="Titre212pt"/>
        <w:numPr>
          <w:ilvl w:val="1"/>
          <w:numId w:val="10"/>
        </w:numPr>
        <w:spacing w:before="200" w:after="100"/>
        <w:ind w:left="1434" w:hanging="357"/>
        <w:rPr>
          <w:rFonts w:asciiTheme="minorHAnsi" w:hAnsiTheme="minorHAnsi"/>
        </w:rPr>
      </w:pPr>
      <w:r w:rsidRPr="00650760">
        <w:rPr>
          <w:rFonts w:asciiTheme="minorHAnsi" w:hAnsiTheme="minorHAnsi"/>
        </w:rPr>
        <w:t>Durée annuelle du temps de travail et horaires</w:t>
      </w:r>
    </w:p>
    <w:p w14:paraId="4B89C146" w14:textId="77777777"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La durée annuelle du temps de travail, seuil de déclenchement des heures complémentaires, est fixée par contrat de travail. Le contrat de travail fixe également la durée moyenne hebdomadaire du travail sur la base de laquelle sont établis les horaires de travail.</w:t>
      </w:r>
    </w:p>
    <w:p w14:paraId="7EC881E7" w14:textId="77777777"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La durée annuelle du temps de travail intègre les heures effectuées au titre de la journée de solidarité selon les modalités définies par l’article 3 ci-après.</w:t>
      </w:r>
    </w:p>
    <w:p w14:paraId="6D2C7533" w14:textId="78E83996"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 xml:space="preserve">Le temps de travail du salarié à temps partiels est calculé sur la </w:t>
      </w:r>
      <w:r w:rsidRPr="00AF2DB0">
        <w:rPr>
          <w:rFonts w:asciiTheme="minorHAnsi" w:hAnsiTheme="minorHAnsi" w:cs="Arial"/>
          <w:sz w:val="22"/>
          <w:szCs w:val="22"/>
        </w:rPr>
        <w:t>base des 1607 h par an soit</w:t>
      </w:r>
      <w:r w:rsidRPr="00650760">
        <w:rPr>
          <w:rFonts w:asciiTheme="minorHAnsi" w:hAnsiTheme="minorHAnsi" w:cs="Arial"/>
          <w:sz w:val="22"/>
          <w:szCs w:val="22"/>
        </w:rPr>
        <w:t xml:space="preserve"> 35h par semaine. Le taux d’activité à temps partiel viendra proratiser cette base-là. </w:t>
      </w:r>
    </w:p>
    <w:p w14:paraId="5D991026" w14:textId="2635D25D"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 xml:space="preserve">La période de référence pour le décompte annuel du temps de travail s’étend du 1er </w:t>
      </w:r>
      <w:r w:rsidR="00B9442D">
        <w:rPr>
          <w:rFonts w:asciiTheme="minorHAnsi" w:hAnsiTheme="minorHAnsi" w:cs="Arial"/>
          <w:sz w:val="22"/>
          <w:szCs w:val="22"/>
        </w:rPr>
        <w:t>janvier</w:t>
      </w:r>
      <w:r w:rsidRPr="00650760">
        <w:rPr>
          <w:rFonts w:asciiTheme="minorHAnsi" w:hAnsiTheme="minorHAnsi" w:cs="Arial"/>
          <w:sz w:val="22"/>
          <w:szCs w:val="22"/>
        </w:rPr>
        <w:t xml:space="preserve"> au 31 </w:t>
      </w:r>
      <w:r w:rsidR="00B9442D">
        <w:rPr>
          <w:rFonts w:asciiTheme="minorHAnsi" w:hAnsiTheme="minorHAnsi" w:cs="Arial"/>
          <w:sz w:val="22"/>
          <w:szCs w:val="22"/>
        </w:rPr>
        <w:t>décembre</w:t>
      </w:r>
      <w:r w:rsidRPr="00650760">
        <w:rPr>
          <w:rFonts w:asciiTheme="minorHAnsi" w:hAnsiTheme="minorHAnsi" w:cs="Arial"/>
          <w:sz w:val="22"/>
          <w:szCs w:val="22"/>
        </w:rPr>
        <w:t xml:space="preserve"> de l</w:t>
      </w:r>
      <w:r w:rsidR="00B9442D">
        <w:rPr>
          <w:rFonts w:asciiTheme="minorHAnsi" w:hAnsiTheme="minorHAnsi" w:cs="Arial"/>
          <w:sz w:val="22"/>
          <w:szCs w:val="22"/>
        </w:rPr>
        <w:t>a même</w:t>
      </w:r>
      <w:r w:rsidRPr="00650760">
        <w:rPr>
          <w:rFonts w:asciiTheme="minorHAnsi" w:hAnsiTheme="minorHAnsi" w:cs="Arial"/>
          <w:sz w:val="22"/>
          <w:szCs w:val="22"/>
        </w:rPr>
        <w:t xml:space="preserve">. </w:t>
      </w:r>
    </w:p>
    <w:p w14:paraId="540D6DED" w14:textId="77777777" w:rsidR="00FF0085" w:rsidRPr="00650760" w:rsidRDefault="00FF0085" w:rsidP="00CB772F">
      <w:pPr>
        <w:pStyle w:val="Titre212pt"/>
        <w:numPr>
          <w:ilvl w:val="1"/>
          <w:numId w:val="10"/>
        </w:numPr>
        <w:spacing w:before="200" w:after="100"/>
        <w:ind w:left="1434" w:hanging="357"/>
        <w:rPr>
          <w:rFonts w:asciiTheme="minorHAnsi" w:hAnsiTheme="minorHAnsi"/>
        </w:rPr>
      </w:pPr>
      <w:r w:rsidRPr="00650760">
        <w:rPr>
          <w:rFonts w:asciiTheme="minorHAnsi" w:hAnsiTheme="minorHAnsi"/>
        </w:rPr>
        <w:t>Modalités de communication et de modification de la répartition de la durée et des horaires de travail</w:t>
      </w:r>
    </w:p>
    <w:p w14:paraId="223EFB0F" w14:textId="5D67A68C"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 xml:space="preserve">Les emplois du temps sont notifiés aux salariés à temps partiel par écrit. Ils sont communiqués par voie d’affichage ou remis en main propre ou par voie électronique dans </w:t>
      </w:r>
      <w:r w:rsidR="00A358B5">
        <w:rPr>
          <w:rFonts w:asciiTheme="minorHAnsi" w:hAnsiTheme="minorHAnsi" w:cs="Arial"/>
          <w:sz w:val="22"/>
          <w:szCs w:val="22"/>
        </w:rPr>
        <w:t xml:space="preserve">les mêmes conditions </w:t>
      </w:r>
      <w:r w:rsidR="00AD1320">
        <w:rPr>
          <w:rFonts w:asciiTheme="minorHAnsi" w:hAnsiTheme="minorHAnsi" w:cs="Arial"/>
          <w:sz w:val="22"/>
          <w:szCs w:val="22"/>
        </w:rPr>
        <w:t>qu’un salarié à temps plein</w:t>
      </w:r>
      <w:r w:rsidRPr="00650760">
        <w:rPr>
          <w:rFonts w:asciiTheme="minorHAnsi" w:hAnsiTheme="minorHAnsi" w:cs="Arial"/>
          <w:sz w:val="22"/>
          <w:szCs w:val="22"/>
        </w:rPr>
        <w:t>.</w:t>
      </w:r>
    </w:p>
    <w:p w14:paraId="65323FBF" w14:textId="77777777" w:rsidR="00FF0085" w:rsidRPr="00650760" w:rsidRDefault="00FF0085" w:rsidP="00CB772F">
      <w:pPr>
        <w:pStyle w:val="Titre212pt"/>
        <w:numPr>
          <w:ilvl w:val="1"/>
          <w:numId w:val="10"/>
        </w:numPr>
        <w:spacing w:before="200" w:after="100"/>
        <w:ind w:left="1434" w:hanging="357"/>
        <w:rPr>
          <w:rFonts w:asciiTheme="minorHAnsi" w:hAnsiTheme="minorHAnsi"/>
        </w:rPr>
      </w:pPr>
      <w:r w:rsidRPr="00650760">
        <w:rPr>
          <w:rFonts w:asciiTheme="minorHAnsi" w:hAnsiTheme="minorHAnsi"/>
        </w:rPr>
        <w:lastRenderedPageBreak/>
        <w:t>Changements de durée ou d’horaires de travail</w:t>
      </w:r>
    </w:p>
    <w:p w14:paraId="2F88C971" w14:textId="52FD74E1"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Les changements de durée ou d’horaire de travail sont portés à la connaissance des salariés concernés par voie d’affichage, par notification remise en main propre ou par voie électronique.</w:t>
      </w:r>
    </w:p>
    <w:p w14:paraId="2DA4BDEE" w14:textId="77777777" w:rsidR="00FF0085" w:rsidRPr="00650760" w:rsidRDefault="00FF0085" w:rsidP="00650760">
      <w:pPr>
        <w:spacing w:after="100"/>
        <w:jc w:val="both"/>
        <w:rPr>
          <w:rFonts w:asciiTheme="minorHAnsi" w:hAnsiTheme="minorHAnsi" w:cs="Arial"/>
          <w:sz w:val="22"/>
          <w:szCs w:val="22"/>
        </w:rPr>
      </w:pPr>
      <w:r w:rsidRPr="003148F5">
        <w:rPr>
          <w:rFonts w:asciiTheme="minorHAnsi" w:hAnsiTheme="minorHAnsi" w:cs="Arial"/>
          <w:sz w:val="22"/>
          <w:szCs w:val="22"/>
        </w:rPr>
        <w:t>Le délai de prévenance est fixé à sept jours calendaires. Il peut toutefois être réduit à la demande des salariés pour convenance personnelle, ou à l’initiative de l’employeur en cas de nécessité de service pour faire face à une situation d’urgence.</w:t>
      </w:r>
      <w:r w:rsidRPr="00650760">
        <w:rPr>
          <w:rFonts w:asciiTheme="minorHAnsi" w:hAnsiTheme="minorHAnsi" w:cs="Arial"/>
          <w:sz w:val="22"/>
          <w:szCs w:val="22"/>
        </w:rPr>
        <w:t xml:space="preserve"> </w:t>
      </w:r>
    </w:p>
    <w:p w14:paraId="2417310C" w14:textId="77777777" w:rsidR="00FF0085" w:rsidRPr="00650760" w:rsidRDefault="00FF0085" w:rsidP="00CB772F">
      <w:pPr>
        <w:pStyle w:val="Titre212pt"/>
        <w:numPr>
          <w:ilvl w:val="1"/>
          <w:numId w:val="10"/>
        </w:numPr>
        <w:spacing w:before="200" w:after="100"/>
        <w:ind w:left="1434" w:hanging="357"/>
        <w:rPr>
          <w:rFonts w:asciiTheme="minorHAnsi" w:hAnsiTheme="minorHAnsi"/>
        </w:rPr>
      </w:pPr>
      <w:r w:rsidRPr="00650760">
        <w:rPr>
          <w:rFonts w:asciiTheme="minorHAnsi" w:hAnsiTheme="minorHAnsi"/>
        </w:rPr>
        <w:t>Lissage de la rémunération</w:t>
      </w:r>
    </w:p>
    <w:p w14:paraId="28C16E2E" w14:textId="77777777"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La rémunération des salariés est lissée sur la base du nombre d’heures fixé au contrat de travail. Les augmentations de salaire résultant d’un accord collectif ou d’une décision unilatérale de la direction de la société sont appliquées à leur date d’effet sans tenir compte des reports d’heures.</w:t>
      </w:r>
    </w:p>
    <w:p w14:paraId="1FACA5DE" w14:textId="77777777"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 xml:space="preserve">En cas de période non travaillée donnant lieu à indemnisation par l’employeur, cette indemnisation est calculée sur la base de la rémunération lissée. En cas de période non travaillée et non rémunérée par l’employeur, la retenue sur salaire est calculée sur la base du temps de travail contractuel. </w:t>
      </w:r>
    </w:p>
    <w:p w14:paraId="3D63F03E" w14:textId="77777777"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A la fin de période de référence, le salarié à temps partiel se verra payer les heures complémentaires (qui ont alimentées le compteur débit/crédit) sur la paie de juin.</w:t>
      </w:r>
    </w:p>
    <w:p w14:paraId="3E045603" w14:textId="77777777" w:rsidR="00FF0085" w:rsidRPr="00650760" w:rsidRDefault="00FF0085" w:rsidP="00650760">
      <w:pPr>
        <w:pStyle w:val="Titre212pt"/>
        <w:numPr>
          <w:ilvl w:val="0"/>
          <w:numId w:val="10"/>
        </w:numPr>
        <w:spacing w:before="240" w:after="120"/>
        <w:rPr>
          <w:rFonts w:asciiTheme="minorHAnsi" w:hAnsiTheme="minorHAnsi"/>
        </w:rPr>
      </w:pPr>
      <w:r w:rsidRPr="00650760">
        <w:rPr>
          <w:rFonts w:asciiTheme="minorHAnsi" w:hAnsiTheme="minorHAnsi"/>
        </w:rPr>
        <w:t>Les heures complémentaires</w:t>
      </w:r>
    </w:p>
    <w:p w14:paraId="4764829D" w14:textId="77777777"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Les heures complémentaires des salariés à temps partiel dont le temps de travail est aménagé conformément à l’article 1.c. ci-dessus sont appréciées en fin de période annuelle au-delà d’un nombre d’heures de travail effectif fixé par contrat de travail.</w:t>
      </w:r>
    </w:p>
    <w:p w14:paraId="78DDE5C1" w14:textId="77777777" w:rsidR="009E56E1" w:rsidRDefault="009E56E1" w:rsidP="009E56E1">
      <w:pPr>
        <w:spacing w:after="60"/>
        <w:jc w:val="both"/>
        <w:rPr>
          <w:rFonts w:asciiTheme="minorHAnsi" w:hAnsiTheme="minorHAnsi" w:cs="Arial"/>
          <w:sz w:val="22"/>
          <w:szCs w:val="22"/>
        </w:rPr>
      </w:pPr>
      <w:r w:rsidRPr="0008039B">
        <w:rPr>
          <w:rFonts w:asciiTheme="minorHAnsi" w:hAnsiTheme="minorHAnsi" w:cs="Arial"/>
          <w:sz w:val="22"/>
          <w:szCs w:val="22"/>
        </w:rPr>
        <w:t>Les heures complémentaires peuvent être portées à 1/3 de la durée contractuelle et bénéficieront d</w:t>
      </w:r>
      <w:r>
        <w:rPr>
          <w:rFonts w:asciiTheme="minorHAnsi" w:hAnsiTheme="minorHAnsi" w:cs="Arial"/>
          <w:sz w:val="22"/>
          <w:szCs w:val="22"/>
        </w:rPr>
        <w:t>’une majoration de 25 %.</w:t>
      </w:r>
    </w:p>
    <w:p w14:paraId="75F38C7C" w14:textId="07A2CAD2"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A ce titre, il est précisé que les salariés à temps partiel bénéficient de l’ensemble des droits reconnus aux salariés à temps complet relatifs à un égal accès aux possibilités de promotion, de carrière et de formation. De plus, en contrepartie du plafond d’heures complémentaires porté au tiers de la contractuelle du travail, la période minimale de travail continue est fixée à une heure, étant également précisé que le nombre des interruptions d'activité au cours d'une même journée est limité à une seule interruption.</w:t>
      </w:r>
    </w:p>
    <w:p w14:paraId="1B616DE1" w14:textId="77777777" w:rsidR="00FF0085" w:rsidRPr="00650760" w:rsidRDefault="00FF0085" w:rsidP="00650760">
      <w:pPr>
        <w:pStyle w:val="Titre212pt"/>
        <w:numPr>
          <w:ilvl w:val="0"/>
          <w:numId w:val="10"/>
        </w:numPr>
        <w:spacing w:before="240" w:after="120"/>
        <w:rPr>
          <w:rFonts w:asciiTheme="minorHAnsi" w:hAnsiTheme="minorHAnsi"/>
        </w:rPr>
      </w:pPr>
      <w:r w:rsidRPr="00650760">
        <w:rPr>
          <w:rFonts w:asciiTheme="minorHAnsi" w:hAnsiTheme="minorHAnsi"/>
        </w:rPr>
        <w:t>Journée de solidarité</w:t>
      </w:r>
    </w:p>
    <w:p w14:paraId="2EE97C95" w14:textId="1C9D3A1F" w:rsidR="00A835E4" w:rsidRPr="00A835E4" w:rsidRDefault="00A835E4" w:rsidP="00A835E4">
      <w:pPr>
        <w:spacing w:after="60"/>
        <w:jc w:val="both"/>
        <w:rPr>
          <w:rFonts w:asciiTheme="minorHAnsi" w:hAnsiTheme="minorHAnsi" w:cs="Arial"/>
          <w:sz w:val="22"/>
          <w:szCs w:val="22"/>
        </w:rPr>
      </w:pPr>
      <w:r w:rsidRPr="00A835E4">
        <w:rPr>
          <w:rFonts w:asciiTheme="minorHAnsi" w:hAnsiTheme="minorHAnsi" w:cs="Arial"/>
          <w:sz w:val="22"/>
          <w:szCs w:val="22"/>
        </w:rPr>
        <w:t>Au titre de la journée de solidarité et ce avant le 31 décembre de chaque année</w:t>
      </w:r>
      <w:r w:rsidR="00376B53">
        <w:rPr>
          <w:rFonts w:asciiTheme="minorHAnsi" w:hAnsiTheme="minorHAnsi" w:cs="Arial"/>
          <w:sz w:val="22"/>
          <w:szCs w:val="22"/>
        </w:rPr>
        <w:t xml:space="preserve"> les modalités pour s’acquitter de la journée de solidarité</w:t>
      </w:r>
      <w:r w:rsidRPr="00A835E4">
        <w:rPr>
          <w:rFonts w:asciiTheme="minorHAnsi" w:hAnsiTheme="minorHAnsi" w:cs="Arial"/>
          <w:sz w:val="22"/>
          <w:szCs w:val="22"/>
        </w:rPr>
        <w:t> :</w:t>
      </w:r>
    </w:p>
    <w:p w14:paraId="040B3893" w14:textId="77777777" w:rsidR="00967B54" w:rsidRDefault="00967B54" w:rsidP="00967B54">
      <w:pPr>
        <w:pStyle w:val="Paragraphedeliste"/>
        <w:numPr>
          <w:ilvl w:val="0"/>
          <w:numId w:val="11"/>
        </w:numPr>
        <w:spacing w:after="60"/>
        <w:ind w:left="714" w:hanging="357"/>
        <w:contextualSpacing w:val="0"/>
        <w:jc w:val="both"/>
        <w:rPr>
          <w:rFonts w:asciiTheme="minorHAnsi" w:hAnsiTheme="minorHAnsi" w:cs="Arial"/>
          <w:sz w:val="22"/>
          <w:szCs w:val="22"/>
        </w:rPr>
      </w:pPr>
      <w:r w:rsidRPr="00947396">
        <w:rPr>
          <w:rFonts w:asciiTheme="minorHAnsi" w:hAnsiTheme="minorHAnsi" w:cs="Arial"/>
          <w:sz w:val="22"/>
          <w:szCs w:val="22"/>
        </w:rPr>
        <w:t>Les Ouvriers / employés devront</w:t>
      </w:r>
      <w:r>
        <w:rPr>
          <w:rFonts w:asciiTheme="minorHAnsi" w:hAnsiTheme="minorHAnsi" w:cs="Arial"/>
          <w:sz w:val="22"/>
          <w:szCs w:val="22"/>
        </w:rPr>
        <w:t> :</w:t>
      </w:r>
    </w:p>
    <w:p w14:paraId="3D86077D" w14:textId="68F5A6DC" w:rsidR="00967B54" w:rsidRPr="00262CF7" w:rsidRDefault="00967B54" w:rsidP="00967B54">
      <w:pPr>
        <w:pStyle w:val="Paragraphedeliste"/>
        <w:numPr>
          <w:ilvl w:val="1"/>
          <w:numId w:val="11"/>
        </w:numPr>
        <w:spacing w:after="60"/>
        <w:contextualSpacing w:val="0"/>
        <w:jc w:val="both"/>
        <w:rPr>
          <w:rFonts w:asciiTheme="minorHAnsi" w:hAnsiTheme="minorHAnsi" w:cs="Arial"/>
          <w:sz w:val="22"/>
          <w:szCs w:val="22"/>
        </w:rPr>
      </w:pPr>
      <w:proofErr w:type="gramStart"/>
      <w:r w:rsidRPr="00262CF7">
        <w:rPr>
          <w:rFonts w:asciiTheme="minorHAnsi" w:hAnsiTheme="minorHAnsi" w:cs="Arial"/>
          <w:sz w:val="22"/>
          <w:szCs w:val="22"/>
        </w:rPr>
        <w:t>réaliser</w:t>
      </w:r>
      <w:proofErr w:type="gramEnd"/>
      <w:r w:rsidRPr="00262CF7">
        <w:rPr>
          <w:rFonts w:asciiTheme="minorHAnsi" w:hAnsiTheme="minorHAnsi" w:cs="Arial"/>
          <w:sz w:val="22"/>
          <w:szCs w:val="22"/>
        </w:rPr>
        <w:t xml:space="preserve"> 5 heures « supplémentaires »</w:t>
      </w:r>
      <w:r>
        <w:rPr>
          <w:rFonts w:asciiTheme="minorHAnsi" w:hAnsiTheme="minorHAnsi" w:cs="Arial"/>
          <w:sz w:val="22"/>
          <w:szCs w:val="22"/>
        </w:rPr>
        <w:t>.</w:t>
      </w:r>
      <w:r w:rsidRPr="00262CF7">
        <w:rPr>
          <w:rFonts w:asciiTheme="minorHAnsi" w:hAnsiTheme="minorHAnsi" w:cs="Arial"/>
          <w:sz w:val="22"/>
          <w:szCs w:val="22"/>
        </w:rPr>
        <w:t xml:space="preserve"> Ces heures ne donneront pas lieu à majoration ni à rémunération supplémentaire. Ces dernières seront suivies service par service à l’aide d’un compteur spécifique</w:t>
      </w:r>
      <w:r w:rsidR="00E45E44">
        <w:rPr>
          <w:rFonts w:asciiTheme="minorHAnsi" w:hAnsiTheme="minorHAnsi" w:cs="Arial"/>
          <w:sz w:val="22"/>
          <w:szCs w:val="22"/>
        </w:rPr>
        <w:t xml:space="preserve">. </w:t>
      </w:r>
    </w:p>
    <w:p w14:paraId="59DA2711" w14:textId="2B0A08DA" w:rsidR="00967B54" w:rsidRDefault="00967B54" w:rsidP="00967B54">
      <w:pPr>
        <w:pStyle w:val="Paragraphedeliste"/>
        <w:numPr>
          <w:ilvl w:val="1"/>
          <w:numId w:val="11"/>
        </w:numPr>
        <w:spacing w:after="60"/>
        <w:contextualSpacing w:val="0"/>
        <w:jc w:val="both"/>
        <w:rPr>
          <w:rFonts w:asciiTheme="minorHAnsi" w:hAnsiTheme="minorHAnsi" w:cs="Arial"/>
          <w:sz w:val="22"/>
          <w:szCs w:val="22"/>
        </w:rPr>
      </w:pPr>
      <w:proofErr w:type="gramStart"/>
      <w:r>
        <w:rPr>
          <w:rFonts w:asciiTheme="minorHAnsi" w:hAnsiTheme="minorHAnsi" w:cs="Arial"/>
          <w:sz w:val="22"/>
          <w:szCs w:val="22"/>
        </w:rPr>
        <w:t>ou</w:t>
      </w:r>
      <w:proofErr w:type="gramEnd"/>
      <w:r>
        <w:rPr>
          <w:rFonts w:asciiTheme="minorHAnsi" w:hAnsiTheme="minorHAnsi" w:cs="Arial"/>
          <w:sz w:val="22"/>
          <w:szCs w:val="22"/>
        </w:rPr>
        <w:t xml:space="preserve"> travailler une journée complète (7h de temps de travail effectif pour un temps plein) non rémunérée</w:t>
      </w:r>
      <w:r w:rsidR="00B553BC">
        <w:rPr>
          <w:rFonts w:asciiTheme="minorHAnsi" w:hAnsiTheme="minorHAnsi" w:cs="Arial"/>
          <w:sz w:val="22"/>
          <w:szCs w:val="22"/>
        </w:rPr>
        <w:t xml:space="preserve"> qui sera traitée comme une retenue en paie.</w:t>
      </w:r>
    </w:p>
    <w:p w14:paraId="21199D28" w14:textId="77777777" w:rsidR="00967B54" w:rsidRDefault="00967B54" w:rsidP="00967B54">
      <w:pPr>
        <w:pStyle w:val="Paragraphedeliste"/>
        <w:numPr>
          <w:ilvl w:val="1"/>
          <w:numId w:val="11"/>
        </w:numPr>
        <w:spacing w:after="60"/>
        <w:contextualSpacing w:val="0"/>
        <w:jc w:val="both"/>
        <w:rPr>
          <w:rFonts w:asciiTheme="minorHAnsi" w:hAnsiTheme="minorHAnsi" w:cs="Arial"/>
          <w:sz w:val="22"/>
          <w:szCs w:val="22"/>
        </w:rPr>
      </w:pPr>
      <w:proofErr w:type="gramStart"/>
      <w:r>
        <w:rPr>
          <w:rFonts w:asciiTheme="minorHAnsi" w:hAnsiTheme="minorHAnsi" w:cs="Arial"/>
          <w:sz w:val="22"/>
          <w:szCs w:val="22"/>
        </w:rPr>
        <w:t>ou</w:t>
      </w:r>
      <w:proofErr w:type="gramEnd"/>
      <w:r>
        <w:rPr>
          <w:rFonts w:asciiTheme="minorHAnsi" w:hAnsiTheme="minorHAnsi" w:cs="Arial"/>
          <w:sz w:val="22"/>
          <w:szCs w:val="22"/>
        </w:rPr>
        <w:t xml:space="preserve"> déposer une journée de congés payés.</w:t>
      </w:r>
    </w:p>
    <w:p w14:paraId="6EAEC32C" w14:textId="77777777" w:rsidR="00967B54" w:rsidRPr="00947396" w:rsidRDefault="00967B54" w:rsidP="00967B54">
      <w:pPr>
        <w:pStyle w:val="Paragraphedeliste"/>
        <w:numPr>
          <w:ilvl w:val="0"/>
          <w:numId w:val="11"/>
        </w:numPr>
        <w:spacing w:after="100"/>
        <w:ind w:left="714" w:hanging="357"/>
        <w:contextualSpacing w:val="0"/>
        <w:jc w:val="both"/>
        <w:rPr>
          <w:rFonts w:asciiTheme="minorHAnsi" w:hAnsiTheme="minorHAnsi" w:cs="Arial"/>
          <w:sz w:val="22"/>
          <w:szCs w:val="22"/>
        </w:rPr>
      </w:pPr>
      <w:r w:rsidRPr="00947396">
        <w:rPr>
          <w:rFonts w:asciiTheme="minorHAnsi" w:hAnsiTheme="minorHAnsi" w:cs="Arial"/>
          <w:sz w:val="22"/>
          <w:szCs w:val="22"/>
        </w:rPr>
        <w:t xml:space="preserve">Les techniciens, agent de maîtrise et cadres, un « RTT » sera </w:t>
      </w:r>
      <w:proofErr w:type="gramStart"/>
      <w:r w:rsidRPr="00947396">
        <w:rPr>
          <w:rFonts w:asciiTheme="minorHAnsi" w:hAnsiTheme="minorHAnsi" w:cs="Arial"/>
          <w:sz w:val="22"/>
          <w:szCs w:val="22"/>
        </w:rPr>
        <w:t>prélevé</w:t>
      </w:r>
      <w:proofErr w:type="gramEnd"/>
      <w:r w:rsidRPr="00947396">
        <w:rPr>
          <w:rFonts w:asciiTheme="minorHAnsi" w:hAnsiTheme="minorHAnsi" w:cs="Arial"/>
          <w:sz w:val="22"/>
          <w:szCs w:val="22"/>
        </w:rPr>
        <w:t xml:space="preserve"> sur le compteur annuel.</w:t>
      </w:r>
    </w:p>
    <w:p w14:paraId="41825F4D" w14:textId="5D97B110" w:rsidR="00967B54" w:rsidRDefault="00967B54" w:rsidP="00967B54">
      <w:pPr>
        <w:spacing w:after="100"/>
        <w:jc w:val="both"/>
        <w:rPr>
          <w:rFonts w:asciiTheme="minorHAnsi" w:hAnsiTheme="minorHAnsi" w:cs="Arial"/>
          <w:sz w:val="22"/>
          <w:szCs w:val="22"/>
        </w:rPr>
      </w:pPr>
      <w:r>
        <w:rPr>
          <w:rFonts w:asciiTheme="minorHAnsi" w:hAnsiTheme="minorHAnsi" w:cs="Arial"/>
          <w:sz w:val="22"/>
          <w:szCs w:val="22"/>
        </w:rPr>
        <w:t>Dans le cas où les salariés travailleraient à temps partiel, le nombre d’heure</w:t>
      </w:r>
      <w:r w:rsidR="00EE7B53">
        <w:rPr>
          <w:rFonts w:asciiTheme="minorHAnsi" w:hAnsiTheme="minorHAnsi" w:cs="Arial"/>
          <w:sz w:val="22"/>
          <w:szCs w:val="22"/>
        </w:rPr>
        <w:t xml:space="preserve"> à rendre</w:t>
      </w:r>
      <w:r>
        <w:rPr>
          <w:rFonts w:asciiTheme="minorHAnsi" w:hAnsiTheme="minorHAnsi" w:cs="Arial"/>
          <w:sz w:val="22"/>
          <w:szCs w:val="22"/>
        </w:rPr>
        <w:t xml:space="preserve"> </w:t>
      </w:r>
      <w:r w:rsidR="00574FCC">
        <w:rPr>
          <w:rFonts w:asciiTheme="minorHAnsi" w:hAnsiTheme="minorHAnsi" w:cs="Arial"/>
          <w:sz w:val="22"/>
          <w:szCs w:val="22"/>
        </w:rPr>
        <w:t xml:space="preserve">pour s’acquitter </w:t>
      </w:r>
      <w:r>
        <w:rPr>
          <w:rFonts w:asciiTheme="minorHAnsi" w:hAnsiTheme="minorHAnsi" w:cs="Arial"/>
          <w:sz w:val="22"/>
          <w:szCs w:val="22"/>
        </w:rPr>
        <w:t>sera proratisé au temps de travail.</w:t>
      </w:r>
    </w:p>
    <w:p w14:paraId="68B7D130" w14:textId="2F674BB1" w:rsidR="008E23A9" w:rsidRDefault="008E23A9" w:rsidP="008E2D8C">
      <w:pPr>
        <w:spacing w:after="60"/>
        <w:jc w:val="both"/>
        <w:rPr>
          <w:rFonts w:asciiTheme="minorHAnsi" w:hAnsiTheme="minorHAnsi" w:cs="Arial"/>
          <w:sz w:val="22"/>
          <w:szCs w:val="22"/>
        </w:rPr>
      </w:pPr>
      <w:r>
        <w:rPr>
          <w:rFonts w:asciiTheme="minorHAnsi" w:hAnsiTheme="minorHAnsi" w:cs="Arial"/>
          <w:sz w:val="22"/>
          <w:szCs w:val="22"/>
        </w:rPr>
        <w:t>Ex pour un salarié</w:t>
      </w:r>
      <w:r w:rsidR="008E0B8F">
        <w:rPr>
          <w:rFonts w:asciiTheme="minorHAnsi" w:hAnsiTheme="minorHAnsi" w:cs="Arial"/>
          <w:sz w:val="22"/>
          <w:szCs w:val="22"/>
        </w:rPr>
        <w:t xml:space="preserve"> ouvrier / employé</w:t>
      </w:r>
      <w:r>
        <w:rPr>
          <w:rFonts w:asciiTheme="minorHAnsi" w:hAnsiTheme="minorHAnsi" w:cs="Arial"/>
          <w:sz w:val="22"/>
          <w:szCs w:val="22"/>
        </w:rPr>
        <w:t xml:space="preserve"> à 80%</w:t>
      </w:r>
      <w:r w:rsidR="004A6A1B">
        <w:rPr>
          <w:rFonts w:asciiTheme="minorHAnsi" w:hAnsiTheme="minorHAnsi" w:cs="Arial"/>
          <w:sz w:val="22"/>
          <w:szCs w:val="22"/>
        </w:rPr>
        <w:t xml:space="preserve">, </w:t>
      </w:r>
      <w:r>
        <w:rPr>
          <w:rFonts w:asciiTheme="minorHAnsi" w:hAnsiTheme="minorHAnsi" w:cs="Arial"/>
          <w:sz w:val="22"/>
          <w:szCs w:val="22"/>
        </w:rPr>
        <w:t xml:space="preserve">3 possibilités : </w:t>
      </w:r>
    </w:p>
    <w:p w14:paraId="457A969A" w14:textId="1BBEA7AB" w:rsidR="008E23A9" w:rsidRDefault="00FC2179" w:rsidP="008E2D8C">
      <w:pPr>
        <w:pStyle w:val="Paragraphedeliste"/>
        <w:numPr>
          <w:ilvl w:val="0"/>
          <w:numId w:val="11"/>
        </w:numPr>
        <w:spacing w:after="60"/>
        <w:ind w:left="714" w:hanging="357"/>
        <w:contextualSpacing w:val="0"/>
        <w:jc w:val="both"/>
        <w:rPr>
          <w:rFonts w:asciiTheme="minorHAnsi" w:hAnsiTheme="minorHAnsi" w:cs="Arial"/>
          <w:sz w:val="22"/>
          <w:szCs w:val="22"/>
        </w:rPr>
      </w:pPr>
      <w:r>
        <w:rPr>
          <w:rFonts w:asciiTheme="minorHAnsi" w:hAnsiTheme="minorHAnsi" w:cs="Arial"/>
          <w:sz w:val="22"/>
          <w:szCs w:val="22"/>
        </w:rPr>
        <w:t>Réaliser 4 heures « supplémentaire »</w:t>
      </w:r>
      <w:r w:rsidR="00182685">
        <w:rPr>
          <w:rFonts w:asciiTheme="minorHAnsi" w:hAnsiTheme="minorHAnsi" w:cs="Arial"/>
          <w:sz w:val="22"/>
          <w:szCs w:val="22"/>
        </w:rPr>
        <w:t xml:space="preserve"> : </w:t>
      </w:r>
      <w:r w:rsidR="006D60BF">
        <w:rPr>
          <w:rFonts w:asciiTheme="minorHAnsi" w:hAnsiTheme="minorHAnsi" w:cs="Arial"/>
          <w:sz w:val="22"/>
          <w:szCs w:val="22"/>
        </w:rPr>
        <w:t>5</w:t>
      </w:r>
      <w:r w:rsidR="004A6A1B">
        <w:rPr>
          <w:rFonts w:asciiTheme="minorHAnsi" w:hAnsiTheme="minorHAnsi" w:cs="Arial"/>
          <w:sz w:val="22"/>
          <w:szCs w:val="22"/>
        </w:rPr>
        <w:t xml:space="preserve"> x 80% = 4h</w:t>
      </w:r>
      <w:r w:rsidR="008E0B8F">
        <w:rPr>
          <w:rFonts w:asciiTheme="minorHAnsi" w:hAnsiTheme="minorHAnsi" w:cs="Arial"/>
          <w:sz w:val="22"/>
          <w:szCs w:val="22"/>
        </w:rPr>
        <w:t>,</w:t>
      </w:r>
    </w:p>
    <w:p w14:paraId="240AC11C" w14:textId="679B704C" w:rsidR="00FC2179" w:rsidRDefault="00CE1BFA" w:rsidP="008E2D8C">
      <w:pPr>
        <w:pStyle w:val="Paragraphedeliste"/>
        <w:numPr>
          <w:ilvl w:val="0"/>
          <w:numId w:val="11"/>
        </w:numPr>
        <w:spacing w:after="60"/>
        <w:ind w:left="714" w:hanging="357"/>
        <w:contextualSpacing w:val="0"/>
        <w:jc w:val="both"/>
        <w:rPr>
          <w:rFonts w:asciiTheme="minorHAnsi" w:hAnsiTheme="minorHAnsi" w:cs="Arial"/>
          <w:sz w:val="22"/>
          <w:szCs w:val="22"/>
        </w:rPr>
      </w:pPr>
      <w:r>
        <w:rPr>
          <w:rFonts w:asciiTheme="minorHAnsi" w:hAnsiTheme="minorHAnsi" w:cs="Arial"/>
          <w:sz w:val="22"/>
          <w:szCs w:val="22"/>
        </w:rPr>
        <w:t>Retenue en paie de</w:t>
      </w:r>
      <w:r w:rsidR="008E0B8F">
        <w:rPr>
          <w:rFonts w:asciiTheme="minorHAnsi" w:hAnsiTheme="minorHAnsi" w:cs="Arial"/>
          <w:sz w:val="22"/>
          <w:szCs w:val="22"/>
        </w:rPr>
        <w:t> : 7h x 80% = 5,6 h,</w:t>
      </w:r>
    </w:p>
    <w:p w14:paraId="5685AFE8" w14:textId="28CF891D" w:rsidR="004A6A1B" w:rsidRPr="008E23A9" w:rsidRDefault="008E0B8F" w:rsidP="00FC2179">
      <w:pPr>
        <w:pStyle w:val="Paragraphedeliste"/>
        <w:numPr>
          <w:ilvl w:val="0"/>
          <w:numId w:val="11"/>
        </w:numPr>
        <w:spacing w:after="100"/>
        <w:ind w:left="714" w:hanging="357"/>
        <w:contextualSpacing w:val="0"/>
        <w:jc w:val="both"/>
        <w:rPr>
          <w:rFonts w:asciiTheme="minorHAnsi" w:hAnsiTheme="minorHAnsi" w:cs="Arial"/>
          <w:sz w:val="22"/>
          <w:szCs w:val="22"/>
        </w:rPr>
      </w:pPr>
      <w:r>
        <w:rPr>
          <w:rFonts w:asciiTheme="minorHAnsi" w:hAnsiTheme="minorHAnsi" w:cs="Arial"/>
          <w:sz w:val="22"/>
          <w:szCs w:val="22"/>
        </w:rPr>
        <w:t>Poser une journée de congés payés.</w:t>
      </w:r>
    </w:p>
    <w:p w14:paraId="44A27FCE" w14:textId="429B5E12" w:rsidR="00915367" w:rsidRPr="002F565C" w:rsidRDefault="00915367" w:rsidP="002F565C">
      <w:pPr>
        <w:pStyle w:val="Titre212pt"/>
        <w:numPr>
          <w:ilvl w:val="0"/>
          <w:numId w:val="10"/>
        </w:numPr>
        <w:spacing w:before="240" w:after="120"/>
        <w:rPr>
          <w:rFonts w:asciiTheme="minorHAnsi" w:hAnsiTheme="minorHAnsi"/>
        </w:rPr>
      </w:pPr>
      <w:r w:rsidRPr="002F565C">
        <w:rPr>
          <w:rFonts w:asciiTheme="minorHAnsi" w:hAnsiTheme="minorHAnsi"/>
        </w:rPr>
        <w:lastRenderedPageBreak/>
        <w:t>Jours d’ARTT pour les agents de maîtrise</w:t>
      </w:r>
    </w:p>
    <w:p w14:paraId="61C0BB57" w14:textId="21BF062F" w:rsidR="00915367" w:rsidRPr="00650760" w:rsidRDefault="00915367" w:rsidP="00650760">
      <w:pPr>
        <w:spacing w:after="100"/>
        <w:jc w:val="both"/>
        <w:rPr>
          <w:rFonts w:asciiTheme="minorHAnsi" w:hAnsiTheme="minorHAnsi" w:cs="Arial"/>
          <w:sz w:val="22"/>
          <w:szCs w:val="22"/>
        </w:rPr>
      </w:pPr>
      <w:r>
        <w:rPr>
          <w:rFonts w:asciiTheme="minorHAnsi" w:hAnsiTheme="minorHAnsi" w:cs="Arial"/>
          <w:sz w:val="22"/>
          <w:szCs w:val="22"/>
        </w:rPr>
        <w:t xml:space="preserve">Les </w:t>
      </w:r>
      <w:r w:rsidR="00962C54">
        <w:rPr>
          <w:rFonts w:asciiTheme="minorHAnsi" w:hAnsiTheme="minorHAnsi" w:cs="Arial"/>
          <w:sz w:val="22"/>
          <w:szCs w:val="22"/>
        </w:rPr>
        <w:t xml:space="preserve">10 jours d’ARTT prévus pour les agents de maitrise </w:t>
      </w:r>
      <w:r w:rsidR="002F565C">
        <w:rPr>
          <w:rFonts w:asciiTheme="minorHAnsi" w:hAnsiTheme="minorHAnsi" w:cs="Arial"/>
          <w:sz w:val="22"/>
          <w:szCs w:val="22"/>
        </w:rPr>
        <w:t>dans l’accord d’ARTT seront proratisés</w:t>
      </w:r>
      <w:r w:rsidR="00BA190C">
        <w:rPr>
          <w:rFonts w:asciiTheme="minorHAnsi" w:hAnsiTheme="minorHAnsi" w:cs="Arial"/>
          <w:sz w:val="22"/>
          <w:szCs w:val="22"/>
        </w:rPr>
        <w:t xml:space="preserve"> au temps de travail effectif</w:t>
      </w:r>
      <w:r w:rsidR="002F565C">
        <w:rPr>
          <w:rFonts w:asciiTheme="minorHAnsi" w:hAnsiTheme="minorHAnsi" w:cs="Arial"/>
          <w:sz w:val="22"/>
          <w:szCs w:val="22"/>
        </w:rPr>
        <w:t>.</w:t>
      </w:r>
    </w:p>
    <w:p w14:paraId="2257DACA" w14:textId="77777777" w:rsidR="00FF0085" w:rsidRPr="00650760" w:rsidRDefault="00FF0085" w:rsidP="00650760">
      <w:pPr>
        <w:pStyle w:val="Titre212pt"/>
        <w:numPr>
          <w:ilvl w:val="0"/>
          <w:numId w:val="10"/>
        </w:numPr>
        <w:spacing w:before="240" w:after="120"/>
        <w:rPr>
          <w:rFonts w:asciiTheme="minorHAnsi" w:hAnsiTheme="minorHAnsi"/>
        </w:rPr>
      </w:pPr>
      <w:r w:rsidRPr="00650760">
        <w:rPr>
          <w:rFonts w:asciiTheme="minorHAnsi" w:hAnsiTheme="minorHAnsi"/>
        </w:rPr>
        <w:t>Entrée en vigueur</w:t>
      </w:r>
    </w:p>
    <w:p w14:paraId="1F712C82" w14:textId="1D8D4A93"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 xml:space="preserve">Le présent accord à durée indéterminée entre en vigueur au 1er </w:t>
      </w:r>
      <w:r w:rsidR="00224128">
        <w:rPr>
          <w:rFonts w:asciiTheme="minorHAnsi" w:hAnsiTheme="minorHAnsi" w:cs="Arial"/>
          <w:sz w:val="22"/>
          <w:szCs w:val="22"/>
        </w:rPr>
        <w:t>mars</w:t>
      </w:r>
      <w:r w:rsidR="00B05658">
        <w:rPr>
          <w:rFonts w:asciiTheme="minorHAnsi" w:hAnsiTheme="minorHAnsi" w:cs="Arial"/>
          <w:sz w:val="22"/>
          <w:szCs w:val="22"/>
        </w:rPr>
        <w:t xml:space="preserve"> 2026</w:t>
      </w:r>
      <w:r w:rsidRPr="00650760">
        <w:rPr>
          <w:rFonts w:asciiTheme="minorHAnsi" w:hAnsiTheme="minorHAnsi" w:cs="Arial"/>
          <w:sz w:val="22"/>
          <w:szCs w:val="22"/>
        </w:rPr>
        <w:t>.</w:t>
      </w:r>
    </w:p>
    <w:p w14:paraId="5284B934" w14:textId="7CCCE82A" w:rsidR="00FF0085" w:rsidRPr="00650760" w:rsidRDefault="00CB772F" w:rsidP="00650760">
      <w:pPr>
        <w:pStyle w:val="Titre212pt"/>
        <w:numPr>
          <w:ilvl w:val="0"/>
          <w:numId w:val="10"/>
        </w:numPr>
        <w:spacing w:before="240" w:after="120"/>
        <w:rPr>
          <w:rFonts w:asciiTheme="minorHAnsi" w:hAnsiTheme="minorHAnsi"/>
        </w:rPr>
      </w:pPr>
      <w:r w:rsidRPr="00CB772F">
        <w:rPr>
          <w:rFonts w:asciiTheme="minorHAnsi" w:hAnsiTheme="minorHAnsi"/>
        </w:rPr>
        <w:t>Dépôt de l’accord</w:t>
      </w:r>
      <w:r w:rsidR="00FF0085" w:rsidRPr="00650760">
        <w:rPr>
          <w:rFonts w:asciiTheme="minorHAnsi" w:hAnsiTheme="minorHAnsi"/>
        </w:rPr>
        <w:t xml:space="preserve"> </w:t>
      </w:r>
    </w:p>
    <w:p w14:paraId="2E3387F1" w14:textId="77777777" w:rsidR="00224128" w:rsidRDefault="00CB772F" w:rsidP="00CB772F">
      <w:pPr>
        <w:spacing w:after="100"/>
        <w:jc w:val="both"/>
        <w:rPr>
          <w:rFonts w:asciiTheme="minorHAnsi" w:hAnsiTheme="minorHAnsi" w:cs="Arial"/>
          <w:sz w:val="22"/>
          <w:szCs w:val="22"/>
        </w:rPr>
      </w:pPr>
      <w:r w:rsidRPr="00CB772F">
        <w:rPr>
          <w:rFonts w:asciiTheme="minorHAnsi" w:hAnsiTheme="minorHAnsi" w:cs="Arial"/>
          <w:sz w:val="22"/>
          <w:szCs w:val="22"/>
        </w:rPr>
        <w:t xml:space="preserve">Le présent accord est fait en nombre suffisant pour remise à chacune des parties. Il fera l’objet d’un affichage aux emplacements réservés à la communication avec le personnel. Il sera déposé </w:t>
      </w:r>
      <w:r w:rsidR="00224128">
        <w:rPr>
          <w:rFonts w:asciiTheme="minorHAnsi" w:hAnsiTheme="minorHAnsi" w:cs="Arial"/>
          <w:sz w:val="22"/>
          <w:szCs w:val="22"/>
        </w:rPr>
        <w:t>selon les formalités en vigueur.</w:t>
      </w:r>
    </w:p>
    <w:p w14:paraId="4F49526D" w14:textId="77777777" w:rsidR="00FF0085" w:rsidRPr="00650760" w:rsidRDefault="00FF0085" w:rsidP="00650760">
      <w:pPr>
        <w:spacing w:after="100"/>
        <w:jc w:val="both"/>
        <w:rPr>
          <w:rFonts w:asciiTheme="minorHAnsi" w:hAnsiTheme="minorHAnsi" w:cs="Arial"/>
          <w:sz w:val="22"/>
          <w:szCs w:val="22"/>
        </w:rPr>
      </w:pPr>
      <w:r w:rsidRPr="00650760">
        <w:rPr>
          <w:rFonts w:asciiTheme="minorHAnsi" w:hAnsiTheme="minorHAnsi" w:cs="Arial"/>
          <w:sz w:val="22"/>
          <w:szCs w:val="22"/>
        </w:rPr>
        <w:t xml:space="preserve">En outre un exemplaire sera établi pour chacune des parties. </w:t>
      </w:r>
    </w:p>
    <w:bookmarkEnd w:id="0"/>
    <w:bookmarkEnd w:id="1"/>
    <w:p w14:paraId="5005AD83" w14:textId="4714D183" w:rsidR="00E9213D" w:rsidRDefault="00E9213D" w:rsidP="00E9213D">
      <w:pPr>
        <w:spacing w:after="100"/>
        <w:jc w:val="both"/>
        <w:rPr>
          <w:rFonts w:asciiTheme="minorHAnsi" w:hAnsiTheme="minorHAnsi" w:cs="Tahoma"/>
          <w:sz w:val="22"/>
          <w:szCs w:val="22"/>
        </w:rPr>
      </w:pPr>
      <w:r w:rsidRPr="00E87D4B">
        <w:rPr>
          <w:rFonts w:asciiTheme="minorHAnsi" w:hAnsiTheme="minorHAnsi" w:cs="Tahoma"/>
          <w:sz w:val="22"/>
          <w:szCs w:val="22"/>
        </w:rPr>
        <w:t xml:space="preserve">Fait à </w:t>
      </w:r>
      <w:r w:rsidR="00907720">
        <w:rPr>
          <w:rFonts w:asciiTheme="minorHAnsi" w:hAnsiTheme="minorHAnsi" w:cs="Tahoma"/>
          <w:sz w:val="22"/>
          <w:szCs w:val="22"/>
        </w:rPr>
        <w:t>Yvré l’Evêque</w:t>
      </w:r>
      <w:r w:rsidRPr="00E87D4B">
        <w:rPr>
          <w:rFonts w:asciiTheme="minorHAnsi" w:hAnsiTheme="minorHAnsi" w:cs="Tahoma"/>
          <w:sz w:val="22"/>
          <w:szCs w:val="22"/>
        </w:rPr>
        <w:t xml:space="preserve">, le </w:t>
      </w:r>
      <w:r w:rsidR="00224128">
        <w:rPr>
          <w:rFonts w:asciiTheme="minorHAnsi" w:hAnsiTheme="minorHAnsi" w:cs="Tahoma"/>
          <w:sz w:val="22"/>
          <w:szCs w:val="22"/>
        </w:rPr>
        <w:t>16 mars</w:t>
      </w:r>
      <w:r w:rsidR="00CB772F">
        <w:rPr>
          <w:rFonts w:asciiTheme="minorHAnsi" w:hAnsiTheme="minorHAnsi" w:cs="Tahoma"/>
          <w:sz w:val="22"/>
          <w:szCs w:val="22"/>
        </w:rPr>
        <w:t xml:space="preserve"> 2026</w:t>
      </w:r>
      <w:r w:rsidRPr="00E87D4B">
        <w:rPr>
          <w:rFonts w:asciiTheme="minorHAnsi" w:hAnsiTheme="minorHAnsi" w:cs="Tahoma"/>
          <w:sz w:val="22"/>
          <w:szCs w:val="22"/>
        </w:rPr>
        <w:t xml:space="preserve">, en </w:t>
      </w:r>
      <w:r w:rsidR="00224128">
        <w:rPr>
          <w:rFonts w:asciiTheme="minorHAnsi" w:hAnsiTheme="minorHAnsi" w:cs="Tahoma"/>
          <w:sz w:val="22"/>
          <w:szCs w:val="22"/>
        </w:rPr>
        <w:t>2</w:t>
      </w:r>
      <w:r w:rsidRPr="00E87D4B">
        <w:rPr>
          <w:rFonts w:asciiTheme="minorHAnsi" w:hAnsiTheme="minorHAnsi" w:cs="Tahoma"/>
          <w:sz w:val="22"/>
          <w:szCs w:val="22"/>
        </w:rPr>
        <w:t xml:space="preserve"> exemplaires.</w:t>
      </w:r>
    </w:p>
    <w:p w14:paraId="04DE5FBF" w14:textId="77777777" w:rsidR="00E9213D" w:rsidRDefault="00E9213D" w:rsidP="00E9213D">
      <w:pPr>
        <w:autoSpaceDE w:val="0"/>
        <w:autoSpaceDN w:val="0"/>
        <w:spacing w:after="60"/>
        <w:jc w:val="center"/>
        <w:rPr>
          <w:rFonts w:asciiTheme="minorHAnsi" w:eastAsia="Batang" w:hAnsiTheme="minorHAnsi"/>
          <w:sz w:val="22"/>
          <w:szCs w:val="22"/>
        </w:rPr>
        <w:sectPr w:rsidR="00E9213D" w:rsidSect="00220439">
          <w:headerReference w:type="even" r:id="rId8"/>
          <w:headerReference w:type="default" r:id="rId9"/>
          <w:footerReference w:type="even" r:id="rId10"/>
          <w:footerReference w:type="default" r:id="rId11"/>
          <w:headerReference w:type="first" r:id="rId12"/>
          <w:footerReference w:type="first" r:id="rId13"/>
          <w:pgSz w:w="11906" w:h="16838" w:code="9"/>
          <w:pgMar w:top="567" w:right="964" w:bottom="284" w:left="964" w:header="680" w:footer="726" w:gutter="0"/>
          <w:cols w:space="708"/>
          <w:docGrid w:linePitch="360"/>
        </w:sectPr>
      </w:pPr>
    </w:p>
    <w:p w14:paraId="56CC6833" w14:textId="59754B15" w:rsidR="001017DF" w:rsidRDefault="001017DF" w:rsidP="005D3069">
      <w:pPr>
        <w:autoSpaceDE w:val="0"/>
        <w:autoSpaceDN w:val="0"/>
        <w:jc w:val="both"/>
        <w:rPr>
          <w:rFonts w:asciiTheme="minorHAnsi" w:eastAsia="Batang" w:hAnsiTheme="minorHAnsi"/>
          <w:sz w:val="22"/>
          <w:szCs w:val="22"/>
        </w:rPr>
      </w:pPr>
    </w:p>
    <w:p w14:paraId="30E081F9" w14:textId="77777777" w:rsidR="002C687E" w:rsidRDefault="002C687E" w:rsidP="005D3069">
      <w:pPr>
        <w:autoSpaceDE w:val="0"/>
        <w:autoSpaceDN w:val="0"/>
        <w:jc w:val="both"/>
        <w:rPr>
          <w:rFonts w:asciiTheme="minorHAnsi" w:eastAsia="Batang" w:hAnsiTheme="minorHAnsi"/>
          <w:sz w:val="22"/>
          <w:szCs w:val="22"/>
        </w:rPr>
      </w:pPr>
    </w:p>
    <w:p w14:paraId="03CE5420" w14:textId="77777777" w:rsidR="005D3069" w:rsidRPr="00E87D4B" w:rsidRDefault="005D3069" w:rsidP="005D3069">
      <w:pPr>
        <w:autoSpaceDE w:val="0"/>
        <w:autoSpaceDN w:val="0"/>
        <w:jc w:val="both"/>
        <w:rPr>
          <w:rFonts w:asciiTheme="minorHAnsi" w:eastAsia="Batang" w:hAnsiTheme="minorHAnsi"/>
          <w:sz w:val="22"/>
          <w:szCs w:val="22"/>
        </w:rPr>
      </w:pPr>
    </w:p>
    <w:p w14:paraId="649C0F34" w14:textId="77777777" w:rsidR="00416EC9" w:rsidRDefault="00416EC9" w:rsidP="005D3069">
      <w:pPr>
        <w:autoSpaceDE w:val="0"/>
        <w:autoSpaceDN w:val="0"/>
        <w:jc w:val="both"/>
        <w:rPr>
          <w:rFonts w:asciiTheme="minorHAnsi" w:eastAsia="Batang" w:hAnsiTheme="minorHAnsi"/>
          <w:sz w:val="22"/>
          <w:szCs w:val="22"/>
        </w:rPr>
      </w:pPr>
      <w:bookmarkStart w:id="2" w:name="_GoBack"/>
      <w:bookmarkEnd w:id="2"/>
    </w:p>
    <w:p w14:paraId="4BA59093" w14:textId="77777777" w:rsidR="002C687E" w:rsidRPr="00E87D4B" w:rsidRDefault="002C687E" w:rsidP="005D3069">
      <w:pPr>
        <w:autoSpaceDE w:val="0"/>
        <w:autoSpaceDN w:val="0"/>
        <w:jc w:val="both"/>
        <w:rPr>
          <w:rFonts w:asciiTheme="minorHAnsi" w:eastAsia="Batang" w:hAnsiTheme="minorHAnsi"/>
          <w:sz w:val="22"/>
          <w:szCs w:val="22"/>
        </w:rPr>
      </w:pPr>
    </w:p>
    <w:p w14:paraId="07E7BB7F" w14:textId="77777777" w:rsidR="00E9213D" w:rsidRDefault="00E9213D" w:rsidP="005D3069">
      <w:pPr>
        <w:jc w:val="both"/>
        <w:rPr>
          <w:rFonts w:asciiTheme="minorHAnsi" w:hAnsiTheme="minorHAnsi" w:cs="Tahoma"/>
          <w:sz w:val="22"/>
          <w:szCs w:val="22"/>
        </w:rPr>
      </w:pPr>
    </w:p>
    <w:p w14:paraId="52003001" w14:textId="1D7E0DE5" w:rsidR="005D3069" w:rsidRDefault="005D3069" w:rsidP="005D3069">
      <w:pPr>
        <w:jc w:val="both"/>
        <w:rPr>
          <w:rFonts w:asciiTheme="minorHAnsi" w:hAnsiTheme="minorHAnsi" w:cs="Tahoma"/>
          <w:sz w:val="22"/>
          <w:szCs w:val="22"/>
        </w:rPr>
        <w:sectPr w:rsidR="005D3069" w:rsidSect="00220439">
          <w:type w:val="continuous"/>
          <w:pgSz w:w="11906" w:h="16838" w:code="9"/>
          <w:pgMar w:top="567" w:right="964" w:bottom="284" w:left="964" w:header="680" w:footer="726" w:gutter="0"/>
          <w:cols w:num="2" w:sep="1" w:space="709"/>
          <w:docGrid w:linePitch="360"/>
        </w:sectPr>
      </w:pPr>
    </w:p>
    <w:p w14:paraId="6C3E88B4" w14:textId="77777777" w:rsidR="00E9213D" w:rsidRPr="00A643AD" w:rsidRDefault="00E9213D" w:rsidP="005D3069">
      <w:pPr>
        <w:rPr>
          <w:rFonts w:asciiTheme="minorHAnsi" w:hAnsiTheme="minorHAnsi" w:cs="Tahoma"/>
          <w:sz w:val="22"/>
          <w:szCs w:val="22"/>
        </w:rPr>
      </w:pPr>
    </w:p>
    <w:sectPr w:rsidR="00E9213D" w:rsidRPr="00A643AD" w:rsidSect="00220439">
      <w:type w:val="continuous"/>
      <w:pgSz w:w="11906" w:h="16838" w:code="9"/>
      <w:pgMar w:top="567" w:right="964" w:bottom="284" w:left="964" w:header="680" w:footer="7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C78FE7" w14:textId="77777777" w:rsidR="00791F58" w:rsidRDefault="00791F58" w:rsidP="001653F5">
      <w:pPr>
        <w:pStyle w:val="Corpsdetexte2"/>
      </w:pPr>
      <w:r>
        <w:separator/>
      </w:r>
    </w:p>
  </w:endnote>
  <w:endnote w:type="continuationSeparator" w:id="0">
    <w:p w14:paraId="54E75692" w14:textId="77777777" w:rsidR="00791F58" w:rsidRDefault="00791F58" w:rsidP="001653F5">
      <w:pPr>
        <w:pStyle w:val="Corpsdetexte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lassic">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35A9A" w14:textId="77777777" w:rsidR="00FF54A1" w:rsidRDefault="00FF54A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372CE" w14:textId="77777777" w:rsidR="00D40A31" w:rsidRDefault="00D40A31" w:rsidP="00E5023F">
    <w:pPr>
      <w:ind w:right="-1"/>
      <w:rPr>
        <w:rFonts w:ascii="Tahoma" w:hAnsi="Tahoma" w:cs="Tahoma"/>
      </w:rPr>
    </w:pPr>
    <w:r>
      <w:rPr>
        <w:rFonts w:ascii="Tahoma" w:hAnsi="Tahoma" w:cs="Tahoma"/>
      </w:rPr>
      <w:t>___________________________________________________________________</w:t>
    </w:r>
    <w:r w:rsidR="00E5023F">
      <w:rPr>
        <w:rFonts w:ascii="Tahoma" w:hAnsi="Tahoma" w:cs="Tahoma"/>
      </w:rPr>
      <w:t>______</w:t>
    </w:r>
  </w:p>
  <w:p w14:paraId="7D282345" w14:textId="77777777" w:rsidR="00D40A31" w:rsidRDefault="00B14732" w:rsidP="00B14732">
    <w:pPr>
      <w:pStyle w:val="Titre1"/>
      <w:rPr>
        <w:rFonts w:ascii="Tahoma" w:hAnsi="Tahoma" w:cs="Tahoma"/>
        <w:sz w:val="20"/>
      </w:rPr>
    </w:pPr>
    <w:r>
      <w:rPr>
        <w:noProof/>
        <w:lang w:eastAsia="fr-FR"/>
      </w:rPr>
      <w:drawing>
        <wp:anchor distT="0" distB="0" distL="114300" distR="114300" simplePos="0" relativeHeight="251656704" behindDoc="0" locked="0" layoutInCell="1" allowOverlap="1" wp14:anchorId="48DCBCB4" wp14:editId="57403302">
          <wp:simplePos x="0" y="0"/>
          <wp:positionH relativeFrom="column">
            <wp:posOffset>-481330</wp:posOffset>
          </wp:positionH>
          <wp:positionV relativeFrom="paragraph">
            <wp:posOffset>102870</wp:posOffset>
          </wp:positionV>
          <wp:extent cx="1489911" cy="579120"/>
          <wp:effectExtent l="0" t="0" r="0" b="0"/>
          <wp:wrapNone/>
          <wp:docPr id="49" name="Image 49" descr="Logo_savencia_gourmet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savencia_gourmet_rv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9911" cy="579120"/>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C2" w:rsidRPr="00B460A1">
      <w:rPr>
        <w:noProof/>
        <w:lang w:eastAsia="fr-FR"/>
      </w:rPr>
      <w:drawing>
        <wp:anchor distT="0" distB="0" distL="114300" distR="114300" simplePos="0" relativeHeight="251664896" behindDoc="0" locked="0" layoutInCell="1" allowOverlap="1" wp14:anchorId="54F1C9F6" wp14:editId="5ADDD455">
          <wp:simplePos x="0" y="0"/>
          <wp:positionH relativeFrom="column">
            <wp:posOffset>5353050</wp:posOffset>
          </wp:positionH>
          <wp:positionV relativeFrom="paragraph">
            <wp:posOffset>64135</wp:posOffset>
          </wp:positionV>
          <wp:extent cx="817245" cy="374015"/>
          <wp:effectExtent l="0" t="0" r="1905" b="6985"/>
          <wp:wrapThrough wrapText="bothSides">
            <wp:wrapPolygon edited="0">
              <wp:start x="0" y="0"/>
              <wp:lineTo x="0" y="20903"/>
              <wp:lineTo x="21147" y="20903"/>
              <wp:lineTo x="21147" y="0"/>
              <wp:lineTo x="0" y="0"/>
            </wp:wrapPolygon>
          </wp:wrapThrough>
          <wp:docPr id="2" name="Image 2" descr="C:\Users\UMID0002\AppData\Local\Microsoft\Windows\Temporary Internet Files\Content.Outlook\TC8INMS8\Top_Employer_Europe_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MID0002\AppData\Local\Microsoft\Windows\Temporary Internet Files\Content.Outlook\TC8INMS8\Top_Employer_Europe_2019.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7245" cy="3740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0A31">
      <w:rPr>
        <w:rFonts w:ascii="Tahoma" w:hAnsi="Tahoma" w:cs="Tahoma"/>
        <w:sz w:val="20"/>
      </w:rPr>
      <w:t>BORDEAU CHESNEL</w:t>
    </w:r>
  </w:p>
  <w:p w14:paraId="07DE177D" w14:textId="77777777" w:rsidR="00D40A31" w:rsidRPr="00783303" w:rsidRDefault="00D062E0" w:rsidP="00B14732">
    <w:pPr>
      <w:pStyle w:val="Titre2"/>
      <w:tabs>
        <w:tab w:val="left" w:pos="3402"/>
        <w:tab w:val="left" w:pos="4962"/>
        <w:tab w:val="left" w:pos="7320"/>
      </w:tabs>
      <w:ind w:left="1985" w:right="-890"/>
      <w:rPr>
        <w:rFonts w:ascii="Tahoma" w:hAnsi="Tahoma" w:cs="Tahoma"/>
        <w:b w:val="0"/>
        <w:bCs w:val="0"/>
        <w:sz w:val="14"/>
      </w:rPr>
    </w:pPr>
    <w:r w:rsidRPr="00783303">
      <w:rPr>
        <w:rFonts w:ascii="Tahoma" w:hAnsi="Tahoma" w:cs="Tahoma"/>
        <w:b w:val="0"/>
        <w:bCs w:val="0"/>
        <w:sz w:val="14"/>
      </w:rPr>
      <w:t>Adresse de facturation</w:t>
    </w:r>
    <w:r w:rsidR="00D40A31" w:rsidRPr="00783303">
      <w:rPr>
        <w:rFonts w:ascii="Tahoma" w:hAnsi="Tahoma" w:cs="Tahoma"/>
        <w:b w:val="0"/>
        <w:bCs w:val="0"/>
        <w:sz w:val="14"/>
      </w:rPr>
      <w:tab/>
    </w:r>
    <w:r w:rsidR="001D6EE9" w:rsidRPr="00783303">
      <w:rPr>
        <w:rFonts w:ascii="Tahoma" w:hAnsi="Tahoma" w:cs="Tahoma"/>
        <w:b w:val="0"/>
        <w:bCs w:val="0"/>
        <w:sz w:val="14"/>
      </w:rPr>
      <w:t xml:space="preserve"> </w:t>
    </w:r>
    <w:r w:rsidR="00D40A31" w:rsidRPr="00783303">
      <w:rPr>
        <w:rFonts w:ascii="Tahoma" w:hAnsi="Tahoma" w:cs="Tahoma"/>
        <w:b w:val="0"/>
        <w:bCs w:val="0"/>
        <w:sz w:val="14"/>
      </w:rPr>
      <w:t>Siège social et usine</w:t>
    </w:r>
    <w:r w:rsidR="00D40A31" w:rsidRPr="00783303">
      <w:rPr>
        <w:rFonts w:ascii="Tahoma" w:hAnsi="Tahoma" w:cs="Tahoma"/>
        <w:b w:val="0"/>
        <w:bCs w:val="0"/>
        <w:sz w:val="14"/>
      </w:rPr>
      <w:tab/>
    </w:r>
    <w:r w:rsidR="001D6EE9" w:rsidRPr="00783303">
      <w:rPr>
        <w:rFonts w:ascii="Tahoma" w:hAnsi="Tahoma" w:cs="Tahoma"/>
        <w:b w:val="0"/>
        <w:bCs w:val="0"/>
        <w:sz w:val="14"/>
      </w:rPr>
      <w:t xml:space="preserve"> </w:t>
    </w:r>
    <w:r w:rsidR="008810C2" w:rsidRPr="00783303">
      <w:rPr>
        <w:rFonts w:ascii="Tahoma" w:hAnsi="Tahoma" w:cs="Tahoma"/>
        <w:b w:val="0"/>
        <w:bCs w:val="0"/>
        <w:sz w:val="14"/>
      </w:rPr>
      <w:t xml:space="preserve"> </w:t>
    </w:r>
    <w:r w:rsidR="00D40A31" w:rsidRPr="00783303">
      <w:rPr>
        <w:rFonts w:ascii="Tahoma" w:hAnsi="Tahoma" w:cs="Tahoma"/>
        <w:b w:val="0"/>
        <w:bCs w:val="0"/>
        <w:sz w:val="14"/>
      </w:rPr>
      <w:t>RC Le Mans 577 050</w:t>
    </w:r>
    <w:r w:rsidR="00384B2B" w:rsidRPr="00783303">
      <w:rPr>
        <w:rFonts w:ascii="Tahoma" w:hAnsi="Tahoma" w:cs="Tahoma"/>
        <w:b w:val="0"/>
        <w:bCs w:val="0"/>
        <w:sz w:val="14"/>
      </w:rPr>
      <w:t xml:space="preserve"> 073 002 27</w:t>
    </w:r>
    <w:r w:rsidR="002720E7" w:rsidRPr="00783303">
      <w:rPr>
        <w:rFonts w:ascii="Tahoma" w:hAnsi="Tahoma" w:cs="Tahoma"/>
        <w:b w:val="0"/>
        <w:bCs w:val="0"/>
        <w:sz w:val="14"/>
      </w:rPr>
      <w:br/>
      <w:t>7 Avenue d’</w:t>
    </w:r>
    <w:proofErr w:type="spellStart"/>
    <w:r w:rsidR="002720E7" w:rsidRPr="00783303">
      <w:rPr>
        <w:rFonts w:ascii="Tahoma" w:hAnsi="Tahoma" w:cs="Tahoma"/>
        <w:b w:val="0"/>
        <w:bCs w:val="0"/>
        <w:sz w:val="14"/>
      </w:rPr>
      <w:t>Auvours</w:t>
    </w:r>
    <w:proofErr w:type="spellEnd"/>
    <w:r w:rsidR="002720E7" w:rsidRPr="00783303">
      <w:rPr>
        <w:rFonts w:ascii="Tahoma" w:hAnsi="Tahoma" w:cs="Tahoma"/>
        <w:b w:val="0"/>
        <w:bCs w:val="0"/>
        <w:sz w:val="14"/>
      </w:rPr>
      <w:tab/>
    </w:r>
    <w:r w:rsidR="001D6EE9" w:rsidRPr="00783303">
      <w:rPr>
        <w:rFonts w:ascii="Tahoma" w:hAnsi="Tahoma" w:cs="Tahoma"/>
        <w:b w:val="0"/>
        <w:bCs w:val="0"/>
        <w:sz w:val="14"/>
      </w:rPr>
      <w:t xml:space="preserve"> </w:t>
    </w:r>
    <w:r w:rsidR="002720E7" w:rsidRPr="00783303">
      <w:rPr>
        <w:rFonts w:ascii="Tahoma" w:hAnsi="Tahoma" w:cs="Tahoma"/>
        <w:b w:val="0"/>
        <w:bCs w:val="0"/>
        <w:sz w:val="14"/>
      </w:rPr>
      <w:t>7 Avenue d’</w:t>
    </w:r>
    <w:proofErr w:type="spellStart"/>
    <w:r w:rsidR="002720E7" w:rsidRPr="00783303">
      <w:rPr>
        <w:rFonts w:ascii="Tahoma" w:hAnsi="Tahoma" w:cs="Tahoma"/>
        <w:b w:val="0"/>
        <w:bCs w:val="0"/>
        <w:sz w:val="14"/>
      </w:rPr>
      <w:t>Auvours</w:t>
    </w:r>
    <w:proofErr w:type="spellEnd"/>
    <w:r w:rsidR="00D40A31" w:rsidRPr="00783303">
      <w:rPr>
        <w:rFonts w:ascii="Tahoma" w:hAnsi="Tahoma" w:cs="Tahoma"/>
        <w:b w:val="0"/>
        <w:bCs w:val="0"/>
        <w:sz w:val="14"/>
      </w:rPr>
      <w:tab/>
    </w:r>
    <w:r w:rsidR="001D6EE9" w:rsidRPr="00783303">
      <w:rPr>
        <w:rFonts w:ascii="Tahoma" w:hAnsi="Tahoma" w:cs="Tahoma"/>
        <w:b w:val="0"/>
        <w:bCs w:val="0"/>
        <w:sz w:val="14"/>
      </w:rPr>
      <w:t xml:space="preserve"> </w:t>
    </w:r>
    <w:r w:rsidR="008810C2" w:rsidRPr="00783303">
      <w:rPr>
        <w:rFonts w:ascii="Tahoma" w:hAnsi="Tahoma" w:cs="Tahoma"/>
        <w:b w:val="0"/>
        <w:bCs w:val="0"/>
        <w:sz w:val="14"/>
      </w:rPr>
      <w:t xml:space="preserve"> </w:t>
    </w:r>
    <w:r w:rsidR="00D40A31" w:rsidRPr="00783303">
      <w:rPr>
        <w:rFonts w:ascii="Tahoma" w:hAnsi="Tahoma" w:cs="Tahoma"/>
        <w:b w:val="0"/>
        <w:bCs w:val="0"/>
        <w:sz w:val="14"/>
      </w:rPr>
      <w:t>SAS au capit</w:t>
    </w:r>
    <w:r w:rsidRPr="00783303">
      <w:rPr>
        <w:rFonts w:ascii="Tahoma" w:hAnsi="Tahoma" w:cs="Tahoma"/>
        <w:b w:val="0"/>
        <w:bCs w:val="0"/>
        <w:sz w:val="14"/>
      </w:rPr>
      <w:t>al de 1.350.000 €</w:t>
    </w:r>
    <w:r w:rsidRPr="00783303">
      <w:rPr>
        <w:rFonts w:ascii="Tahoma" w:hAnsi="Tahoma" w:cs="Tahoma"/>
        <w:b w:val="0"/>
        <w:bCs w:val="0"/>
        <w:sz w:val="14"/>
      </w:rPr>
      <w:br/>
    </w:r>
    <w:r w:rsidR="009A6788" w:rsidRPr="00783303">
      <w:rPr>
        <w:rFonts w:ascii="Tahoma" w:hAnsi="Tahoma" w:cs="Tahoma"/>
        <w:b w:val="0"/>
        <w:bCs w:val="0"/>
        <w:sz w:val="14"/>
      </w:rPr>
      <w:t>TSA 80042</w:t>
    </w:r>
    <w:r w:rsidR="002720E7" w:rsidRPr="00783303">
      <w:rPr>
        <w:rFonts w:ascii="Tahoma" w:hAnsi="Tahoma" w:cs="Tahoma"/>
        <w:b w:val="0"/>
        <w:bCs w:val="0"/>
        <w:sz w:val="14"/>
      </w:rPr>
      <w:tab/>
    </w:r>
    <w:r w:rsidR="001D6EE9" w:rsidRPr="00783303">
      <w:rPr>
        <w:rFonts w:ascii="Tahoma" w:hAnsi="Tahoma" w:cs="Tahoma"/>
        <w:b w:val="0"/>
        <w:bCs w:val="0"/>
        <w:sz w:val="14"/>
      </w:rPr>
      <w:t xml:space="preserve"> </w:t>
    </w:r>
    <w:r w:rsidR="002720E7" w:rsidRPr="00783303">
      <w:rPr>
        <w:rFonts w:ascii="Tahoma" w:hAnsi="Tahoma" w:cs="Tahoma"/>
        <w:b w:val="0"/>
        <w:bCs w:val="0"/>
        <w:sz w:val="14"/>
      </w:rPr>
      <w:t>72530 YVRE L’EVEQUE</w:t>
    </w:r>
    <w:r w:rsidR="00D40A31" w:rsidRPr="00783303">
      <w:rPr>
        <w:rFonts w:ascii="Tahoma" w:hAnsi="Tahoma" w:cs="Tahoma"/>
        <w:b w:val="0"/>
        <w:bCs w:val="0"/>
        <w:sz w:val="14"/>
      </w:rPr>
      <w:tab/>
    </w:r>
    <w:r w:rsidR="001D6EE9" w:rsidRPr="00783303">
      <w:rPr>
        <w:rFonts w:ascii="Tahoma" w:hAnsi="Tahoma" w:cs="Tahoma"/>
        <w:b w:val="0"/>
        <w:bCs w:val="0"/>
        <w:sz w:val="14"/>
      </w:rPr>
      <w:t xml:space="preserve"> </w:t>
    </w:r>
    <w:r w:rsidR="008810C2" w:rsidRPr="00783303">
      <w:rPr>
        <w:rFonts w:ascii="Tahoma" w:hAnsi="Tahoma" w:cs="Tahoma"/>
        <w:b w:val="0"/>
        <w:bCs w:val="0"/>
        <w:sz w:val="14"/>
      </w:rPr>
      <w:t xml:space="preserve"> </w:t>
    </w:r>
    <w:r w:rsidR="00D40A31" w:rsidRPr="00783303">
      <w:rPr>
        <w:rFonts w:ascii="Tahoma" w:hAnsi="Tahoma" w:cs="Tahoma"/>
        <w:b w:val="0"/>
        <w:bCs w:val="0"/>
        <w:sz w:val="14"/>
      </w:rPr>
      <w:t>http//www.bordeau-chesnel.com</w:t>
    </w:r>
  </w:p>
  <w:p w14:paraId="6E37CEFB" w14:textId="77777777" w:rsidR="00D40A31" w:rsidRPr="00783303" w:rsidRDefault="008810C2" w:rsidP="00B14732">
    <w:pPr>
      <w:ind w:left="1985"/>
      <w:rPr>
        <w:rFonts w:ascii="Tahoma" w:hAnsi="Tahoma" w:cs="Tahoma"/>
        <w:b/>
        <w:bCs/>
        <w:sz w:val="14"/>
      </w:rPr>
    </w:pPr>
    <w:r w:rsidRPr="00783303">
      <w:rPr>
        <w:rFonts w:ascii="Tahoma" w:hAnsi="Tahoma" w:cs="Tahoma"/>
        <w:noProof/>
        <w:sz w:val="14"/>
        <w:lang w:eastAsia="fr-FR"/>
      </w:rPr>
      <w:drawing>
        <wp:anchor distT="0" distB="0" distL="114300" distR="114300" simplePos="0" relativeHeight="251666944" behindDoc="0" locked="0" layoutInCell="1" allowOverlap="1" wp14:anchorId="0B27A549" wp14:editId="0AFCA449">
          <wp:simplePos x="0" y="0"/>
          <wp:positionH relativeFrom="column">
            <wp:posOffset>5353685</wp:posOffset>
          </wp:positionH>
          <wp:positionV relativeFrom="paragraph">
            <wp:posOffset>37465</wp:posOffset>
          </wp:positionV>
          <wp:extent cx="816610" cy="354965"/>
          <wp:effectExtent l="0" t="0" r="2540" b="6985"/>
          <wp:wrapThrough wrapText="bothSides">
            <wp:wrapPolygon edited="0">
              <wp:start x="0" y="0"/>
              <wp:lineTo x="0" y="20866"/>
              <wp:lineTo x="21163" y="20866"/>
              <wp:lineTo x="21163" y="0"/>
              <wp:lineTo x="0" y="0"/>
            </wp:wrapPolygon>
          </wp:wrapThrough>
          <wp:docPr id="3" name="Image 3" descr="C:\Users\UMID0002\AppData\Local\Microsoft\Windows\Temporary Internet Files\Content.Outlook\TC8INMS8\Top_Employer_France_2019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MID0002\AppData\Local\Microsoft\Windows\Temporary Internet Files\Content.Outlook\TC8INMS8\Top_Employer_France_2019 (002).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6610" cy="354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C0C5B" w:rsidRPr="00783303">
      <w:rPr>
        <w:rFonts w:ascii="Tahoma" w:hAnsi="Tahoma" w:cs="Tahoma"/>
        <w:sz w:val="14"/>
        <w:szCs w:val="14"/>
      </w:rPr>
      <w:t>50</w:t>
    </w:r>
    <w:r w:rsidR="009A6788" w:rsidRPr="00783303">
      <w:rPr>
        <w:rFonts w:ascii="Tahoma" w:hAnsi="Tahoma" w:cs="Tahoma"/>
        <w:sz w:val="14"/>
        <w:szCs w:val="14"/>
      </w:rPr>
      <w:t>951 SAINT LO CEDEX</w:t>
    </w:r>
    <w:r w:rsidR="001D6EE9" w:rsidRPr="00783303">
      <w:rPr>
        <w:rFonts w:ascii="Tahoma" w:hAnsi="Tahoma" w:cs="Tahoma"/>
        <w:sz w:val="14"/>
        <w:szCs w:val="14"/>
      </w:rPr>
      <w:t xml:space="preserve"> 9</w:t>
    </w:r>
    <w:r w:rsidR="009A6788" w:rsidRPr="00783303">
      <w:rPr>
        <w:rFonts w:ascii="Tahoma" w:hAnsi="Tahoma" w:cs="Tahoma"/>
      </w:rPr>
      <w:t xml:space="preserve"> </w:t>
    </w:r>
    <w:r w:rsidR="001D6EE9" w:rsidRPr="00783303">
      <w:rPr>
        <w:rFonts w:ascii="Tahoma" w:hAnsi="Tahoma" w:cs="Tahoma"/>
      </w:rPr>
      <w:t xml:space="preserve"> </w:t>
    </w:r>
    <w:r w:rsidR="00D40A31" w:rsidRPr="00783303">
      <w:rPr>
        <w:rFonts w:ascii="Tahoma" w:hAnsi="Tahoma" w:cs="Tahoma"/>
        <w:sz w:val="14"/>
      </w:rPr>
      <w:t>Tél. 02 43 61 57 57</w:t>
    </w:r>
    <w:r w:rsidR="00494102" w:rsidRPr="00783303">
      <w:rPr>
        <w:rFonts w:ascii="Tahoma" w:hAnsi="Tahoma" w:cs="Tahoma"/>
        <w:noProof/>
        <w:lang w:eastAsia="fr-FR"/>
      </w:rPr>
      <w:drawing>
        <wp:anchor distT="0" distB="0" distL="114300" distR="114300" simplePos="0" relativeHeight="251655680" behindDoc="0" locked="0" layoutInCell="1" allowOverlap="1" wp14:anchorId="193731EE" wp14:editId="75832DC8">
          <wp:simplePos x="0" y="0"/>
          <wp:positionH relativeFrom="column">
            <wp:posOffset>4953000</wp:posOffset>
          </wp:positionH>
          <wp:positionV relativeFrom="paragraph">
            <wp:posOffset>866140</wp:posOffset>
          </wp:positionV>
          <wp:extent cx="685800" cy="363220"/>
          <wp:effectExtent l="0" t="0" r="0" b="0"/>
          <wp:wrapNone/>
          <wp:docPr id="50" name="Image 50" descr="Annexe 2 logotype TOP Employeur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nexe 2 logotype TOP Employeur 200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363220"/>
                  </a:xfrm>
                  <a:prstGeom prst="rect">
                    <a:avLst/>
                  </a:prstGeom>
                  <a:noFill/>
                  <a:ln>
                    <a:noFill/>
                  </a:ln>
                </pic:spPr>
              </pic:pic>
            </a:graphicData>
          </a:graphic>
          <wp14:sizeRelH relativeFrom="page">
            <wp14:pctWidth>0</wp14:pctWidth>
          </wp14:sizeRelH>
          <wp14:sizeRelV relativeFrom="page">
            <wp14:pctHeight>0</wp14:pctHeight>
          </wp14:sizeRelV>
        </wp:anchor>
      </w:drawing>
    </w:r>
    <w:r w:rsidR="009A6788" w:rsidRPr="00783303">
      <w:rPr>
        <w:rFonts w:ascii="Tahoma" w:hAnsi="Tahoma" w:cs="Tahoma"/>
        <w:sz w:val="14"/>
      </w:rPr>
      <w:t xml:space="preserve"> - </w:t>
    </w:r>
    <w:r w:rsidR="00D40A31" w:rsidRPr="00783303">
      <w:rPr>
        <w:rFonts w:ascii="Tahoma" w:hAnsi="Tahoma" w:cs="Tahoma"/>
        <w:sz w:val="14"/>
      </w:rPr>
      <w:t>Fax</w:t>
    </w:r>
    <w:r w:rsidR="00E21A34" w:rsidRPr="00783303">
      <w:rPr>
        <w:rFonts w:ascii="Tahoma" w:hAnsi="Tahoma" w:cs="Tahoma"/>
        <w:sz w:val="14"/>
      </w:rPr>
      <w:t xml:space="preserve"> </w:t>
    </w:r>
    <w:r w:rsidR="00D40A31" w:rsidRPr="00783303">
      <w:rPr>
        <w:rFonts w:ascii="Tahoma" w:hAnsi="Tahoma" w:cs="Tahoma"/>
        <w:sz w:val="14"/>
      </w:rPr>
      <w:t>02 43 89 28 84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9549B" w14:textId="77777777" w:rsidR="00FF54A1" w:rsidRDefault="00FF54A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A4F27" w14:textId="77777777" w:rsidR="00791F58" w:rsidRDefault="00791F58" w:rsidP="001653F5">
      <w:pPr>
        <w:pStyle w:val="Corpsdetexte2"/>
      </w:pPr>
      <w:r>
        <w:separator/>
      </w:r>
    </w:p>
  </w:footnote>
  <w:footnote w:type="continuationSeparator" w:id="0">
    <w:p w14:paraId="5B405B3D" w14:textId="77777777" w:rsidR="00791F58" w:rsidRDefault="00791F58" w:rsidP="001653F5">
      <w:pPr>
        <w:pStyle w:val="Corpsdetexte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213ED" w14:textId="5C7F7C1F" w:rsidR="00FF54A1" w:rsidRDefault="00FF54A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430F5" w14:textId="21C99046" w:rsidR="00D40A31" w:rsidRDefault="00CA56A1">
    <w:pPr>
      <w:pStyle w:val="En-tte"/>
    </w:pPr>
    <w:r>
      <w:rPr>
        <w:noProof/>
        <w:lang w:eastAsia="fr-FR"/>
      </w:rPr>
      <mc:AlternateContent>
        <mc:Choice Requires="wps">
          <w:drawing>
            <wp:anchor distT="0" distB="0" distL="114300" distR="114300" simplePos="0" relativeHeight="251662848" behindDoc="0" locked="0" layoutInCell="0" allowOverlap="1" wp14:anchorId="650B0642" wp14:editId="72FC01C4">
              <wp:simplePos x="0" y="0"/>
              <wp:positionH relativeFrom="page">
                <wp:posOffset>0</wp:posOffset>
              </wp:positionH>
              <wp:positionV relativeFrom="page">
                <wp:posOffset>190500</wp:posOffset>
              </wp:positionV>
              <wp:extent cx="7560310" cy="273050"/>
              <wp:effectExtent l="0" t="0" r="0" b="12700"/>
              <wp:wrapNone/>
              <wp:docPr id="1" name="MSIPCM46084ff0b19719f3aa08d98a" descr="{&quot;HashCode&quot;:-139077875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6746CFC" w14:textId="77777777" w:rsidR="00CA56A1" w:rsidRPr="00CA56A1" w:rsidRDefault="00CA56A1" w:rsidP="00CA56A1">
                          <w:pPr>
                            <w:jc w:val="right"/>
                            <w:rPr>
                              <w:rFonts w:ascii="Calibri" w:hAnsi="Calibri"/>
                              <w:color w:val="0078D7"/>
                            </w:rPr>
                          </w:pPr>
                          <w:r w:rsidRPr="00CA56A1">
                            <w:rPr>
                              <w:rFonts w:ascii="Calibri" w:hAnsi="Calibri"/>
                              <w:color w:val="0078D7"/>
                            </w:rPr>
                            <w:t>C2</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50B0642" id="_x0000_t202" coordsize="21600,21600" o:spt="202" path="m,l,21600r21600,l21600,xe">
              <v:stroke joinstyle="miter"/>
              <v:path gradientshapeok="t" o:connecttype="rect"/>
            </v:shapetype>
            <v:shape id="MSIPCM46084ff0b19719f3aa08d98a" o:spid="_x0000_s1026" type="#_x0000_t202" alt="{&quot;HashCode&quot;:-1390778755,&quot;Height&quot;:841.0,&quot;Width&quot;:595.0,&quot;Placement&quot;:&quot;Header&quot;,&quot;Index&quot;:&quot;Primary&quot;,&quot;Section&quot;:1,&quot;Top&quot;:0.0,&quot;Left&quot;:0.0}" style="position:absolute;margin-left:0;margin-top:15pt;width:595.3pt;height:21.5pt;z-index:2516628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26746CFC" w14:textId="77777777" w:rsidR="00CA56A1" w:rsidRPr="00CA56A1" w:rsidRDefault="00CA56A1" w:rsidP="00CA56A1">
                    <w:pPr>
                      <w:jc w:val="right"/>
                      <w:rPr>
                        <w:rFonts w:ascii="Calibri" w:hAnsi="Calibri"/>
                        <w:color w:val="0078D7"/>
                      </w:rPr>
                    </w:pPr>
                    <w:r w:rsidRPr="00CA56A1">
                      <w:rPr>
                        <w:rFonts w:ascii="Calibri" w:hAnsi="Calibri"/>
                        <w:color w:val="0078D7"/>
                      </w:rPr>
                      <w:t>C2</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905BB" w14:textId="053EFD13" w:rsidR="00FF54A1" w:rsidRDefault="00FF54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472B0"/>
    <w:multiLevelType w:val="multilevel"/>
    <w:tmpl w:val="79B24216"/>
    <w:lvl w:ilvl="0">
      <w:start w:val="1"/>
      <w:numFmt w:val="decimal"/>
      <w:lvlText w:val="%1"/>
      <w:lvlJc w:val="left"/>
      <w:pPr>
        <w:ind w:left="432" w:hanging="432"/>
      </w:pPr>
    </w:lvl>
    <w:lvl w:ilvl="1">
      <w:start w:val="1"/>
      <w:numFmt w:val="upperLetter"/>
      <w:lvlText w:val="%2."/>
      <w:lvlJc w:val="left"/>
      <w:pPr>
        <w:ind w:left="576" w:hanging="576"/>
      </w:pPr>
    </w:lvl>
    <w:lvl w:ilvl="2">
      <w:start w:val="1"/>
      <w:numFmt w:val="decimal"/>
      <w:lvlText w:val="%1.%2.%3"/>
      <w:lvlJc w:val="left"/>
      <w:pPr>
        <w:ind w:left="720" w:hanging="720"/>
      </w:pPr>
      <w:rPr>
        <w:rFonts w:ascii="Calibri" w:hAnsi="Calibri" w:hint="default"/>
        <w:sz w:val="26"/>
        <w:szCs w:val="26"/>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76580C"/>
    <w:multiLevelType w:val="hybridMultilevel"/>
    <w:tmpl w:val="F8603A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D22057"/>
    <w:multiLevelType w:val="hybridMultilevel"/>
    <w:tmpl w:val="E0D01B64"/>
    <w:lvl w:ilvl="0" w:tplc="040C0013">
      <w:start w:val="1"/>
      <w:numFmt w:val="upp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C95E45"/>
    <w:multiLevelType w:val="hybridMultilevel"/>
    <w:tmpl w:val="6622B8B8"/>
    <w:lvl w:ilvl="0" w:tplc="0AEA2C0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C342D8"/>
    <w:multiLevelType w:val="hybridMultilevel"/>
    <w:tmpl w:val="B3F097EC"/>
    <w:lvl w:ilvl="0" w:tplc="BD1EDDA6">
      <w:start w:val="1"/>
      <w:numFmt w:val="bullet"/>
      <w:lvlText w:val="-"/>
      <w:lvlJc w:val="left"/>
      <w:pPr>
        <w:tabs>
          <w:tab w:val="num" w:pos="645"/>
        </w:tabs>
        <w:ind w:left="645" w:hanging="405"/>
      </w:pPr>
      <w:rPr>
        <w:rFonts w:ascii="Times New Roman" w:eastAsia="Times New Roman" w:hAnsi="Times New Roman" w:cs="Times New Roman" w:hint="default"/>
      </w:rPr>
    </w:lvl>
    <w:lvl w:ilvl="1" w:tplc="040C0003" w:tentative="1">
      <w:start w:val="1"/>
      <w:numFmt w:val="bullet"/>
      <w:lvlText w:val="o"/>
      <w:lvlJc w:val="left"/>
      <w:pPr>
        <w:tabs>
          <w:tab w:val="num" w:pos="1320"/>
        </w:tabs>
        <w:ind w:left="1320" w:hanging="360"/>
      </w:pPr>
      <w:rPr>
        <w:rFonts w:ascii="Courier New" w:hAnsi="Courier New" w:hint="default"/>
      </w:rPr>
    </w:lvl>
    <w:lvl w:ilvl="2" w:tplc="040C0005" w:tentative="1">
      <w:start w:val="1"/>
      <w:numFmt w:val="bullet"/>
      <w:lvlText w:val=""/>
      <w:lvlJc w:val="left"/>
      <w:pPr>
        <w:tabs>
          <w:tab w:val="num" w:pos="2040"/>
        </w:tabs>
        <w:ind w:left="2040" w:hanging="360"/>
      </w:pPr>
      <w:rPr>
        <w:rFonts w:ascii="Wingdings" w:hAnsi="Wingdings" w:hint="default"/>
      </w:rPr>
    </w:lvl>
    <w:lvl w:ilvl="3" w:tplc="040C0001" w:tentative="1">
      <w:start w:val="1"/>
      <w:numFmt w:val="bullet"/>
      <w:lvlText w:val=""/>
      <w:lvlJc w:val="left"/>
      <w:pPr>
        <w:tabs>
          <w:tab w:val="num" w:pos="2760"/>
        </w:tabs>
        <w:ind w:left="2760" w:hanging="360"/>
      </w:pPr>
      <w:rPr>
        <w:rFonts w:ascii="Symbol" w:hAnsi="Symbol" w:hint="default"/>
      </w:rPr>
    </w:lvl>
    <w:lvl w:ilvl="4" w:tplc="040C0003" w:tentative="1">
      <w:start w:val="1"/>
      <w:numFmt w:val="bullet"/>
      <w:lvlText w:val="o"/>
      <w:lvlJc w:val="left"/>
      <w:pPr>
        <w:tabs>
          <w:tab w:val="num" w:pos="3480"/>
        </w:tabs>
        <w:ind w:left="3480" w:hanging="360"/>
      </w:pPr>
      <w:rPr>
        <w:rFonts w:ascii="Courier New" w:hAnsi="Courier New" w:hint="default"/>
      </w:rPr>
    </w:lvl>
    <w:lvl w:ilvl="5" w:tplc="040C0005" w:tentative="1">
      <w:start w:val="1"/>
      <w:numFmt w:val="bullet"/>
      <w:lvlText w:val=""/>
      <w:lvlJc w:val="left"/>
      <w:pPr>
        <w:tabs>
          <w:tab w:val="num" w:pos="4200"/>
        </w:tabs>
        <w:ind w:left="4200" w:hanging="360"/>
      </w:pPr>
      <w:rPr>
        <w:rFonts w:ascii="Wingdings" w:hAnsi="Wingdings" w:hint="default"/>
      </w:rPr>
    </w:lvl>
    <w:lvl w:ilvl="6" w:tplc="040C0001" w:tentative="1">
      <w:start w:val="1"/>
      <w:numFmt w:val="bullet"/>
      <w:lvlText w:val=""/>
      <w:lvlJc w:val="left"/>
      <w:pPr>
        <w:tabs>
          <w:tab w:val="num" w:pos="4920"/>
        </w:tabs>
        <w:ind w:left="4920" w:hanging="360"/>
      </w:pPr>
      <w:rPr>
        <w:rFonts w:ascii="Symbol" w:hAnsi="Symbol" w:hint="default"/>
      </w:rPr>
    </w:lvl>
    <w:lvl w:ilvl="7" w:tplc="040C0003" w:tentative="1">
      <w:start w:val="1"/>
      <w:numFmt w:val="bullet"/>
      <w:lvlText w:val="o"/>
      <w:lvlJc w:val="left"/>
      <w:pPr>
        <w:tabs>
          <w:tab w:val="num" w:pos="5640"/>
        </w:tabs>
        <w:ind w:left="5640" w:hanging="360"/>
      </w:pPr>
      <w:rPr>
        <w:rFonts w:ascii="Courier New" w:hAnsi="Courier New" w:hint="default"/>
      </w:rPr>
    </w:lvl>
    <w:lvl w:ilvl="8" w:tplc="040C0005" w:tentative="1">
      <w:start w:val="1"/>
      <w:numFmt w:val="bullet"/>
      <w:lvlText w:val=""/>
      <w:lvlJc w:val="left"/>
      <w:pPr>
        <w:tabs>
          <w:tab w:val="num" w:pos="6360"/>
        </w:tabs>
        <w:ind w:left="6360" w:hanging="360"/>
      </w:pPr>
      <w:rPr>
        <w:rFonts w:ascii="Wingdings" w:hAnsi="Wingdings" w:hint="default"/>
      </w:rPr>
    </w:lvl>
  </w:abstractNum>
  <w:abstractNum w:abstractNumId="5" w15:restartNumberingAfterBreak="0">
    <w:nsid w:val="427E12D5"/>
    <w:multiLevelType w:val="hybridMultilevel"/>
    <w:tmpl w:val="83164254"/>
    <w:lvl w:ilvl="0" w:tplc="5E5A390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91D13A7"/>
    <w:multiLevelType w:val="hybridMultilevel"/>
    <w:tmpl w:val="7FE28AD2"/>
    <w:lvl w:ilvl="0" w:tplc="D394916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69192C"/>
    <w:multiLevelType w:val="hybridMultilevel"/>
    <w:tmpl w:val="A5F075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E7A462B"/>
    <w:multiLevelType w:val="multilevel"/>
    <w:tmpl w:val="9626B8EE"/>
    <w:lvl w:ilvl="0">
      <w:start w:val="1"/>
      <w:numFmt w:val="upperRoman"/>
      <w:lvlText w:val="Article %1."/>
      <w:lvlJc w:val="left"/>
      <w:pPr>
        <w:ind w:left="0" w:firstLine="0"/>
      </w:pPr>
    </w:lvl>
    <w:lvl w:ilvl="1">
      <w:start w:val="1"/>
      <w:numFmt w:val="decimalZero"/>
      <w:isLgl/>
      <w:lvlText w:val="Section %1.%2"/>
      <w:lvlJc w:val="left"/>
      <w:pPr>
        <w:ind w:left="0" w:firstLine="0"/>
      </w:pPr>
      <w:rPr>
        <w:i w:val="0"/>
      </w:r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751857DE"/>
    <w:multiLevelType w:val="hybridMultilevel"/>
    <w:tmpl w:val="6CC4F686"/>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D5905A2"/>
    <w:multiLevelType w:val="hybridMultilevel"/>
    <w:tmpl w:val="8BBE6A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C878C8"/>
    <w:multiLevelType w:val="hybridMultilevel"/>
    <w:tmpl w:val="F7E6EE9A"/>
    <w:lvl w:ilvl="0" w:tplc="9FD66444">
      <w:numFmt w:val="bullet"/>
      <w:lvlText w:val="-"/>
      <w:lvlJc w:val="left"/>
      <w:pPr>
        <w:tabs>
          <w:tab w:val="num" w:pos="1065"/>
        </w:tabs>
        <w:ind w:left="1065" w:hanging="360"/>
      </w:pPr>
      <w:rPr>
        <w:rFonts w:ascii="Tahoma" w:eastAsia="Times New Roman" w:hAnsi="Tahoma" w:cs="Tahoma"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num w:numId="1">
    <w:abstractNumId w:val="4"/>
  </w:num>
  <w:num w:numId="2">
    <w:abstractNumId w:val="11"/>
  </w:num>
  <w:num w:numId="3">
    <w:abstractNumId w:val="1"/>
  </w:num>
  <w:num w:numId="4">
    <w:abstractNumId w:val="10"/>
  </w:num>
  <w:num w:numId="5">
    <w:abstractNumId w:val="3"/>
  </w:num>
  <w:num w:numId="6">
    <w:abstractNumId w:val="7"/>
  </w:num>
  <w:num w:numId="7">
    <w:abstractNumId w:val="6"/>
  </w:num>
  <w:num w:numId="8">
    <w:abstractNumId w:val="0"/>
  </w:num>
  <w:num w:numId="9">
    <w:abstractNumId w:val="8"/>
  </w:num>
  <w:num w:numId="10">
    <w:abstractNumId w:val="2"/>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14337">
      <o:colormru v:ext="edit" colors="#c3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3F5"/>
    <w:rsid w:val="00035B9B"/>
    <w:rsid w:val="00042095"/>
    <w:rsid w:val="000451B2"/>
    <w:rsid w:val="0005024B"/>
    <w:rsid w:val="000553C8"/>
    <w:rsid w:val="000738CE"/>
    <w:rsid w:val="000844B0"/>
    <w:rsid w:val="00095347"/>
    <w:rsid w:val="000A5FD5"/>
    <w:rsid w:val="000B3567"/>
    <w:rsid w:val="000C0B15"/>
    <w:rsid w:val="000C4813"/>
    <w:rsid w:val="001017DF"/>
    <w:rsid w:val="00107DDD"/>
    <w:rsid w:val="001125FE"/>
    <w:rsid w:val="0013099F"/>
    <w:rsid w:val="001454AB"/>
    <w:rsid w:val="0016145D"/>
    <w:rsid w:val="00164BB0"/>
    <w:rsid w:val="001653F5"/>
    <w:rsid w:val="00173293"/>
    <w:rsid w:val="00180FD6"/>
    <w:rsid w:val="00182685"/>
    <w:rsid w:val="001B1138"/>
    <w:rsid w:val="001B2048"/>
    <w:rsid w:val="001B7113"/>
    <w:rsid w:val="001D6EE9"/>
    <w:rsid w:val="001E4422"/>
    <w:rsid w:val="001F1A3B"/>
    <w:rsid w:val="002013B8"/>
    <w:rsid w:val="00220439"/>
    <w:rsid w:val="00224128"/>
    <w:rsid w:val="002720E7"/>
    <w:rsid w:val="002722E5"/>
    <w:rsid w:val="002727C3"/>
    <w:rsid w:val="002910A7"/>
    <w:rsid w:val="00293467"/>
    <w:rsid w:val="002B5B1A"/>
    <w:rsid w:val="002C687E"/>
    <w:rsid w:val="002E58AD"/>
    <w:rsid w:val="002F565C"/>
    <w:rsid w:val="002F641C"/>
    <w:rsid w:val="003148F5"/>
    <w:rsid w:val="00323398"/>
    <w:rsid w:val="00324F80"/>
    <w:rsid w:val="00356A31"/>
    <w:rsid w:val="00363214"/>
    <w:rsid w:val="00364840"/>
    <w:rsid w:val="00365693"/>
    <w:rsid w:val="00376B53"/>
    <w:rsid w:val="00384B2B"/>
    <w:rsid w:val="003A1150"/>
    <w:rsid w:val="003C51C7"/>
    <w:rsid w:val="003F1E9C"/>
    <w:rsid w:val="00416EC9"/>
    <w:rsid w:val="00423221"/>
    <w:rsid w:val="004320F0"/>
    <w:rsid w:val="00437BCE"/>
    <w:rsid w:val="004511CA"/>
    <w:rsid w:val="00457CF8"/>
    <w:rsid w:val="00475EED"/>
    <w:rsid w:val="004901AC"/>
    <w:rsid w:val="00494102"/>
    <w:rsid w:val="004A08D4"/>
    <w:rsid w:val="004A6A1B"/>
    <w:rsid w:val="004B4213"/>
    <w:rsid w:val="004E7AA4"/>
    <w:rsid w:val="004F71DE"/>
    <w:rsid w:val="005078E3"/>
    <w:rsid w:val="0051370D"/>
    <w:rsid w:val="005363F0"/>
    <w:rsid w:val="00574FCC"/>
    <w:rsid w:val="00575A6C"/>
    <w:rsid w:val="00580FE8"/>
    <w:rsid w:val="00592F9E"/>
    <w:rsid w:val="00593B08"/>
    <w:rsid w:val="005B0F70"/>
    <w:rsid w:val="005B4736"/>
    <w:rsid w:val="005D3069"/>
    <w:rsid w:val="005D3D74"/>
    <w:rsid w:val="005F25C2"/>
    <w:rsid w:val="00624B2E"/>
    <w:rsid w:val="0062590F"/>
    <w:rsid w:val="006501FD"/>
    <w:rsid w:val="00650760"/>
    <w:rsid w:val="00653C48"/>
    <w:rsid w:val="00656B5F"/>
    <w:rsid w:val="006765FF"/>
    <w:rsid w:val="0068282B"/>
    <w:rsid w:val="006B59C3"/>
    <w:rsid w:val="006C022F"/>
    <w:rsid w:val="006C2597"/>
    <w:rsid w:val="006D0D90"/>
    <w:rsid w:val="006D60BF"/>
    <w:rsid w:val="00742713"/>
    <w:rsid w:val="00756848"/>
    <w:rsid w:val="00775BC1"/>
    <w:rsid w:val="00783303"/>
    <w:rsid w:val="00791F58"/>
    <w:rsid w:val="00792A0B"/>
    <w:rsid w:val="007A1D05"/>
    <w:rsid w:val="007F20A8"/>
    <w:rsid w:val="00815296"/>
    <w:rsid w:val="008277D6"/>
    <w:rsid w:val="00833D17"/>
    <w:rsid w:val="00874025"/>
    <w:rsid w:val="00875A28"/>
    <w:rsid w:val="008810C2"/>
    <w:rsid w:val="0089155C"/>
    <w:rsid w:val="008940D8"/>
    <w:rsid w:val="00896B58"/>
    <w:rsid w:val="008A2660"/>
    <w:rsid w:val="008A4A01"/>
    <w:rsid w:val="008B0074"/>
    <w:rsid w:val="008B3B6D"/>
    <w:rsid w:val="008C7C8E"/>
    <w:rsid w:val="008D5AF5"/>
    <w:rsid w:val="008E0B8F"/>
    <w:rsid w:val="008E23A9"/>
    <w:rsid w:val="008E2D8C"/>
    <w:rsid w:val="008E430D"/>
    <w:rsid w:val="008F6BD5"/>
    <w:rsid w:val="00907720"/>
    <w:rsid w:val="00915367"/>
    <w:rsid w:val="009360D4"/>
    <w:rsid w:val="00941291"/>
    <w:rsid w:val="00942A0B"/>
    <w:rsid w:val="00952533"/>
    <w:rsid w:val="00962C54"/>
    <w:rsid w:val="00967B54"/>
    <w:rsid w:val="00971C5F"/>
    <w:rsid w:val="00977DC7"/>
    <w:rsid w:val="009831DD"/>
    <w:rsid w:val="00983DAD"/>
    <w:rsid w:val="00994093"/>
    <w:rsid w:val="009949A0"/>
    <w:rsid w:val="009A6788"/>
    <w:rsid w:val="009C1C78"/>
    <w:rsid w:val="009D2F7E"/>
    <w:rsid w:val="009E56E1"/>
    <w:rsid w:val="009F4FF3"/>
    <w:rsid w:val="00A0073F"/>
    <w:rsid w:val="00A358B5"/>
    <w:rsid w:val="00A41980"/>
    <w:rsid w:val="00A41F0B"/>
    <w:rsid w:val="00A631CE"/>
    <w:rsid w:val="00A638A4"/>
    <w:rsid w:val="00A643AD"/>
    <w:rsid w:val="00A66426"/>
    <w:rsid w:val="00A81AC5"/>
    <w:rsid w:val="00A835E4"/>
    <w:rsid w:val="00A92497"/>
    <w:rsid w:val="00AA0AD0"/>
    <w:rsid w:val="00AB5B4C"/>
    <w:rsid w:val="00AC1FC2"/>
    <w:rsid w:val="00AD1320"/>
    <w:rsid w:val="00AD13D3"/>
    <w:rsid w:val="00AF2DB0"/>
    <w:rsid w:val="00B05658"/>
    <w:rsid w:val="00B07B03"/>
    <w:rsid w:val="00B14732"/>
    <w:rsid w:val="00B423D8"/>
    <w:rsid w:val="00B553BC"/>
    <w:rsid w:val="00B60C3C"/>
    <w:rsid w:val="00B64B65"/>
    <w:rsid w:val="00B731DA"/>
    <w:rsid w:val="00B80DE9"/>
    <w:rsid w:val="00B9442D"/>
    <w:rsid w:val="00B964CA"/>
    <w:rsid w:val="00BA190C"/>
    <w:rsid w:val="00BE38F4"/>
    <w:rsid w:val="00BF630D"/>
    <w:rsid w:val="00C033E9"/>
    <w:rsid w:val="00C0386A"/>
    <w:rsid w:val="00C07CC9"/>
    <w:rsid w:val="00C23AF7"/>
    <w:rsid w:val="00C243A1"/>
    <w:rsid w:val="00C274DA"/>
    <w:rsid w:val="00C278B3"/>
    <w:rsid w:val="00C83240"/>
    <w:rsid w:val="00C902F1"/>
    <w:rsid w:val="00C93203"/>
    <w:rsid w:val="00CA56A1"/>
    <w:rsid w:val="00CB44C2"/>
    <w:rsid w:val="00CB772F"/>
    <w:rsid w:val="00CD6F99"/>
    <w:rsid w:val="00CE0F65"/>
    <w:rsid w:val="00CE1BFA"/>
    <w:rsid w:val="00CE50C3"/>
    <w:rsid w:val="00D006BE"/>
    <w:rsid w:val="00D03425"/>
    <w:rsid w:val="00D062E0"/>
    <w:rsid w:val="00D10DC0"/>
    <w:rsid w:val="00D36D8C"/>
    <w:rsid w:val="00D40A31"/>
    <w:rsid w:val="00D62E6A"/>
    <w:rsid w:val="00D660F9"/>
    <w:rsid w:val="00D876DE"/>
    <w:rsid w:val="00D978F8"/>
    <w:rsid w:val="00DA7F15"/>
    <w:rsid w:val="00DE23F7"/>
    <w:rsid w:val="00DE5E08"/>
    <w:rsid w:val="00E02CDF"/>
    <w:rsid w:val="00E04006"/>
    <w:rsid w:val="00E12559"/>
    <w:rsid w:val="00E133AB"/>
    <w:rsid w:val="00E21A34"/>
    <w:rsid w:val="00E235E5"/>
    <w:rsid w:val="00E25C90"/>
    <w:rsid w:val="00E432C5"/>
    <w:rsid w:val="00E45E44"/>
    <w:rsid w:val="00E5023F"/>
    <w:rsid w:val="00E611FC"/>
    <w:rsid w:val="00E80D63"/>
    <w:rsid w:val="00E833F2"/>
    <w:rsid w:val="00E9213D"/>
    <w:rsid w:val="00E93158"/>
    <w:rsid w:val="00E96805"/>
    <w:rsid w:val="00EA6DBA"/>
    <w:rsid w:val="00EC0C5B"/>
    <w:rsid w:val="00EE7B53"/>
    <w:rsid w:val="00EF5202"/>
    <w:rsid w:val="00F07687"/>
    <w:rsid w:val="00F078B6"/>
    <w:rsid w:val="00F16C70"/>
    <w:rsid w:val="00F47722"/>
    <w:rsid w:val="00F61DD0"/>
    <w:rsid w:val="00F67B72"/>
    <w:rsid w:val="00F720E3"/>
    <w:rsid w:val="00F7292F"/>
    <w:rsid w:val="00F75C1F"/>
    <w:rsid w:val="00F9077B"/>
    <w:rsid w:val="00F9634E"/>
    <w:rsid w:val="00FB2255"/>
    <w:rsid w:val="00FC2179"/>
    <w:rsid w:val="00FC6C92"/>
    <w:rsid w:val="00FF0085"/>
    <w:rsid w:val="00FF121B"/>
    <w:rsid w:val="00FF54A1"/>
    <w:rsid w:val="00FF6D5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c30"/>
    </o:shapedefaults>
    <o:shapelayout v:ext="edit">
      <o:idmap v:ext="edit" data="1"/>
    </o:shapelayout>
  </w:shapeDefaults>
  <w:decimalSymbol w:val=","/>
  <w:listSeparator w:val=";"/>
  <w14:docId w14:val="2890E4A9"/>
  <w15:docId w15:val="{2F511435-C1BB-40A0-8B66-167E83391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7AA4"/>
    <w:pPr>
      <w:suppressAutoHyphens/>
    </w:pPr>
    <w:rPr>
      <w:sz w:val="24"/>
      <w:szCs w:val="24"/>
      <w:lang w:eastAsia="ar-SA"/>
    </w:rPr>
  </w:style>
  <w:style w:type="paragraph" w:styleId="Titre1">
    <w:name w:val="heading 1"/>
    <w:basedOn w:val="Normal"/>
    <w:next w:val="Normal"/>
    <w:qFormat/>
    <w:pPr>
      <w:keepNext/>
      <w:jc w:val="center"/>
      <w:outlineLvl w:val="0"/>
    </w:pPr>
    <w:rPr>
      <w:b/>
      <w:bCs/>
    </w:rPr>
  </w:style>
  <w:style w:type="paragraph" w:styleId="Titre2">
    <w:name w:val="heading 2"/>
    <w:basedOn w:val="Normal"/>
    <w:next w:val="Normal"/>
    <w:qFormat/>
    <w:pPr>
      <w:keepNext/>
      <w:outlineLvl w:val="1"/>
    </w:pPr>
    <w:rPr>
      <w:b/>
      <w:bCs/>
      <w:sz w:val="16"/>
    </w:rPr>
  </w:style>
  <w:style w:type="paragraph" w:styleId="Titre3">
    <w:name w:val="heading 3"/>
    <w:basedOn w:val="Normal"/>
    <w:next w:val="Normal"/>
    <w:qFormat/>
    <w:pPr>
      <w:keepNext/>
      <w:outlineLvl w:val="2"/>
    </w:pPr>
    <w:rPr>
      <w:b/>
      <w:bCs/>
      <w:sz w:val="52"/>
    </w:rPr>
  </w:style>
  <w:style w:type="paragraph" w:styleId="Titre4">
    <w:name w:val="heading 4"/>
    <w:basedOn w:val="Normal"/>
    <w:next w:val="Normal"/>
    <w:qFormat/>
    <w:pPr>
      <w:keepNext/>
      <w:outlineLvl w:val="3"/>
    </w:pPr>
    <w:rPr>
      <w:rFonts w:ascii="Tahoma" w:hAnsi="Tahoma" w:cs="Tahoma"/>
      <w:b/>
      <w:bCs/>
      <w:noProof/>
      <w:sz w:val="20"/>
    </w:rPr>
  </w:style>
  <w:style w:type="paragraph" w:styleId="Titre5">
    <w:name w:val="heading 5"/>
    <w:basedOn w:val="Normal"/>
    <w:next w:val="Normal"/>
    <w:qFormat/>
    <w:pPr>
      <w:keepNext/>
      <w:outlineLvl w:val="4"/>
    </w:pPr>
    <w:rPr>
      <w:rFonts w:ascii="Tahoma" w:hAnsi="Tahoma" w:cs="Tahoma"/>
      <w:b/>
      <w:bCs/>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b/>
      <w:bCs/>
    </w:rPr>
  </w:style>
  <w:style w:type="paragraph" w:styleId="Corpsdetexte2">
    <w:name w:val="Body Text 2"/>
    <w:basedOn w:val="Normal"/>
    <w:pPr>
      <w:jc w:val="center"/>
    </w:pPr>
    <w:rPr>
      <w:b/>
      <w:bCs/>
    </w:rPr>
  </w:style>
  <w:style w:type="paragraph" w:styleId="Corpsdetexte3">
    <w:name w:val="Body Text 3"/>
    <w:basedOn w:val="Normal"/>
    <w:pPr>
      <w:jc w:val="center"/>
    </w:pPr>
    <w:rPr>
      <w:b/>
      <w:bCs/>
      <w:color w:val="CC3300"/>
      <w:sz w:val="48"/>
      <w:u w:val="single"/>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pPr>
      <w:ind w:left="5160" w:hanging="5160"/>
    </w:pPr>
    <w:rPr>
      <w:rFonts w:ascii="Tahoma" w:hAnsi="Tahoma" w:cs="Tahoma"/>
      <w:sz w:val="22"/>
    </w:rPr>
  </w:style>
  <w:style w:type="paragraph" w:styleId="Textedebulles">
    <w:name w:val="Balloon Text"/>
    <w:basedOn w:val="Normal"/>
    <w:semiHidden/>
    <w:rsid w:val="001653F5"/>
    <w:rPr>
      <w:rFonts w:ascii="Tahoma" w:hAnsi="Tahoma" w:cs="Tahoma"/>
      <w:sz w:val="16"/>
      <w:szCs w:val="16"/>
    </w:rPr>
  </w:style>
  <w:style w:type="paragraph" w:customStyle="1" w:styleId="PS">
    <w:name w:val="PS"/>
    <w:rsid w:val="00E9213D"/>
    <w:pPr>
      <w:spacing w:after="240" w:line="240" w:lineRule="atLeast"/>
      <w:jc w:val="both"/>
    </w:pPr>
    <w:rPr>
      <w:rFonts w:ascii="classic" w:hAnsi="classic"/>
      <w:sz w:val="24"/>
    </w:rPr>
  </w:style>
  <w:style w:type="paragraph" w:styleId="Paragraphedeliste">
    <w:name w:val="List Paragraph"/>
    <w:basedOn w:val="Normal"/>
    <w:uiPriority w:val="34"/>
    <w:qFormat/>
    <w:rsid w:val="00E9213D"/>
    <w:pPr>
      <w:ind w:left="720"/>
      <w:contextualSpacing/>
    </w:pPr>
  </w:style>
  <w:style w:type="paragraph" w:customStyle="1" w:styleId="Titre212pt">
    <w:name w:val="Titre 2 + 12 pt"/>
    <w:aliases w:val="Soulignement"/>
    <w:basedOn w:val="Titre1"/>
    <w:rsid w:val="00E9213D"/>
    <w:pPr>
      <w:suppressAutoHyphens w:val="0"/>
      <w:overflowPunct w:val="0"/>
      <w:autoSpaceDE w:val="0"/>
      <w:autoSpaceDN w:val="0"/>
      <w:adjustRightInd w:val="0"/>
      <w:spacing w:before="300" w:after="160"/>
      <w:jc w:val="left"/>
      <w:textAlignment w:val="baseline"/>
    </w:pPr>
    <w:rPr>
      <w:rFonts w:ascii="Arial" w:hAnsi="Arial" w:cs="Arial"/>
      <w:kern w:val="32"/>
      <w:u w:val="single"/>
      <w:lang w:eastAsia="en-US"/>
    </w:rPr>
  </w:style>
  <w:style w:type="paragraph" w:customStyle="1" w:styleId="Default">
    <w:name w:val="Default"/>
    <w:rsid w:val="006C2597"/>
    <w:pPr>
      <w:autoSpaceDE w:val="0"/>
      <w:autoSpaceDN w:val="0"/>
      <w:adjustRightInd w:val="0"/>
    </w:pPr>
    <w:rPr>
      <w:rFonts w:ascii="Corbel" w:hAnsi="Corbel" w:cs="Corbel"/>
      <w:color w:val="000000"/>
      <w:sz w:val="24"/>
      <w:szCs w:val="24"/>
    </w:rPr>
  </w:style>
  <w:style w:type="character" w:styleId="Marquedecommentaire">
    <w:name w:val="annotation reference"/>
    <w:basedOn w:val="Policepardfaut"/>
    <w:semiHidden/>
    <w:unhideWhenUsed/>
    <w:rsid w:val="0013099F"/>
    <w:rPr>
      <w:sz w:val="16"/>
      <w:szCs w:val="16"/>
    </w:rPr>
  </w:style>
  <w:style w:type="paragraph" w:styleId="Commentaire">
    <w:name w:val="annotation text"/>
    <w:basedOn w:val="Normal"/>
    <w:link w:val="CommentaireCar"/>
    <w:unhideWhenUsed/>
    <w:rsid w:val="0013099F"/>
    <w:rPr>
      <w:sz w:val="20"/>
      <w:szCs w:val="20"/>
    </w:rPr>
  </w:style>
  <w:style w:type="character" w:customStyle="1" w:styleId="CommentaireCar">
    <w:name w:val="Commentaire Car"/>
    <w:basedOn w:val="Policepardfaut"/>
    <w:link w:val="Commentaire"/>
    <w:rsid w:val="0013099F"/>
    <w:rPr>
      <w:lang w:eastAsia="ar-SA"/>
    </w:rPr>
  </w:style>
  <w:style w:type="paragraph" w:styleId="Objetducommentaire">
    <w:name w:val="annotation subject"/>
    <w:basedOn w:val="Commentaire"/>
    <w:next w:val="Commentaire"/>
    <w:link w:val="ObjetducommentaireCar"/>
    <w:semiHidden/>
    <w:unhideWhenUsed/>
    <w:rsid w:val="0013099F"/>
    <w:rPr>
      <w:b/>
      <w:bCs/>
    </w:rPr>
  </w:style>
  <w:style w:type="character" w:customStyle="1" w:styleId="ObjetducommentaireCar">
    <w:name w:val="Objet du commentaire Car"/>
    <w:basedOn w:val="CommentaireCar"/>
    <w:link w:val="Objetducommentaire"/>
    <w:semiHidden/>
    <w:rsid w:val="0013099F"/>
    <w:rPr>
      <w:b/>
      <w:bCs/>
      <w:lang w:eastAsia="ar-SA"/>
    </w:rPr>
  </w:style>
  <w:style w:type="table" w:styleId="Grilledutableau">
    <w:name w:val="Table Grid"/>
    <w:basedOn w:val="TableauNormal"/>
    <w:rsid w:val="000738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a9be80aa-1d81-4f9b-a725-00b7929cdbde}" enabled="1" method="Privileged" siteId="{b2e0bd95-d717-4462-b33e-dcaec4e9c4e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1063</Words>
  <Characters>5289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NOTE INTERNE</vt:lpstr>
    </vt:vector>
  </TitlesOfParts>
  <Company>LBC</Company>
  <LinksUpToDate>false</LinksUpToDate>
  <CharactersWithSpaces>6340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INTERNE</dc:title>
  <dc:creator>Louis-Henri DEMELLIER</dc:creator>
  <cp:lastModifiedBy>HUGER Thierry</cp:lastModifiedBy>
  <cp:revision>2</cp:revision>
  <cp:lastPrinted>2026-03-16T16:24:00Z</cp:lastPrinted>
  <dcterms:created xsi:type="dcterms:W3CDTF">2026-05-26T14:30:00Z</dcterms:created>
  <dcterms:modified xsi:type="dcterms:W3CDTF">2026-05-26T14:30:00Z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9be80aa-1d81-4f9b-a725-00b7929cdbde_Enabled">
    <vt:lpwstr>True</vt:lpwstr>
  </property>
  <property fmtid="{D5CDD505-2E9C-101B-9397-08002B2CF9AE}" pid="3" name="MSIP_Label_a9be80aa-1d81-4f9b-a725-00b7929cdbde_SiteId">
    <vt:lpwstr>b2e0bd95-d717-4462-b33e-dcaec4e9c4ec</vt:lpwstr>
  </property>
  <property fmtid="{D5CDD505-2E9C-101B-9397-08002B2CF9AE}" pid="4" name="MSIP_Label_a9be80aa-1d81-4f9b-a725-00b7929cdbde_Ref">
    <vt:lpwstr>https://api.informationprotection.azure.com/api/b2e0bd95-d717-4462-b33e-dcaec4e9c4ec</vt:lpwstr>
  </property>
  <property fmtid="{D5CDD505-2E9C-101B-9397-08002B2CF9AE}" pid="5" name="MSIP_Label_a9be80aa-1d81-4f9b-a725-00b7929cdbde_Owner">
    <vt:lpwstr>francine.saillant@savencia.com</vt:lpwstr>
  </property>
  <property fmtid="{D5CDD505-2E9C-101B-9397-08002B2CF9AE}" pid="6" name="MSIP_Label_a9be80aa-1d81-4f9b-a725-00b7929cdbde_SetDate">
    <vt:lpwstr>2018-10-22T10:25:12.9100250+02:00</vt:lpwstr>
  </property>
  <property fmtid="{D5CDD505-2E9C-101B-9397-08002B2CF9AE}" pid="7" name="MSIP_Label_a9be80aa-1d81-4f9b-a725-00b7929cdbde_Name">
    <vt:lpwstr>C2-Restricted</vt:lpwstr>
  </property>
  <property fmtid="{D5CDD505-2E9C-101B-9397-08002B2CF9AE}" pid="8" name="MSIP_Label_a9be80aa-1d81-4f9b-a725-00b7929cdbde_Application">
    <vt:lpwstr>Microsoft Azure Information Protection</vt:lpwstr>
  </property>
  <property fmtid="{D5CDD505-2E9C-101B-9397-08002B2CF9AE}" pid="9" name="MSIP_Label_a9be80aa-1d81-4f9b-a725-00b7929cdbde_Extended_MSFT_Method">
    <vt:lpwstr>Automatic</vt:lpwstr>
  </property>
  <property fmtid="{D5CDD505-2E9C-101B-9397-08002B2CF9AE}" pid="10" name="Sensitivity">
    <vt:lpwstr>C2-Restricted</vt:lpwstr>
  </property>
</Properties>
</file>