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0F086" w14:textId="087BC269" w:rsidR="002F5F1F" w:rsidRDefault="002F5F1F" w:rsidP="002F5F1F">
      <w:pPr>
        <w:spacing w:line="276" w:lineRule="auto"/>
        <w:jc w:val="center"/>
        <w:rPr>
          <w:rFonts w:ascii="Arial" w:hAnsi="Arial" w:cs="Arial"/>
          <w:bCs/>
          <w:color w:val="000000" w:themeColor="text1"/>
          <w:sz w:val="28"/>
          <w:szCs w:val="24"/>
        </w:rPr>
      </w:pPr>
      <w:r>
        <w:rPr>
          <w:noProof/>
        </w:rPr>
        <w:drawing>
          <wp:anchor distT="0" distB="0" distL="114300" distR="114300" simplePos="0" relativeHeight="251658240" behindDoc="1" locked="0" layoutInCell="1" allowOverlap="1" wp14:anchorId="126424B5" wp14:editId="7246280F">
            <wp:simplePos x="0" y="0"/>
            <wp:positionH relativeFrom="margin">
              <wp:align>left</wp:align>
            </wp:positionH>
            <wp:positionV relativeFrom="margin">
              <wp:align>top</wp:align>
            </wp:positionV>
            <wp:extent cx="1714500" cy="457200"/>
            <wp:effectExtent l="0" t="0" r="0" b="0"/>
            <wp:wrapNone/>
            <wp:docPr id="1" name="Image 1" descr="Une image contenant Police, texte, Graphique, typographi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texte, Graphique, typographie&#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457200"/>
                    </a:xfrm>
                    <a:prstGeom prst="rect">
                      <a:avLst/>
                    </a:prstGeom>
                    <a:noFill/>
                  </pic:spPr>
                </pic:pic>
              </a:graphicData>
            </a:graphic>
            <wp14:sizeRelH relativeFrom="margin">
              <wp14:pctWidth>0</wp14:pctWidth>
            </wp14:sizeRelH>
            <wp14:sizeRelV relativeFrom="margin">
              <wp14:pctHeight>0</wp14:pctHeight>
            </wp14:sizeRelV>
          </wp:anchor>
        </w:drawing>
      </w:r>
    </w:p>
    <w:p w14:paraId="1E780412" w14:textId="77777777" w:rsidR="002F5F1F" w:rsidRDefault="002F5F1F" w:rsidP="002F5F1F">
      <w:pPr>
        <w:spacing w:line="276" w:lineRule="auto"/>
        <w:jc w:val="both"/>
        <w:rPr>
          <w:rFonts w:ascii="Arial" w:hAnsi="Arial" w:cs="Arial"/>
          <w:bCs/>
          <w:color w:val="000000" w:themeColor="text1"/>
          <w:szCs w:val="24"/>
        </w:rPr>
      </w:pPr>
    </w:p>
    <w:p w14:paraId="7D40F3A3" w14:textId="77777777" w:rsidR="002F5F1F" w:rsidRDefault="002F5F1F" w:rsidP="002F5F1F">
      <w:pPr>
        <w:pBdr>
          <w:top w:val="single" w:sz="12" w:space="1" w:color="auto" w:shadow="1"/>
          <w:left w:val="single" w:sz="12" w:space="4" w:color="auto" w:shadow="1"/>
          <w:bottom w:val="single" w:sz="12" w:space="1" w:color="auto" w:shadow="1"/>
          <w:right w:val="single" w:sz="12" w:space="4" w:color="auto" w:shadow="1"/>
        </w:pBdr>
        <w:spacing w:after="0" w:line="276" w:lineRule="auto"/>
        <w:jc w:val="center"/>
        <w:rPr>
          <w:rFonts w:ascii="Arial" w:hAnsi="Arial" w:cs="Arial"/>
          <w:b/>
          <w:bCs/>
          <w:color w:val="000000" w:themeColor="text1"/>
          <w:sz w:val="16"/>
          <w:szCs w:val="16"/>
        </w:rPr>
      </w:pPr>
    </w:p>
    <w:p w14:paraId="3FCFB0E5" w14:textId="37E8F2C3" w:rsidR="002F5F1F" w:rsidRDefault="00017C9C" w:rsidP="002F5F1F">
      <w:pPr>
        <w:pBdr>
          <w:top w:val="single" w:sz="12" w:space="1" w:color="auto" w:shadow="1"/>
          <w:left w:val="single" w:sz="12" w:space="4" w:color="auto" w:shadow="1"/>
          <w:bottom w:val="single" w:sz="12" w:space="1" w:color="auto" w:shadow="1"/>
          <w:right w:val="single" w:sz="12" w:space="4" w:color="auto" w:shadow="1"/>
        </w:pBdr>
        <w:spacing w:before="120" w:line="276" w:lineRule="auto"/>
        <w:jc w:val="center"/>
        <w:rPr>
          <w:rFonts w:ascii="Arial" w:hAnsi="Arial" w:cs="Arial"/>
          <w:b/>
          <w:bCs/>
          <w:color w:val="000000" w:themeColor="text1"/>
          <w:sz w:val="36"/>
          <w:szCs w:val="48"/>
        </w:rPr>
      </w:pPr>
      <w:r>
        <w:rPr>
          <w:rFonts w:ascii="Arial" w:hAnsi="Arial" w:cs="Arial"/>
          <w:b/>
          <w:bCs/>
          <w:color w:val="000000" w:themeColor="text1"/>
          <w:sz w:val="36"/>
          <w:szCs w:val="48"/>
        </w:rPr>
        <w:t xml:space="preserve">AVENANT (DUREE DETERMINEE) </w:t>
      </w:r>
      <w:r w:rsidR="002F5F1F">
        <w:rPr>
          <w:rFonts w:ascii="Arial" w:hAnsi="Arial" w:cs="Arial"/>
          <w:b/>
          <w:bCs/>
          <w:color w:val="000000" w:themeColor="text1"/>
          <w:sz w:val="36"/>
          <w:szCs w:val="48"/>
        </w:rPr>
        <w:t>ACCORD RELATIF AU COMPTE EPARGNE-TEMPS</w:t>
      </w:r>
    </w:p>
    <w:p w14:paraId="1DC224A0" w14:textId="77777777" w:rsidR="002F5F1F" w:rsidRDefault="002F5F1F" w:rsidP="002F5F1F">
      <w:pPr>
        <w:pBdr>
          <w:top w:val="single" w:sz="12" w:space="1" w:color="auto" w:shadow="1"/>
          <w:left w:val="single" w:sz="12" w:space="4" w:color="auto" w:shadow="1"/>
          <w:bottom w:val="single" w:sz="12" w:space="1" w:color="auto" w:shadow="1"/>
          <w:right w:val="single" w:sz="12" w:space="4" w:color="auto" w:shadow="1"/>
        </w:pBdr>
        <w:spacing w:after="0" w:line="276" w:lineRule="auto"/>
        <w:jc w:val="center"/>
        <w:rPr>
          <w:rFonts w:ascii="Arial" w:hAnsi="Arial" w:cs="Arial"/>
          <w:bCs/>
          <w:color w:val="000000" w:themeColor="text1"/>
          <w:sz w:val="16"/>
          <w:szCs w:val="16"/>
        </w:rPr>
      </w:pPr>
    </w:p>
    <w:sdt>
      <w:sdtPr>
        <w:rPr>
          <w:rFonts w:ascii="Arial" w:hAnsi="Arial" w:cs="Arial"/>
          <w:b/>
          <w:bCs/>
          <w:color w:val="000000" w:themeColor="text1"/>
        </w:rPr>
        <w:id w:val="-1026329927"/>
        <w:docPartObj>
          <w:docPartGallery w:val="Table of Contents"/>
          <w:docPartUnique/>
        </w:docPartObj>
      </w:sdtPr>
      <w:sdtEndPr/>
      <w:sdtContent>
        <w:p w14:paraId="3C03C306" w14:textId="77777777" w:rsidR="002F5F1F" w:rsidRDefault="002F5F1F" w:rsidP="002F5F1F">
          <w:pPr>
            <w:pStyle w:val="TM1"/>
            <w:tabs>
              <w:tab w:val="right" w:leader="dot" w:pos="9034"/>
            </w:tabs>
            <w:spacing w:line="276" w:lineRule="auto"/>
            <w:rPr>
              <w:rFonts w:ascii="Arial" w:hAnsi="Arial" w:cs="Arial"/>
              <w:b/>
              <w:color w:val="000000" w:themeColor="text1"/>
            </w:rPr>
          </w:pPr>
        </w:p>
        <w:p w14:paraId="34C2DD57" w14:textId="6657DC71" w:rsidR="006F67A0" w:rsidRDefault="002F5F1F">
          <w:pPr>
            <w:pStyle w:val="TM1"/>
            <w:tabs>
              <w:tab w:val="right" w:leader="dot" w:pos="9062"/>
            </w:tabs>
            <w:rPr>
              <w:rFonts w:asciiTheme="minorHAnsi" w:eastAsiaTheme="minorEastAsia" w:hAnsiTheme="minorHAnsi"/>
              <w:noProof/>
              <w:kern w:val="2"/>
              <w:sz w:val="24"/>
              <w:szCs w:val="24"/>
              <w:lang w:eastAsia="fr-FR"/>
              <w14:ligatures w14:val="standardContextual"/>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TOC \o "1-3" \h \z \u </w:instrText>
          </w:r>
          <w:r>
            <w:rPr>
              <w:rFonts w:ascii="Arial" w:hAnsi="Arial" w:cs="Arial"/>
              <w:color w:val="000000" w:themeColor="text1"/>
              <w:sz w:val="20"/>
              <w:szCs w:val="20"/>
            </w:rPr>
            <w:fldChar w:fldCharType="separate"/>
          </w:r>
          <w:hyperlink w:anchor="_Toc229502709" w:history="1">
            <w:r w:rsidR="006F67A0" w:rsidRPr="00E966E5">
              <w:rPr>
                <w:rStyle w:val="Lienhypertexte"/>
                <w:noProof/>
              </w:rPr>
              <w:t>PREAMBULE</w:t>
            </w:r>
            <w:r w:rsidR="006F67A0">
              <w:rPr>
                <w:noProof/>
                <w:webHidden/>
              </w:rPr>
              <w:tab/>
            </w:r>
            <w:r w:rsidR="006F67A0">
              <w:rPr>
                <w:noProof/>
                <w:webHidden/>
              </w:rPr>
              <w:fldChar w:fldCharType="begin"/>
            </w:r>
            <w:r w:rsidR="006F67A0">
              <w:rPr>
                <w:noProof/>
                <w:webHidden/>
              </w:rPr>
              <w:instrText xml:space="preserve"> PAGEREF _Toc229502709 \h </w:instrText>
            </w:r>
            <w:r w:rsidR="006F67A0">
              <w:rPr>
                <w:noProof/>
                <w:webHidden/>
              </w:rPr>
            </w:r>
            <w:r w:rsidR="006F67A0">
              <w:rPr>
                <w:noProof/>
                <w:webHidden/>
              </w:rPr>
              <w:fldChar w:fldCharType="separate"/>
            </w:r>
            <w:r w:rsidR="006F67A0">
              <w:rPr>
                <w:noProof/>
                <w:webHidden/>
              </w:rPr>
              <w:t>2</w:t>
            </w:r>
            <w:r w:rsidR="006F67A0">
              <w:rPr>
                <w:noProof/>
                <w:webHidden/>
              </w:rPr>
              <w:fldChar w:fldCharType="end"/>
            </w:r>
          </w:hyperlink>
        </w:p>
        <w:p w14:paraId="32B22E8B" w14:textId="41E3C947" w:rsidR="006F67A0" w:rsidRDefault="006F67A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502710" w:history="1">
            <w:r w:rsidRPr="00E966E5">
              <w:rPr>
                <w:rStyle w:val="Lienhypertexte"/>
                <w:noProof/>
              </w:rPr>
              <w:t>ARTICLE 1 – Champs d’application</w:t>
            </w:r>
            <w:r>
              <w:rPr>
                <w:noProof/>
                <w:webHidden/>
              </w:rPr>
              <w:tab/>
            </w:r>
            <w:r>
              <w:rPr>
                <w:noProof/>
                <w:webHidden/>
              </w:rPr>
              <w:fldChar w:fldCharType="begin"/>
            </w:r>
            <w:r>
              <w:rPr>
                <w:noProof/>
                <w:webHidden/>
              </w:rPr>
              <w:instrText xml:space="preserve"> PAGEREF _Toc229502710 \h </w:instrText>
            </w:r>
            <w:r>
              <w:rPr>
                <w:noProof/>
                <w:webHidden/>
              </w:rPr>
            </w:r>
            <w:r>
              <w:rPr>
                <w:noProof/>
                <w:webHidden/>
              </w:rPr>
              <w:fldChar w:fldCharType="separate"/>
            </w:r>
            <w:r>
              <w:rPr>
                <w:noProof/>
                <w:webHidden/>
              </w:rPr>
              <w:t>2</w:t>
            </w:r>
            <w:r>
              <w:rPr>
                <w:noProof/>
                <w:webHidden/>
              </w:rPr>
              <w:fldChar w:fldCharType="end"/>
            </w:r>
          </w:hyperlink>
        </w:p>
        <w:p w14:paraId="78B05F76" w14:textId="4E28AAA2" w:rsidR="006F67A0" w:rsidRDefault="006F67A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502711" w:history="1">
            <w:r w:rsidRPr="00E966E5">
              <w:rPr>
                <w:rStyle w:val="Lienhypertexte"/>
                <w:noProof/>
              </w:rPr>
              <w:t>ARTICLE 2 – Alimentation exceptionnelle du CET</w:t>
            </w:r>
            <w:r>
              <w:rPr>
                <w:noProof/>
                <w:webHidden/>
              </w:rPr>
              <w:tab/>
            </w:r>
            <w:r>
              <w:rPr>
                <w:noProof/>
                <w:webHidden/>
              </w:rPr>
              <w:fldChar w:fldCharType="begin"/>
            </w:r>
            <w:r>
              <w:rPr>
                <w:noProof/>
                <w:webHidden/>
              </w:rPr>
              <w:instrText xml:space="preserve"> PAGEREF _Toc229502711 \h </w:instrText>
            </w:r>
            <w:r>
              <w:rPr>
                <w:noProof/>
                <w:webHidden/>
              </w:rPr>
            </w:r>
            <w:r>
              <w:rPr>
                <w:noProof/>
                <w:webHidden/>
              </w:rPr>
              <w:fldChar w:fldCharType="separate"/>
            </w:r>
            <w:r>
              <w:rPr>
                <w:noProof/>
                <w:webHidden/>
              </w:rPr>
              <w:t>3</w:t>
            </w:r>
            <w:r>
              <w:rPr>
                <w:noProof/>
                <w:webHidden/>
              </w:rPr>
              <w:fldChar w:fldCharType="end"/>
            </w:r>
          </w:hyperlink>
        </w:p>
        <w:p w14:paraId="214B3153" w14:textId="36547522" w:rsidR="006F67A0" w:rsidRDefault="006F67A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502712" w:history="1">
            <w:r w:rsidRPr="00E966E5">
              <w:rPr>
                <w:rStyle w:val="Lienhypertexte"/>
                <w:noProof/>
              </w:rPr>
              <w:t>ARTICLE 2-1 – Volume d’alimentation</w:t>
            </w:r>
            <w:r>
              <w:rPr>
                <w:noProof/>
                <w:webHidden/>
              </w:rPr>
              <w:tab/>
            </w:r>
            <w:r>
              <w:rPr>
                <w:noProof/>
                <w:webHidden/>
              </w:rPr>
              <w:fldChar w:fldCharType="begin"/>
            </w:r>
            <w:r>
              <w:rPr>
                <w:noProof/>
                <w:webHidden/>
              </w:rPr>
              <w:instrText xml:space="preserve"> PAGEREF _Toc229502712 \h </w:instrText>
            </w:r>
            <w:r>
              <w:rPr>
                <w:noProof/>
                <w:webHidden/>
              </w:rPr>
            </w:r>
            <w:r>
              <w:rPr>
                <w:noProof/>
                <w:webHidden/>
              </w:rPr>
              <w:fldChar w:fldCharType="separate"/>
            </w:r>
            <w:r>
              <w:rPr>
                <w:noProof/>
                <w:webHidden/>
              </w:rPr>
              <w:t>3</w:t>
            </w:r>
            <w:r>
              <w:rPr>
                <w:noProof/>
                <w:webHidden/>
              </w:rPr>
              <w:fldChar w:fldCharType="end"/>
            </w:r>
          </w:hyperlink>
        </w:p>
        <w:p w14:paraId="5CAFEF94" w14:textId="6866CE46" w:rsidR="006F67A0" w:rsidRDefault="006F67A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502713" w:history="1">
            <w:r w:rsidRPr="00E966E5">
              <w:rPr>
                <w:rStyle w:val="Lienhypertexte"/>
                <w:noProof/>
              </w:rPr>
              <w:t>ARTICLE 2-2 – Modalités d’alimentation</w:t>
            </w:r>
            <w:r>
              <w:rPr>
                <w:noProof/>
                <w:webHidden/>
              </w:rPr>
              <w:tab/>
            </w:r>
            <w:r>
              <w:rPr>
                <w:noProof/>
                <w:webHidden/>
              </w:rPr>
              <w:fldChar w:fldCharType="begin"/>
            </w:r>
            <w:r>
              <w:rPr>
                <w:noProof/>
                <w:webHidden/>
              </w:rPr>
              <w:instrText xml:space="preserve"> PAGEREF _Toc229502713 \h </w:instrText>
            </w:r>
            <w:r>
              <w:rPr>
                <w:noProof/>
                <w:webHidden/>
              </w:rPr>
            </w:r>
            <w:r>
              <w:rPr>
                <w:noProof/>
                <w:webHidden/>
              </w:rPr>
              <w:fldChar w:fldCharType="separate"/>
            </w:r>
            <w:r>
              <w:rPr>
                <w:noProof/>
                <w:webHidden/>
              </w:rPr>
              <w:t>3</w:t>
            </w:r>
            <w:r>
              <w:rPr>
                <w:noProof/>
                <w:webHidden/>
              </w:rPr>
              <w:fldChar w:fldCharType="end"/>
            </w:r>
          </w:hyperlink>
        </w:p>
        <w:p w14:paraId="6486E3F8" w14:textId="7B381700" w:rsidR="006F67A0" w:rsidRDefault="006F67A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502714" w:history="1">
            <w:r w:rsidRPr="00E966E5">
              <w:rPr>
                <w:rStyle w:val="Lienhypertexte"/>
                <w:noProof/>
              </w:rPr>
              <w:t>ARTICLE 3 - Dispositions finales</w:t>
            </w:r>
            <w:r>
              <w:rPr>
                <w:noProof/>
                <w:webHidden/>
              </w:rPr>
              <w:tab/>
            </w:r>
            <w:r>
              <w:rPr>
                <w:noProof/>
                <w:webHidden/>
              </w:rPr>
              <w:fldChar w:fldCharType="begin"/>
            </w:r>
            <w:r>
              <w:rPr>
                <w:noProof/>
                <w:webHidden/>
              </w:rPr>
              <w:instrText xml:space="preserve"> PAGEREF _Toc229502714 \h </w:instrText>
            </w:r>
            <w:r>
              <w:rPr>
                <w:noProof/>
                <w:webHidden/>
              </w:rPr>
            </w:r>
            <w:r>
              <w:rPr>
                <w:noProof/>
                <w:webHidden/>
              </w:rPr>
              <w:fldChar w:fldCharType="separate"/>
            </w:r>
            <w:r>
              <w:rPr>
                <w:noProof/>
                <w:webHidden/>
              </w:rPr>
              <w:t>4</w:t>
            </w:r>
            <w:r>
              <w:rPr>
                <w:noProof/>
                <w:webHidden/>
              </w:rPr>
              <w:fldChar w:fldCharType="end"/>
            </w:r>
          </w:hyperlink>
        </w:p>
        <w:p w14:paraId="25E48DD1" w14:textId="2E3D06C7" w:rsidR="006F67A0" w:rsidRDefault="006F67A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502715" w:history="1">
            <w:r w:rsidRPr="00E966E5">
              <w:rPr>
                <w:rStyle w:val="Lienhypertexte"/>
                <w:noProof/>
              </w:rPr>
              <w:t>ARTICLE 3-1 - Durée d'application</w:t>
            </w:r>
            <w:r>
              <w:rPr>
                <w:noProof/>
                <w:webHidden/>
              </w:rPr>
              <w:tab/>
            </w:r>
            <w:r>
              <w:rPr>
                <w:noProof/>
                <w:webHidden/>
              </w:rPr>
              <w:fldChar w:fldCharType="begin"/>
            </w:r>
            <w:r>
              <w:rPr>
                <w:noProof/>
                <w:webHidden/>
              </w:rPr>
              <w:instrText xml:space="preserve"> PAGEREF _Toc229502715 \h </w:instrText>
            </w:r>
            <w:r>
              <w:rPr>
                <w:noProof/>
                <w:webHidden/>
              </w:rPr>
            </w:r>
            <w:r>
              <w:rPr>
                <w:noProof/>
                <w:webHidden/>
              </w:rPr>
              <w:fldChar w:fldCharType="separate"/>
            </w:r>
            <w:r>
              <w:rPr>
                <w:noProof/>
                <w:webHidden/>
              </w:rPr>
              <w:t>4</w:t>
            </w:r>
            <w:r>
              <w:rPr>
                <w:noProof/>
                <w:webHidden/>
              </w:rPr>
              <w:fldChar w:fldCharType="end"/>
            </w:r>
          </w:hyperlink>
        </w:p>
        <w:p w14:paraId="4C2153E8" w14:textId="24863B1F" w:rsidR="006F67A0" w:rsidRDefault="006F67A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502716" w:history="1">
            <w:r w:rsidRPr="00E966E5">
              <w:rPr>
                <w:rStyle w:val="Lienhypertexte"/>
                <w:noProof/>
              </w:rPr>
              <w:t>ARTICLE 3-2 - Suivi de l’accord</w:t>
            </w:r>
            <w:r>
              <w:rPr>
                <w:noProof/>
                <w:webHidden/>
              </w:rPr>
              <w:tab/>
            </w:r>
            <w:r>
              <w:rPr>
                <w:noProof/>
                <w:webHidden/>
              </w:rPr>
              <w:fldChar w:fldCharType="begin"/>
            </w:r>
            <w:r>
              <w:rPr>
                <w:noProof/>
                <w:webHidden/>
              </w:rPr>
              <w:instrText xml:space="preserve"> PAGEREF _Toc229502716 \h </w:instrText>
            </w:r>
            <w:r>
              <w:rPr>
                <w:noProof/>
                <w:webHidden/>
              </w:rPr>
            </w:r>
            <w:r>
              <w:rPr>
                <w:noProof/>
                <w:webHidden/>
              </w:rPr>
              <w:fldChar w:fldCharType="separate"/>
            </w:r>
            <w:r>
              <w:rPr>
                <w:noProof/>
                <w:webHidden/>
              </w:rPr>
              <w:t>4</w:t>
            </w:r>
            <w:r>
              <w:rPr>
                <w:noProof/>
                <w:webHidden/>
              </w:rPr>
              <w:fldChar w:fldCharType="end"/>
            </w:r>
          </w:hyperlink>
        </w:p>
        <w:p w14:paraId="359CC1F9" w14:textId="50D81F8E" w:rsidR="006F67A0" w:rsidRDefault="006F67A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502717" w:history="1">
            <w:r w:rsidRPr="00E966E5">
              <w:rPr>
                <w:rStyle w:val="Lienhypertexte"/>
                <w:noProof/>
              </w:rPr>
              <w:t>ARTICLE 3-3 - Notification et dépôt</w:t>
            </w:r>
            <w:r>
              <w:rPr>
                <w:noProof/>
                <w:webHidden/>
              </w:rPr>
              <w:tab/>
            </w:r>
            <w:r>
              <w:rPr>
                <w:noProof/>
                <w:webHidden/>
              </w:rPr>
              <w:fldChar w:fldCharType="begin"/>
            </w:r>
            <w:r>
              <w:rPr>
                <w:noProof/>
                <w:webHidden/>
              </w:rPr>
              <w:instrText xml:space="preserve"> PAGEREF _Toc229502717 \h </w:instrText>
            </w:r>
            <w:r>
              <w:rPr>
                <w:noProof/>
                <w:webHidden/>
              </w:rPr>
            </w:r>
            <w:r>
              <w:rPr>
                <w:noProof/>
                <w:webHidden/>
              </w:rPr>
              <w:fldChar w:fldCharType="separate"/>
            </w:r>
            <w:r>
              <w:rPr>
                <w:noProof/>
                <w:webHidden/>
              </w:rPr>
              <w:t>4</w:t>
            </w:r>
            <w:r>
              <w:rPr>
                <w:noProof/>
                <w:webHidden/>
              </w:rPr>
              <w:fldChar w:fldCharType="end"/>
            </w:r>
          </w:hyperlink>
        </w:p>
        <w:p w14:paraId="0451BB69" w14:textId="59CA4D5D" w:rsidR="002F5F1F" w:rsidRDefault="002F5F1F" w:rsidP="002F5F1F">
          <w:pPr>
            <w:pStyle w:val="TM2"/>
            <w:tabs>
              <w:tab w:val="right" w:leader="dot" w:pos="9034"/>
            </w:tabs>
            <w:spacing w:line="276" w:lineRule="auto"/>
            <w:ind w:left="0"/>
            <w:rPr>
              <w:rFonts w:cs="Arial"/>
              <w:b/>
              <w:bCs/>
              <w:color w:val="000000" w:themeColor="text1"/>
              <w:sz w:val="20"/>
              <w:szCs w:val="20"/>
            </w:rPr>
          </w:pPr>
          <w:r>
            <w:rPr>
              <w:rFonts w:cs="Arial"/>
              <w:color w:val="000000" w:themeColor="text1"/>
              <w:sz w:val="20"/>
              <w:szCs w:val="20"/>
            </w:rPr>
            <w:fldChar w:fldCharType="end"/>
          </w:r>
        </w:p>
      </w:sdtContent>
    </w:sdt>
    <w:p w14:paraId="4E8F6391" w14:textId="77777777" w:rsidR="002F5F1F" w:rsidRDefault="002F5F1F" w:rsidP="002F5F1F">
      <w:pPr>
        <w:rPr>
          <w:rFonts w:ascii="Arial" w:hAnsi="Arial" w:cs="Arial"/>
          <w:color w:val="000000" w:themeColor="text1"/>
        </w:rPr>
      </w:pPr>
      <w:r>
        <w:rPr>
          <w:rFonts w:ascii="Arial" w:hAnsi="Arial" w:cs="Arial"/>
          <w:color w:val="000000" w:themeColor="text1"/>
        </w:rPr>
        <w:br w:type="page"/>
      </w:r>
    </w:p>
    <w:p w14:paraId="2EB30D79" w14:textId="7CA09A6C" w:rsidR="00A5264B" w:rsidRDefault="00A5264B" w:rsidP="00A5264B">
      <w:pPr>
        <w:jc w:val="both"/>
        <w:rPr>
          <w:rFonts w:ascii="Arial" w:hAnsi="Arial" w:cs="Arial"/>
        </w:rPr>
      </w:pPr>
      <w:bookmarkStart w:id="0" w:name="_Hlk188535143"/>
      <w:r w:rsidRPr="0061094E">
        <w:rPr>
          <w:rFonts w:ascii="Arial" w:hAnsi="Arial" w:cs="Arial"/>
        </w:rPr>
        <w:lastRenderedPageBreak/>
        <w:t xml:space="preserve">Entre </w:t>
      </w:r>
      <w:r>
        <w:rPr>
          <w:rFonts w:ascii="Arial" w:hAnsi="Arial" w:cs="Arial"/>
        </w:rPr>
        <w:t xml:space="preserve">les soussignés : </w:t>
      </w:r>
    </w:p>
    <w:p w14:paraId="2618A48A" w14:textId="6EC7A088" w:rsidR="00A5264B" w:rsidRDefault="00A5264B" w:rsidP="00A5264B">
      <w:pPr>
        <w:jc w:val="both"/>
        <w:rPr>
          <w:rFonts w:ascii="Arial" w:hAnsi="Arial" w:cs="Arial"/>
        </w:rPr>
      </w:pPr>
      <w:r>
        <w:rPr>
          <w:rFonts w:ascii="Arial" w:hAnsi="Arial" w:cs="Arial"/>
        </w:rPr>
        <w:t xml:space="preserve">La Société </w:t>
      </w:r>
      <w:r w:rsidRPr="00A5264B">
        <w:rPr>
          <w:rFonts w:ascii="Arial" w:hAnsi="Arial" w:cs="Arial"/>
          <w:b/>
          <w:bCs/>
        </w:rPr>
        <w:t>Guillot Industrie</w:t>
      </w:r>
      <w:r>
        <w:rPr>
          <w:rFonts w:ascii="Arial" w:hAnsi="Arial" w:cs="Arial"/>
        </w:rPr>
        <w:t xml:space="preserve">, dont le siège social est situé Route de Fleurville – 01 190 PONT DE VAUX et représentée par Monsieur </w:t>
      </w:r>
      <w:r w:rsidR="00C30E52">
        <w:rPr>
          <w:rFonts w:ascii="Arial" w:hAnsi="Arial" w:cs="Arial"/>
        </w:rPr>
        <w:t>X</w:t>
      </w:r>
      <w:r>
        <w:rPr>
          <w:rFonts w:ascii="Arial" w:hAnsi="Arial" w:cs="Arial"/>
        </w:rPr>
        <w:t xml:space="preserve"> en sa qualité de Directeur d’Usine </w:t>
      </w:r>
    </w:p>
    <w:p w14:paraId="1A6D03D9" w14:textId="77777777" w:rsidR="00A5264B" w:rsidRPr="0061094E" w:rsidRDefault="00A5264B" w:rsidP="00A5264B">
      <w:pPr>
        <w:jc w:val="right"/>
        <w:rPr>
          <w:rFonts w:ascii="Arial" w:hAnsi="Arial" w:cs="Arial"/>
          <w:i/>
          <w:iCs/>
        </w:rPr>
      </w:pPr>
      <w:r w:rsidRPr="0061094E">
        <w:rPr>
          <w:rFonts w:ascii="Arial" w:hAnsi="Arial" w:cs="Arial"/>
          <w:i/>
          <w:iCs/>
        </w:rPr>
        <w:t>D’une part</w:t>
      </w:r>
    </w:p>
    <w:p w14:paraId="63395AC5" w14:textId="77777777" w:rsidR="00A5264B" w:rsidRDefault="00A5264B" w:rsidP="00A5264B">
      <w:pPr>
        <w:jc w:val="both"/>
        <w:rPr>
          <w:rFonts w:ascii="Arial" w:hAnsi="Arial" w:cs="Arial"/>
        </w:rPr>
      </w:pPr>
      <w:r>
        <w:rPr>
          <w:rFonts w:ascii="Arial" w:hAnsi="Arial" w:cs="Arial"/>
        </w:rPr>
        <w:t xml:space="preserve">Et </w:t>
      </w:r>
    </w:p>
    <w:p w14:paraId="2A5C2796" w14:textId="4A00765C" w:rsidR="00A5264B" w:rsidRPr="00951F2A" w:rsidRDefault="00A5264B" w:rsidP="00A5264B">
      <w:pPr>
        <w:pStyle w:val="Paragraphedeliste"/>
        <w:numPr>
          <w:ilvl w:val="0"/>
          <w:numId w:val="8"/>
        </w:numPr>
        <w:spacing w:line="259" w:lineRule="auto"/>
        <w:jc w:val="both"/>
        <w:rPr>
          <w:rFonts w:ascii="Arial" w:hAnsi="Arial" w:cs="Arial"/>
        </w:rPr>
      </w:pPr>
      <w:r>
        <w:rPr>
          <w:rFonts w:ascii="Arial" w:hAnsi="Arial" w:cs="Arial"/>
        </w:rPr>
        <w:t xml:space="preserve">Le </w:t>
      </w:r>
      <w:r w:rsidRPr="00A5264B">
        <w:rPr>
          <w:rFonts w:ascii="Arial" w:hAnsi="Arial" w:cs="Arial"/>
          <w:b/>
          <w:bCs/>
        </w:rPr>
        <w:t>syndicat CFDT</w:t>
      </w:r>
      <w:r>
        <w:rPr>
          <w:rFonts w:ascii="Arial" w:hAnsi="Arial" w:cs="Arial"/>
        </w:rPr>
        <w:t xml:space="preserve">, représenté par Monsieur </w:t>
      </w:r>
      <w:r w:rsidR="00C30E52">
        <w:rPr>
          <w:rFonts w:ascii="Arial" w:hAnsi="Arial" w:cs="Arial"/>
        </w:rPr>
        <w:t>Y</w:t>
      </w:r>
      <w:r>
        <w:rPr>
          <w:rFonts w:ascii="Arial" w:hAnsi="Arial" w:cs="Arial"/>
        </w:rPr>
        <w:t>, agissant en sa qualité de délégué syndical</w:t>
      </w:r>
    </w:p>
    <w:p w14:paraId="2C676E2D" w14:textId="51435E5E" w:rsidR="00A5264B" w:rsidRDefault="00A5264B" w:rsidP="00A5264B">
      <w:pPr>
        <w:pStyle w:val="Paragraphedeliste"/>
        <w:numPr>
          <w:ilvl w:val="0"/>
          <w:numId w:val="8"/>
        </w:numPr>
        <w:spacing w:line="259" w:lineRule="auto"/>
        <w:jc w:val="both"/>
        <w:rPr>
          <w:rFonts w:ascii="Arial" w:hAnsi="Arial" w:cs="Arial"/>
        </w:rPr>
      </w:pPr>
      <w:r>
        <w:rPr>
          <w:rFonts w:ascii="Arial" w:hAnsi="Arial" w:cs="Arial"/>
        </w:rPr>
        <w:t xml:space="preserve">Le </w:t>
      </w:r>
      <w:r w:rsidRPr="00A5264B">
        <w:rPr>
          <w:rFonts w:ascii="Arial" w:hAnsi="Arial" w:cs="Arial"/>
          <w:b/>
          <w:bCs/>
        </w:rPr>
        <w:t>syndicat UNSA</w:t>
      </w:r>
      <w:r>
        <w:rPr>
          <w:rFonts w:ascii="Arial" w:hAnsi="Arial" w:cs="Arial"/>
        </w:rPr>
        <w:t xml:space="preserve">, représenté par Monsieur </w:t>
      </w:r>
      <w:r w:rsidR="00C30E52">
        <w:rPr>
          <w:rFonts w:ascii="Arial" w:hAnsi="Arial" w:cs="Arial"/>
        </w:rPr>
        <w:t>Z</w:t>
      </w:r>
      <w:r>
        <w:rPr>
          <w:rFonts w:ascii="Arial" w:hAnsi="Arial" w:cs="Arial"/>
        </w:rPr>
        <w:t>, agissant en sa qualité de délégué syndical</w:t>
      </w:r>
    </w:p>
    <w:p w14:paraId="16FA6F2B" w14:textId="77777777" w:rsidR="00A5264B" w:rsidRPr="0061094E" w:rsidRDefault="00A5264B" w:rsidP="00A5264B">
      <w:pPr>
        <w:jc w:val="right"/>
        <w:rPr>
          <w:rFonts w:ascii="Arial" w:hAnsi="Arial" w:cs="Arial"/>
          <w:i/>
          <w:iCs/>
        </w:rPr>
      </w:pPr>
      <w:r w:rsidRPr="0061094E">
        <w:rPr>
          <w:rFonts w:ascii="Arial" w:hAnsi="Arial" w:cs="Arial"/>
          <w:i/>
          <w:iCs/>
        </w:rPr>
        <w:t>D’autre part</w:t>
      </w:r>
    </w:p>
    <w:p w14:paraId="0F44A8B4" w14:textId="77777777" w:rsidR="00A5264B" w:rsidRDefault="00A5264B" w:rsidP="002F5F1F">
      <w:pPr>
        <w:spacing w:line="276" w:lineRule="auto"/>
        <w:jc w:val="both"/>
        <w:rPr>
          <w:rFonts w:ascii="Arial" w:hAnsi="Arial" w:cs="Arial"/>
          <w:bCs/>
          <w:color w:val="000000" w:themeColor="text1"/>
        </w:rPr>
      </w:pPr>
    </w:p>
    <w:p w14:paraId="457CBFDB" w14:textId="5808B145" w:rsidR="002F5F1F" w:rsidRDefault="002F5F1F" w:rsidP="002F5F1F">
      <w:pPr>
        <w:spacing w:line="276" w:lineRule="auto"/>
        <w:jc w:val="both"/>
        <w:rPr>
          <w:rFonts w:ascii="Arial" w:hAnsi="Arial" w:cs="Arial"/>
          <w:bCs/>
          <w:color w:val="000000" w:themeColor="text1"/>
        </w:rPr>
      </w:pPr>
      <w:r>
        <w:rPr>
          <w:rFonts w:ascii="Arial" w:hAnsi="Arial" w:cs="Arial"/>
          <w:bCs/>
          <w:color w:val="000000" w:themeColor="text1"/>
        </w:rPr>
        <w:t>Il est convenu et arrêté ce qui suit :</w:t>
      </w:r>
    </w:p>
    <w:bookmarkEnd w:id="0"/>
    <w:p w14:paraId="60858087" w14:textId="77777777" w:rsidR="00A5264B" w:rsidRDefault="00A5264B" w:rsidP="002F5F1F">
      <w:pPr>
        <w:spacing w:line="276" w:lineRule="auto"/>
        <w:jc w:val="both"/>
        <w:rPr>
          <w:rFonts w:ascii="Arial" w:hAnsi="Arial" w:cs="Arial"/>
          <w:bCs/>
          <w:color w:val="000000" w:themeColor="text1"/>
        </w:rPr>
      </w:pPr>
    </w:p>
    <w:p w14:paraId="5DD90302" w14:textId="77777777" w:rsidR="002F5F1F" w:rsidRDefault="002F5F1F" w:rsidP="002F5F1F">
      <w:pPr>
        <w:pStyle w:val="Titre1"/>
        <w:spacing w:before="120" w:after="120" w:line="276" w:lineRule="auto"/>
      </w:pPr>
      <w:bookmarkStart w:id="1" w:name="_Toc33000030"/>
      <w:bookmarkStart w:id="2" w:name="_Toc229502709"/>
      <w:bookmarkStart w:id="3" w:name="_Hlk188535150"/>
      <w:r>
        <w:t>PREAMBULE</w:t>
      </w:r>
      <w:bookmarkEnd w:id="1"/>
      <w:bookmarkEnd w:id="2"/>
      <w:r>
        <w:t xml:space="preserve"> </w:t>
      </w:r>
    </w:p>
    <w:p w14:paraId="1343F9C5" w14:textId="77777777" w:rsidR="009A25F3" w:rsidRPr="009A25F3" w:rsidRDefault="009A25F3" w:rsidP="009A25F3"/>
    <w:bookmarkEnd w:id="3"/>
    <w:p w14:paraId="60671899" w14:textId="02ADC51D" w:rsidR="002F5F1F" w:rsidRDefault="009A25F3" w:rsidP="009A25F3">
      <w:pPr>
        <w:spacing w:after="0" w:line="240" w:lineRule="auto"/>
        <w:jc w:val="both"/>
        <w:rPr>
          <w:rFonts w:ascii="Arial" w:hAnsi="Arial" w:cs="Arial"/>
          <w:bCs/>
          <w:color w:val="000000" w:themeColor="text1"/>
        </w:rPr>
      </w:pPr>
      <w:r>
        <w:rPr>
          <w:rFonts w:ascii="Arial" w:hAnsi="Arial" w:cs="Arial"/>
          <w:bCs/>
          <w:color w:val="000000" w:themeColor="text1"/>
        </w:rPr>
        <w:t>À la suite du décalage du projet de déploiement de SAP, il est apparu nécessaire de reporter une période prévue initialement non travaillée (du 25/09/26 au 02/10/2026) sur l’année calendaire 2027.</w:t>
      </w:r>
    </w:p>
    <w:p w14:paraId="7B51190E" w14:textId="77777777" w:rsidR="009A25F3" w:rsidRDefault="009A25F3" w:rsidP="009A25F3">
      <w:pPr>
        <w:spacing w:after="0" w:line="240" w:lineRule="auto"/>
        <w:jc w:val="both"/>
        <w:rPr>
          <w:rFonts w:ascii="Arial" w:eastAsia="Times New Roman" w:hAnsi="Arial" w:cs="Arial"/>
          <w:color w:val="000000"/>
          <w:lang w:eastAsia="fr-FR"/>
        </w:rPr>
      </w:pPr>
    </w:p>
    <w:p w14:paraId="58040C78" w14:textId="27E031F3" w:rsidR="009A25F3" w:rsidRDefault="009A25F3" w:rsidP="009A25F3">
      <w:pPr>
        <w:spacing w:after="0" w:line="240" w:lineRule="auto"/>
        <w:jc w:val="both"/>
        <w:rPr>
          <w:rFonts w:ascii="Arial" w:eastAsia="Times New Roman" w:hAnsi="Arial" w:cs="Arial"/>
          <w:color w:val="000000"/>
          <w:lang w:eastAsia="fr-FR"/>
        </w:rPr>
      </w:pPr>
      <w:r>
        <w:rPr>
          <w:rFonts w:ascii="Arial" w:eastAsia="Times New Roman" w:hAnsi="Arial" w:cs="Arial"/>
          <w:color w:val="000000"/>
          <w:lang w:eastAsia="fr-FR"/>
        </w:rPr>
        <w:t xml:space="preserve">Afin de répondre au mieux aux besoins de l’entreprise et des salariés et en lien avec les modifications apportées au calendrier porté par l’accord ATT 2026, les parties ont convenu </w:t>
      </w:r>
      <w:r w:rsidR="0021481E">
        <w:rPr>
          <w:rFonts w:ascii="Arial" w:eastAsia="Times New Roman" w:hAnsi="Arial" w:cs="Arial"/>
          <w:color w:val="000000"/>
          <w:lang w:eastAsia="fr-FR"/>
        </w:rPr>
        <w:t>que l’équivalant de deux jours (qui seront de ce fait travaillés pendant cette dite période) viendront alimenter le CET des salariés concernés.</w:t>
      </w:r>
    </w:p>
    <w:p w14:paraId="01DE107B" w14:textId="77777777" w:rsidR="002F5F1F" w:rsidRDefault="002F5F1F" w:rsidP="002F5F1F">
      <w:pPr>
        <w:spacing w:before="120" w:after="120" w:line="276" w:lineRule="auto"/>
        <w:jc w:val="both"/>
        <w:rPr>
          <w:rFonts w:ascii="Arial" w:hAnsi="Arial" w:cs="Arial"/>
          <w:color w:val="000000" w:themeColor="text1"/>
        </w:rPr>
      </w:pPr>
    </w:p>
    <w:p w14:paraId="7C2CAC72" w14:textId="39D38EC5" w:rsidR="00BF214E" w:rsidRDefault="00BF214E" w:rsidP="00BF214E">
      <w:pPr>
        <w:pStyle w:val="Titre1"/>
        <w:spacing w:before="120" w:after="120" w:line="276" w:lineRule="auto"/>
        <w:jc w:val="both"/>
      </w:pPr>
      <w:bookmarkStart w:id="4" w:name="_Toc229502710"/>
      <w:r>
        <w:t>ARTICLE 1 – Champs d’application</w:t>
      </w:r>
      <w:bookmarkEnd w:id="4"/>
    </w:p>
    <w:p w14:paraId="6AC62E73" w14:textId="77777777" w:rsidR="0021481E" w:rsidRDefault="0021481E" w:rsidP="00652898">
      <w:pPr>
        <w:spacing w:after="0" w:line="240" w:lineRule="auto"/>
        <w:jc w:val="both"/>
        <w:rPr>
          <w:rFonts w:ascii="Arial" w:eastAsia="Times New Roman" w:hAnsi="Arial" w:cs="Arial"/>
          <w:color w:val="000000"/>
          <w:lang w:eastAsia="fr-FR"/>
        </w:rPr>
      </w:pPr>
    </w:p>
    <w:p w14:paraId="7192981F" w14:textId="7BF7C179" w:rsidR="00BF214E" w:rsidRDefault="00BF214E" w:rsidP="00652898">
      <w:pPr>
        <w:spacing w:after="0" w:line="240" w:lineRule="auto"/>
        <w:jc w:val="both"/>
        <w:rPr>
          <w:rFonts w:ascii="Arial" w:eastAsia="Times New Roman" w:hAnsi="Arial" w:cs="Arial"/>
          <w:color w:val="000000"/>
          <w:lang w:eastAsia="fr-FR"/>
        </w:rPr>
      </w:pPr>
      <w:r w:rsidRPr="00652898">
        <w:rPr>
          <w:rFonts w:ascii="Arial" w:eastAsia="Times New Roman" w:hAnsi="Arial" w:cs="Arial"/>
          <w:color w:val="000000"/>
          <w:lang w:eastAsia="fr-FR"/>
        </w:rPr>
        <w:t>Le présent avenant concerne les salariés de la société GUILLOT INDUSTRIE rattachés aux services suivants :</w:t>
      </w:r>
    </w:p>
    <w:p w14:paraId="0707AF3E" w14:textId="77777777" w:rsidR="00674E91" w:rsidRPr="00652898" w:rsidRDefault="00674E91" w:rsidP="00652898">
      <w:pPr>
        <w:spacing w:after="0" w:line="240" w:lineRule="auto"/>
        <w:jc w:val="both"/>
        <w:rPr>
          <w:rFonts w:ascii="Arial" w:eastAsia="Times New Roman" w:hAnsi="Arial" w:cs="Arial"/>
          <w:color w:val="000000"/>
          <w:lang w:eastAsia="fr-FR"/>
        </w:rPr>
      </w:pPr>
    </w:p>
    <w:p w14:paraId="5FF27335" w14:textId="77777777" w:rsidR="009D01A5" w:rsidRPr="00652898" w:rsidRDefault="009D01A5" w:rsidP="009D01A5">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Chaudronnerie,</w:t>
      </w:r>
    </w:p>
    <w:p w14:paraId="733AA3A0" w14:textId="77777777" w:rsidR="009D01A5" w:rsidRPr="00652898" w:rsidRDefault="009D01A5" w:rsidP="009D01A5">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Montage,</w:t>
      </w:r>
    </w:p>
    <w:p w14:paraId="2BA41621" w14:textId="77777777" w:rsidR="009D01A5" w:rsidRPr="00652898" w:rsidRDefault="009D01A5" w:rsidP="009D01A5">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Tôlerie,</w:t>
      </w:r>
    </w:p>
    <w:p w14:paraId="50F1C422" w14:textId="77777777" w:rsidR="009D01A5" w:rsidRPr="00652898" w:rsidRDefault="009D01A5" w:rsidP="009D01A5">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Logistique amont,</w:t>
      </w:r>
    </w:p>
    <w:p w14:paraId="754A7D94" w14:textId="77777777" w:rsidR="00674E91" w:rsidRPr="00652898" w:rsidRDefault="00674E91" w:rsidP="00652898">
      <w:pPr>
        <w:spacing w:after="0" w:line="240" w:lineRule="auto"/>
        <w:ind w:left="851"/>
        <w:jc w:val="both"/>
        <w:rPr>
          <w:rFonts w:ascii="Arial" w:eastAsia="Times New Roman" w:hAnsi="Arial" w:cs="Arial"/>
          <w:color w:val="000000"/>
          <w:lang w:eastAsia="fr-FR"/>
        </w:rPr>
      </w:pPr>
    </w:p>
    <w:p w14:paraId="75B1D572" w14:textId="2DF3C763" w:rsidR="00BF214E" w:rsidRPr="00652898" w:rsidRDefault="00BF214E" w:rsidP="00652898">
      <w:pPr>
        <w:spacing w:after="0" w:line="240" w:lineRule="auto"/>
        <w:jc w:val="both"/>
        <w:rPr>
          <w:rFonts w:ascii="Arial" w:eastAsia="Times New Roman" w:hAnsi="Arial" w:cs="Arial"/>
          <w:color w:val="000000"/>
          <w:lang w:eastAsia="fr-FR"/>
        </w:rPr>
      </w:pPr>
      <w:r w:rsidRPr="54113CB4">
        <w:rPr>
          <w:rFonts w:ascii="Arial" w:eastAsia="Times New Roman" w:hAnsi="Arial" w:cs="Arial"/>
          <w:color w:val="000000" w:themeColor="text1"/>
          <w:lang w:eastAsia="fr-FR"/>
        </w:rPr>
        <w:t xml:space="preserve">Au sein de ces services, les salariés concernés sont les salariés à temps plein et à temps partiel, en </w:t>
      </w:r>
      <w:r w:rsidR="2CABC146" w:rsidRPr="54113CB4">
        <w:rPr>
          <w:rFonts w:ascii="Arial" w:eastAsia="Times New Roman" w:hAnsi="Arial" w:cs="Arial"/>
          <w:color w:val="000000" w:themeColor="text1"/>
          <w:lang w:eastAsia="fr-FR"/>
        </w:rPr>
        <w:t>C</w:t>
      </w:r>
      <w:r w:rsidRPr="54113CB4">
        <w:rPr>
          <w:rFonts w:ascii="Arial" w:eastAsia="Times New Roman" w:hAnsi="Arial" w:cs="Arial"/>
          <w:color w:val="000000" w:themeColor="text1"/>
          <w:lang w:eastAsia="fr-FR"/>
        </w:rPr>
        <w:t>DI ou en CDD. Les personnes sous contrats intérimaires sont exclues du périmètre d’application</w:t>
      </w:r>
      <w:r w:rsidR="00652898" w:rsidRPr="54113CB4">
        <w:rPr>
          <w:rFonts w:ascii="Arial" w:eastAsia="Times New Roman" w:hAnsi="Arial" w:cs="Arial"/>
          <w:color w:val="000000" w:themeColor="text1"/>
          <w:lang w:eastAsia="fr-FR"/>
        </w:rPr>
        <w:t>, ainsi que l</w:t>
      </w:r>
      <w:r w:rsidRPr="54113CB4">
        <w:rPr>
          <w:rFonts w:ascii="Arial" w:eastAsia="Times New Roman" w:hAnsi="Arial" w:cs="Arial"/>
          <w:color w:val="000000" w:themeColor="text1"/>
          <w:lang w:eastAsia="fr-FR"/>
        </w:rPr>
        <w:t>es stagiaires</w:t>
      </w:r>
      <w:r w:rsidR="00652898" w:rsidRPr="54113CB4">
        <w:rPr>
          <w:rFonts w:ascii="Arial" w:eastAsia="Times New Roman" w:hAnsi="Arial" w:cs="Arial"/>
          <w:color w:val="000000" w:themeColor="text1"/>
          <w:lang w:eastAsia="fr-FR"/>
        </w:rPr>
        <w:t>.</w:t>
      </w:r>
    </w:p>
    <w:p w14:paraId="72758398" w14:textId="3A9DA71D" w:rsidR="00BF214E" w:rsidRDefault="00BF214E" w:rsidP="00652898">
      <w:pPr>
        <w:spacing w:after="0" w:line="240" w:lineRule="auto"/>
        <w:jc w:val="both"/>
        <w:rPr>
          <w:rFonts w:ascii="Arial" w:eastAsia="Times New Roman" w:hAnsi="Arial" w:cs="Arial"/>
          <w:color w:val="000000"/>
          <w:lang w:eastAsia="fr-FR"/>
        </w:rPr>
      </w:pPr>
      <w:r w:rsidRPr="00652898">
        <w:rPr>
          <w:rFonts w:ascii="Arial" w:eastAsia="Times New Roman" w:hAnsi="Arial" w:cs="Arial"/>
          <w:color w:val="000000"/>
          <w:lang w:eastAsia="fr-FR"/>
        </w:rPr>
        <w:t>Il est précisé que les salariés dont le contrat de travail prévoit une forfaitisation du temps de travail (par</w:t>
      </w:r>
      <w:r w:rsidR="00652898" w:rsidRPr="00652898">
        <w:rPr>
          <w:rFonts w:ascii="Arial" w:eastAsia="Times New Roman" w:hAnsi="Arial" w:cs="Arial"/>
          <w:color w:val="000000"/>
          <w:lang w:eastAsia="fr-FR"/>
        </w:rPr>
        <w:t xml:space="preserve"> </w:t>
      </w:r>
      <w:r w:rsidRPr="00652898">
        <w:rPr>
          <w:rFonts w:ascii="Arial" w:eastAsia="Times New Roman" w:hAnsi="Arial" w:cs="Arial"/>
          <w:color w:val="000000"/>
          <w:lang w:eastAsia="fr-FR"/>
        </w:rPr>
        <w:t>exemple : salariés ayant le statut cadre, dont le temps de travail est organisé via un forfait en jours) et</w:t>
      </w:r>
      <w:r w:rsidR="00652898" w:rsidRPr="00652898">
        <w:rPr>
          <w:rFonts w:ascii="Arial" w:eastAsia="Times New Roman" w:hAnsi="Arial" w:cs="Arial"/>
          <w:color w:val="000000"/>
          <w:lang w:eastAsia="fr-FR"/>
        </w:rPr>
        <w:t xml:space="preserve"> </w:t>
      </w:r>
      <w:r w:rsidRPr="00652898">
        <w:rPr>
          <w:rFonts w:ascii="Arial" w:eastAsia="Times New Roman" w:hAnsi="Arial" w:cs="Arial"/>
          <w:color w:val="000000"/>
          <w:lang w:eastAsia="fr-FR"/>
        </w:rPr>
        <w:t>les salariés non-cadres dits « de structure » sont exclus de l'application du présent avenant.</w:t>
      </w:r>
    </w:p>
    <w:p w14:paraId="1164C4EF" w14:textId="77777777" w:rsidR="00652898" w:rsidRDefault="00652898" w:rsidP="00652898">
      <w:pPr>
        <w:spacing w:after="0" w:line="240" w:lineRule="auto"/>
        <w:jc w:val="both"/>
        <w:rPr>
          <w:rFonts w:ascii="Arial" w:eastAsia="Times New Roman" w:hAnsi="Arial" w:cs="Arial"/>
          <w:color w:val="000000"/>
          <w:lang w:eastAsia="fr-FR"/>
        </w:rPr>
      </w:pPr>
    </w:p>
    <w:p w14:paraId="26A7E79B" w14:textId="77777777" w:rsidR="00674E91" w:rsidRDefault="00674E91" w:rsidP="00652898">
      <w:pPr>
        <w:spacing w:after="0" w:line="240" w:lineRule="auto"/>
        <w:jc w:val="both"/>
        <w:rPr>
          <w:rFonts w:ascii="Arial" w:eastAsia="Times New Roman" w:hAnsi="Arial" w:cs="Arial"/>
          <w:color w:val="000000"/>
          <w:lang w:eastAsia="fr-FR"/>
        </w:rPr>
      </w:pPr>
    </w:p>
    <w:p w14:paraId="7615B98F" w14:textId="77777777" w:rsidR="00674E91" w:rsidRDefault="00674E91" w:rsidP="00652898">
      <w:pPr>
        <w:spacing w:after="0" w:line="240" w:lineRule="auto"/>
        <w:jc w:val="both"/>
        <w:rPr>
          <w:rFonts w:ascii="Arial" w:eastAsia="Times New Roman" w:hAnsi="Arial" w:cs="Arial"/>
          <w:color w:val="000000"/>
          <w:lang w:eastAsia="fr-FR"/>
        </w:rPr>
      </w:pPr>
    </w:p>
    <w:p w14:paraId="21EC3AA4" w14:textId="77777777" w:rsidR="00BF214E" w:rsidRDefault="00BF214E" w:rsidP="002F5F1F">
      <w:pPr>
        <w:pStyle w:val="Titre1"/>
        <w:spacing w:before="120" w:after="120" w:line="276" w:lineRule="auto"/>
        <w:jc w:val="both"/>
      </w:pPr>
    </w:p>
    <w:p w14:paraId="2CA08F29" w14:textId="5EBFE6DA" w:rsidR="00674E91" w:rsidRDefault="002F5F1F" w:rsidP="00674E91">
      <w:pPr>
        <w:pStyle w:val="Titre1"/>
        <w:spacing w:before="120" w:after="120" w:line="276" w:lineRule="auto"/>
        <w:jc w:val="both"/>
      </w:pPr>
      <w:bookmarkStart w:id="5" w:name="_Toc229502711"/>
      <w:r>
        <w:t xml:space="preserve">ARTICLE </w:t>
      </w:r>
      <w:r w:rsidR="00BF214E">
        <w:t>2</w:t>
      </w:r>
      <w:r>
        <w:t xml:space="preserve"> </w:t>
      </w:r>
      <w:r w:rsidR="009A25F3">
        <w:t>–</w:t>
      </w:r>
      <w:r>
        <w:t xml:space="preserve"> </w:t>
      </w:r>
      <w:r w:rsidR="00674E91">
        <w:t>Alimentation exceptionnelle du CET</w:t>
      </w:r>
      <w:bookmarkEnd w:id="5"/>
      <w:r w:rsidR="00674E91">
        <w:t xml:space="preserve"> </w:t>
      </w:r>
    </w:p>
    <w:p w14:paraId="24CB809F" w14:textId="39EE4F08" w:rsidR="0021481E" w:rsidRDefault="0021481E" w:rsidP="0021481E">
      <w:pPr>
        <w:pStyle w:val="Titre2"/>
        <w:spacing w:before="120" w:after="120" w:line="276" w:lineRule="auto"/>
        <w:jc w:val="both"/>
      </w:pPr>
      <w:bookmarkStart w:id="6" w:name="_Toc229502712"/>
      <w:r>
        <w:t>ARTICLE 2-1 – Volume d’alimentation</w:t>
      </w:r>
      <w:bookmarkEnd w:id="6"/>
    </w:p>
    <w:p w14:paraId="07168508" w14:textId="77777777" w:rsidR="0021481E" w:rsidRPr="0021481E" w:rsidRDefault="0021481E" w:rsidP="0021481E"/>
    <w:p w14:paraId="48EDD823" w14:textId="40A218CC" w:rsidR="009A25F3" w:rsidRPr="0021481E" w:rsidRDefault="009A25F3" w:rsidP="0021481E">
      <w:pPr>
        <w:pStyle w:val="Paragraphedeliste"/>
        <w:numPr>
          <w:ilvl w:val="0"/>
          <w:numId w:val="8"/>
        </w:numPr>
        <w:jc w:val="both"/>
        <w:rPr>
          <w:rFonts w:ascii="Arial" w:eastAsia="Times New Roman" w:hAnsi="Arial" w:cs="Arial"/>
          <w:color w:val="000000"/>
          <w:lang w:eastAsia="fr-FR"/>
        </w:rPr>
      </w:pPr>
      <w:r w:rsidRPr="0021481E">
        <w:rPr>
          <w:rFonts w:ascii="Arial" w:eastAsia="Times New Roman" w:hAnsi="Arial" w:cs="Arial"/>
          <w:color w:val="000000"/>
          <w:lang w:eastAsia="fr-FR"/>
        </w:rPr>
        <w:t>Il est ajouté à l’article 2.2</w:t>
      </w:r>
      <w:r w:rsidR="00674E91" w:rsidRPr="0021481E">
        <w:rPr>
          <w:rFonts w:ascii="Arial" w:eastAsia="Times New Roman" w:hAnsi="Arial" w:cs="Arial"/>
          <w:color w:val="000000"/>
          <w:lang w:eastAsia="fr-FR"/>
        </w:rPr>
        <w:t xml:space="preserve"> de l’accord </w:t>
      </w:r>
      <w:r w:rsidR="007A0ABC" w:rsidRPr="0021481E">
        <w:rPr>
          <w:rFonts w:ascii="Arial" w:eastAsia="Times New Roman" w:hAnsi="Arial" w:cs="Arial"/>
          <w:color w:val="000000"/>
          <w:lang w:eastAsia="fr-FR"/>
        </w:rPr>
        <w:t>(«</w:t>
      </w:r>
      <w:r w:rsidR="00674E91" w:rsidRPr="0021481E">
        <w:rPr>
          <w:rFonts w:ascii="Arial" w:eastAsia="Times New Roman" w:hAnsi="Arial" w:cs="Arial"/>
          <w:color w:val="000000"/>
          <w:lang w:eastAsia="fr-FR"/>
        </w:rPr>
        <w:t> Modalités d’alimentation du compte »)</w:t>
      </w:r>
      <w:r w:rsidRPr="0021481E">
        <w:rPr>
          <w:rFonts w:ascii="Arial" w:eastAsia="Times New Roman" w:hAnsi="Arial" w:cs="Arial"/>
          <w:color w:val="000000"/>
          <w:lang w:eastAsia="fr-FR"/>
        </w:rPr>
        <w:t xml:space="preserve"> les dispositions suivantes :</w:t>
      </w:r>
    </w:p>
    <w:p w14:paraId="4E773473" w14:textId="19015599" w:rsidR="009A25F3" w:rsidRPr="007A0ABC" w:rsidRDefault="009A25F3" w:rsidP="00674E91">
      <w:pPr>
        <w:spacing w:after="0" w:line="240" w:lineRule="auto"/>
        <w:ind w:left="708"/>
        <w:jc w:val="both"/>
        <w:rPr>
          <w:rFonts w:ascii="Arial" w:eastAsia="Times New Roman" w:hAnsi="Arial" w:cs="Arial"/>
          <w:color w:val="000000"/>
          <w:lang w:eastAsia="fr-FR"/>
        </w:rPr>
      </w:pPr>
      <w:r w:rsidRPr="05445057">
        <w:rPr>
          <w:rFonts w:ascii="Arial" w:eastAsia="Times New Roman" w:hAnsi="Arial" w:cs="Arial"/>
          <w:color w:val="000000" w:themeColor="text1"/>
          <w:lang w:eastAsia="fr-FR"/>
        </w:rPr>
        <w:t>Egalement, lors de</w:t>
      </w:r>
      <w:r w:rsidR="00652898" w:rsidRPr="05445057">
        <w:rPr>
          <w:rFonts w:ascii="Arial" w:eastAsia="Times New Roman" w:hAnsi="Arial" w:cs="Arial"/>
          <w:color w:val="000000" w:themeColor="text1"/>
          <w:lang w:eastAsia="fr-FR"/>
        </w:rPr>
        <w:t xml:space="preserve"> la</w:t>
      </w:r>
      <w:r w:rsidRPr="05445057">
        <w:rPr>
          <w:rFonts w:ascii="Arial" w:eastAsia="Times New Roman" w:hAnsi="Arial" w:cs="Arial"/>
          <w:color w:val="000000" w:themeColor="text1"/>
          <w:lang w:eastAsia="fr-FR"/>
        </w:rPr>
        <w:t xml:space="preserve"> période d’alimentation courant du 1</w:t>
      </w:r>
      <w:r w:rsidRPr="05445057">
        <w:rPr>
          <w:rFonts w:ascii="Arial" w:eastAsia="Times New Roman" w:hAnsi="Arial" w:cs="Arial"/>
          <w:color w:val="000000" w:themeColor="text1"/>
          <w:vertAlign w:val="superscript"/>
          <w:lang w:eastAsia="fr-FR"/>
        </w:rPr>
        <w:t>er</w:t>
      </w:r>
      <w:r w:rsidRPr="05445057">
        <w:rPr>
          <w:rFonts w:ascii="Arial" w:eastAsia="Times New Roman" w:hAnsi="Arial" w:cs="Arial"/>
          <w:color w:val="000000" w:themeColor="text1"/>
          <w:lang w:eastAsia="fr-FR"/>
        </w:rPr>
        <w:t xml:space="preserve"> janvier 2027 au 31 janvier 2027, le compte épargne temps sera alimenté à l’initiative de l’employeur par un volume d’heures</w:t>
      </w:r>
      <w:r w:rsidR="00BF214E" w:rsidRPr="05445057">
        <w:rPr>
          <w:rFonts w:ascii="Arial" w:eastAsia="Times New Roman" w:hAnsi="Arial" w:cs="Arial"/>
          <w:color w:val="000000" w:themeColor="text1"/>
          <w:lang w:eastAsia="fr-FR"/>
        </w:rPr>
        <w:t xml:space="preserve"> égal à 2 jours de travail</w:t>
      </w:r>
      <w:r w:rsidR="00652898" w:rsidRPr="05445057">
        <w:rPr>
          <w:rFonts w:ascii="Arial" w:eastAsia="Times New Roman" w:hAnsi="Arial" w:cs="Arial"/>
          <w:color w:val="000000" w:themeColor="text1"/>
          <w:lang w:eastAsia="fr-FR"/>
        </w:rPr>
        <w:t>, soit 7,68 X 2 = 1</w:t>
      </w:r>
      <w:r w:rsidR="1101A2F2" w:rsidRPr="05445057">
        <w:rPr>
          <w:rFonts w:ascii="Arial" w:eastAsia="Times New Roman" w:hAnsi="Arial" w:cs="Arial"/>
          <w:color w:val="000000" w:themeColor="text1"/>
          <w:lang w:eastAsia="fr-FR"/>
        </w:rPr>
        <w:t>5.36</w:t>
      </w:r>
      <w:r w:rsidR="00652898" w:rsidRPr="05445057">
        <w:rPr>
          <w:rFonts w:ascii="Arial" w:eastAsia="Times New Roman" w:hAnsi="Arial" w:cs="Arial"/>
          <w:color w:val="000000" w:themeColor="text1"/>
          <w:lang w:eastAsia="fr-FR"/>
        </w:rPr>
        <w:t xml:space="preserve"> heures</w:t>
      </w:r>
      <w:r w:rsidR="007A0ABC" w:rsidRPr="05445057">
        <w:rPr>
          <w:rFonts w:ascii="Arial" w:eastAsia="Times New Roman" w:hAnsi="Arial" w:cs="Arial"/>
          <w:color w:val="000000" w:themeColor="text1"/>
          <w:lang w:eastAsia="fr-FR"/>
        </w:rPr>
        <w:t>, lorsque les conditions attachées aux salariés le permettront.</w:t>
      </w:r>
    </w:p>
    <w:p w14:paraId="4218AE1D" w14:textId="77777777" w:rsidR="0021481E" w:rsidRDefault="0021481E" w:rsidP="007A0ABC">
      <w:pPr>
        <w:spacing w:after="0" w:line="240" w:lineRule="auto"/>
        <w:jc w:val="both"/>
        <w:rPr>
          <w:rFonts w:ascii="Arial" w:eastAsia="Times New Roman" w:hAnsi="Arial" w:cs="Arial"/>
          <w:color w:val="000000"/>
          <w:lang w:eastAsia="fr-FR"/>
        </w:rPr>
      </w:pPr>
    </w:p>
    <w:p w14:paraId="6BB172A9" w14:textId="4353346A" w:rsidR="0021481E" w:rsidRDefault="0021481E" w:rsidP="0021481E">
      <w:pPr>
        <w:pStyle w:val="Paragraphedeliste"/>
        <w:numPr>
          <w:ilvl w:val="0"/>
          <w:numId w:val="8"/>
        </w:numPr>
        <w:spacing w:after="0" w:line="240" w:lineRule="auto"/>
        <w:jc w:val="both"/>
        <w:rPr>
          <w:rFonts w:ascii="Arial" w:eastAsia="Times New Roman" w:hAnsi="Arial" w:cs="Arial"/>
          <w:color w:val="000000"/>
          <w:lang w:eastAsia="fr-FR"/>
        </w:rPr>
      </w:pPr>
      <w:r w:rsidRPr="67442A38">
        <w:rPr>
          <w:rFonts w:ascii="Arial" w:eastAsia="Times New Roman" w:hAnsi="Arial" w:cs="Arial"/>
          <w:color w:val="000000" w:themeColor="text1"/>
          <w:lang w:eastAsia="fr-FR"/>
        </w:rPr>
        <w:t xml:space="preserve">Il est convenu entre les parties que ces heures se verront spécifiquement appliquer un taux de majoration de 10%, taux dérogatoire moins favorable que les dispositions conventionnelles. </w:t>
      </w:r>
    </w:p>
    <w:p w14:paraId="7F995FF9" w14:textId="4A57E3D9" w:rsidR="67442A38" w:rsidRDefault="67442A38" w:rsidP="67442A38">
      <w:pPr>
        <w:spacing w:after="0" w:line="240" w:lineRule="auto"/>
        <w:jc w:val="both"/>
        <w:rPr>
          <w:rFonts w:ascii="Arial" w:eastAsia="Times New Roman" w:hAnsi="Arial" w:cs="Arial"/>
          <w:color w:val="000000" w:themeColor="text1"/>
          <w:lang w:eastAsia="fr-FR"/>
        </w:rPr>
      </w:pPr>
    </w:p>
    <w:p w14:paraId="72DC6E81" w14:textId="123227DB" w:rsidR="65FC4A20" w:rsidRDefault="65FC4A20" w:rsidP="67442A38">
      <w:pPr>
        <w:pStyle w:val="Paragraphedeliste"/>
        <w:numPr>
          <w:ilvl w:val="0"/>
          <w:numId w:val="12"/>
        </w:numPr>
        <w:spacing w:after="0" w:line="240" w:lineRule="auto"/>
        <w:jc w:val="both"/>
        <w:rPr>
          <w:rFonts w:ascii="Arial" w:eastAsia="Times New Roman" w:hAnsi="Arial" w:cs="Arial"/>
          <w:color w:val="000000" w:themeColor="text1"/>
          <w:lang w:eastAsia="fr-FR"/>
        </w:rPr>
      </w:pPr>
      <w:r w:rsidRPr="67442A38">
        <w:rPr>
          <w:rFonts w:ascii="Arial" w:eastAsia="Times New Roman" w:hAnsi="Arial" w:cs="Arial"/>
          <w:color w:val="000000" w:themeColor="text1"/>
          <w:lang w:eastAsia="fr-FR"/>
        </w:rPr>
        <w:t xml:space="preserve">Le volume d’heures </w:t>
      </w:r>
      <w:r w:rsidR="00475060">
        <w:rPr>
          <w:rFonts w:ascii="Arial" w:eastAsia="Times New Roman" w:hAnsi="Arial" w:cs="Arial"/>
          <w:color w:val="000000" w:themeColor="text1"/>
          <w:lang w:eastAsia="fr-FR"/>
        </w:rPr>
        <w:t xml:space="preserve">concerné </w:t>
      </w:r>
      <w:r w:rsidRPr="67442A38">
        <w:rPr>
          <w:rFonts w:ascii="Arial" w:eastAsia="Times New Roman" w:hAnsi="Arial" w:cs="Arial"/>
          <w:color w:val="000000" w:themeColor="text1"/>
          <w:lang w:eastAsia="fr-FR"/>
        </w:rPr>
        <w:t>au global sera donc de 16.90 heures.</w:t>
      </w:r>
    </w:p>
    <w:p w14:paraId="69D700D4" w14:textId="77777777" w:rsidR="004B7CE3" w:rsidRDefault="004B7CE3" w:rsidP="004B7CE3">
      <w:pPr>
        <w:spacing w:after="0" w:line="240" w:lineRule="auto"/>
        <w:jc w:val="both"/>
        <w:rPr>
          <w:rFonts w:ascii="Arial" w:eastAsia="Times New Roman" w:hAnsi="Arial" w:cs="Arial"/>
          <w:color w:val="000000"/>
          <w:lang w:eastAsia="fr-FR"/>
        </w:rPr>
      </w:pPr>
    </w:p>
    <w:p w14:paraId="4E9A62F6" w14:textId="77777777" w:rsidR="007A0ABC" w:rsidRPr="0021481E" w:rsidRDefault="007A0ABC" w:rsidP="007A0ABC">
      <w:pPr>
        <w:pStyle w:val="Paragraphedeliste"/>
        <w:spacing w:after="0" w:line="240" w:lineRule="auto"/>
        <w:jc w:val="both"/>
        <w:rPr>
          <w:rFonts w:ascii="Arial" w:eastAsia="Times New Roman" w:hAnsi="Arial" w:cs="Arial"/>
          <w:color w:val="000000"/>
          <w:lang w:eastAsia="fr-FR"/>
        </w:rPr>
      </w:pPr>
    </w:p>
    <w:p w14:paraId="1CFF1FBC" w14:textId="77777777" w:rsidR="0021481E" w:rsidRDefault="0021481E" w:rsidP="00674E91">
      <w:pPr>
        <w:spacing w:after="0" w:line="240" w:lineRule="auto"/>
        <w:ind w:left="708"/>
        <w:jc w:val="both"/>
        <w:rPr>
          <w:rFonts w:ascii="Arial" w:eastAsia="Times New Roman" w:hAnsi="Arial" w:cs="Arial"/>
          <w:i/>
          <w:iCs/>
          <w:color w:val="000000"/>
          <w:lang w:eastAsia="fr-FR"/>
        </w:rPr>
      </w:pPr>
    </w:p>
    <w:p w14:paraId="63806AD4" w14:textId="243E195F" w:rsidR="0021481E" w:rsidRDefault="0021481E" w:rsidP="0021481E">
      <w:pPr>
        <w:pStyle w:val="Titre2"/>
        <w:spacing w:before="120" w:after="120" w:line="276" w:lineRule="auto"/>
        <w:jc w:val="both"/>
      </w:pPr>
      <w:bookmarkStart w:id="7" w:name="_Toc229502713"/>
      <w:r>
        <w:t>ARTICLE 2-2 – Modalités d’alimentation</w:t>
      </w:r>
      <w:bookmarkEnd w:id="7"/>
    </w:p>
    <w:p w14:paraId="4FFF5A9F" w14:textId="77777777" w:rsidR="00674E91" w:rsidRDefault="00674E91" w:rsidP="00674E91">
      <w:pPr>
        <w:spacing w:after="0" w:line="240" w:lineRule="auto"/>
        <w:jc w:val="both"/>
        <w:rPr>
          <w:rFonts w:ascii="Arial" w:eastAsia="Times New Roman" w:hAnsi="Arial" w:cs="Arial"/>
          <w:color w:val="000000"/>
          <w:lang w:eastAsia="fr-FR"/>
        </w:rPr>
      </w:pPr>
    </w:p>
    <w:p w14:paraId="6CE1F393" w14:textId="77777777" w:rsidR="0021481E" w:rsidRDefault="0021481E" w:rsidP="00674E91">
      <w:pPr>
        <w:spacing w:after="0" w:line="240" w:lineRule="auto"/>
        <w:jc w:val="both"/>
        <w:rPr>
          <w:rFonts w:ascii="Arial" w:eastAsia="Times New Roman" w:hAnsi="Arial" w:cs="Arial"/>
          <w:color w:val="000000"/>
          <w:lang w:eastAsia="fr-FR"/>
        </w:rPr>
      </w:pPr>
    </w:p>
    <w:p w14:paraId="303BAAEC" w14:textId="45EFA6DE" w:rsidR="00674E91" w:rsidRPr="0021481E" w:rsidRDefault="00674E91" w:rsidP="0021481E">
      <w:pPr>
        <w:pStyle w:val="Paragraphedeliste"/>
        <w:numPr>
          <w:ilvl w:val="0"/>
          <w:numId w:val="8"/>
        </w:numPr>
        <w:spacing w:after="0" w:line="240" w:lineRule="auto"/>
        <w:jc w:val="both"/>
        <w:rPr>
          <w:rFonts w:ascii="Arial" w:eastAsia="Times New Roman" w:hAnsi="Arial" w:cs="Arial"/>
          <w:color w:val="000000"/>
          <w:lang w:eastAsia="fr-FR"/>
        </w:rPr>
      </w:pPr>
      <w:r w:rsidRPr="0021481E">
        <w:rPr>
          <w:rFonts w:ascii="Arial" w:eastAsia="Times New Roman" w:hAnsi="Arial" w:cs="Arial"/>
          <w:color w:val="000000"/>
          <w:lang w:eastAsia="fr-FR"/>
        </w:rPr>
        <w:t>En application des dispositions conventionnelles (art 121.2 de la CCN), l’alimentation à l’initiative de l’employeur étant possible uniquement pour les heures excédant la durée collective de travail, le présent avenant s’appliquera pour les salariés présent</w:t>
      </w:r>
      <w:r w:rsidR="007A0ABC">
        <w:rPr>
          <w:rFonts w:ascii="Arial" w:eastAsia="Times New Roman" w:hAnsi="Arial" w:cs="Arial"/>
          <w:color w:val="000000"/>
          <w:lang w:eastAsia="fr-FR"/>
        </w:rPr>
        <w:t>ant</w:t>
      </w:r>
      <w:r w:rsidRPr="0021481E">
        <w:rPr>
          <w:rFonts w:ascii="Arial" w:eastAsia="Times New Roman" w:hAnsi="Arial" w:cs="Arial"/>
          <w:color w:val="000000"/>
          <w:lang w:eastAsia="fr-FR"/>
        </w:rPr>
        <w:t xml:space="preserve"> dans leur bilan de décompte d’heures de modulation un volume d’heures </w:t>
      </w:r>
      <w:r w:rsidRPr="00816C8F">
        <w:rPr>
          <w:rFonts w:ascii="Arial" w:eastAsia="Times New Roman" w:hAnsi="Arial" w:cs="Arial"/>
          <w:color w:val="000000"/>
          <w:lang w:eastAsia="fr-FR"/>
        </w:rPr>
        <w:t>supplémentaires</w:t>
      </w:r>
      <w:r w:rsidRPr="0021481E">
        <w:rPr>
          <w:rFonts w:ascii="Arial" w:eastAsia="Times New Roman" w:hAnsi="Arial" w:cs="Arial"/>
          <w:color w:val="000000"/>
          <w:lang w:eastAsia="fr-FR"/>
        </w:rPr>
        <w:t xml:space="preserve"> au moins égal à 16.90h au 31 décembre 2026.</w:t>
      </w:r>
    </w:p>
    <w:p w14:paraId="7C18F659" w14:textId="77777777" w:rsidR="00674E91" w:rsidRDefault="00674E91" w:rsidP="00674E91">
      <w:pPr>
        <w:spacing w:after="0" w:line="240" w:lineRule="auto"/>
        <w:jc w:val="both"/>
        <w:rPr>
          <w:rFonts w:ascii="Arial" w:eastAsia="Times New Roman" w:hAnsi="Arial" w:cs="Arial"/>
          <w:color w:val="000000"/>
          <w:lang w:eastAsia="fr-FR"/>
        </w:rPr>
      </w:pPr>
    </w:p>
    <w:p w14:paraId="64AFB3A2" w14:textId="1619D924" w:rsidR="00674E91" w:rsidRDefault="00674E91" w:rsidP="0021481E">
      <w:pPr>
        <w:spacing w:after="0" w:line="240" w:lineRule="auto"/>
        <w:ind w:left="708"/>
        <w:jc w:val="both"/>
        <w:rPr>
          <w:rFonts w:ascii="Arial" w:eastAsia="Times New Roman" w:hAnsi="Arial" w:cs="Arial"/>
          <w:color w:val="000000"/>
          <w:lang w:eastAsia="fr-FR"/>
        </w:rPr>
      </w:pPr>
      <w:r w:rsidRPr="54113CB4">
        <w:rPr>
          <w:rFonts w:ascii="Arial" w:eastAsia="Times New Roman" w:hAnsi="Arial" w:cs="Arial"/>
          <w:color w:val="000000" w:themeColor="text1"/>
          <w:lang w:eastAsia="fr-FR"/>
        </w:rPr>
        <w:t xml:space="preserve">Ne sont donc pas concernés par exemple </w:t>
      </w:r>
      <w:r w:rsidR="259E0FFB" w:rsidRPr="54113CB4">
        <w:rPr>
          <w:rFonts w:ascii="Arial" w:eastAsia="Times New Roman" w:hAnsi="Arial" w:cs="Arial"/>
          <w:color w:val="000000" w:themeColor="text1"/>
          <w:lang w:eastAsia="fr-FR"/>
        </w:rPr>
        <w:t>l</w:t>
      </w:r>
      <w:r w:rsidRPr="54113CB4">
        <w:rPr>
          <w:rFonts w:ascii="Arial" w:eastAsia="Times New Roman" w:hAnsi="Arial" w:cs="Arial"/>
          <w:color w:val="000000" w:themeColor="text1"/>
          <w:lang w:eastAsia="fr-FR"/>
        </w:rPr>
        <w:t xml:space="preserve">es salariés dont le décompte ne fait pas apparaître </w:t>
      </w:r>
      <w:r w:rsidR="007A0ABC" w:rsidRPr="54113CB4">
        <w:rPr>
          <w:rFonts w:ascii="Arial" w:eastAsia="Times New Roman" w:hAnsi="Arial" w:cs="Arial"/>
          <w:color w:val="000000" w:themeColor="text1"/>
          <w:lang w:eastAsia="fr-FR"/>
        </w:rPr>
        <w:t xml:space="preserve">suffisamment </w:t>
      </w:r>
      <w:r w:rsidRPr="54113CB4">
        <w:rPr>
          <w:rFonts w:ascii="Arial" w:eastAsia="Times New Roman" w:hAnsi="Arial" w:cs="Arial"/>
          <w:color w:val="000000" w:themeColor="text1"/>
          <w:lang w:eastAsia="fr-FR"/>
        </w:rPr>
        <w:t xml:space="preserve">d’heures supplémentaires (suite </w:t>
      </w:r>
      <w:r w:rsidR="007A0ABC" w:rsidRPr="54113CB4">
        <w:rPr>
          <w:rFonts w:ascii="Arial" w:eastAsia="Times New Roman" w:hAnsi="Arial" w:cs="Arial"/>
          <w:color w:val="000000" w:themeColor="text1"/>
          <w:lang w:eastAsia="fr-FR"/>
        </w:rPr>
        <w:t xml:space="preserve">par exemple </w:t>
      </w:r>
      <w:r w:rsidRPr="54113CB4">
        <w:rPr>
          <w:rFonts w:ascii="Arial" w:eastAsia="Times New Roman" w:hAnsi="Arial" w:cs="Arial"/>
          <w:color w:val="000000" w:themeColor="text1"/>
          <w:lang w:eastAsia="fr-FR"/>
        </w:rPr>
        <w:t xml:space="preserve">à </w:t>
      </w:r>
      <w:r w:rsidR="007A0ABC" w:rsidRPr="54113CB4">
        <w:rPr>
          <w:rFonts w:ascii="Arial" w:eastAsia="Times New Roman" w:hAnsi="Arial" w:cs="Arial"/>
          <w:color w:val="000000" w:themeColor="text1"/>
          <w:lang w:eastAsia="fr-FR"/>
        </w:rPr>
        <w:t>une absence impactante</w:t>
      </w:r>
      <w:r w:rsidR="0021481E" w:rsidRPr="54113CB4">
        <w:rPr>
          <w:rFonts w:ascii="Arial" w:eastAsia="Times New Roman" w:hAnsi="Arial" w:cs="Arial"/>
          <w:color w:val="000000" w:themeColor="text1"/>
          <w:lang w:eastAsia="fr-FR"/>
        </w:rPr>
        <w:t xml:space="preserve"> </w:t>
      </w:r>
      <w:r w:rsidRPr="54113CB4">
        <w:rPr>
          <w:rFonts w:ascii="Arial" w:eastAsia="Times New Roman" w:hAnsi="Arial" w:cs="Arial"/>
          <w:color w:val="000000" w:themeColor="text1"/>
          <w:lang w:eastAsia="fr-FR"/>
        </w:rPr>
        <w:t>en cours d’année, ou à une entrée/sortie en cours d’année le cas échéant).</w:t>
      </w:r>
    </w:p>
    <w:p w14:paraId="28E47B64" w14:textId="77777777" w:rsidR="0021481E" w:rsidRDefault="0021481E" w:rsidP="0021481E">
      <w:pPr>
        <w:spacing w:after="0" w:line="240" w:lineRule="auto"/>
        <w:ind w:left="708"/>
        <w:jc w:val="both"/>
        <w:rPr>
          <w:rFonts w:ascii="Arial" w:eastAsia="Times New Roman" w:hAnsi="Arial" w:cs="Arial"/>
          <w:color w:val="000000"/>
          <w:lang w:eastAsia="fr-FR"/>
        </w:rPr>
      </w:pPr>
    </w:p>
    <w:p w14:paraId="21564044" w14:textId="043B2196" w:rsidR="0021481E" w:rsidRDefault="0021481E" w:rsidP="0021481E">
      <w:pPr>
        <w:spacing w:after="0" w:line="240" w:lineRule="auto"/>
        <w:ind w:left="708"/>
        <w:jc w:val="both"/>
        <w:rPr>
          <w:rFonts w:ascii="Arial" w:eastAsia="Times New Roman" w:hAnsi="Arial" w:cs="Arial"/>
          <w:color w:val="000000"/>
          <w:lang w:eastAsia="fr-FR"/>
        </w:rPr>
      </w:pPr>
      <w:r>
        <w:rPr>
          <w:rFonts w:ascii="Arial" w:eastAsia="Times New Roman" w:hAnsi="Arial" w:cs="Arial"/>
          <w:color w:val="000000"/>
          <w:lang w:eastAsia="fr-FR"/>
        </w:rPr>
        <w:t>Les salariés dont les compteurs seront insuffisamment alimentés se verront rémunérer leurs heures en application des règles habituellement applicables</w:t>
      </w:r>
      <w:r w:rsidR="007A0ABC">
        <w:rPr>
          <w:rFonts w:ascii="Arial" w:eastAsia="Times New Roman" w:hAnsi="Arial" w:cs="Arial"/>
          <w:color w:val="000000"/>
          <w:lang w:eastAsia="fr-FR"/>
        </w:rPr>
        <w:t xml:space="preserve"> dans l’entreprise.</w:t>
      </w:r>
    </w:p>
    <w:p w14:paraId="780205A5" w14:textId="4E23EFCD" w:rsidR="009A25F3" w:rsidRDefault="009A25F3" w:rsidP="009A25F3"/>
    <w:p w14:paraId="565BEA34" w14:textId="720D5B5C" w:rsidR="007A0ABC" w:rsidRPr="007A0ABC" w:rsidRDefault="007A0ABC" w:rsidP="00357702">
      <w:pPr>
        <w:pStyle w:val="Paragraphedeliste"/>
        <w:numPr>
          <w:ilvl w:val="0"/>
          <w:numId w:val="8"/>
        </w:numPr>
        <w:jc w:val="both"/>
        <w:rPr>
          <w:rFonts w:ascii="Arial" w:eastAsia="Times New Roman" w:hAnsi="Arial" w:cs="Arial"/>
          <w:color w:val="000000"/>
          <w:lang w:eastAsia="fr-FR"/>
        </w:rPr>
      </w:pPr>
      <w:r w:rsidRPr="007A0ABC">
        <w:rPr>
          <w:rFonts w:ascii="Arial" w:eastAsia="Times New Roman" w:hAnsi="Arial" w:cs="Arial"/>
          <w:color w:val="000000"/>
          <w:lang w:eastAsia="fr-FR"/>
        </w:rPr>
        <w:t xml:space="preserve">Il est convenu que </w:t>
      </w:r>
      <w:r>
        <w:rPr>
          <w:rFonts w:ascii="Arial" w:eastAsia="Times New Roman" w:hAnsi="Arial" w:cs="Arial"/>
          <w:color w:val="000000"/>
          <w:lang w:eastAsia="fr-FR"/>
        </w:rPr>
        <w:t>cette alimentation à l’initiative de l’employeur ne modifie pas le plafond d‘</w:t>
      </w:r>
      <w:r w:rsidR="00357702">
        <w:rPr>
          <w:rFonts w:ascii="Arial" w:eastAsia="Times New Roman" w:hAnsi="Arial" w:cs="Arial"/>
          <w:color w:val="000000"/>
          <w:lang w:eastAsia="fr-FR"/>
        </w:rPr>
        <w:t xml:space="preserve"> </w:t>
      </w:r>
      <w:r>
        <w:rPr>
          <w:rFonts w:ascii="Arial" w:eastAsia="Times New Roman" w:hAnsi="Arial" w:cs="Arial"/>
          <w:color w:val="000000"/>
          <w:lang w:eastAsia="fr-FR"/>
        </w:rPr>
        <w:t>alimentation à l’initiative du salarié, qui reste fixé à 7 jours maximum sur son CET.</w:t>
      </w:r>
    </w:p>
    <w:p w14:paraId="318F0814" w14:textId="77777777" w:rsidR="007A0ABC" w:rsidRPr="009A25F3" w:rsidRDefault="007A0ABC" w:rsidP="009A25F3"/>
    <w:p w14:paraId="13950168" w14:textId="77777777" w:rsidR="009A25F3" w:rsidRDefault="009A25F3" w:rsidP="002F5F1F">
      <w:pPr>
        <w:pStyle w:val="Titre2"/>
        <w:spacing w:before="120" w:after="120" w:line="276" w:lineRule="auto"/>
        <w:jc w:val="both"/>
      </w:pPr>
    </w:p>
    <w:p w14:paraId="4D5B47A3" w14:textId="77777777" w:rsidR="006F67A0" w:rsidRDefault="006F67A0" w:rsidP="006F67A0"/>
    <w:p w14:paraId="186A7E12" w14:textId="77777777" w:rsidR="006F67A0" w:rsidRPr="006F67A0" w:rsidRDefault="006F67A0" w:rsidP="006F67A0"/>
    <w:p w14:paraId="6366CE16" w14:textId="77777777" w:rsidR="002F5F1F" w:rsidRDefault="002F5F1F" w:rsidP="002F5F1F">
      <w:pPr>
        <w:spacing w:after="0" w:line="240" w:lineRule="auto"/>
        <w:jc w:val="both"/>
        <w:rPr>
          <w:rFonts w:ascii="Arial" w:eastAsia="Times New Roman" w:hAnsi="Arial" w:cs="Arial"/>
          <w:color w:val="000000"/>
          <w:lang w:eastAsia="fr-FR"/>
        </w:rPr>
      </w:pPr>
    </w:p>
    <w:p w14:paraId="2E236B9B" w14:textId="342C08A2" w:rsidR="002F5F1F" w:rsidRDefault="002F5F1F" w:rsidP="002F5F1F">
      <w:pPr>
        <w:pStyle w:val="Titre1"/>
        <w:spacing w:before="120" w:after="120" w:line="276" w:lineRule="auto"/>
        <w:jc w:val="both"/>
      </w:pPr>
      <w:bookmarkStart w:id="8" w:name="_Toc229502714"/>
      <w:r>
        <w:lastRenderedPageBreak/>
        <w:t xml:space="preserve">ARTICLE </w:t>
      </w:r>
      <w:r w:rsidR="00357702">
        <w:t>3</w:t>
      </w:r>
      <w:r>
        <w:t xml:space="preserve"> - Dispositions finales</w:t>
      </w:r>
      <w:bookmarkEnd w:id="8"/>
    </w:p>
    <w:p w14:paraId="63AB375A" w14:textId="77777777" w:rsidR="00357702" w:rsidRPr="00357702" w:rsidRDefault="00357702" w:rsidP="00357702"/>
    <w:p w14:paraId="1FE3D567" w14:textId="69741044" w:rsidR="002F5F1F" w:rsidRDefault="002F5F1F" w:rsidP="002F5F1F">
      <w:pPr>
        <w:pStyle w:val="Titre2"/>
        <w:spacing w:before="120" w:after="120" w:line="276" w:lineRule="auto"/>
        <w:jc w:val="both"/>
      </w:pPr>
      <w:bookmarkStart w:id="9" w:name="_Toc229502715"/>
      <w:bookmarkStart w:id="10" w:name="_Hlk45227571"/>
      <w:r>
        <w:t xml:space="preserve">ARTICLE </w:t>
      </w:r>
      <w:r w:rsidR="00357702">
        <w:t>3</w:t>
      </w:r>
      <w:r>
        <w:t>-1 - Durée d'application</w:t>
      </w:r>
      <w:bookmarkEnd w:id="9"/>
    </w:p>
    <w:p w14:paraId="2737309C" w14:textId="458E0E1D" w:rsidR="00357702" w:rsidRDefault="002F5F1F" w:rsidP="002F5F1F">
      <w:pPr>
        <w:spacing w:before="120" w:after="120" w:line="276" w:lineRule="auto"/>
        <w:jc w:val="both"/>
        <w:rPr>
          <w:rFonts w:ascii="Arial" w:hAnsi="Arial" w:cs="Arial"/>
          <w:color w:val="000000" w:themeColor="text1"/>
        </w:rPr>
      </w:pPr>
      <w:r>
        <w:rPr>
          <w:rFonts w:ascii="Arial" w:hAnsi="Arial" w:cs="Arial"/>
          <w:color w:val="000000" w:themeColor="text1"/>
        </w:rPr>
        <w:t xml:space="preserve">Le présent </w:t>
      </w:r>
      <w:r w:rsidR="00E13CDD">
        <w:rPr>
          <w:rFonts w:ascii="Arial" w:hAnsi="Arial" w:cs="Arial"/>
          <w:color w:val="000000" w:themeColor="text1"/>
        </w:rPr>
        <w:t>accord</w:t>
      </w:r>
      <w:r>
        <w:rPr>
          <w:rFonts w:ascii="Arial" w:hAnsi="Arial" w:cs="Arial"/>
          <w:color w:val="000000" w:themeColor="text1"/>
        </w:rPr>
        <w:t xml:space="preserve">, conclu pour une durée </w:t>
      </w:r>
      <w:r w:rsidR="00357702">
        <w:rPr>
          <w:rFonts w:ascii="Arial" w:hAnsi="Arial" w:cs="Arial"/>
          <w:color w:val="000000" w:themeColor="text1"/>
        </w:rPr>
        <w:t>déterminée</w:t>
      </w:r>
      <w:r>
        <w:rPr>
          <w:rFonts w:ascii="Arial" w:hAnsi="Arial" w:cs="Arial"/>
          <w:color w:val="000000" w:themeColor="text1"/>
        </w:rPr>
        <w:t xml:space="preserve">, s'applique à compter </w:t>
      </w:r>
      <w:r w:rsidR="00357702">
        <w:rPr>
          <w:rFonts w:ascii="Arial" w:hAnsi="Arial" w:cs="Arial"/>
          <w:color w:val="000000" w:themeColor="text1"/>
        </w:rPr>
        <w:t>du 1</w:t>
      </w:r>
      <w:r w:rsidR="00357702" w:rsidRPr="00357702">
        <w:rPr>
          <w:rFonts w:ascii="Arial" w:hAnsi="Arial" w:cs="Arial"/>
          <w:color w:val="000000" w:themeColor="text1"/>
          <w:vertAlign w:val="superscript"/>
        </w:rPr>
        <w:t>er</w:t>
      </w:r>
      <w:r w:rsidR="00357702">
        <w:rPr>
          <w:rFonts w:ascii="Arial" w:hAnsi="Arial" w:cs="Arial"/>
          <w:color w:val="000000" w:themeColor="text1"/>
        </w:rPr>
        <w:t xml:space="preserve"> juin 2026, et ce jusqu’au 31 janvier 2027.</w:t>
      </w:r>
    </w:p>
    <w:p w14:paraId="4E794D1E" w14:textId="3AE79EDA" w:rsidR="002F5F1F" w:rsidRDefault="00357702" w:rsidP="002F5F1F">
      <w:pPr>
        <w:spacing w:before="120" w:after="120" w:line="276" w:lineRule="auto"/>
        <w:jc w:val="both"/>
        <w:rPr>
          <w:rFonts w:ascii="Arial" w:hAnsi="Arial" w:cs="Arial"/>
          <w:color w:val="000000" w:themeColor="text1"/>
        </w:rPr>
      </w:pPr>
      <w:r>
        <w:rPr>
          <w:rFonts w:ascii="Arial" w:hAnsi="Arial" w:cs="Arial"/>
          <w:color w:val="000000" w:themeColor="text1"/>
        </w:rPr>
        <w:t>Il n’a vocation à s’appliquer uniquement pour le traitement de l’alimentation du CET lié au décalage de SAP comme présenté ci-dessus.</w:t>
      </w:r>
    </w:p>
    <w:p w14:paraId="1E904AD9" w14:textId="11ABBF99" w:rsidR="002F5F1F" w:rsidRDefault="002F5F1F" w:rsidP="002F5F1F">
      <w:pPr>
        <w:spacing w:before="120" w:after="120" w:line="276" w:lineRule="auto"/>
        <w:jc w:val="both"/>
        <w:rPr>
          <w:rFonts w:ascii="Arial" w:hAnsi="Arial" w:cs="Arial"/>
          <w:color w:val="000000" w:themeColor="text1"/>
        </w:rPr>
      </w:pPr>
    </w:p>
    <w:p w14:paraId="2094343C" w14:textId="0615B060" w:rsidR="002F5F1F" w:rsidRDefault="002F5F1F" w:rsidP="002F5F1F">
      <w:pPr>
        <w:pStyle w:val="Titre2"/>
        <w:spacing w:before="120" w:after="120" w:line="276" w:lineRule="auto"/>
        <w:jc w:val="both"/>
      </w:pPr>
      <w:bookmarkStart w:id="11" w:name="_Toc229502716"/>
      <w:bookmarkEnd w:id="10"/>
      <w:r>
        <w:t xml:space="preserve">ARTICLE </w:t>
      </w:r>
      <w:r w:rsidR="00357702">
        <w:t>3</w:t>
      </w:r>
      <w:r>
        <w:t>-2 - Suivi de l’accord</w:t>
      </w:r>
      <w:bookmarkEnd w:id="11"/>
    </w:p>
    <w:p w14:paraId="78A5A611" w14:textId="1FBD3571" w:rsidR="002F5F1F" w:rsidRDefault="00357702" w:rsidP="002F5F1F">
      <w:pPr>
        <w:spacing w:before="120" w:after="120" w:line="276" w:lineRule="auto"/>
        <w:jc w:val="both"/>
        <w:rPr>
          <w:rFonts w:ascii="Arial" w:hAnsi="Arial" w:cs="Arial"/>
          <w:color w:val="000000" w:themeColor="text1"/>
        </w:rPr>
      </w:pPr>
      <w:r>
        <w:rPr>
          <w:rFonts w:ascii="Arial" w:hAnsi="Arial" w:cs="Arial"/>
          <w:color w:val="000000" w:themeColor="text1"/>
        </w:rPr>
        <w:t>E</w:t>
      </w:r>
      <w:r w:rsidR="002F5F1F">
        <w:rPr>
          <w:rFonts w:ascii="Arial" w:hAnsi="Arial" w:cs="Arial"/>
          <w:color w:val="000000" w:themeColor="text1"/>
        </w:rPr>
        <w:t>n cas d'évolution législative ou conventionnelle susceptible de remettre en cause tout ou partie des dispositions du présent avenant, les parties signataires conviennent de se réunir après la prise d'effet de ces textes, afin d'adapter au besoin lesdites dispositions.</w:t>
      </w:r>
    </w:p>
    <w:p w14:paraId="05E0DD61" w14:textId="77777777" w:rsidR="002F5F1F" w:rsidRDefault="002F5F1F" w:rsidP="002F5F1F">
      <w:pPr>
        <w:spacing w:before="120" w:after="120" w:line="276" w:lineRule="auto"/>
        <w:jc w:val="both"/>
        <w:rPr>
          <w:rFonts w:ascii="Arial" w:hAnsi="Arial" w:cs="Arial"/>
          <w:color w:val="000000" w:themeColor="text1"/>
        </w:rPr>
      </w:pPr>
    </w:p>
    <w:p w14:paraId="1E9987D0" w14:textId="152385BD" w:rsidR="002F5F1F" w:rsidRDefault="002F5F1F" w:rsidP="002F5F1F">
      <w:pPr>
        <w:pStyle w:val="Titre2"/>
        <w:spacing w:before="120" w:after="120" w:line="276" w:lineRule="auto"/>
        <w:jc w:val="both"/>
      </w:pPr>
      <w:bookmarkStart w:id="12" w:name="_Toc229502717"/>
      <w:r>
        <w:t xml:space="preserve">ARTICLE </w:t>
      </w:r>
      <w:r w:rsidR="00357702">
        <w:t>3</w:t>
      </w:r>
      <w:r>
        <w:t>-3 - Notification et dépôt</w:t>
      </w:r>
      <w:bookmarkEnd w:id="12"/>
    </w:p>
    <w:p w14:paraId="02FC0B89" w14:textId="4524E373" w:rsidR="002F5F1F" w:rsidRDefault="002F5F1F" w:rsidP="002F5F1F">
      <w:pPr>
        <w:spacing w:before="120" w:after="120" w:line="276" w:lineRule="auto"/>
        <w:jc w:val="both"/>
        <w:rPr>
          <w:rFonts w:ascii="Arial" w:hAnsi="Arial" w:cs="Arial"/>
          <w:color w:val="000000" w:themeColor="text1"/>
        </w:rPr>
      </w:pPr>
      <w:r>
        <w:rPr>
          <w:rFonts w:ascii="Arial" w:hAnsi="Arial" w:cs="Arial"/>
          <w:color w:val="000000" w:themeColor="text1"/>
        </w:rPr>
        <w:t xml:space="preserve">Le présent </w:t>
      </w:r>
      <w:r w:rsidR="00E13CDD">
        <w:rPr>
          <w:rFonts w:ascii="Arial" w:hAnsi="Arial" w:cs="Arial"/>
          <w:color w:val="000000" w:themeColor="text1"/>
        </w:rPr>
        <w:t>accord</w:t>
      </w:r>
      <w:r>
        <w:rPr>
          <w:rFonts w:ascii="Arial" w:hAnsi="Arial" w:cs="Arial"/>
          <w:color w:val="000000" w:themeColor="text1"/>
        </w:rPr>
        <w:t xml:space="preserve"> sera notifié par l’employeur à chacune des organisations syndicales représentatives dans le périmètre de </w:t>
      </w:r>
      <w:r w:rsidR="00E13CDD">
        <w:rPr>
          <w:rFonts w:ascii="Arial" w:hAnsi="Arial" w:cs="Arial"/>
          <w:color w:val="000000" w:themeColor="text1"/>
        </w:rPr>
        <w:t>l’accord</w:t>
      </w:r>
      <w:r>
        <w:rPr>
          <w:rFonts w:ascii="Arial" w:hAnsi="Arial" w:cs="Arial"/>
          <w:color w:val="000000" w:themeColor="text1"/>
        </w:rPr>
        <w:t xml:space="preserve"> à l'issue de la procédure de signature.</w:t>
      </w:r>
    </w:p>
    <w:p w14:paraId="1A533980" w14:textId="77777777" w:rsidR="002F5F1F" w:rsidRDefault="002F5F1F" w:rsidP="002F5F1F">
      <w:pPr>
        <w:spacing w:before="120" w:after="120" w:line="276" w:lineRule="auto"/>
        <w:jc w:val="both"/>
        <w:rPr>
          <w:rFonts w:ascii="Arial" w:hAnsi="Arial" w:cs="Arial"/>
          <w:color w:val="000000" w:themeColor="text1"/>
        </w:rPr>
      </w:pPr>
      <w:r>
        <w:rPr>
          <w:rFonts w:ascii="Arial" w:hAnsi="Arial" w:cs="Arial"/>
          <w:color w:val="000000" w:themeColor="text1"/>
        </w:rPr>
        <w:t>Il sera ensuite déposé sur la plateforme de téléprocédure TéléAccords et remis au greffe du conseil de prud'hommes compétent par l’employeur.</w:t>
      </w:r>
    </w:p>
    <w:p w14:paraId="05D195DC" w14:textId="77777777" w:rsidR="002F5F1F" w:rsidRDefault="002F5F1F" w:rsidP="002F5F1F">
      <w:pPr>
        <w:spacing w:before="120" w:after="120" w:line="276" w:lineRule="auto"/>
        <w:jc w:val="both"/>
        <w:rPr>
          <w:rFonts w:ascii="Arial" w:hAnsi="Arial" w:cs="Arial"/>
          <w:color w:val="000000" w:themeColor="text1"/>
        </w:rPr>
      </w:pPr>
    </w:p>
    <w:p w14:paraId="546EBF6F" w14:textId="77777777" w:rsidR="002F5F1F" w:rsidRDefault="002F5F1F" w:rsidP="002F5F1F">
      <w:pPr>
        <w:spacing w:before="120" w:after="120" w:line="276" w:lineRule="auto"/>
        <w:jc w:val="both"/>
        <w:rPr>
          <w:rFonts w:ascii="Arial" w:hAnsi="Arial" w:cs="Arial"/>
          <w:color w:val="000000" w:themeColor="text1"/>
        </w:rPr>
      </w:pPr>
    </w:p>
    <w:p w14:paraId="37B2ED1A" w14:textId="7E13DCE7" w:rsidR="002F5F1F" w:rsidRDefault="002F5F1F" w:rsidP="002F5F1F">
      <w:pPr>
        <w:spacing w:before="120" w:after="120" w:line="276" w:lineRule="auto"/>
        <w:ind w:left="4248"/>
        <w:jc w:val="both"/>
        <w:rPr>
          <w:rFonts w:ascii="Arial" w:hAnsi="Arial" w:cs="Arial"/>
          <w:color w:val="000000" w:themeColor="text1"/>
        </w:rPr>
      </w:pPr>
      <w:r>
        <w:rPr>
          <w:rFonts w:ascii="Arial" w:hAnsi="Arial" w:cs="Arial"/>
          <w:color w:val="000000" w:themeColor="text1"/>
        </w:rPr>
        <w:t xml:space="preserve">Fait à </w:t>
      </w:r>
      <w:r w:rsidR="00E13CDD">
        <w:rPr>
          <w:rFonts w:ascii="Arial" w:hAnsi="Arial" w:cs="Arial"/>
          <w:color w:val="000000" w:themeColor="text1"/>
        </w:rPr>
        <w:t>Pont de Vaux</w:t>
      </w:r>
      <w:r>
        <w:rPr>
          <w:rFonts w:ascii="Arial" w:hAnsi="Arial" w:cs="Arial"/>
          <w:color w:val="000000" w:themeColor="text1"/>
        </w:rPr>
        <w:t xml:space="preserve">, le </w:t>
      </w:r>
      <w:r w:rsidR="00E13CDD" w:rsidRPr="00E13CDD">
        <w:rPr>
          <w:rFonts w:ascii="Arial" w:hAnsi="Arial" w:cs="Arial"/>
          <w:color w:val="000000" w:themeColor="text1"/>
          <w:highlight w:val="yellow"/>
        </w:rPr>
        <w:t>[DATE]</w:t>
      </w:r>
    </w:p>
    <w:p w14:paraId="663EC7DF" w14:textId="5593D314" w:rsidR="002F5F1F" w:rsidRDefault="002F5F1F" w:rsidP="002F5F1F">
      <w:pPr>
        <w:spacing w:before="120" w:after="120" w:line="276" w:lineRule="auto"/>
        <w:ind w:left="4248"/>
        <w:jc w:val="both"/>
        <w:rPr>
          <w:rFonts w:ascii="Arial" w:hAnsi="Arial" w:cs="Arial"/>
          <w:color w:val="000000" w:themeColor="text1"/>
        </w:rPr>
      </w:pPr>
      <w:r>
        <w:rPr>
          <w:rFonts w:ascii="Arial" w:hAnsi="Arial" w:cs="Arial"/>
          <w:color w:val="000000" w:themeColor="text1"/>
        </w:rPr>
        <w:t xml:space="preserve">en </w:t>
      </w:r>
      <w:r w:rsidR="00E13CDD">
        <w:rPr>
          <w:rFonts w:ascii="Arial" w:hAnsi="Arial" w:cs="Arial"/>
          <w:iCs/>
          <w:color w:val="000000" w:themeColor="text1"/>
        </w:rPr>
        <w:t>4</w:t>
      </w:r>
      <w:r>
        <w:rPr>
          <w:rFonts w:ascii="Arial" w:hAnsi="Arial" w:cs="Arial"/>
          <w:i/>
          <w:iCs/>
          <w:color w:val="000000" w:themeColor="text1"/>
        </w:rPr>
        <w:t xml:space="preserve"> </w:t>
      </w:r>
      <w:r>
        <w:rPr>
          <w:rFonts w:ascii="Arial" w:hAnsi="Arial" w:cs="Arial"/>
          <w:color w:val="000000" w:themeColor="text1"/>
        </w:rPr>
        <w:t>exemplaires,</w:t>
      </w:r>
    </w:p>
    <w:tbl>
      <w:tblPr>
        <w:tblStyle w:val="Grilledutableau"/>
        <w:tblpPr w:leftFromText="141" w:rightFromText="141" w:vertAnchor="text" w:horzAnchor="margin" w:tblpY="724"/>
        <w:tblW w:w="948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7"/>
        <w:gridCol w:w="1493"/>
        <w:gridCol w:w="1871"/>
        <w:gridCol w:w="1183"/>
        <w:gridCol w:w="222"/>
        <w:gridCol w:w="2847"/>
      </w:tblGrid>
      <w:tr w:rsidR="00E13CDD" w:rsidRPr="00223BF5" w14:paraId="732D34BF" w14:textId="77777777" w:rsidTr="00E13CDD">
        <w:trPr>
          <w:trHeight w:val="1248"/>
        </w:trPr>
        <w:tc>
          <w:tcPr>
            <w:tcW w:w="1867" w:type="dxa"/>
          </w:tcPr>
          <w:p w14:paraId="604B8790" w14:textId="77777777" w:rsidR="00E13CDD" w:rsidRDefault="00E13CDD" w:rsidP="00E13CDD">
            <w:pPr>
              <w:spacing w:before="120" w:after="120" w:line="276" w:lineRule="auto"/>
              <w:jc w:val="both"/>
              <w:rPr>
                <w:rFonts w:ascii="Arial" w:hAnsi="Arial" w:cs="Arial"/>
              </w:rPr>
            </w:pPr>
            <w:r w:rsidRPr="00223BF5">
              <w:rPr>
                <w:rFonts w:ascii="Arial" w:hAnsi="Arial" w:cs="Arial"/>
              </w:rPr>
              <w:t>Pour la CFDT</w:t>
            </w:r>
          </w:p>
          <w:p w14:paraId="4C9C92A0" w14:textId="4AD84B54" w:rsidR="00E13CDD" w:rsidRPr="00C30E52" w:rsidRDefault="00C30E52" w:rsidP="00C30E52">
            <w:pPr>
              <w:spacing w:before="120" w:after="120" w:line="276" w:lineRule="auto"/>
              <w:jc w:val="both"/>
              <w:rPr>
                <w:rFonts w:ascii="Arial" w:hAnsi="Arial" w:cs="Arial"/>
              </w:rPr>
            </w:pPr>
            <w:r>
              <w:rPr>
                <w:rFonts w:ascii="Arial" w:hAnsi="Arial" w:cs="Arial"/>
              </w:rPr>
              <w:t>Y</w:t>
            </w:r>
          </w:p>
          <w:p w14:paraId="2DB1F2DF" w14:textId="77777777" w:rsidR="00E13CDD" w:rsidRPr="00223BF5" w:rsidRDefault="00E13CDD" w:rsidP="00E13CDD">
            <w:pPr>
              <w:spacing w:before="120" w:after="120" w:line="276" w:lineRule="auto"/>
              <w:jc w:val="both"/>
              <w:rPr>
                <w:rFonts w:ascii="Arial" w:hAnsi="Arial" w:cs="Arial"/>
              </w:rPr>
            </w:pPr>
          </w:p>
          <w:p w14:paraId="1EBF1A53" w14:textId="77777777" w:rsidR="00E13CDD" w:rsidRPr="00223BF5" w:rsidRDefault="00E13CDD" w:rsidP="00E13CDD">
            <w:pPr>
              <w:spacing w:before="120" w:after="120" w:line="276" w:lineRule="auto"/>
              <w:jc w:val="both"/>
              <w:rPr>
                <w:rFonts w:ascii="Arial" w:hAnsi="Arial" w:cs="Arial"/>
              </w:rPr>
            </w:pPr>
          </w:p>
        </w:tc>
        <w:tc>
          <w:tcPr>
            <w:tcW w:w="1493" w:type="dxa"/>
          </w:tcPr>
          <w:p w14:paraId="2461964E" w14:textId="77777777" w:rsidR="00E13CDD" w:rsidRPr="00223BF5" w:rsidRDefault="00E13CDD" w:rsidP="00E13CDD">
            <w:pPr>
              <w:spacing w:before="120" w:after="120" w:line="276" w:lineRule="auto"/>
              <w:jc w:val="both"/>
              <w:rPr>
                <w:rFonts w:ascii="Arial" w:hAnsi="Arial" w:cs="Arial"/>
              </w:rPr>
            </w:pPr>
          </w:p>
        </w:tc>
        <w:tc>
          <w:tcPr>
            <w:tcW w:w="1871" w:type="dxa"/>
          </w:tcPr>
          <w:p w14:paraId="4ECFF1FF" w14:textId="77777777" w:rsidR="00E13CDD" w:rsidRPr="00223BF5" w:rsidRDefault="00E13CDD" w:rsidP="00E13CDD">
            <w:pPr>
              <w:spacing w:before="120" w:after="120" w:line="276" w:lineRule="auto"/>
              <w:jc w:val="both"/>
              <w:rPr>
                <w:rFonts w:ascii="Arial" w:hAnsi="Arial" w:cs="Arial"/>
              </w:rPr>
            </w:pPr>
            <w:r w:rsidRPr="00223BF5">
              <w:rPr>
                <w:rFonts w:ascii="Arial" w:hAnsi="Arial" w:cs="Arial"/>
              </w:rPr>
              <w:t>Pour l’UNSA</w:t>
            </w:r>
          </w:p>
          <w:p w14:paraId="1A839E4D" w14:textId="54E97430" w:rsidR="00E13CDD" w:rsidRDefault="00C30E52" w:rsidP="00E13CDD">
            <w:pPr>
              <w:spacing w:before="120" w:after="120" w:line="276" w:lineRule="auto"/>
              <w:jc w:val="both"/>
              <w:rPr>
                <w:rFonts w:ascii="Arial" w:hAnsi="Arial" w:cs="Arial"/>
              </w:rPr>
            </w:pPr>
            <w:r>
              <w:rPr>
                <w:rFonts w:ascii="Arial" w:hAnsi="Arial" w:cs="Arial"/>
              </w:rPr>
              <w:t>Z</w:t>
            </w:r>
          </w:p>
          <w:p w14:paraId="465CC192" w14:textId="77777777" w:rsidR="00E13CDD" w:rsidRPr="00223BF5" w:rsidRDefault="00E13CDD" w:rsidP="00E13CDD">
            <w:pPr>
              <w:spacing w:before="120" w:after="120" w:line="276" w:lineRule="auto"/>
              <w:jc w:val="both"/>
              <w:rPr>
                <w:rFonts w:ascii="Arial" w:hAnsi="Arial" w:cs="Arial"/>
              </w:rPr>
            </w:pPr>
          </w:p>
        </w:tc>
        <w:tc>
          <w:tcPr>
            <w:tcW w:w="1183" w:type="dxa"/>
          </w:tcPr>
          <w:p w14:paraId="6F7AD075" w14:textId="77777777" w:rsidR="00E13CDD" w:rsidRPr="00223BF5" w:rsidRDefault="00E13CDD" w:rsidP="00E13CDD">
            <w:pPr>
              <w:spacing w:before="120" w:after="120" w:line="276" w:lineRule="auto"/>
              <w:jc w:val="both"/>
              <w:rPr>
                <w:rFonts w:ascii="Arial" w:hAnsi="Arial" w:cs="Arial"/>
              </w:rPr>
            </w:pPr>
          </w:p>
        </w:tc>
        <w:tc>
          <w:tcPr>
            <w:tcW w:w="222" w:type="dxa"/>
          </w:tcPr>
          <w:p w14:paraId="559C1136" w14:textId="77777777" w:rsidR="00E13CDD" w:rsidRPr="00223BF5" w:rsidRDefault="00E13CDD" w:rsidP="00E13CDD">
            <w:pPr>
              <w:spacing w:before="120" w:after="120" w:line="276" w:lineRule="auto"/>
              <w:jc w:val="both"/>
              <w:rPr>
                <w:rFonts w:ascii="Arial" w:hAnsi="Arial" w:cs="Arial"/>
              </w:rPr>
            </w:pPr>
          </w:p>
        </w:tc>
        <w:tc>
          <w:tcPr>
            <w:tcW w:w="2847" w:type="dxa"/>
          </w:tcPr>
          <w:p w14:paraId="5F4D366F" w14:textId="77777777" w:rsidR="00E13CDD" w:rsidRPr="00223BF5" w:rsidRDefault="00E13CDD" w:rsidP="00E13CDD">
            <w:pPr>
              <w:spacing w:before="120" w:after="120" w:line="276" w:lineRule="auto"/>
              <w:jc w:val="both"/>
              <w:rPr>
                <w:rFonts w:ascii="Arial" w:hAnsi="Arial" w:cs="Arial"/>
              </w:rPr>
            </w:pPr>
            <w:r>
              <w:rPr>
                <w:rFonts w:ascii="Arial" w:hAnsi="Arial" w:cs="Arial"/>
              </w:rPr>
              <w:t>Pour la Direction</w:t>
            </w:r>
          </w:p>
          <w:p w14:paraId="302E16CB" w14:textId="0B084815" w:rsidR="00E13CDD" w:rsidRPr="00357702" w:rsidRDefault="00C30E52" w:rsidP="00357702">
            <w:pPr>
              <w:spacing w:before="120" w:after="120" w:line="276" w:lineRule="auto"/>
              <w:jc w:val="both"/>
              <w:rPr>
                <w:rFonts w:ascii="Arial" w:hAnsi="Arial" w:cs="Arial"/>
              </w:rPr>
            </w:pPr>
            <w:r>
              <w:rPr>
                <w:rFonts w:ascii="Arial" w:hAnsi="Arial" w:cs="Arial"/>
              </w:rPr>
              <w:t>X</w:t>
            </w:r>
          </w:p>
        </w:tc>
      </w:tr>
    </w:tbl>
    <w:p w14:paraId="7997A3FA" w14:textId="77777777" w:rsidR="002F5F1F" w:rsidRDefault="002F5F1F" w:rsidP="002F5F1F">
      <w:pPr>
        <w:spacing w:line="276" w:lineRule="auto"/>
        <w:jc w:val="both"/>
        <w:rPr>
          <w:rFonts w:ascii="Arial" w:hAnsi="Arial" w:cs="Arial"/>
          <w:color w:val="000000" w:themeColor="text1"/>
        </w:rPr>
      </w:pPr>
    </w:p>
    <w:p w14:paraId="55F2E887" w14:textId="77777777" w:rsidR="00B62F2F" w:rsidRDefault="00B62F2F"/>
    <w:sectPr w:rsidR="00B62F2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F7CE" w14:textId="77777777" w:rsidR="00431F90" w:rsidRDefault="00431F90" w:rsidP="00E13293">
      <w:pPr>
        <w:spacing w:after="0" w:line="240" w:lineRule="auto"/>
      </w:pPr>
      <w:r>
        <w:separator/>
      </w:r>
    </w:p>
  </w:endnote>
  <w:endnote w:type="continuationSeparator" w:id="0">
    <w:p w14:paraId="211B2E80" w14:textId="77777777" w:rsidR="00431F90" w:rsidRDefault="00431F90" w:rsidP="00E13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5445057" w14:paraId="01F7C742" w14:textId="77777777" w:rsidTr="05445057">
      <w:trPr>
        <w:trHeight w:val="300"/>
      </w:trPr>
      <w:tc>
        <w:tcPr>
          <w:tcW w:w="3020" w:type="dxa"/>
        </w:tcPr>
        <w:p w14:paraId="3ECE49B9" w14:textId="2FC5F316" w:rsidR="05445057" w:rsidRDefault="05445057" w:rsidP="05445057">
          <w:pPr>
            <w:pStyle w:val="En-tte"/>
            <w:ind w:left="-115"/>
          </w:pPr>
        </w:p>
      </w:tc>
      <w:tc>
        <w:tcPr>
          <w:tcW w:w="3020" w:type="dxa"/>
        </w:tcPr>
        <w:p w14:paraId="2B31FF5E" w14:textId="5E5E0BAC" w:rsidR="05445057" w:rsidRDefault="05445057" w:rsidP="05445057">
          <w:pPr>
            <w:pStyle w:val="En-tte"/>
            <w:jc w:val="center"/>
          </w:pPr>
        </w:p>
      </w:tc>
      <w:tc>
        <w:tcPr>
          <w:tcW w:w="3020" w:type="dxa"/>
        </w:tcPr>
        <w:p w14:paraId="4E2DB31E" w14:textId="0DBAB4E2" w:rsidR="05445057" w:rsidRDefault="05445057" w:rsidP="05445057">
          <w:pPr>
            <w:pStyle w:val="En-tte"/>
            <w:ind w:right="-115"/>
            <w:jc w:val="right"/>
          </w:pPr>
          <w:r>
            <w:fldChar w:fldCharType="begin"/>
          </w:r>
          <w:r>
            <w:instrText>PAGE</w:instrText>
          </w:r>
          <w:r>
            <w:fldChar w:fldCharType="separate"/>
          </w:r>
          <w:r w:rsidR="00C30E52">
            <w:rPr>
              <w:noProof/>
            </w:rPr>
            <w:t>1</w:t>
          </w:r>
          <w:r>
            <w:fldChar w:fldCharType="end"/>
          </w:r>
        </w:p>
      </w:tc>
    </w:tr>
  </w:tbl>
  <w:p w14:paraId="0ADA0F63" w14:textId="2A8A37A4" w:rsidR="05445057" w:rsidRDefault="05445057" w:rsidP="054450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CC33C" w14:textId="77777777" w:rsidR="00431F90" w:rsidRDefault="00431F90" w:rsidP="00E13293">
      <w:pPr>
        <w:spacing w:after="0" w:line="240" w:lineRule="auto"/>
      </w:pPr>
      <w:r>
        <w:separator/>
      </w:r>
    </w:p>
  </w:footnote>
  <w:footnote w:type="continuationSeparator" w:id="0">
    <w:p w14:paraId="1602F54B" w14:textId="77777777" w:rsidR="00431F90" w:rsidRDefault="00431F90" w:rsidP="00E13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5445057" w14:paraId="7E091E1A" w14:textId="77777777" w:rsidTr="05445057">
      <w:trPr>
        <w:trHeight w:val="300"/>
      </w:trPr>
      <w:tc>
        <w:tcPr>
          <w:tcW w:w="3020" w:type="dxa"/>
        </w:tcPr>
        <w:p w14:paraId="3A168E34" w14:textId="5D5355BD" w:rsidR="05445057" w:rsidRDefault="05445057" w:rsidP="05445057">
          <w:pPr>
            <w:pStyle w:val="En-tte"/>
            <w:ind w:left="-115"/>
          </w:pPr>
        </w:p>
      </w:tc>
      <w:tc>
        <w:tcPr>
          <w:tcW w:w="3020" w:type="dxa"/>
        </w:tcPr>
        <w:p w14:paraId="6D8E55AB" w14:textId="697A4A85" w:rsidR="05445057" w:rsidRDefault="05445057" w:rsidP="05445057">
          <w:pPr>
            <w:pStyle w:val="En-tte"/>
            <w:jc w:val="center"/>
          </w:pPr>
        </w:p>
      </w:tc>
      <w:tc>
        <w:tcPr>
          <w:tcW w:w="3020" w:type="dxa"/>
        </w:tcPr>
        <w:p w14:paraId="65D5BBDB" w14:textId="31CB3A1A" w:rsidR="05445057" w:rsidRDefault="05445057" w:rsidP="05445057">
          <w:pPr>
            <w:pStyle w:val="En-tte"/>
            <w:ind w:right="-115"/>
            <w:jc w:val="right"/>
          </w:pPr>
        </w:p>
      </w:tc>
    </w:tr>
  </w:tbl>
  <w:p w14:paraId="732AD518" w14:textId="7E246E87" w:rsidR="05445057" w:rsidRDefault="05445057" w:rsidP="0544505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7FF8"/>
    <w:multiLevelType w:val="hybridMultilevel"/>
    <w:tmpl w:val="10665D10"/>
    <w:lvl w:ilvl="0" w:tplc="C4F45EE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A14412"/>
    <w:multiLevelType w:val="hybridMultilevel"/>
    <w:tmpl w:val="6108F7BC"/>
    <w:lvl w:ilvl="0" w:tplc="C4F45EE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460FAA"/>
    <w:multiLevelType w:val="hybridMultilevel"/>
    <w:tmpl w:val="1B587430"/>
    <w:lvl w:ilvl="0" w:tplc="2E06EEFE">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1D512402"/>
    <w:multiLevelType w:val="hybridMultilevel"/>
    <w:tmpl w:val="FFFFFFFF"/>
    <w:lvl w:ilvl="0" w:tplc="0DEC9BD0">
      <w:start w:val="1"/>
      <w:numFmt w:val="bullet"/>
      <w:lvlText w:val="-"/>
      <w:lvlJc w:val="left"/>
      <w:pPr>
        <w:ind w:left="720" w:hanging="360"/>
      </w:pPr>
      <w:rPr>
        <w:rFonts w:ascii="Aptos" w:hAnsi="Aptos" w:hint="default"/>
      </w:rPr>
    </w:lvl>
    <w:lvl w:ilvl="1" w:tplc="E8408A64">
      <w:start w:val="1"/>
      <w:numFmt w:val="bullet"/>
      <w:lvlText w:val="o"/>
      <w:lvlJc w:val="left"/>
      <w:pPr>
        <w:ind w:left="1440" w:hanging="360"/>
      </w:pPr>
      <w:rPr>
        <w:rFonts w:ascii="Courier New" w:hAnsi="Courier New" w:hint="default"/>
      </w:rPr>
    </w:lvl>
    <w:lvl w:ilvl="2" w:tplc="BFB29768">
      <w:start w:val="1"/>
      <w:numFmt w:val="bullet"/>
      <w:lvlText w:val=""/>
      <w:lvlJc w:val="left"/>
      <w:pPr>
        <w:ind w:left="2160" w:hanging="360"/>
      </w:pPr>
      <w:rPr>
        <w:rFonts w:ascii="Wingdings" w:hAnsi="Wingdings" w:hint="default"/>
      </w:rPr>
    </w:lvl>
    <w:lvl w:ilvl="3" w:tplc="0F42C5C0">
      <w:start w:val="1"/>
      <w:numFmt w:val="bullet"/>
      <w:lvlText w:val=""/>
      <w:lvlJc w:val="left"/>
      <w:pPr>
        <w:ind w:left="2880" w:hanging="360"/>
      </w:pPr>
      <w:rPr>
        <w:rFonts w:ascii="Symbol" w:hAnsi="Symbol" w:hint="default"/>
      </w:rPr>
    </w:lvl>
    <w:lvl w:ilvl="4" w:tplc="EFD8F8A0">
      <w:start w:val="1"/>
      <w:numFmt w:val="bullet"/>
      <w:lvlText w:val="o"/>
      <w:lvlJc w:val="left"/>
      <w:pPr>
        <w:ind w:left="3600" w:hanging="360"/>
      </w:pPr>
      <w:rPr>
        <w:rFonts w:ascii="Courier New" w:hAnsi="Courier New" w:hint="default"/>
      </w:rPr>
    </w:lvl>
    <w:lvl w:ilvl="5" w:tplc="A91E8D5C">
      <w:start w:val="1"/>
      <w:numFmt w:val="bullet"/>
      <w:lvlText w:val=""/>
      <w:lvlJc w:val="left"/>
      <w:pPr>
        <w:ind w:left="4320" w:hanging="360"/>
      </w:pPr>
      <w:rPr>
        <w:rFonts w:ascii="Wingdings" w:hAnsi="Wingdings" w:hint="default"/>
      </w:rPr>
    </w:lvl>
    <w:lvl w:ilvl="6" w:tplc="7012FDA0">
      <w:start w:val="1"/>
      <w:numFmt w:val="bullet"/>
      <w:lvlText w:val=""/>
      <w:lvlJc w:val="left"/>
      <w:pPr>
        <w:ind w:left="5040" w:hanging="360"/>
      </w:pPr>
      <w:rPr>
        <w:rFonts w:ascii="Symbol" w:hAnsi="Symbol" w:hint="default"/>
      </w:rPr>
    </w:lvl>
    <w:lvl w:ilvl="7" w:tplc="70A2878E">
      <w:start w:val="1"/>
      <w:numFmt w:val="bullet"/>
      <w:lvlText w:val="o"/>
      <w:lvlJc w:val="left"/>
      <w:pPr>
        <w:ind w:left="5760" w:hanging="360"/>
      </w:pPr>
      <w:rPr>
        <w:rFonts w:ascii="Courier New" w:hAnsi="Courier New" w:hint="default"/>
      </w:rPr>
    </w:lvl>
    <w:lvl w:ilvl="8" w:tplc="FCD62AB6">
      <w:start w:val="1"/>
      <w:numFmt w:val="bullet"/>
      <w:lvlText w:val=""/>
      <w:lvlJc w:val="left"/>
      <w:pPr>
        <w:ind w:left="6480" w:hanging="360"/>
      </w:pPr>
      <w:rPr>
        <w:rFonts w:ascii="Wingdings" w:hAnsi="Wingdings" w:hint="default"/>
      </w:rPr>
    </w:lvl>
  </w:abstractNum>
  <w:abstractNum w:abstractNumId="4" w15:restartNumberingAfterBreak="0">
    <w:nsid w:val="286C754F"/>
    <w:multiLevelType w:val="hybridMultilevel"/>
    <w:tmpl w:val="3B7C4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C3355B7"/>
    <w:multiLevelType w:val="hybridMultilevel"/>
    <w:tmpl w:val="FE964AA2"/>
    <w:lvl w:ilvl="0" w:tplc="0BEE24B8">
      <w:numFmt w:val="bullet"/>
      <w:lvlText w:val=""/>
      <w:lvlJc w:val="left"/>
      <w:pPr>
        <w:ind w:left="720" w:hanging="360"/>
      </w:pPr>
      <w:rPr>
        <w:rFonts w:ascii="Symbol" w:eastAsia="Times New Roman" w:hAnsi="Symbo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30620A6"/>
    <w:multiLevelType w:val="hybridMultilevel"/>
    <w:tmpl w:val="84C2A8C6"/>
    <w:lvl w:ilvl="0" w:tplc="EC983910">
      <w:start w:val="13"/>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C15549C"/>
    <w:multiLevelType w:val="hybridMultilevel"/>
    <w:tmpl w:val="1FDEE218"/>
    <w:lvl w:ilvl="0" w:tplc="29CA8E5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0509A1"/>
    <w:multiLevelType w:val="hybridMultilevel"/>
    <w:tmpl w:val="AEEC079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FD760CC"/>
    <w:multiLevelType w:val="hybridMultilevel"/>
    <w:tmpl w:val="7CD0CE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723D6380"/>
    <w:multiLevelType w:val="hybridMultilevel"/>
    <w:tmpl w:val="32B81F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CE4FD0">
      <w:start w:val="3"/>
      <w:numFmt w:val="bullet"/>
      <w:lvlText w:val="-"/>
      <w:lvlJc w:val="left"/>
      <w:pPr>
        <w:ind w:left="2160" w:hanging="360"/>
      </w:pPr>
      <w:rPr>
        <w:rFonts w:ascii="Arial" w:eastAsiaTheme="minorHAnsi"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25124451">
    <w:abstractNumId w:val="2"/>
  </w:num>
  <w:num w:numId="2" w16cid:durableId="910047359">
    <w:abstractNumId w:val="5"/>
  </w:num>
  <w:num w:numId="3" w16cid:durableId="1548177927">
    <w:abstractNumId w:val="0"/>
  </w:num>
  <w:num w:numId="4" w16cid:durableId="1274895652">
    <w:abstractNumId w:val="10"/>
  </w:num>
  <w:num w:numId="5" w16cid:durableId="692804011">
    <w:abstractNumId w:val="4"/>
  </w:num>
  <w:num w:numId="6" w16cid:durableId="1888026919">
    <w:abstractNumId w:val="6"/>
  </w:num>
  <w:num w:numId="7" w16cid:durableId="1871649691">
    <w:abstractNumId w:val="9"/>
  </w:num>
  <w:num w:numId="8" w16cid:durableId="810512755">
    <w:abstractNumId w:val="7"/>
  </w:num>
  <w:num w:numId="9" w16cid:durableId="76899850">
    <w:abstractNumId w:val="0"/>
  </w:num>
  <w:num w:numId="10" w16cid:durableId="913734801">
    <w:abstractNumId w:val="1"/>
  </w:num>
  <w:num w:numId="11" w16cid:durableId="44568165">
    <w:abstractNumId w:val="8"/>
  </w:num>
  <w:num w:numId="12" w16cid:durableId="8572314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8FF"/>
    <w:rsid w:val="00017C9C"/>
    <w:rsid w:val="00035A7C"/>
    <w:rsid w:val="0004458F"/>
    <w:rsid w:val="00057B74"/>
    <w:rsid w:val="00090239"/>
    <w:rsid w:val="000A7462"/>
    <w:rsid w:val="000B5225"/>
    <w:rsid w:val="000B6FBC"/>
    <w:rsid w:val="000D230F"/>
    <w:rsid w:val="000E18CF"/>
    <w:rsid w:val="00131C0E"/>
    <w:rsid w:val="00136DE3"/>
    <w:rsid w:val="00167458"/>
    <w:rsid w:val="001B18D1"/>
    <w:rsid w:val="001E4350"/>
    <w:rsid w:val="001F166A"/>
    <w:rsid w:val="001F6990"/>
    <w:rsid w:val="0021481E"/>
    <w:rsid w:val="00273213"/>
    <w:rsid w:val="0028268D"/>
    <w:rsid w:val="002D318D"/>
    <w:rsid w:val="002F5F1F"/>
    <w:rsid w:val="00311BAE"/>
    <w:rsid w:val="0031709B"/>
    <w:rsid w:val="00357702"/>
    <w:rsid w:val="003B4965"/>
    <w:rsid w:val="004012C2"/>
    <w:rsid w:val="004159AF"/>
    <w:rsid w:val="00422236"/>
    <w:rsid w:val="00431F90"/>
    <w:rsid w:val="00475060"/>
    <w:rsid w:val="004B7CE3"/>
    <w:rsid w:val="004C21B4"/>
    <w:rsid w:val="004D2DDA"/>
    <w:rsid w:val="004F3890"/>
    <w:rsid w:val="004F629E"/>
    <w:rsid w:val="00594852"/>
    <w:rsid w:val="00626AF8"/>
    <w:rsid w:val="00644131"/>
    <w:rsid w:val="00652746"/>
    <w:rsid w:val="00652898"/>
    <w:rsid w:val="00671600"/>
    <w:rsid w:val="00674E91"/>
    <w:rsid w:val="00683764"/>
    <w:rsid w:val="0069077D"/>
    <w:rsid w:val="006B464E"/>
    <w:rsid w:val="006E535B"/>
    <w:rsid w:val="006E77DF"/>
    <w:rsid w:val="006F67A0"/>
    <w:rsid w:val="00735F5F"/>
    <w:rsid w:val="00792C11"/>
    <w:rsid w:val="007A0ABC"/>
    <w:rsid w:val="007B6EEA"/>
    <w:rsid w:val="007F7434"/>
    <w:rsid w:val="00810307"/>
    <w:rsid w:val="00816C8F"/>
    <w:rsid w:val="0082013E"/>
    <w:rsid w:val="00846CB0"/>
    <w:rsid w:val="00862FDC"/>
    <w:rsid w:val="008B7E45"/>
    <w:rsid w:val="00902E4C"/>
    <w:rsid w:val="00943AD9"/>
    <w:rsid w:val="009568CC"/>
    <w:rsid w:val="00960AF6"/>
    <w:rsid w:val="009A25F3"/>
    <w:rsid w:val="009B77D5"/>
    <w:rsid w:val="009D01A5"/>
    <w:rsid w:val="009D17CC"/>
    <w:rsid w:val="00A164F2"/>
    <w:rsid w:val="00A5264B"/>
    <w:rsid w:val="00B62F2F"/>
    <w:rsid w:val="00BD1BB3"/>
    <w:rsid w:val="00BF214E"/>
    <w:rsid w:val="00BF60D5"/>
    <w:rsid w:val="00C24E7D"/>
    <w:rsid w:val="00C30E52"/>
    <w:rsid w:val="00C31806"/>
    <w:rsid w:val="00C3654C"/>
    <w:rsid w:val="00C7556C"/>
    <w:rsid w:val="00CB457C"/>
    <w:rsid w:val="00CE48FF"/>
    <w:rsid w:val="00CF2634"/>
    <w:rsid w:val="00D15CB1"/>
    <w:rsid w:val="00D27B95"/>
    <w:rsid w:val="00D40837"/>
    <w:rsid w:val="00D7048F"/>
    <w:rsid w:val="00DA3765"/>
    <w:rsid w:val="00DB41F8"/>
    <w:rsid w:val="00DF72E8"/>
    <w:rsid w:val="00E06D1F"/>
    <w:rsid w:val="00E104CB"/>
    <w:rsid w:val="00E13293"/>
    <w:rsid w:val="00E13CDD"/>
    <w:rsid w:val="00E2694B"/>
    <w:rsid w:val="00E30212"/>
    <w:rsid w:val="00E30E20"/>
    <w:rsid w:val="00E61871"/>
    <w:rsid w:val="00E66746"/>
    <w:rsid w:val="00E70B96"/>
    <w:rsid w:val="00E82ACA"/>
    <w:rsid w:val="00F75DC3"/>
    <w:rsid w:val="00F94741"/>
    <w:rsid w:val="00FC1CF2"/>
    <w:rsid w:val="00FC3ADD"/>
    <w:rsid w:val="05445057"/>
    <w:rsid w:val="1101A2F2"/>
    <w:rsid w:val="259E0FFB"/>
    <w:rsid w:val="2CABC146"/>
    <w:rsid w:val="54113CB4"/>
    <w:rsid w:val="65FC4A20"/>
    <w:rsid w:val="67442A38"/>
    <w:rsid w:val="682166D4"/>
    <w:rsid w:val="6E280722"/>
    <w:rsid w:val="713DA454"/>
    <w:rsid w:val="782AA8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7420D"/>
  <w15:chartTrackingRefBased/>
  <w15:docId w15:val="{D2E152D3-AEBE-4523-8868-B31C0A7D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F1F"/>
    <w:pPr>
      <w:spacing w:line="256" w:lineRule="auto"/>
    </w:pPr>
  </w:style>
  <w:style w:type="paragraph" w:styleId="Titre1">
    <w:name w:val="heading 1"/>
    <w:basedOn w:val="Normal"/>
    <w:next w:val="Normal"/>
    <w:link w:val="Titre1Car"/>
    <w:uiPriority w:val="9"/>
    <w:qFormat/>
    <w:rsid w:val="002F5F1F"/>
    <w:pPr>
      <w:keepNext/>
      <w:keepLines/>
      <w:spacing w:before="240" w:after="0"/>
      <w:jc w:val="center"/>
      <w:outlineLvl w:val="0"/>
    </w:pPr>
    <w:rPr>
      <w:rFonts w:ascii="Arial" w:eastAsiaTheme="majorEastAsia" w:hAnsi="Arial" w:cstheme="majorBidi"/>
      <w:b/>
      <w:color w:val="000000" w:themeColor="text1"/>
      <w:sz w:val="32"/>
      <w:szCs w:val="32"/>
    </w:rPr>
  </w:style>
  <w:style w:type="paragraph" w:styleId="Titre2">
    <w:name w:val="heading 2"/>
    <w:basedOn w:val="Normal"/>
    <w:next w:val="Normal"/>
    <w:link w:val="Titre2Car"/>
    <w:uiPriority w:val="9"/>
    <w:unhideWhenUsed/>
    <w:qFormat/>
    <w:rsid w:val="002F5F1F"/>
    <w:pPr>
      <w:keepNext/>
      <w:keepLines/>
      <w:spacing w:before="40" w:after="0"/>
      <w:outlineLvl w:val="1"/>
    </w:pPr>
    <w:rPr>
      <w:rFonts w:ascii="Arial" w:eastAsiaTheme="majorEastAsia" w:hAnsi="Arial" w:cstheme="majorBidi"/>
      <w:b/>
      <w:color w:val="000000" w:themeColor="text1"/>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F5F1F"/>
    <w:rPr>
      <w:rFonts w:ascii="Arial" w:eastAsiaTheme="majorEastAsia" w:hAnsi="Arial" w:cstheme="majorBidi"/>
      <w:b/>
      <w:color w:val="000000" w:themeColor="text1"/>
      <w:sz w:val="32"/>
      <w:szCs w:val="32"/>
    </w:rPr>
  </w:style>
  <w:style w:type="character" w:customStyle="1" w:styleId="Titre2Car">
    <w:name w:val="Titre 2 Car"/>
    <w:basedOn w:val="Policepardfaut"/>
    <w:link w:val="Titre2"/>
    <w:uiPriority w:val="9"/>
    <w:rsid w:val="002F5F1F"/>
    <w:rPr>
      <w:rFonts w:ascii="Arial" w:eastAsiaTheme="majorEastAsia" w:hAnsi="Arial" w:cstheme="majorBidi"/>
      <w:b/>
      <w:color w:val="000000" w:themeColor="text1"/>
      <w:szCs w:val="26"/>
    </w:rPr>
  </w:style>
  <w:style w:type="character" w:styleId="Lienhypertexte">
    <w:name w:val="Hyperlink"/>
    <w:basedOn w:val="Policepardfaut"/>
    <w:uiPriority w:val="99"/>
    <w:unhideWhenUsed/>
    <w:rsid w:val="002F5F1F"/>
    <w:rPr>
      <w:color w:val="0563C1" w:themeColor="hyperlink"/>
      <w:u w:val="single"/>
    </w:rPr>
  </w:style>
  <w:style w:type="paragraph" w:styleId="TM1">
    <w:name w:val="toc 1"/>
    <w:basedOn w:val="Normal"/>
    <w:next w:val="Normal"/>
    <w:autoRedefine/>
    <w:uiPriority w:val="39"/>
    <w:unhideWhenUsed/>
    <w:rsid w:val="002F5F1F"/>
    <w:pPr>
      <w:spacing w:after="100"/>
    </w:pPr>
    <w:rPr>
      <w:rFonts w:ascii="Arial." w:hAnsi="Arial."/>
    </w:rPr>
  </w:style>
  <w:style w:type="paragraph" w:styleId="TM2">
    <w:name w:val="toc 2"/>
    <w:basedOn w:val="Normal"/>
    <w:next w:val="Normal"/>
    <w:autoRedefine/>
    <w:uiPriority w:val="39"/>
    <w:unhideWhenUsed/>
    <w:rsid w:val="002F5F1F"/>
    <w:pPr>
      <w:spacing w:after="100"/>
      <w:ind w:left="220"/>
    </w:pPr>
    <w:rPr>
      <w:rFonts w:ascii="Arial" w:hAnsi="Arial"/>
    </w:rPr>
  </w:style>
  <w:style w:type="paragraph" w:styleId="Commentaire">
    <w:name w:val="annotation text"/>
    <w:basedOn w:val="Normal"/>
    <w:link w:val="CommentaireCar"/>
    <w:uiPriority w:val="99"/>
    <w:unhideWhenUsed/>
    <w:rsid w:val="002F5F1F"/>
    <w:pPr>
      <w:spacing w:line="240" w:lineRule="auto"/>
    </w:pPr>
    <w:rPr>
      <w:sz w:val="20"/>
      <w:szCs w:val="20"/>
    </w:rPr>
  </w:style>
  <w:style w:type="character" w:customStyle="1" w:styleId="CommentaireCar">
    <w:name w:val="Commentaire Car"/>
    <w:basedOn w:val="Policepardfaut"/>
    <w:link w:val="Commentaire"/>
    <w:uiPriority w:val="99"/>
    <w:rsid w:val="002F5F1F"/>
    <w:rPr>
      <w:sz w:val="20"/>
      <w:szCs w:val="20"/>
    </w:rPr>
  </w:style>
  <w:style w:type="paragraph" w:styleId="Paragraphedeliste">
    <w:name w:val="List Paragraph"/>
    <w:basedOn w:val="Normal"/>
    <w:uiPriority w:val="34"/>
    <w:qFormat/>
    <w:rsid w:val="002F5F1F"/>
    <w:pPr>
      <w:ind w:left="720"/>
      <w:contextualSpacing/>
    </w:pPr>
  </w:style>
  <w:style w:type="character" w:styleId="Marquedecommentaire">
    <w:name w:val="annotation reference"/>
    <w:basedOn w:val="Policepardfaut"/>
    <w:uiPriority w:val="99"/>
    <w:semiHidden/>
    <w:unhideWhenUsed/>
    <w:rsid w:val="002F5F1F"/>
    <w:rPr>
      <w:sz w:val="16"/>
      <w:szCs w:val="16"/>
    </w:rPr>
  </w:style>
  <w:style w:type="table" w:styleId="Grilledutableau">
    <w:name w:val="Table Grid"/>
    <w:basedOn w:val="TableauNormal"/>
    <w:uiPriority w:val="39"/>
    <w:rsid w:val="002F5F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E13CDD"/>
    <w:rPr>
      <w:b/>
      <w:bCs/>
    </w:rPr>
  </w:style>
  <w:style w:type="character" w:customStyle="1" w:styleId="ObjetducommentaireCar">
    <w:name w:val="Objet du commentaire Car"/>
    <w:basedOn w:val="CommentaireCar"/>
    <w:link w:val="Objetducommentaire"/>
    <w:uiPriority w:val="99"/>
    <w:semiHidden/>
    <w:rsid w:val="00E13CDD"/>
    <w:rPr>
      <w:b/>
      <w:bCs/>
      <w:sz w:val="20"/>
      <w:szCs w:val="20"/>
    </w:rPr>
  </w:style>
  <w:style w:type="paragraph" w:styleId="Rvision">
    <w:name w:val="Revision"/>
    <w:hidden/>
    <w:uiPriority w:val="99"/>
    <w:semiHidden/>
    <w:rsid w:val="00C7556C"/>
    <w:pPr>
      <w:spacing w:after="0" w:line="240" w:lineRule="auto"/>
    </w:pPr>
  </w:style>
  <w:style w:type="paragraph" w:styleId="En-tte">
    <w:name w:val="header"/>
    <w:basedOn w:val="Normal"/>
    <w:link w:val="En-tteCar"/>
    <w:uiPriority w:val="99"/>
    <w:unhideWhenUsed/>
    <w:rsid w:val="00E13293"/>
    <w:pPr>
      <w:tabs>
        <w:tab w:val="center" w:pos="4536"/>
        <w:tab w:val="right" w:pos="9072"/>
      </w:tabs>
      <w:spacing w:after="0" w:line="240" w:lineRule="auto"/>
    </w:pPr>
  </w:style>
  <w:style w:type="character" w:customStyle="1" w:styleId="En-tteCar">
    <w:name w:val="En-tête Car"/>
    <w:basedOn w:val="Policepardfaut"/>
    <w:link w:val="En-tte"/>
    <w:uiPriority w:val="99"/>
    <w:rsid w:val="00E13293"/>
  </w:style>
  <w:style w:type="paragraph" w:styleId="Pieddepage">
    <w:name w:val="footer"/>
    <w:basedOn w:val="Normal"/>
    <w:link w:val="PieddepageCar"/>
    <w:uiPriority w:val="99"/>
    <w:unhideWhenUsed/>
    <w:rsid w:val="00E132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1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40874">
      <w:bodyDiv w:val="1"/>
      <w:marLeft w:val="0"/>
      <w:marRight w:val="0"/>
      <w:marTop w:val="0"/>
      <w:marBottom w:val="0"/>
      <w:divBdr>
        <w:top w:val="none" w:sz="0" w:space="0" w:color="auto"/>
        <w:left w:val="none" w:sz="0" w:space="0" w:color="auto"/>
        <w:bottom w:val="none" w:sz="0" w:space="0" w:color="auto"/>
        <w:right w:val="none" w:sz="0" w:space="0" w:color="auto"/>
      </w:divBdr>
    </w:div>
    <w:div w:id="40202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4A767-3FE9-463D-8083-A16D07A3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858</Words>
  <Characters>4721</Characters>
  <Application>Microsoft Office Word</Application>
  <DocSecurity>0</DocSecurity>
  <Lines>39</Lines>
  <Paragraphs>11</Paragraphs>
  <ScaleCrop>false</ScaleCrop>
  <Company>Groupe Atlantic</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BROUTIN</dc:creator>
  <cp:keywords/>
  <dc:description/>
  <cp:lastModifiedBy>Sandrine LAURENT</cp:lastModifiedBy>
  <cp:revision>19</cp:revision>
  <dcterms:created xsi:type="dcterms:W3CDTF">2026-05-12T19:11:00Z</dcterms:created>
  <dcterms:modified xsi:type="dcterms:W3CDTF">2026-05-22T14:00:00Z</dcterms:modified>
</cp:coreProperties>
</file>