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0"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2">
      <w:pPr>
        <w:ind w:left="0" w:hanging="2"/>
        <w:rPr>
          <w:rFonts w:ascii="Calibri" w:cs="Calibri" w:eastAsia="Calibri" w:hAnsi="Calibri"/>
          <w:sz w:val="22"/>
          <w:szCs w:val="2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279400</wp:posOffset>
                </wp:positionH>
                <wp:positionV relativeFrom="paragraph">
                  <wp:posOffset>50800</wp:posOffset>
                </wp:positionV>
                <wp:extent cx="5645150" cy="1200150"/>
                <wp:effectExtent b="0" l="0" r="0" t="0"/>
                <wp:wrapNone/>
                <wp:docPr id="27" name=""/>
                <a:graphic>
                  <a:graphicData uri="http://schemas.microsoft.com/office/word/2010/wordprocessingShape">
                    <wps:wsp>
                      <wps:cNvSpPr/>
                      <wps:cNvPr id="2" name="Shape 2"/>
                      <wps:spPr>
                        <a:xfrm>
                          <a:off x="2532950" y="3189450"/>
                          <a:ext cx="5626100" cy="1181100"/>
                        </a:xfrm>
                        <a:prstGeom prst="rect">
                          <a:avLst/>
                        </a:prstGeom>
                        <a:noFill/>
                        <a:ln cap="flat" cmpd="sng" w="9525">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2.0000000298023224"/>
                              <w:jc w:val="left"/>
                              <w:textDirection w:val="btLr"/>
                            </w:pP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279400</wp:posOffset>
                </wp:positionH>
                <wp:positionV relativeFrom="paragraph">
                  <wp:posOffset>50800</wp:posOffset>
                </wp:positionV>
                <wp:extent cx="5645150" cy="1200150"/>
                <wp:effectExtent b="0" l="0" r="0" t="0"/>
                <wp:wrapNone/>
                <wp:docPr id="27"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5645150" cy="1200150"/>
                        </a:xfrm>
                        <a:prstGeom prst="rect"/>
                        <a:ln/>
                      </pic:spPr>
                    </pic:pic>
                  </a:graphicData>
                </a:graphic>
              </wp:anchor>
            </w:drawing>
          </mc:Fallback>
        </mc:AlternateContent>
      </w:r>
    </w:p>
    <w:p w:rsidR="00000000" w:rsidDel="00000000" w:rsidP="00000000" w:rsidRDefault="00000000" w:rsidRPr="00000000" w14:paraId="00000003">
      <w:pPr>
        <w:ind w:left="0"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4">
      <w:pPr>
        <w:ind w:left="1" w:hanging="3"/>
        <w:jc w:val="center"/>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AVENANT 2  A L’ACCORD RELATIF AU COMPTE EPARGNE TEMPS EUROPCAR France</w:t>
      </w:r>
    </w:p>
    <w:p w:rsidR="00000000" w:rsidDel="00000000" w:rsidP="00000000" w:rsidRDefault="00000000" w:rsidRPr="00000000" w14:paraId="00000005">
      <w:pPr>
        <w:ind w:left="0"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6">
      <w:pPr>
        <w:ind w:left="0"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7">
      <w:pPr>
        <w:ind w:left="0" w:right="-694"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8">
      <w:pPr>
        <w:ind w:left="0" w:right="-1054"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9">
      <w:pPr>
        <w:ind w:left="0"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A">
      <w:pPr>
        <w:pBdr>
          <w:bottom w:color="000000" w:space="1" w:sz="4" w:val="single"/>
        </w:pBdr>
        <w:ind w:left="1" w:hanging="3"/>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ENTRE </w:t>
      </w:r>
      <w:r w:rsidDel="00000000" w:rsidR="00000000" w:rsidRPr="00000000">
        <w:rPr>
          <w:rtl w:val="0"/>
        </w:rPr>
      </w:r>
    </w:p>
    <w:p w:rsidR="00000000" w:rsidDel="00000000" w:rsidP="00000000" w:rsidRDefault="00000000" w:rsidRPr="00000000" w14:paraId="0000000B">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C">
      <w:pPr>
        <w:ind w:left="0" w:right="213" w:hanging="2"/>
        <w:jc w:val="both"/>
        <w:rPr/>
      </w:pPr>
      <w:r w:rsidDel="00000000" w:rsidR="00000000" w:rsidRPr="00000000">
        <w:rPr>
          <w:rFonts w:ascii="Calibri" w:cs="Calibri" w:eastAsia="Calibri" w:hAnsi="Calibri"/>
          <w:color w:val="000000"/>
          <w:sz w:val="22"/>
          <w:szCs w:val="22"/>
          <w:rtl w:val="0"/>
        </w:rPr>
        <w:t xml:space="preserve">La société Europcar France dont le siège social est situé 13 ter boulevard Berthier – 75017 Paris, représentée par Monsieur </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color w:val="000000"/>
          <w:sz w:val="22"/>
          <w:szCs w:val="22"/>
          <w:rtl w:val="0"/>
        </w:rPr>
        <w:t xml:space="preserve">, Directeur Général, dûment habilité à cet effet, ci-après dénommée « la Société »</w:t>
      </w:r>
      <w:r w:rsidDel="00000000" w:rsidR="00000000" w:rsidRPr="00000000">
        <w:rPr>
          <w:rtl w:val="0"/>
        </w:rPr>
      </w:r>
    </w:p>
    <w:p w:rsidR="00000000" w:rsidDel="00000000" w:rsidP="00000000" w:rsidRDefault="00000000" w:rsidRPr="00000000" w14:paraId="0000000D">
      <w:pPr>
        <w:spacing w:after="240" w:lineRule="auto"/>
        <w:ind w:left="0" w:hanging="2"/>
        <w:rPr/>
      </w:pPr>
      <w:r w:rsidDel="00000000" w:rsidR="00000000" w:rsidRPr="00000000">
        <w:rPr>
          <w:rtl w:val="0"/>
        </w:rPr>
        <w:br w:type="textWrapping"/>
      </w:r>
    </w:p>
    <w:p w:rsidR="00000000" w:rsidDel="00000000" w:rsidP="00000000" w:rsidRDefault="00000000" w:rsidRPr="00000000" w14:paraId="0000000E">
      <w:pPr>
        <w:ind w:left="0" w:right="215" w:hanging="2"/>
        <w:jc w:val="right"/>
        <w:rPr>
          <w:sz w:val="48"/>
          <w:szCs w:val="48"/>
        </w:rPr>
      </w:pPr>
      <w:r w:rsidDel="00000000" w:rsidR="00000000" w:rsidRPr="00000000">
        <w:rPr>
          <w:rFonts w:ascii="Calibri" w:cs="Calibri" w:eastAsia="Calibri" w:hAnsi="Calibri"/>
          <w:b w:val="1"/>
          <w:color w:val="000000"/>
          <w:sz w:val="22"/>
          <w:szCs w:val="22"/>
          <w:rtl w:val="0"/>
        </w:rPr>
        <w:t xml:space="preserve">D’une part,</w:t>
      </w:r>
      <w:r w:rsidDel="00000000" w:rsidR="00000000" w:rsidRPr="00000000">
        <w:rPr>
          <w:rtl w:val="0"/>
        </w:rPr>
      </w:r>
    </w:p>
    <w:p w:rsidR="00000000" w:rsidDel="00000000" w:rsidP="00000000" w:rsidRDefault="00000000" w:rsidRPr="00000000" w14:paraId="0000000F">
      <w:pPr>
        <w:spacing w:after="240" w:lineRule="auto"/>
        <w:ind w:left="0" w:hanging="2"/>
        <w:rPr/>
      </w:pPr>
      <w:r w:rsidDel="00000000" w:rsidR="00000000" w:rsidRPr="00000000">
        <w:rPr>
          <w:rtl w:val="0"/>
        </w:rPr>
      </w:r>
    </w:p>
    <w:p w:rsidR="00000000" w:rsidDel="00000000" w:rsidP="00000000" w:rsidRDefault="00000000" w:rsidRPr="00000000" w14:paraId="00000010">
      <w:pPr>
        <w:pBdr>
          <w:bottom w:color="000000" w:space="1" w:sz="4" w:val="single"/>
        </w:pBdr>
        <w:ind w:left="1" w:hanging="3"/>
        <w:rPr>
          <w:rFonts w:ascii="Calibri" w:cs="Calibri" w:eastAsia="Calibri" w:hAnsi="Calibri"/>
          <w:color w:val="000000"/>
          <w:sz w:val="28"/>
          <w:szCs w:val="28"/>
        </w:rPr>
      </w:pPr>
      <w:r w:rsidDel="00000000" w:rsidR="00000000" w:rsidRPr="00000000">
        <w:rPr>
          <w:rFonts w:ascii="Calibri" w:cs="Calibri" w:eastAsia="Calibri" w:hAnsi="Calibri"/>
          <w:b w:val="1"/>
          <w:color w:val="000000"/>
          <w:sz w:val="28"/>
          <w:szCs w:val="28"/>
          <w:rtl w:val="0"/>
        </w:rPr>
        <w:t xml:space="preserve">ET</w:t>
      </w:r>
      <w:r w:rsidDel="00000000" w:rsidR="00000000" w:rsidRPr="00000000">
        <w:rPr>
          <w:rtl w:val="0"/>
        </w:rPr>
      </w:r>
    </w:p>
    <w:p w:rsidR="00000000" w:rsidDel="00000000" w:rsidP="00000000" w:rsidRDefault="00000000" w:rsidRPr="00000000" w14:paraId="00000011">
      <w:pPr>
        <w:ind w:left="0" w:hanging="2"/>
        <w:rPr/>
      </w:pPr>
      <w:r w:rsidDel="00000000" w:rsidR="00000000" w:rsidRPr="00000000">
        <w:rPr>
          <w:rtl w:val="0"/>
        </w:rPr>
        <w:br w:type="textWrapping"/>
      </w:r>
    </w:p>
    <w:p w:rsidR="00000000" w:rsidDel="00000000" w:rsidP="00000000" w:rsidRDefault="00000000" w:rsidRPr="00000000" w14:paraId="00000012">
      <w:pPr>
        <w:numPr>
          <w:ilvl w:val="0"/>
          <w:numId w:val="1"/>
        </w:numPr>
        <w:ind w:left="0" w:right="611" w:hanging="2"/>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 Syndicat C.F.D.T., représenté par Madame</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color w:val="000000"/>
          <w:sz w:val="22"/>
          <w:szCs w:val="22"/>
          <w:rtl w:val="0"/>
        </w:rPr>
        <w:t xml:space="preserve"> et Monsieur </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color w:val="000000"/>
          <w:sz w:val="22"/>
          <w:szCs w:val="22"/>
          <w:rtl w:val="0"/>
        </w:rPr>
        <w:t xml:space="preserve"> en qualité de Délégués syndicaux,  </w:t>
      </w:r>
    </w:p>
    <w:p w:rsidR="00000000" w:rsidDel="00000000" w:rsidP="00000000" w:rsidRDefault="00000000" w:rsidRPr="00000000" w14:paraId="00000013">
      <w:pPr>
        <w:ind w:left="0" w:hanging="2"/>
        <w:rPr/>
      </w:pP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014">
      <w:pPr>
        <w:numPr>
          <w:ilvl w:val="0"/>
          <w:numId w:val="2"/>
        </w:numPr>
        <w:ind w:left="0" w:right="611" w:hanging="2"/>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 Syndicat C.G.T., représenté par Monsieur </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color w:val="000000"/>
          <w:sz w:val="22"/>
          <w:szCs w:val="22"/>
          <w:rtl w:val="0"/>
        </w:rPr>
        <w:t xml:space="preserve">et Monsieur</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color w:val="000000"/>
          <w:sz w:val="22"/>
          <w:szCs w:val="22"/>
          <w:rtl w:val="0"/>
        </w:rPr>
        <w:t xml:space="preserve">, en qualité de Délégués Syndicaux,  </w:t>
      </w:r>
    </w:p>
    <w:p w:rsidR="00000000" w:rsidDel="00000000" w:rsidP="00000000" w:rsidRDefault="00000000" w:rsidRPr="00000000" w14:paraId="00000015">
      <w:pPr>
        <w:ind w:left="0" w:hanging="2"/>
        <w:rPr/>
      </w:pP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016">
      <w:pPr>
        <w:numPr>
          <w:ilvl w:val="0"/>
          <w:numId w:val="3"/>
        </w:numPr>
        <w:ind w:left="0" w:right="611" w:hanging="2"/>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Le Syndicat F.O., représenté par Madame </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color w:val="000000"/>
          <w:sz w:val="22"/>
          <w:szCs w:val="22"/>
          <w:rtl w:val="0"/>
        </w:rPr>
        <w:t xml:space="preserve">et Monsieur </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color w:val="000000"/>
          <w:sz w:val="22"/>
          <w:szCs w:val="22"/>
          <w:rtl w:val="0"/>
        </w:rPr>
        <w:t xml:space="preserve">, en qualité de Délégués Syndicaux,</w:t>
      </w:r>
    </w:p>
    <w:p w:rsidR="00000000" w:rsidDel="00000000" w:rsidP="00000000" w:rsidRDefault="00000000" w:rsidRPr="00000000" w14:paraId="00000017">
      <w:pPr>
        <w:ind w:left="0" w:hanging="2"/>
        <w:rPr/>
      </w:pPr>
      <w:r w:rsidDel="00000000" w:rsidR="00000000" w:rsidRPr="00000000">
        <w:rPr>
          <w:rtl w:val="0"/>
        </w:rPr>
      </w:r>
    </w:p>
    <w:p w:rsidR="00000000" w:rsidDel="00000000" w:rsidP="00000000" w:rsidRDefault="00000000" w:rsidRPr="00000000" w14:paraId="00000018">
      <w:pPr>
        <w:ind w:left="0" w:hanging="2"/>
        <w:rPr/>
      </w:pPr>
      <w:r w:rsidDel="00000000" w:rsidR="00000000" w:rsidRPr="00000000">
        <w:rPr>
          <w:rtl w:val="0"/>
        </w:rPr>
      </w:r>
    </w:p>
    <w:p w:rsidR="00000000" w:rsidDel="00000000" w:rsidP="00000000" w:rsidRDefault="00000000" w:rsidRPr="00000000" w14:paraId="00000019">
      <w:pPr>
        <w:ind w:left="0" w:right="611" w:hanging="2"/>
        <w:jc w:val="both"/>
        <w:rPr/>
      </w:pPr>
      <w:r w:rsidDel="00000000" w:rsidR="00000000" w:rsidRPr="00000000">
        <w:rPr>
          <w:rFonts w:ascii="Calibri" w:cs="Calibri" w:eastAsia="Calibri" w:hAnsi="Calibri"/>
          <w:color w:val="000000"/>
          <w:sz w:val="22"/>
          <w:szCs w:val="22"/>
          <w:rtl w:val="0"/>
        </w:rPr>
        <w:t xml:space="preserve">Ci-après désignées « les Organisations Syndicales Représentatives »</w:t>
      </w:r>
      <w:r w:rsidDel="00000000" w:rsidR="00000000" w:rsidRPr="00000000">
        <w:rPr>
          <w:rtl w:val="0"/>
        </w:rPr>
      </w:r>
    </w:p>
    <w:p w:rsidR="00000000" w:rsidDel="00000000" w:rsidP="00000000" w:rsidRDefault="00000000" w:rsidRPr="00000000" w14:paraId="0000001A">
      <w:pPr>
        <w:spacing w:after="240" w:lineRule="auto"/>
        <w:ind w:left="0" w:hanging="2"/>
        <w:rPr/>
      </w:pPr>
      <w:r w:rsidDel="00000000" w:rsidR="00000000" w:rsidRPr="00000000">
        <w:rPr>
          <w:rtl w:val="0"/>
        </w:rPr>
        <w:br w:type="textWrapping"/>
      </w:r>
    </w:p>
    <w:p w:rsidR="00000000" w:rsidDel="00000000" w:rsidP="00000000" w:rsidRDefault="00000000" w:rsidRPr="00000000" w14:paraId="0000001B">
      <w:pPr>
        <w:spacing w:before="1" w:lineRule="auto"/>
        <w:ind w:left="0" w:right="213" w:hanging="2"/>
        <w:jc w:val="right"/>
        <w:rPr>
          <w:sz w:val="48"/>
          <w:szCs w:val="48"/>
        </w:rPr>
      </w:pPr>
      <w:r w:rsidDel="00000000" w:rsidR="00000000" w:rsidRPr="00000000">
        <w:rPr>
          <w:rFonts w:ascii="Calibri" w:cs="Calibri" w:eastAsia="Calibri" w:hAnsi="Calibri"/>
          <w:b w:val="1"/>
          <w:color w:val="000000"/>
          <w:sz w:val="22"/>
          <w:szCs w:val="22"/>
          <w:rtl w:val="0"/>
        </w:rPr>
        <w:t xml:space="preserve">D’autre part,</w:t>
      </w:r>
      <w:r w:rsidDel="00000000" w:rsidR="00000000" w:rsidRPr="00000000">
        <w:rPr>
          <w:rtl w:val="0"/>
        </w:rPr>
      </w:r>
    </w:p>
    <w:p w:rsidR="00000000" w:rsidDel="00000000" w:rsidP="00000000" w:rsidRDefault="00000000" w:rsidRPr="00000000" w14:paraId="0000001C">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D">
      <w:pPr>
        <w:ind w:left="1" w:hanging="3"/>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1E">
      <w:pPr>
        <w:ind w:left="1" w:hanging="3"/>
        <w:jc w:val="both"/>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1F">
      <w:pPr>
        <w:ind w:left="1" w:hanging="3"/>
        <w:jc w:val="both"/>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20">
      <w:pPr>
        <w:ind w:left="1" w:hanging="3"/>
        <w:jc w:val="both"/>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21">
      <w:pPr>
        <w:ind w:left="1" w:hanging="3"/>
        <w:jc w:val="both"/>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22">
      <w:pPr>
        <w:ind w:left="1" w:hanging="3"/>
        <w:jc w:val="both"/>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23">
      <w:pPr>
        <w:ind w:left="1" w:hanging="3"/>
        <w:jc w:val="both"/>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24">
      <w:pPr>
        <w:ind w:left="1" w:hanging="3"/>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PREAMBULE </w:t>
      </w:r>
    </w:p>
    <w:p w:rsidR="00000000" w:rsidDel="00000000" w:rsidP="00000000" w:rsidRDefault="00000000" w:rsidRPr="00000000" w14:paraId="00000025">
      <w:pPr>
        <w:ind w:left="1" w:hanging="3"/>
        <w:jc w:val="both"/>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26">
      <w:pPr>
        <w:ind w:left="1" w:hanging="3"/>
        <w:jc w:val="both"/>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27">
      <w:pPr>
        <w:ind w:left="1" w:hanging="3"/>
        <w:jc w:val="both"/>
        <w:rPr>
          <w:rFonts w:ascii="Calibri" w:cs="Calibri" w:eastAsia="Calibri" w:hAnsi="Calibri"/>
          <w:color w:val="006600"/>
          <w:sz w:val="28"/>
          <w:szCs w:val="28"/>
        </w:rPr>
      </w:pPr>
      <w:r w:rsidDel="00000000" w:rsidR="00000000" w:rsidRPr="00000000">
        <w:rPr>
          <w:rtl w:val="0"/>
        </w:rPr>
      </w:r>
    </w:p>
    <w:p w:rsidR="00000000" w:rsidDel="00000000" w:rsidP="00000000" w:rsidRDefault="00000000" w:rsidRPr="00000000" w14:paraId="00000028">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9">
      <w:pPr>
        <w:ind w:left="0" w:hanging="2"/>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Un plan d’Epargne Groupe (PEG) du Groupe Europcar Mobility a été mis en place le 20 décembre 2016 afin de permettre au personnel du Groupe de se constituer un portefeuille de valeurs mobilières.</w:t>
      </w:r>
    </w:p>
    <w:p w:rsidR="00000000" w:rsidDel="00000000" w:rsidP="00000000" w:rsidRDefault="00000000" w:rsidRPr="00000000" w14:paraId="0000002A">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B">
      <w:pPr>
        <w:ind w:left="0" w:hanging="2"/>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Par un avenant n°2 du 8 novembre 2021 du Plan Epargne Groupe (PEG), il a été prévu la possibilité de transférer les droits épargnés du Compte Epargne Temps (CET) vers le PEG dans les sociétés de Groupe ayant ouvert ce dispositif, ce qui est le cas pour la société Europcar France.</w:t>
      </w:r>
    </w:p>
    <w:p w:rsidR="00000000" w:rsidDel="00000000" w:rsidP="00000000" w:rsidRDefault="00000000" w:rsidRPr="00000000" w14:paraId="0000002C">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D">
      <w:pPr>
        <w:ind w:left="0" w:hanging="2"/>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L’accord Europcar France Compte Épargne Temps du 13 novembre 2015, et l’accord du 8 novembre 2021 portant révision dudit accord, n’ont pas aménagé la possibilité de transférer les droits épargnés du Compte Épargne Temps (CET) vers le PEG dans les sociétés de Groupe.</w:t>
      </w:r>
    </w:p>
    <w:p w:rsidR="00000000" w:rsidDel="00000000" w:rsidP="00000000" w:rsidRDefault="00000000" w:rsidRPr="00000000" w14:paraId="0000002E">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F">
      <w:pPr>
        <w:ind w:left="0" w:hanging="2"/>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En conséquence, les parties entendent dans le présent avenant 2, réviser l’accord Compte Épargne Temps du 13 novembre 2015 aux fins de prévoir la possibilité pour les salariés bénéficiaires, d’affecter sur le PEG, les sommes issues de leur compte épargne temps ou les jours de congés non pris et monétisés qui y sont affectés.</w:t>
      </w:r>
    </w:p>
    <w:p w:rsidR="00000000" w:rsidDel="00000000" w:rsidP="00000000" w:rsidRDefault="00000000" w:rsidRPr="00000000" w14:paraId="00000030">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1">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2">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3">
      <w:pPr>
        <w:ind w:left="0" w:hanging="2"/>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34">
      <w:pPr>
        <w:ind w:left="0" w:hanging="2"/>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35">
      <w:pPr>
        <w:spacing w:line="240" w:lineRule="auto"/>
        <w:ind w:left="0" w:hanging="2"/>
        <w:rPr>
          <w:rFonts w:ascii="Calibri" w:cs="Calibri" w:eastAsia="Calibri" w:hAnsi="Calibri"/>
          <w:color w:val="c00000"/>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36">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7">
      <w:pPr>
        <w:pBdr>
          <w:bottom w:color="000000" w:space="1" w:sz="4" w:val="single"/>
        </w:pBdr>
        <w:ind w:left="1" w:hanging="3"/>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IL A ETE ARRETE ET CONVENU CE QUI SUIT : </w:t>
      </w:r>
      <w:r w:rsidDel="00000000" w:rsidR="00000000" w:rsidRPr="00000000">
        <w:rPr>
          <w:rtl w:val="0"/>
        </w:rPr>
      </w:r>
    </w:p>
    <w:p w:rsidR="00000000" w:rsidDel="00000000" w:rsidP="00000000" w:rsidRDefault="00000000" w:rsidRPr="00000000" w14:paraId="00000038">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9">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A">
      <w:pPr>
        <w:ind w:left="0" w:hanging="2"/>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ARTICLE 1 – Renonciation au bénéfice des dispositions de l’article 14 de l’accord du CET</w:t>
      </w:r>
    </w:p>
    <w:p w:rsidR="00000000" w:rsidDel="00000000" w:rsidP="00000000" w:rsidRDefault="00000000" w:rsidRPr="00000000" w14:paraId="0000003B">
      <w:pPr>
        <w:ind w:left="0" w:hanging="2"/>
        <w:jc w:val="both"/>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3C">
      <w:pPr>
        <w:ind w:left="0" w:hanging="2"/>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La Direction et les organisations syndicales représentatives, signataires du prévenant avenant confirment ici leur accord mutuel visant à réviser l’Accord dans les conditions prévues au présent avenant et renoncent, en conséquence, au bénéfice de la procédure de révision prévue à l’article 14 de l’Accord. Elles confirment, en conséquence, en tant que de besoin, au présent article, la régularité de la révision de l’Accord et les modalités de conclusion du présent avenant.</w:t>
      </w:r>
    </w:p>
    <w:p w:rsidR="00000000" w:rsidDel="00000000" w:rsidP="00000000" w:rsidRDefault="00000000" w:rsidRPr="00000000" w14:paraId="0000003D">
      <w:pPr>
        <w:ind w:left="0" w:hanging="2"/>
        <w:jc w:val="both"/>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3E">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F">
      <w:pPr>
        <w:ind w:left="0" w:hanging="2"/>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ARTICLE 2 – Utilisation du CET pour alimenter le Plan Epargne Groupe (PEG)  </w:t>
      </w:r>
      <w:r w:rsidDel="00000000" w:rsidR="00000000" w:rsidRPr="00000000">
        <w:rPr>
          <w:rtl w:val="0"/>
        </w:rPr>
      </w:r>
    </w:p>
    <w:p w:rsidR="00000000" w:rsidDel="00000000" w:rsidP="00000000" w:rsidRDefault="00000000" w:rsidRPr="00000000" w14:paraId="00000040">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41">
      <w:pPr>
        <w:ind w:left="0" w:hanging="2"/>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Chaque salarié ayant ouvert un compte Epargne Temps pourra utiliser les droits affectés sur ce dernier pour alimenter le Plan Epargne Groupe (PEG) et ce conformément aux dispositions de l’avenant 2 de l’accord Groupe signé le 8 novembre 2021.</w:t>
      </w:r>
    </w:p>
    <w:p w:rsidR="00000000" w:rsidDel="00000000" w:rsidP="00000000" w:rsidRDefault="00000000" w:rsidRPr="00000000" w14:paraId="00000042">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43">
      <w:pPr>
        <w:ind w:left="0" w:hanging="2"/>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Cette alimentation est assimilée à un versement volontaire au regard des règles afférentes au PEG. Ainsi le transfert du CET vers le PEG est pris en compte dans le plafond de 25% de la rémunération brute des versements annuels autorisé au titre de l’épargne salariale.</w:t>
      </w:r>
    </w:p>
    <w:p w:rsidR="00000000" w:rsidDel="00000000" w:rsidP="00000000" w:rsidRDefault="00000000" w:rsidRPr="00000000" w14:paraId="00000044">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45">
      <w:pPr>
        <w:ind w:left="0" w:hanging="2"/>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Selon la législation en vigueur à la date de signature du présent avenant, les sommes transférées du CET vers le PEG sont soumises à l’imposition sur le revenu et à l’intégralité des charges sociales.</w:t>
      </w:r>
    </w:p>
    <w:p w:rsidR="00000000" w:rsidDel="00000000" w:rsidP="00000000" w:rsidRDefault="00000000" w:rsidRPr="00000000" w14:paraId="00000046">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47">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48">
      <w:pPr>
        <w:ind w:left="0" w:hanging="2"/>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ARTICLE 3 – INFORMATION DES SALARIÉS</w:t>
      </w:r>
      <w:r w:rsidDel="00000000" w:rsidR="00000000" w:rsidRPr="00000000">
        <w:rPr>
          <w:rtl w:val="0"/>
        </w:rPr>
      </w:r>
    </w:p>
    <w:p w:rsidR="00000000" w:rsidDel="00000000" w:rsidP="00000000" w:rsidRDefault="00000000" w:rsidRPr="00000000" w14:paraId="00000049">
      <w:pPr>
        <w:ind w:left="0" w:hanging="2"/>
        <w:jc w:val="both"/>
        <w:rPr>
          <w:rFonts w:ascii="Calibri" w:cs="Calibri" w:eastAsia="Calibri" w:hAnsi="Calibri"/>
          <w:sz w:val="22"/>
          <w:szCs w:val="22"/>
        </w:rPr>
      </w:pPr>
      <w:bookmarkStart w:colFirst="0" w:colLast="0" w:name="_heading=h.fgs1xgo1vyl" w:id="0"/>
      <w:bookmarkEnd w:id="0"/>
      <w:r w:rsidDel="00000000" w:rsidR="00000000" w:rsidRPr="00000000">
        <w:rPr>
          <w:rtl w:val="0"/>
        </w:rPr>
      </w:r>
    </w:p>
    <w:p w:rsidR="00000000" w:rsidDel="00000000" w:rsidP="00000000" w:rsidRDefault="00000000" w:rsidRPr="00000000" w14:paraId="0000004A">
      <w:pPr>
        <w:ind w:left="0" w:hanging="2"/>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Une note d’information avertissant de la signature de l’avenant sera diffusée à l’attention de l’ensemble du personnel. </w:t>
      </w:r>
    </w:p>
    <w:p w:rsidR="00000000" w:rsidDel="00000000" w:rsidP="00000000" w:rsidRDefault="00000000" w:rsidRPr="00000000" w14:paraId="0000004B">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4C">
      <w:pPr>
        <w:ind w:left="0" w:hanging="2"/>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La passerelle entre le Compte Epargne Temps et le Plan d’Epargne Groupe sera également mentionnée dans le Guide de l'Épargnant tenu par le Gestionnaire de Compte et mis à la disposition du personnel de l’entreprise sur l’intranet.</w:t>
      </w:r>
    </w:p>
    <w:p w:rsidR="00000000" w:rsidDel="00000000" w:rsidP="00000000" w:rsidRDefault="00000000" w:rsidRPr="00000000" w14:paraId="0000004D">
      <w:pPr>
        <w:ind w:left="0" w:hanging="2"/>
        <w:jc w:val="both"/>
        <w:rPr>
          <w:rFonts w:ascii="Calibri" w:cs="Calibri" w:eastAsia="Calibri" w:hAnsi="Calibri"/>
          <w:sz w:val="22"/>
          <w:szCs w:val="22"/>
        </w:rPr>
      </w:pPr>
      <w:bookmarkStart w:colFirst="0" w:colLast="0" w:name="_heading=h.30j0zll" w:id="1"/>
      <w:bookmarkEnd w:id="1"/>
      <w:r w:rsidDel="00000000" w:rsidR="00000000" w:rsidRPr="00000000">
        <w:rPr>
          <w:rtl w:val="0"/>
        </w:rPr>
      </w:r>
    </w:p>
    <w:p w:rsidR="00000000" w:rsidDel="00000000" w:rsidP="00000000" w:rsidRDefault="00000000" w:rsidRPr="00000000" w14:paraId="0000004E">
      <w:pPr>
        <w:ind w:left="0" w:hanging="2"/>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ARTICLE 4 – MODALITÉS DE MISE EN ŒUVRE DE L’AVENANT</w:t>
      </w:r>
      <w:r w:rsidDel="00000000" w:rsidR="00000000" w:rsidRPr="00000000">
        <w:rPr>
          <w:rtl w:val="0"/>
        </w:rPr>
      </w:r>
    </w:p>
    <w:p w:rsidR="00000000" w:rsidDel="00000000" w:rsidP="00000000" w:rsidRDefault="00000000" w:rsidRPr="00000000" w14:paraId="0000004F">
      <w:pPr>
        <w:ind w:left="0" w:hanging="2"/>
        <w:jc w:val="both"/>
        <w:rPr>
          <w:rFonts w:ascii="Calibri" w:cs="Calibri" w:eastAsia="Calibri" w:hAnsi="Calibri"/>
          <w:color w:val="0000cc"/>
          <w:sz w:val="22"/>
          <w:szCs w:val="22"/>
        </w:rPr>
      </w:pPr>
      <w:r w:rsidDel="00000000" w:rsidR="00000000" w:rsidRPr="00000000">
        <w:rPr>
          <w:rtl w:val="0"/>
        </w:rPr>
      </w:r>
    </w:p>
    <w:p w:rsidR="00000000" w:rsidDel="00000000" w:rsidP="00000000" w:rsidRDefault="00000000" w:rsidRPr="00000000" w14:paraId="00000050">
      <w:pPr>
        <w:ind w:left="0" w:hanging="2"/>
        <w:jc w:val="both"/>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ARTICLE 4.1 – DUREE ET ENTREE EN VIGUEUR </w:t>
      </w:r>
      <w:r w:rsidDel="00000000" w:rsidR="00000000" w:rsidRPr="00000000">
        <w:rPr>
          <w:rtl w:val="0"/>
        </w:rPr>
      </w:r>
    </w:p>
    <w:p w:rsidR="00000000" w:rsidDel="00000000" w:rsidP="00000000" w:rsidRDefault="00000000" w:rsidRPr="00000000" w14:paraId="00000051">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2">
      <w:pPr>
        <w:ind w:left="0" w:hanging="2"/>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 présent avenant est conclu pour une durée indéterminée et entrera en vigueur, après accomplissement des formalités de dépôt telles que précisées ci-après.</w:t>
      </w:r>
    </w:p>
    <w:p w:rsidR="00000000" w:rsidDel="00000000" w:rsidP="00000000" w:rsidRDefault="00000000" w:rsidRPr="00000000" w14:paraId="00000053">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4">
      <w:pPr>
        <w:ind w:left="0" w:hanging="2"/>
        <w:jc w:val="both"/>
        <w:rPr>
          <w:rFonts w:ascii="Calibri" w:cs="Calibri" w:eastAsia="Calibri" w:hAnsi="Calibri"/>
          <w:color w:val="0000cc"/>
          <w:sz w:val="22"/>
          <w:szCs w:val="22"/>
        </w:rPr>
      </w:pPr>
      <w:r w:rsidDel="00000000" w:rsidR="00000000" w:rsidRPr="00000000">
        <w:rPr>
          <w:rtl w:val="0"/>
        </w:rPr>
      </w:r>
    </w:p>
    <w:p w:rsidR="00000000" w:rsidDel="00000000" w:rsidP="00000000" w:rsidRDefault="00000000" w:rsidRPr="00000000" w14:paraId="00000055">
      <w:pPr>
        <w:ind w:left="0" w:hanging="2"/>
        <w:jc w:val="both"/>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ARTICLE 4.2 – DÉPÔT DE L’AVENANT  </w:t>
      </w:r>
      <w:r w:rsidDel="00000000" w:rsidR="00000000" w:rsidRPr="00000000">
        <w:rPr>
          <w:rtl w:val="0"/>
        </w:rPr>
      </w:r>
    </w:p>
    <w:p w:rsidR="00000000" w:rsidDel="00000000" w:rsidP="00000000" w:rsidRDefault="00000000" w:rsidRPr="00000000" w14:paraId="00000056">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7">
      <w:pPr>
        <w:ind w:left="0" w:hanging="2"/>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La Direction d’Europcar France notifiera sans délai par mail avec accusé de réception, le présent avenant à l’ensemble des organisations syndicales représentatives au sein de la Société. </w:t>
      </w:r>
    </w:p>
    <w:p w:rsidR="00000000" w:rsidDel="00000000" w:rsidP="00000000" w:rsidRDefault="00000000" w:rsidRPr="00000000" w14:paraId="00000058">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9">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A">
      <w:pPr>
        <w:ind w:left="0" w:hanging="2"/>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Conformément aux dispositions légalement prévues, le présent avenant fera l’objet d’un dépôt auprès du Greffe du Conseil de Prud’hommes dont relève le Siège Social de la Société. </w:t>
      </w:r>
    </w:p>
    <w:p w:rsidR="00000000" w:rsidDel="00000000" w:rsidP="00000000" w:rsidRDefault="00000000" w:rsidRPr="00000000" w14:paraId="0000005B">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C">
      <w:pPr>
        <w:ind w:left="0" w:hanging="2"/>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 présent avenant sera également téléchargé sur la plateforme en ligne Télé-Accords. </w:t>
      </w:r>
    </w:p>
    <w:p w:rsidR="00000000" w:rsidDel="00000000" w:rsidP="00000000" w:rsidRDefault="00000000" w:rsidRPr="00000000" w14:paraId="0000005D">
      <w:pPr>
        <w:ind w:left="0" w:hanging="2"/>
        <w:jc w:val="both"/>
        <w:rPr>
          <w:rFonts w:ascii="Calibri" w:cs="Calibri" w:eastAsia="Calibri" w:hAnsi="Calibri"/>
          <w:color w:val="0000cc"/>
          <w:sz w:val="22"/>
          <w:szCs w:val="22"/>
        </w:rPr>
      </w:pPr>
      <w:r w:rsidDel="00000000" w:rsidR="00000000" w:rsidRPr="00000000">
        <w:rPr>
          <w:rtl w:val="0"/>
        </w:rPr>
      </w:r>
    </w:p>
    <w:p w:rsidR="00000000" w:rsidDel="00000000" w:rsidP="00000000" w:rsidRDefault="00000000" w:rsidRPr="00000000" w14:paraId="0000005E">
      <w:pPr>
        <w:ind w:left="0" w:hanging="2"/>
        <w:jc w:val="both"/>
        <w:rPr>
          <w:rFonts w:ascii="Calibri" w:cs="Calibri" w:eastAsia="Calibri" w:hAnsi="Calibri"/>
          <w:color w:val="0000cc"/>
          <w:sz w:val="22"/>
          <w:szCs w:val="22"/>
        </w:rPr>
      </w:pPr>
      <w:r w:rsidDel="00000000" w:rsidR="00000000" w:rsidRPr="00000000">
        <w:rPr>
          <w:rtl w:val="0"/>
        </w:rPr>
      </w:r>
    </w:p>
    <w:p w:rsidR="00000000" w:rsidDel="00000000" w:rsidP="00000000" w:rsidRDefault="00000000" w:rsidRPr="00000000" w14:paraId="0000005F">
      <w:pPr>
        <w:ind w:left="0" w:hanging="2"/>
        <w:jc w:val="both"/>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ARTICLE 4.3 – REVISION ET DENONCIATION DE L’AVENANT </w:t>
      </w:r>
      <w:r w:rsidDel="00000000" w:rsidR="00000000" w:rsidRPr="00000000">
        <w:rPr>
          <w:rtl w:val="0"/>
        </w:rPr>
      </w:r>
    </w:p>
    <w:p w:rsidR="00000000" w:rsidDel="00000000" w:rsidP="00000000" w:rsidRDefault="00000000" w:rsidRPr="00000000" w14:paraId="00000060">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1">
      <w:pPr>
        <w:ind w:left="0" w:hanging="2"/>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Sauf dans le cas d’une demande de l’autorité administrative tendant au retrait ou à la modification de dispositions du présent avenant dans les conditions prévues à l’article L. 3345-2 du Code du travail, le présent avenant pourra être révisé pendant la période d’application, par avenant conclu entre les parties signataires au cas où ses modalités de mise en œuvre n’apparaîtraient plus conformes aux principes ayant servi de base à son élaboration, en particulier en cas de changement des structures ou de modifications législatives ou réglementaires. </w:t>
      </w:r>
    </w:p>
    <w:p w:rsidR="00000000" w:rsidDel="00000000" w:rsidP="00000000" w:rsidRDefault="00000000" w:rsidRPr="00000000" w14:paraId="00000062">
      <w:pPr>
        <w:ind w:left="0" w:hanging="2"/>
        <w:jc w:val="both"/>
        <w:rPr>
          <w:rFonts w:ascii="Calibri" w:cs="Calibri" w:eastAsia="Calibri" w:hAnsi="Calibri"/>
          <w:color w:val="ff0000"/>
          <w:sz w:val="22"/>
          <w:szCs w:val="22"/>
        </w:rPr>
      </w:pPr>
      <w:r w:rsidDel="00000000" w:rsidR="00000000" w:rsidRPr="00000000">
        <w:rPr>
          <w:rtl w:val="0"/>
        </w:rPr>
      </w:r>
    </w:p>
    <w:p w:rsidR="00000000" w:rsidDel="00000000" w:rsidP="00000000" w:rsidRDefault="00000000" w:rsidRPr="00000000" w14:paraId="00000063">
      <w:pPr>
        <w:ind w:left="0" w:hanging="2"/>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En cas de modifications d’ordre légal ou réglementaire susceptibles d’avoir des conséquences sur l’accord initial et ses avenants, les parties signataires se rencontreront dans le mois suivant la publication de ces textes pour définir la suite à donner à l’accord et ses avenants. </w:t>
      </w:r>
    </w:p>
    <w:p w:rsidR="00000000" w:rsidDel="00000000" w:rsidP="00000000" w:rsidRDefault="00000000" w:rsidRPr="00000000" w14:paraId="00000064">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5">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6">
      <w:pPr>
        <w:ind w:left="0" w:hanging="2"/>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Il est précisé que le présent avenant comprend 5 pages.</w:t>
      </w:r>
    </w:p>
    <w:p w:rsidR="00000000" w:rsidDel="00000000" w:rsidP="00000000" w:rsidRDefault="00000000" w:rsidRPr="00000000" w14:paraId="00000067">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8">
      <w:pPr>
        <w:ind w:left="0" w:hanging="2"/>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Paris le 13 mai 2025</w:t>
      </w:r>
    </w:p>
    <w:p w:rsidR="00000000" w:rsidDel="00000000" w:rsidP="00000000" w:rsidRDefault="00000000" w:rsidRPr="00000000" w14:paraId="00000069">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A">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B">
      <w:pPr>
        <w:spacing w:after="240" w:lineRule="auto"/>
        <w:ind w:left="0" w:hanging="2"/>
        <w:rPr>
          <w:sz w:val="48"/>
          <w:szCs w:val="48"/>
        </w:rPr>
      </w:pPr>
      <w:r w:rsidDel="00000000" w:rsidR="00000000" w:rsidRPr="00000000">
        <w:rPr>
          <w:rtl w:val="0"/>
        </w:rPr>
        <w:br w:type="textWrapping"/>
      </w:r>
      <w:r w:rsidDel="00000000" w:rsidR="00000000" w:rsidRPr="00000000">
        <w:rPr>
          <w:rFonts w:ascii="Calibri" w:cs="Calibri" w:eastAsia="Calibri" w:hAnsi="Calibri"/>
          <w:b w:val="1"/>
          <w:color w:val="000000"/>
          <w:sz w:val="22"/>
          <w:szCs w:val="22"/>
          <w:rtl w:val="0"/>
        </w:rPr>
        <w:t xml:space="preserve">Pour la société Europcar France</w:t>
      </w:r>
      <w:r w:rsidDel="00000000" w:rsidR="00000000" w:rsidRPr="00000000">
        <w:rPr>
          <w:rtl w:val="0"/>
        </w:rPr>
      </w:r>
    </w:p>
    <w:p w:rsidR="00000000" w:rsidDel="00000000" w:rsidP="00000000" w:rsidRDefault="00000000" w:rsidRPr="00000000" w14:paraId="0000006C">
      <w:pPr>
        <w:spacing w:after="240" w:lineRule="auto"/>
        <w:ind w:left="0" w:hanging="2"/>
        <w:rPr/>
      </w:pPr>
      <w:r w:rsidDel="00000000" w:rsidR="00000000" w:rsidRPr="00000000">
        <w:rPr>
          <w:rtl w:val="0"/>
        </w:rPr>
        <w:br w:type="textWrapping"/>
      </w:r>
      <w:r w:rsidDel="00000000" w:rsidR="00000000" w:rsidRPr="00000000">
        <w:rPr>
          <w:rFonts w:ascii="Calibri" w:cs="Calibri" w:eastAsia="Calibri" w:hAnsi="Calibri"/>
          <w:color w:val="000000"/>
          <w:sz w:val="22"/>
          <w:szCs w:val="22"/>
          <w:rtl w:val="0"/>
        </w:rPr>
        <w:t xml:space="preserve"> Monsieur </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color w:val="000000"/>
          <w:sz w:val="22"/>
          <w:szCs w:val="22"/>
          <w:rtl w:val="0"/>
        </w:rPr>
        <w:t xml:space="preserve">, en sa qualité de Directeur Général</w:t>
      </w:r>
      <w:r w:rsidDel="00000000" w:rsidR="00000000" w:rsidRPr="00000000">
        <w:rPr>
          <w:rtl w:val="0"/>
        </w:rPr>
      </w:r>
    </w:p>
    <w:p w:rsidR="00000000" w:rsidDel="00000000" w:rsidP="00000000" w:rsidRDefault="00000000" w:rsidRPr="00000000" w14:paraId="0000006D">
      <w:pPr>
        <w:spacing w:after="120" w:lineRule="auto"/>
        <w:ind w:left="0" w:hanging="2"/>
        <w:rPr/>
      </w:pPr>
      <w:r w:rsidDel="00000000" w:rsidR="00000000" w:rsidRPr="00000000">
        <w:rPr>
          <w:rtl w:val="0"/>
        </w:rPr>
        <w:br w:type="textWrapping"/>
      </w:r>
    </w:p>
    <w:p w:rsidR="00000000" w:rsidDel="00000000" w:rsidP="00000000" w:rsidRDefault="00000000" w:rsidRPr="00000000" w14:paraId="0000006E">
      <w:pPr>
        <w:spacing w:after="120" w:lineRule="auto"/>
        <w:ind w:left="0" w:hanging="2"/>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F">
      <w:pPr>
        <w:spacing w:after="120" w:lineRule="auto"/>
        <w:ind w:left="0" w:hanging="2"/>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0">
      <w:pPr>
        <w:spacing w:after="120" w:lineRule="auto"/>
        <w:ind w:left="0" w:hanging="2"/>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1">
      <w:pPr>
        <w:spacing w:after="120" w:lineRule="auto"/>
        <w:ind w:left="0" w:hanging="2"/>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2">
      <w:pPr>
        <w:spacing w:after="120" w:lineRule="auto"/>
        <w:ind w:left="0" w:hanging="2"/>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3">
      <w:pPr>
        <w:spacing w:after="120" w:lineRule="auto"/>
        <w:ind w:left="0" w:hanging="2"/>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4">
      <w:pPr>
        <w:spacing w:after="120" w:lineRule="auto"/>
        <w:ind w:left="0" w:hanging="2"/>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5">
      <w:pPr>
        <w:spacing w:after="120" w:lineRule="auto"/>
        <w:ind w:left="0" w:hanging="2"/>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6">
      <w:pPr>
        <w:spacing w:after="120" w:lineRule="auto"/>
        <w:ind w:left="0" w:hanging="2"/>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7">
      <w:pPr>
        <w:spacing w:after="120" w:lineRule="auto"/>
        <w:ind w:left="0" w:hanging="2"/>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8">
      <w:pPr>
        <w:spacing w:after="120" w:lineRule="auto"/>
        <w:ind w:left="0" w:hanging="2"/>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9">
      <w:pPr>
        <w:spacing w:after="120" w:lineRule="auto"/>
        <w:ind w:left="0" w:hanging="2"/>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A">
      <w:pPr>
        <w:spacing w:after="120" w:lineRule="auto"/>
        <w:ind w:left="0" w:hanging="2"/>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B">
      <w:pPr>
        <w:spacing w:after="120" w:lineRule="auto"/>
        <w:ind w:left="0" w:hanging="2"/>
        <w:rPr>
          <w:sz w:val="48"/>
          <w:szCs w:val="48"/>
        </w:rPr>
      </w:pPr>
      <w:r w:rsidDel="00000000" w:rsidR="00000000" w:rsidRPr="00000000">
        <w:rPr>
          <w:rFonts w:ascii="Calibri" w:cs="Calibri" w:eastAsia="Calibri" w:hAnsi="Calibri"/>
          <w:b w:val="1"/>
          <w:color w:val="000000"/>
          <w:sz w:val="22"/>
          <w:szCs w:val="22"/>
          <w:rtl w:val="0"/>
        </w:rPr>
        <w:t xml:space="preserve">Pour les organisations syndicales représentatives :</w:t>
      </w:r>
      <w:r w:rsidDel="00000000" w:rsidR="00000000" w:rsidRPr="00000000">
        <w:rPr>
          <w:rtl w:val="0"/>
        </w:rPr>
      </w:r>
    </w:p>
    <w:p w:rsidR="00000000" w:rsidDel="00000000" w:rsidP="00000000" w:rsidRDefault="00000000" w:rsidRPr="00000000" w14:paraId="0000007C">
      <w:pPr>
        <w:spacing w:after="120" w:lineRule="auto"/>
        <w:ind w:left="0" w:hanging="2"/>
        <w:rPr>
          <w:sz w:val="48"/>
          <w:szCs w:val="48"/>
        </w:rPr>
      </w:pPr>
      <w:r w:rsidDel="00000000" w:rsidR="00000000" w:rsidRPr="00000000">
        <w:rPr>
          <w:rtl w:val="0"/>
        </w:rPr>
      </w:r>
    </w:p>
    <w:p w:rsidR="00000000" w:rsidDel="00000000" w:rsidP="00000000" w:rsidRDefault="00000000" w:rsidRPr="00000000" w14:paraId="0000007D">
      <w:pPr>
        <w:spacing w:after="120" w:lineRule="auto"/>
        <w:ind w:left="0" w:hanging="2"/>
        <w:rPr/>
      </w:pPr>
      <w:r w:rsidDel="00000000" w:rsidR="00000000" w:rsidRPr="00000000">
        <w:rPr>
          <w:rFonts w:ascii="Calibri" w:cs="Calibri" w:eastAsia="Calibri" w:hAnsi="Calibri"/>
          <w:b w:val="1"/>
          <w:color w:val="000000"/>
          <w:sz w:val="22"/>
          <w:szCs w:val="22"/>
          <w:rtl w:val="0"/>
        </w:rPr>
        <w:t xml:space="preserve"> Pour le Syndicat C.F.D.T.</w:t>
      </w:r>
      <w:r w:rsidDel="00000000" w:rsidR="00000000" w:rsidRPr="00000000">
        <w:rPr>
          <w:rtl w:val="0"/>
        </w:rPr>
      </w:r>
    </w:p>
    <w:p w:rsidR="00000000" w:rsidDel="00000000" w:rsidP="00000000" w:rsidRDefault="00000000" w:rsidRPr="00000000" w14:paraId="0000007E">
      <w:pPr>
        <w:spacing w:after="240" w:lineRule="auto"/>
        <w:ind w:left="0" w:hanging="2"/>
        <w:rPr/>
      </w:pPr>
      <w:r w:rsidDel="00000000" w:rsidR="00000000" w:rsidRPr="00000000">
        <w:rPr>
          <w:rtl w:val="0"/>
        </w:rPr>
        <w:br w:type="textWrapping"/>
      </w:r>
      <w:r w:rsidDel="00000000" w:rsidR="00000000" w:rsidRPr="00000000">
        <w:rPr>
          <w:rFonts w:ascii="Calibri" w:cs="Calibri" w:eastAsia="Calibri" w:hAnsi="Calibri"/>
          <w:color w:val="000000"/>
          <w:sz w:val="22"/>
          <w:szCs w:val="22"/>
          <w:rtl w:val="0"/>
        </w:rPr>
        <w:t xml:space="preserve">Monsieur </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color w:val="000000"/>
          <w:sz w:val="22"/>
          <w:szCs w:val="22"/>
          <w:rtl w:val="0"/>
        </w:rPr>
        <w:tab/>
        <w:tab/>
        <w:tab/>
        <w:tab/>
        <w:t xml:space="preserve">Madame </w:t>
      </w:r>
      <w:r w:rsidDel="00000000" w:rsidR="00000000" w:rsidRPr="00000000">
        <w:rPr>
          <w:rFonts w:ascii="Calibri" w:cs="Calibri" w:eastAsia="Calibri" w:hAnsi="Calibri"/>
          <w:sz w:val="22"/>
          <w:szCs w:val="22"/>
          <w:rtl w:val="0"/>
        </w:rPr>
        <w:t xml:space="preserve">*******</w:t>
      </w:r>
      <w:r w:rsidDel="00000000" w:rsidR="00000000" w:rsidRPr="00000000">
        <w:rPr>
          <w:rtl w:val="0"/>
        </w:rPr>
      </w:r>
    </w:p>
    <w:p w:rsidR="00000000" w:rsidDel="00000000" w:rsidP="00000000" w:rsidRDefault="00000000" w:rsidRPr="00000000" w14:paraId="0000007F">
      <w:pPr>
        <w:spacing w:after="240" w:lineRule="auto"/>
        <w:ind w:left="0" w:hanging="2"/>
        <w:rPr/>
      </w:pPr>
      <w:r w:rsidDel="00000000" w:rsidR="00000000" w:rsidRPr="00000000">
        <w:rPr>
          <w:rtl w:val="0"/>
        </w:rPr>
      </w:r>
    </w:p>
    <w:p w:rsidR="00000000" w:rsidDel="00000000" w:rsidP="00000000" w:rsidRDefault="00000000" w:rsidRPr="00000000" w14:paraId="00000080">
      <w:pPr>
        <w:spacing w:after="240" w:lineRule="auto"/>
        <w:ind w:left="0" w:hanging="2"/>
        <w:rPr/>
      </w:pPr>
      <w:r w:rsidDel="00000000" w:rsidR="00000000" w:rsidRPr="00000000">
        <w:rPr>
          <w:rtl w:val="0"/>
        </w:rPr>
      </w:r>
    </w:p>
    <w:p w:rsidR="00000000" w:rsidDel="00000000" w:rsidP="00000000" w:rsidRDefault="00000000" w:rsidRPr="00000000" w14:paraId="00000081">
      <w:pPr>
        <w:spacing w:after="240" w:lineRule="auto"/>
        <w:ind w:left="0" w:hanging="2"/>
        <w:rPr>
          <w:sz w:val="48"/>
          <w:szCs w:val="48"/>
        </w:rPr>
      </w:pPr>
      <w:r w:rsidDel="00000000" w:rsidR="00000000" w:rsidRPr="00000000">
        <w:rPr>
          <w:rtl w:val="0"/>
        </w:rPr>
        <w:br w:type="textWrapping"/>
      </w:r>
      <w:r w:rsidDel="00000000" w:rsidR="00000000" w:rsidRPr="00000000">
        <w:rPr>
          <w:rFonts w:ascii="Calibri" w:cs="Calibri" w:eastAsia="Calibri" w:hAnsi="Calibri"/>
          <w:b w:val="1"/>
          <w:color w:val="000000"/>
          <w:sz w:val="22"/>
          <w:szCs w:val="22"/>
          <w:rtl w:val="0"/>
        </w:rPr>
        <w:t xml:space="preserve">Pour le Syndicat F.O.</w:t>
      </w:r>
      <w:r w:rsidDel="00000000" w:rsidR="00000000" w:rsidRPr="00000000">
        <w:rPr>
          <w:rtl w:val="0"/>
        </w:rPr>
      </w:r>
    </w:p>
    <w:p w:rsidR="00000000" w:rsidDel="00000000" w:rsidP="00000000" w:rsidRDefault="00000000" w:rsidRPr="00000000" w14:paraId="00000082">
      <w:pPr>
        <w:spacing w:after="240" w:lineRule="auto"/>
        <w:ind w:left="0" w:hanging="2"/>
        <w:rPr/>
      </w:pPr>
      <w:r w:rsidDel="00000000" w:rsidR="00000000" w:rsidRPr="00000000">
        <w:rPr>
          <w:rtl w:val="0"/>
        </w:rPr>
        <w:br w:type="textWrapping"/>
      </w:r>
      <w:r w:rsidDel="00000000" w:rsidR="00000000" w:rsidRPr="00000000">
        <w:rPr>
          <w:rFonts w:ascii="Calibri" w:cs="Calibri" w:eastAsia="Calibri" w:hAnsi="Calibri"/>
          <w:color w:val="000000"/>
          <w:sz w:val="22"/>
          <w:szCs w:val="22"/>
          <w:rtl w:val="0"/>
        </w:rPr>
        <w:t xml:space="preserve">Madame </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color w:val="000000"/>
          <w:sz w:val="22"/>
          <w:szCs w:val="22"/>
          <w:rtl w:val="0"/>
        </w:rPr>
        <w:tab/>
        <w:tab/>
        <w:tab/>
        <w:tab/>
        <w:t xml:space="preserve">Monsieur </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83">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4">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5">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6">
      <w:pPr>
        <w:ind w:left="0" w:hanging="2"/>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7">
      <w:pPr>
        <w:ind w:left="0" w:hanging="2"/>
        <w:rPr/>
      </w:pPr>
      <w:r w:rsidDel="00000000" w:rsidR="00000000" w:rsidRPr="00000000">
        <w:rPr>
          <w:rFonts w:ascii="Calibri" w:cs="Calibri" w:eastAsia="Calibri" w:hAnsi="Calibri"/>
          <w:b w:val="1"/>
          <w:sz w:val="22"/>
          <w:szCs w:val="22"/>
          <w:rtl w:val="0"/>
        </w:rPr>
        <w:t xml:space="preserve">Pour le Syndicat C.G.T. </w:t>
      </w:r>
      <w:r w:rsidDel="00000000" w:rsidR="00000000" w:rsidRPr="00000000">
        <w:rPr>
          <w:rtl w:val="0"/>
        </w:rPr>
      </w:r>
    </w:p>
    <w:p w:rsidR="00000000" w:rsidDel="00000000" w:rsidP="00000000" w:rsidRDefault="00000000" w:rsidRPr="00000000" w14:paraId="00000088">
      <w:pPr>
        <w:spacing w:after="240" w:lineRule="auto"/>
        <w:ind w:left="0" w:hanging="2"/>
        <w:rPr>
          <w:rFonts w:ascii="Calibri" w:cs="Calibri" w:eastAsia="Calibri" w:hAnsi="Calibri"/>
          <w:sz w:val="22"/>
          <w:szCs w:val="22"/>
        </w:rPr>
      </w:pPr>
      <w:r w:rsidDel="00000000" w:rsidR="00000000" w:rsidRPr="00000000">
        <w:rPr>
          <w:rtl w:val="0"/>
        </w:rPr>
        <w:br w:type="textWrapping"/>
      </w:r>
      <w:r w:rsidDel="00000000" w:rsidR="00000000" w:rsidRPr="00000000">
        <w:rPr>
          <w:rFonts w:ascii="Calibri" w:cs="Calibri" w:eastAsia="Calibri" w:hAnsi="Calibri"/>
          <w:sz w:val="22"/>
          <w:szCs w:val="22"/>
          <w:rtl w:val="0"/>
        </w:rPr>
        <w:br w:type="textWrapping"/>
        <w:t xml:space="preserve">Monsieur *******</w:t>
        <w:tab/>
        <w:tab/>
        <w:tab/>
        <w:tab/>
        <w:t xml:space="preserve">Monsieur *******</w:t>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993" w:top="1440" w:left="1134" w:right="991" w:header="709" w:footer="85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Courier New"/>
  <w:font w:name="Noto Sans Symbols">
    <w:embedRegular w:fontKey="{00000000-0000-0000-0000-000000000000}" r:id="rId1" w:subsetted="0"/>
    <w:embedBold w:fontKey="{00000000-0000-0000-0000-000000000000}" r:id="rId2" w:subsetted="0"/>
  </w:font>
  <w:font w:name="Century Gothic">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center" w:leader="none" w:pos="4153"/>
        <w:tab w:val="right" w:leader="none" w:pos="8306"/>
      </w:tabs>
      <w:spacing w:line="240" w:lineRule="auto"/>
      <w:ind w:left="0" w:hanging="2"/>
      <w:rPr>
        <w:rFonts w:ascii="Calibri" w:cs="Calibri" w:eastAsia="Calibri" w:hAnsi="Calibri"/>
        <w:color w:val="000000"/>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leader="none" w:pos="4153"/>
        <w:tab w:val="right" w:leader="none" w:pos="8306"/>
      </w:tabs>
      <w:spacing w:line="240" w:lineRule="auto"/>
      <w:ind w:left="0" w:hanging="2"/>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leader="none" w:pos="4153"/>
        <w:tab w:val="right" w:leader="none" w:pos="8306"/>
      </w:tabs>
      <w:spacing w:line="240" w:lineRule="auto"/>
      <w:ind w:left="0" w:hanging="2"/>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leader="none" w:pos="4153"/>
        <w:tab w:val="right" w:leader="none" w:pos="8306"/>
      </w:tabs>
      <w:spacing w:line="240" w:lineRule="auto"/>
      <w:ind w:left="0" w:hanging="2"/>
      <w:rPr>
        <w:rFonts w:ascii="Century Gothic" w:cs="Century Gothic" w:eastAsia="Century Gothic" w:hAnsi="Century Gothic"/>
        <w:color w:val="10afa3"/>
        <w:sz w:val="28"/>
        <w:szCs w:val="28"/>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-122549</wp:posOffset>
          </wp:positionH>
          <wp:positionV relativeFrom="paragraph">
            <wp:posOffset>-99056</wp:posOffset>
          </wp:positionV>
          <wp:extent cx="1511935" cy="661035"/>
          <wp:effectExtent b="0" l="0" r="0" t="0"/>
          <wp:wrapSquare wrapText="bothSides" distB="0" distT="0" distL="114300" distR="114300"/>
          <wp:docPr id="28"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511935" cy="661035"/>
                  </a:xfrm>
                  <a:prstGeom prst="rect"/>
                  <a:ln/>
                </pic:spPr>
              </pic:pic>
            </a:graphicData>
          </a:graphic>
        </wp:anchor>
      </w:drawing>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leader="none" w:pos="4153"/>
        <w:tab w:val="right" w:leader="none" w:pos="8306"/>
      </w:tabs>
      <w:spacing w:line="240" w:lineRule="auto"/>
      <w:ind w:left="0" w:hanging="2"/>
      <w:rPr>
        <w:rFonts w:ascii="Century Gothic" w:cs="Century Gothic" w:eastAsia="Century Gothic" w:hAnsi="Century Gothic"/>
        <w:color w:val="10afa3"/>
      </w:rPr>
    </w:pP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leader="none" w:pos="4153"/>
        <w:tab w:val="right" w:leader="none" w:pos="8306"/>
      </w:tabs>
      <w:spacing w:line="240" w:lineRule="auto"/>
      <w:ind w:left="0" w:hanging="2"/>
      <w:rPr>
        <w:rFonts w:ascii="Century Gothic" w:cs="Century Gothic" w:eastAsia="Century Gothic" w:hAnsi="Century Gothic"/>
        <w:color w:val="10afa3"/>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center" w:leader="none" w:pos="4153"/>
        <w:tab w:val="right" w:leader="none" w:pos="8306"/>
      </w:tabs>
      <w:spacing w:line="240" w:lineRule="auto"/>
      <w:ind w:left="2" w:hanging="4"/>
      <w:rPr>
        <w:color w:val="000000"/>
      </w:rPr>
    </w:pPr>
    <w:r w:rsidDel="00000000" w:rsidR="00000000" w:rsidRPr="00000000">
      <w:rPr>
        <w:rFonts w:ascii="Century Gothic" w:cs="Century Gothic" w:eastAsia="Century Gothic" w:hAnsi="Century Gothic"/>
        <w:color w:val="10afa3"/>
        <w:sz w:val="36"/>
        <w:szCs w:val="36"/>
        <w:rtl w:val="0"/>
      </w:rPr>
      <w:t xml:space="preserve">France</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center" w:leader="none" w:pos="4153"/>
        <w:tab w:val="right" w:leader="none" w:pos="8306"/>
      </w:tabs>
      <w:spacing w:line="240" w:lineRule="auto"/>
      <w:ind w:left="0" w:hanging="2"/>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center" w:leader="none" w:pos="4153"/>
        <w:tab w:val="right" w:leader="none" w:pos="8306"/>
      </w:tabs>
      <w:spacing w:line="240" w:lineRule="auto"/>
      <w:ind w:left="0" w:hanging="2"/>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vertAlign w:val="baseline"/>
      </w:rPr>
    </w:lvl>
    <w:lvl w:ilvl="1">
      <w:start w:val="1"/>
      <w:numFmt w:val="bullet"/>
      <w:lvlText w:val="o"/>
      <w:lvlJc w:val="left"/>
      <w:pPr>
        <w:ind w:left="1440" w:hanging="360"/>
      </w:pPr>
      <w:rPr>
        <w:rFonts w:ascii="Courier New" w:cs="Courier New" w:eastAsia="Courier New" w:hAnsi="Courier New"/>
        <w:sz w:val="20"/>
        <w:szCs w:val="20"/>
        <w:vertAlign w:val="baseline"/>
      </w:rPr>
    </w:lvl>
    <w:lvl w:ilvl="2">
      <w:start w:val="1"/>
      <w:numFmt w:val="bullet"/>
      <w:lvlText w:val="▪"/>
      <w:lvlJc w:val="left"/>
      <w:pPr>
        <w:ind w:left="2160" w:hanging="360"/>
      </w:pPr>
      <w:rPr>
        <w:rFonts w:ascii="Noto Sans Symbols" w:cs="Noto Sans Symbols" w:eastAsia="Noto Sans Symbols" w:hAnsi="Noto Sans Symbols"/>
        <w:sz w:val="20"/>
        <w:szCs w:val="20"/>
        <w:vertAlign w:val="baseline"/>
      </w:rPr>
    </w:lvl>
    <w:lvl w:ilvl="3">
      <w:start w:val="1"/>
      <w:numFmt w:val="bullet"/>
      <w:lvlText w:val="▪"/>
      <w:lvlJc w:val="left"/>
      <w:pPr>
        <w:ind w:left="2880" w:hanging="360"/>
      </w:pPr>
      <w:rPr>
        <w:rFonts w:ascii="Noto Sans Symbols" w:cs="Noto Sans Symbols" w:eastAsia="Noto Sans Symbols" w:hAnsi="Noto Sans Symbols"/>
        <w:sz w:val="20"/>
        <w:szCs w:val="20"/>
        <w:vertAlign w:val="baseline"/>
      </w:rPr>
    </w:lvl>
    <w:lvl w:ilvl="4">
      <w:start w:val="1"/>
      <w:numFmt w:val="bullet"/>
      <w:lvlText w:val="▪"/>
      <w:lvlJc w:val="left"/>
      <w:pPr>
        <w:ind w:left="3600" w:hanging="360"/>
      </w:pPr>
      <w:rPr>
        <w:rFonts w:ascii="Noto Sans Symbols" w:cs="Noto Sans Symbols" w:eastAsia="Noto Sans Symbols" w:hAnsi="Noto Sans Symbols"/>
        <w:sz w:val="20"/>
        <w:szCs w:val="20"/>
        <w:vertAlign w:val="baseline"/>
      </w:rPr>
    </w:lvl>
    <w:lvl w:ilvl="5">
      <w:start w:val="1"/>
      <w:numFmt w:val="bullet"/>
      <w:lvlText w:val="▪"/>
      <w:lvlJc w:val="left"/>
      <w:pPr>
        <w:ind w:left="4320" w:hanging="360"/>
      </w:pPr>
      <w:rPr>
        <w:rFonts w:ascii="Noto Sans Symbols" w:cs="Noto Sans Symbols" w:eastAsia="Noto Sans Symbols" w:hAnsi="Noto Sans Symbols"/>
        <w:sz w:val="20"/>
        <w:szCs w:val="20"/>
        <w:vertAlign w:val="baseline"/>
      </w:rPr>
    </w:lvl>
    <w:lvl w:ilvl="6">
      <w:start w:val="1"/>
      <w:numFmt w:val="bullet"/>
      <w:lvlText w:val="▪"/>
      <w:lvlJc w:val="left"/>
      <w:pPr>
        <w:ind w:left="5040" w:hanging="360"/>
      </w:pPr>
      <w:rPr>
        <w:rFonts w:ascii="Noto Sans Symbols" w:cs="Noto Sans Symbols" w:eastAsia="Noto Sans Symbols" w:hAnsi="Noto Sans Symbols"/>
        <w:sz w:val="20"/>
        <w:szCs w:val="20"/>
        <w:vertAlign w:val="baseline"/>
      </w:rPr>
    </w:lvl>
    <w:lvl w:ilvl="7">
      <w:start w:val="1"/>
      <w:numFmt w:val="bullet"/>
      <w:lvlText w:val="▪"/>
      <w:lvlJc w:val="left"/>
      <w:pPr>
        <w:ind w:left="5760" w:hanging="360"/>
      </w:pPr>
      <w:rPr>
        <w:rFonts w:ascii="Noto Sans Symbols" w:cs="Noto Sans Symbols" w:eastAsia="Noto Sans Symbols" w:hAnsi="Noto Sans Symbols"/>
        <w:sz w:val="20"/>
        <w:szCs w:val="20"/>
        <w:vertAlign w:val="baseline"/>
      </w:rPr>
    </w:lvl>
    <w:lvl w:ilvl="8">
      <w:start w:val="1"/>
      <w:numFmt w:val="bullet"/>
      <w:lvlText w:val="▪"/>
      <w:lvlJc w:val="left"/>
      <w:pPr>
        <w:ind w:left="6480" w:hanging="360"/>
      </w:pPr>
      <w:rPr>
        <w:rFonts w:ascii="Noto Sans Symbols" w:cs="Noto Sans Symbols" w:eastAsia="Noto Sans Symbols" w:hAnsi="Noto Sans Symbols"/>
        <w:sz w:val="20"/>
        <w:szCs w:val="20"/>
        <w:vertAlign w:val="baseline"/>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vertAlign w:val="baseline"/>
      </w:rPr>
    </w:lvl>
    <w:lvl w:ilvl="1">
      <w:start w:val="1"/>
      <w:numFmt w:val="bullet"/>
      <w:lvlText w:val="o"/>
      <w:lvlJc w:val="left"/>
      <w:pPr>
        <w:ind w:left="1440" w:hanging="360"/>
      </w:pPr>
      <w:rPr>
        <w:rFonts w:ascii="Courier New" w:cs="Courier New" w:eastAsia="Courier New" w:hAnsi="Courier New"/>
        <w:sz w:val="20"/>
        <w:szCs w:val="20"/>
        <w:vertAlign w:val="baseline"/>
      </w:rPr>
    </w:lvl>
    <w:lvl w:ilvl="2">
      <w:start w:val="1"/>
      <w:numFmt w:val="bullet"/>
      <w:lvlText w:val="▪"/>
      <w:lvlJc w:val="left"/>
      <w:pPr>
        <w:ind w:left="2160" w:hanging="360"/>
      </w:pPr>
      <w:rPr>
        <w:rFonts w:ascii="Noto Sans Symbols" w:cs="Noto Sans Symbols" w:eastAsia="Noto Sans Symbols" w:hAnsi="Noto Sans Symbols"/>
        <w:sz w:val="20"/>
        <w:szCs w:val="20"/>
        <w:vertAlign w:val="baseline"/>
      </w:rPr>
    </w:lvl>
    <w:lvl w:ilvl="3">
      <w:start w:val="1"/>
      <w:numFmt w:val="bullet"/>
      <w:lvlText w:val="▪"/>
      <w:lvlJc w:val="left"/>
      <w:pPr>
        <w:ind w:left="2880" w:hanging="360"/>
      </w:pPr>
      <w:rPr>
        <w:rFonts w:ascii="Noto Sans Symbols" w:cs="Noto Sans Symbols" w:eastAsia="Noto Sans Symbols" w:hAnsi="Noto Sans Symbols"/>
        <w:sz w:val="20"/>
        <w:szCs w:val="20"/>
        <w:vertAlign w:val="baseline"/>
      </w:rPr>
    </w:lvl>
    <w:lvl w:ilvl="4">
      <w:start w:val="1"/>
      <w:numFmt w:val="bullet"/>
      <w:lvlText w:val="▪"/>
      <w:lvlJc w:val="left"/>
      <w:pPr>
        <w:ind w:left="3600" w:hanging="360"/>
      </w:pPr>
      <w:rPr>
        <w:rFonts w:ascii="Noto Sans Symbols" w:cs="Noto Sans Symbols" w:eastAsia="Noto Sans Symbols" w:hAnsi="Noto Sans Symbols"/>
        <w:sz w:val="20"/>
        <w:szCs w:val="20"/>
        <w:vertAlign w:val="baseline"/>
      </w:rPr>
    </w:lvl>
    <w:lvl w:ilvl="5">
      <w:start w:val="1"/>
      <w:numFmt w:val="bullet"/>
      <w:lvlText w:val="▪"/>
      <w:lvlJc w:val="left"/>
      <w:pPr>
        <w:ind w:left="4320" w:hanging="360"/>
      </w:pPr>
      <w:rPr>
        <w:rFonts w:ascii="Noto Sans Symbols" w:cs="Noto Sans Symbols" w:eastAsia="Noto Sans Symbols" w:hAnsi="Noto Sans Symbols"/>
        <w:sz w:val="20"/>
        <w:szCs w:val="20"/>
        <w:vertAlign w:val="baseline"/>
      </w:rPr>
    </w:lvl>
    <w:lvl w:ilvl="6">
      <w:start w:val="1"/>
      <w:numFmt w:val="bullet"/>
      <w:lvlText w:val="▪"/>
      <w:lvlJc w:val="left"/>
      <w:pPr>
        <w:ind w:left="5040" w:hanging="360"/>
      </w:pPr>
      <w:rPr>
        <w:rFonts w:ascii="Noto Sans Symbols" w:cs="Noto Sans Symbols" w:eastAsia="Noto Sans Symbols" w:hAnsi="Noto Sans Symbols"/>
        <w:sz w:val="20"/>
        <w:szCs w:val="20"/>
        <w:vertAlign w:val="baseline"/>
      </w:rPr>
    </w:lvl>
    <w:lvl w:ilvl="7">
      <w:start w:val="1"/>
      <w:numFmt w:val="bullet"/>
      <w:lvlText w:val="▪"/>
      <w:lvlJc w:val="left"/>
      <w:pPr>
        <w:ind w:left="5760" w:hanging="360"/>
      </w:pPr>
      <w:rPr>
        <w:rFonts w:ascii="Noto Sans Symbols" w:cs="Noto Sans Symbols" w:eastAsia="Noto Sans Symbols" w:hAnsi="Noto Sans Symbols"/>
        <w:sz w:val="20"/>
        <w:szCs w:val="20"/>
        <w:vertAlign w:val="baseline"/>
      </w:rPr>
    </w:lvl>
    <w:lvl w:ilvl="8">
      <w:start w:val="1"/>
      <w:numFmt w:val="bullet"/>
      <w:lvlText w:val="▪"/>
      <w:lvlJc w:val="left"/>
      <w:pPr>
        <w:ind w:left="6480" w:hanging="360"/>
      </w:pPr>
      <w:rPr>
        <w:rFonts w:ascii="Noto Sans Symbols" w:cs="Noto Sans Symbols" w:eastAsia="Noto Sans Symbols" w:hAnsi="Noto Sans Symbols"/>
        <w:sz w:val="20"/>
        <w:szCs w:val="20"/>
        <w:vertAlign w:val="baseline"/>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vertAlign w:val="baseline"/>
      </w:rPr>
    </w:lvl>
    <w:lvl w:ilvl="1">
      <w:start w:val="1"/>
      <w:numFmt w:val="bullet"/>
      <w:lvlText w:val="o"/>
      <w:lvlJc w:val="left"/>
      <w:pPr>
        <w:ind w:left="1440" w:hanging="360"/>
      </w:pPr>
      <w:rPr>
        <w:rFonts w:ascii="Courier New" w:cs="Courier New" w:eastAsia="Courier New" w:hAnsi="Courier New"/>
        <w:sz w:val="20"/>
        <w:szCs w:val="20"/>
        <w:vertAlign w:val="baseline"/>
      </w:rPr>
    </w:lvl>
    <w:lvl w:ilvl="2">
      <w:start w:val="1"/>
      <w:numFmt w:val="bullet"/>
      <w:lvlText w:val="▪"/>
      <w:lvlJc w:val="left"/>
      <w:pPr>
        <w:ind w:left="2160" w:hanging="360"/>
      </w:pPr>
      <w:rPr>
        <w:rFonts w:ascii="Noto Sans Symbols" w:cs="Noto Sans Symbols" w:eastAsia="Noto Sans Symbols" w:hAnsi="Noto Sans Symbols"/>
        <w:sz w:val="20"/>
        <w:szCs w:val="20"/>
        <w:vertAlign w:val="baseline"/>
      </w:rPr>
    </w:lvl>
    <w:lvl w:ilvl="3">
      <w:start w:val="1"/>
      <w:numFmt w:val="bullet"/>
      <w:lvlText w:val="▪"/>
      <w:lvlJc w:val="left"/>
      <w:pPr>
        <w:ind w:left="2880" w:hanging="360"/>
      </w:pPr>
      <w:rPr>
        <w:rFonts w:ascii="Noto Sans Symbols" w:cs="Noto Sans Symbols" w:eastAsia="Noto Sans Symbols" w:hAnsi="Noto Sans Symbols"/>
        <w:sz w:val="20"/>
        <w:szCs w:val="20"/>
        <w:vertAlign w:val="baseline"/>
      </w:rPr>
    </w:lvl>
    <w:lvl w:ilvl="4">
      <w:start w:val="1"/>
      <w:numFmt w:val="bullet"/>
      <w:lvlText w:val="▪"/>
      <w:lvlJc w:val="left"/>
      <w:pPr>
        <w:ind w:left="3600" w:hanging="360"/>
      </w:pPr>
      <w:rPr>
        <w:rFonts w:ascii="Noto Sans Symbols" w:cs="Noto Sans Symbols" w:eastAsia="Noto Sans Symbols" w:hAnsi="Noto Sans Symbols"/>
        <w:sz w:val="20"/>
        <w:szCs w:val="20"/>
        <w:vertAlign w:val="baseline"/>
      </w:rPr>
    </w:lvl>
    <w:lvl w:ilvl="5">
      <w:start w:val="1"/>
      <w:numFmt w:val="bullet"/>
      <w:lvlText w:val="▪"/>
      <w:lvlJc w:val="left"/>
      <w:pPr>
        <w:ind w:left="4320" w:hanging="360"/>
      </w:pPr>
      <w:rPr>
        <w:rFonts w:ascii="Noto Sans Symbols" w:cs="Noto Sans Symbols" w:eastAsia="Noto Sans Symbols" w:hAnsi="Noto Sans Symbols"/>
        <w:sz w:val="20"/>
        <w:szCs w:val="20"/>
        <w:vertAlign w:val="baseline"/>
      </w:rPr>
    </w:lvl>
    <w:lvl w:ilvl="6">
      <w:start w:val="1"/>
      <w:numFmt w:val="bullet"/>
      <w:lvlText w:val="▪"/>
      <w:lvlJc w:val="left"/>
      <w:pPr>
        <w:ind w:left="5040" w:hanging="360"/>
      </w:pPr>
      <w:rPr>
        <w:rFonts w:ascii="Noto Sans Symbols" w:cs="Noto Sans Symbols" w:eastAsia="Noto Sans Symbols" w:hAnsi="Noto Sans Symbols"/>
        <w:sz w:val="20"/>
        <w:szCs w:val="20"/>
        <w:vertAlign w:val="baseline"/>
      </w:rPr>
    </w:lvl>
    <w:lvl w:ilvl="7">
      <w:start w:val="1"/>
      <w:numFmt w:val="bullet"/>
      <w:lvlText w:val="▪"/>
      <w:lvlJc w:val="left"/>
      <w:pPr>
        <w:ind w:left="5760" w:hanging="360"/>
      </w:pPr>
      <w:rPr>
        <w:rFonts w:ascii="Noto Sans Symbols" w:cs="Noto Sans Symbols" w:eastAsia="Noto Sans Symbols" w:hAnsi="Noto Sans Symbols"/>
        <w:sz w:val="20"/>
        <w:szCs w:val="20"/>
        <w:vertAlign w:val="baseline"/>
      </w:rPr>
    </w:lvl>
    <w:lvl w:ilvl="8">
      <w:start w:val="1"/>
      <w:numFmt w:val="bullet"/>
      <w:lvlText w:val="▪"/>
      <w:lvlJc w:val="left"/>
      <w:pPr>
        <w:ind w:left="6480" w:hanging="360"/>
      </w:pPr>
      <w:rPr>
        <w:rFonts w:ascii="Noto Sans Symbols" w:cs="Noto Sans Symbols" w:eastAsia="Noto Sans Symbols" w:hAnsi="Noto Sans Symbols"/>
        <w:sz w:val="20"/>
        <w:szCs w:val="20"/>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fr-FR"/>
      </w:rPr>
    </w:rPrDefault>
    <w:pPrDefault>
      <w:pPr>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pPr>
      <w:suppressAutoHyphens w:val="1"/>
      <w:spacing w:line="1" w:lineRule="atLeast"/>
      <w:ind w:left="-1" w:leftChars="-1" w:hangingChars="1"/>
      <w:textDirection w:val="btLr"/>
      <w:textAlignment w:val="top"/>
      <w:outlineLvl w:val="0"/>
    </w:pPr>
    <w:rPr>
      <w:position w:val="-1"/>
    </w:rPr>
  </w:style>
  <w:style w:type="paragraph" w:styleId="Titre1">
    <w:name w:val="heading 1"/>
    <w:basedOn w:val="Normal"/>
    <w:next w:val="Normal"/>
    <w:pPr>
      <w:keepNext w:val="1"/>
      <w:keepLines w:val="1"/>
      <w:spacing w:after="120" w:before="480"/>
    </w:pPr>
    <w:rPr>
      <w:b w:val="1"/>
      <w:sz w:val="48"/>
      <w:szCs w:val="48"/>
    </w:rPr>
  </w:style>
  <w:style w:type="paragraph" w:styleId="Titre2">
    <w:name w:val="heading 2"/>
    <w:basedOn w:val="Normal"/>
    <w:next w:val="Normal"/>
    <w:pPr>
      <w:keepNext w:val="1"/>
      <w:keepLines w:val="1"/>
      <w:spacing w:after="80" w:before="360"/>
      <w:outlineLvl w:val="1"/>
    </w:pPr>
    <w:rPr>
      <w:b w:val="1"/>
      <w:sz w:val="36"/>
      <w:szCs w:val="36"/>
    </w:rPr>
  </w:style>
  <w:style w:type="paragraph" w:styleId="Titre3">
    <w:name w:val="heading 3"/>
    <w:basedOn w:val="Normal"/>
    <w:next w:val="Normal"/>
    <w:pPr>
      <w:keepNext w:val="1"/>
      <w:keepLines w:val="1"/>
      <w:spacing w:after="80" w:before="280"/>
      <w:outlineLvl w:val="2"/>
    </w:pPr>
    <w:rPr>
      <w:b w:val="1"/>
      <w:sz w:val="28"/>
      <w:szCs w:val="28"/>
    </w:rPr>
  </w:style>
  <w:style w:type="paragraph" w:styleId="Titre4">
    <w:name w:val="heading 4"/>
    <w:basedOn w:val="Normal"/>
    <w:next w:val="Normal"/>
    <w:pPr>
      <w:keepNext w:val="1"/>
      <w:keepLines w:val="1"/>
      <w:spacing w:after="40" w:before="240"/>
      <w:outlineLvl w:val="3"/>
    </w:pPr>
    <w:rPr>
      <w:b w:val="1"/>
    </w:rPr>
  </w:style>
  <w:style w:type="paragraph" w:styleId="Titre5">
    <w:name w:val="heading 5"/>
    <w:basedOn w:val="Normal"/>
    <w:next w:val="Normal"/>
    <w:pPr>
      <w:keepNext w:val="1"/>
      <w:keepLines w:val="1"/>
      <w:spacing w:after="40" w:before="220"/>
      <w:outlineLvl w:val="4"/>
    </w:pPr>
    <w:rPr>
      <w:b w:val="1"/>
      <w:sz w:val="22"/>
      <w:szCs w:val="22"/>
    </w:rPr>
  </w:style>
  <w:style w:type="paragraph" w:styleId="Titre6">
    <w:name w:val="heading 6"/>
    <w:basedOn w:val="Normal"/>
    <w:next w:val="Normal"/>
    <w:pPr>
      <w:keepNext w:val="1"/>
      <w:keepLines w:val="1"/>
      <w:spacing w:after="40" w:before="200"/>
      <w:outlineLvl w:val="5"/>
    </w:pPr>
    <w:rPr>
      <w:b w:val="1"/>
      <w:sz w:val="20"/>
      <w:szCs w:val="20"/>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re">
    <w:name w:val="Title"/>
    <w:basedOn w:val="Normal"/>
    <w:next w:val="Normal"/>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paragraph" w:styleId="Sansinterligne">
    <w:name w:val="No Spacing"/>
    <w:pPr>
      <w:suppressAutoHyphens w:val="1"/>
      <w:spacing w:line="1" w:lineRule="atLeast"/>
      <w:ind w:left="-1" w:leftChars="-1" w:hangingChars="1"/>
      <w:textDirection w:val="btLr"/>
      <w:textAlignment w:val="top"/>
      <w:outlineLvl w:val="0"/>
    </w:pPr>
    <w:rPr>
      <w:rFonts w:ascii="Calibri" w:hAnsi="Calibri"/>
      <w:position w:val="-1"/>
      <w:sz w:val="22"/>
      <w:szCs w:val="22"/>
      <w:lang w:eastAsia="en-US"/>
    </w:rPr>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NormalWeb">
    <w:name w:val="Normal (Web)"/>
    <w:basedOn w:val="Normal"/>
    <w:uiPriority w:val="99"/>
    <w:pPr>
      <w:spacing w:after="100" w:afterAutospacing="1" w:before="100" w:beforeAutospacing="1"/>
    </w:pPr>
  </w:style>
  <w:style w:type="character" w:styleId="txt" w:customStyle="1">
    <w:name w:val="txt"/>
    <w:basedOn w:val="Policepardfaut"/>
    <w:rPr>
      <w:w w:val="100"/>
      <w:position w:val="-1"/>
      <w:effect w:val="none"/>
      <w:vertAlign w:val="baseline"/>
      <w:cs w:val="0"/>
      <w:em w:val="none"/>
    </w:rPr>
  </w:style>
  <w:style w:type="character" w:styleId="apple-converted-space" w:customStyle="1">
    <w:name w:val="apple-converted-space"/>
    <w:basedOn w:val="Policepardfaut"/>
    <w:rPr>
      <w:w w:val="100"/>
      <w:position w:val="-1"/>
      <w:effect w:val="none"/>
      <w:vertAlign w:val="baseline"/>
      <w:cs w:val="0"/>
      <w:em w:val="none"/>
    </w:rPr>
  </w:style>
  <w:style w:type="character" w:styleId="Lienhypertexte">
    <w:name w:val="Hyperlink"/>
    <w:rPr>
      <w:color w:val="0000ff"/>
      <w:w w:val="100"/>
      <w:position w:val="-1"/>
      <w:u w:val="single"/>
      <w:effect w:val="none"/>
      <w:vertAlign w:val="baseline"/>
      <w:cs w:val="0"/>
      <w:em w:val="none"/>
    </w:rPr>
  </w:style>
  <w:style w:type="character" w:styleId="refdoc" w:customStyle="1">
    <w:name w:val="refdoc"/>
    <w:basedOn w:val="Policepardfaut"/>
    <w:rPr>
      <w:w w:val="100"/>
      <w:position w:val="-1"/>
      <w:effect w:val="none"/>
      <w:vertAlign w:val="baseline"/>
      <w:cs w:val="0"/>
      <w:em w:val="none"/>
    </w:rPr>
  </w:style>
  <w:style w:type="table" w:styleId="Grilledutableau">
    <w:name w:val="Table Grid"/>
    <w:basedOn w:val="TableauNormal"/>
    <w:pPr>
      <w:suppressAutoHyphens w:val="1"/>
      <w:spacing w:line="1" w:lineRule="atLeast"/>
      <w:ind w:left="-1" w:leftChars="-1" w:hangingChars="1"/>
      <w:textDirection w:val="btLr"/>
      <w:textAlignment w:val="top"/>
      <w:outlineLvl w:val="0"/>
    </w:pPr>
    <w:rPr>
      <w:position w:val="-1"/>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epuces1" w:customStyle="1">
    <w:name w:val="Liste à puces1"/>
    <w:aliases w:val="Liste PR"/>
    <w:basedOn w:val="Normal"/>
    <w:pPr>
      <w:keepLines w:val="1"/>
      <w:numPr>
        <w:ilvl w:val="1"/>
        <w:numId w:val="7"/>
      </w:numPr>
      <w:tabs>
        <w:tab w:val="left" w:pos="1134"/>
      </w:tabs>
      <w:spacing w:before="180" w:line="280" w:lineRule="atLeast"/>
      <w:ind w:left="-1" w:hanging="1"/>
      <w:jc w:val="both"/>
    </w:pPr>
    <w:rPr>
      <w:rFonts w:ascii="Arial" w:eastAsia="Calibri" w:hAnsi="Arial"/>
      <w:sz w:val="22"/>
      <w:szCs w:val="22"/>
    </w:rPr>
  </w:style>
  <w:style w:type="character" w:styleId="ListepucesCar" w:customStyle="1">
    <w:name w:val="Liste à puces Car"/>
    <w:aliases w:val="Liste PR Car"/>
    <w:rPr>
      <w:rFonts w:ascii="Arial" w:eastAsia="Calibri" w:hAnsi="Arial"/>
      <w:w w:val="100"/>
      <w:position w:val="-1"/>
      <w:sz w:val="22"/>
      <w:szCs w:val="22"/>
      <w:effect w:val="none"/>
      <w:vertAlign w:val="baseline"/>
      <w:cs w:val="0"/>
      <w:em w:val="none"/>
      <w:lang w:bidi="ar-SA" w:eastAsia="fr-FR" w:val="fr-FR"/>
    </w:rPr>
  </w:style>
  <w:style w:type="paragraph" w:styleId="Paragraphedeliste">
    <w:name w:val="List Paragraph"/>
    <w:basedOn w:val="Normal"/>
    <w:pPr>
      <w:ind w:left="708"/>
    </w:pPr>
  </w:style>
  <w:style w:type="character" w:styleId="Appelnotedebasdep">
    <w:name w:val="footnote reference"/>
    <w:rPr>
      <w:w w:val="100"/>
      <w:position w:val="-1"/>
      <w:effect w:val="none"/>
      <w:vertAlign w:val="superscript"/>
      <w:cs w:val="0"/>
      <w:em w:val="none"/>
    </w:rPr>
  </w:style>
  <w:style w:type="paragraph" w:styleId="Notedebasdepage">
    <w:name w:val="footnote text"/>
    <w:basedOn w:val="Normal"/>
    <w:pPr>
      <w:keepLines w:val="1"/>
      <w:spacing w:before="120" w:line="240" w:lineRule="atLeast"/>
      <w:ind w:left="993" w:hanging="142"/>
      <w:jc w:val="both"/>
    </w:pPr>
    <w:rPr>
      <w:rFonts w:ascii="Arial" w:eastAsia="Calibri" w:hAnsi="Arial"/>
      <w:i w:val="1"/>
      <w:sz w:val="14"/>
      <w:szCs w:val="22"/>
    </w:rPr>
  </w:style>
  <w:style w:type="character" w:styleId="NotedebasdepageCar" w:customStyle="1">
    <w:name w:val="Note de bas de page Car"/>
    <w:rPr>
      <w:rFonts w:ascii="Arial" w:eastAsia="Calibri" w:hAnsi="Arial"/>
      <w:i w:val="1"/>
      <w:w w:val="100"/>
      <w:position w:val="-1"/>
      <w:sz w:val="14"/>
      <w:szCs w:val="22"/>
      <w:effect w:val="none"/>
      <w:vertAlign w:val="baseline"/>
      <w:cs w:val="0"/>
      <w:em w:val="none"/>
      <w:lang w:bidi="ar-SA" w:eastAsia="fr-FR" w:val="fr-FR"/>
    </w:rPr>
  </w:style>
  <w:style w:type="paragraph" w:styleId="Textedebulles">
    <w:name w:val="Balloon Text"/>
    <w:basedOn w:val="Normal"/>
    <w:rPr>
      <w:rFonts w:ascii="Segoe UI" w:cs="Segoe UI" w:hAnsi="Segoe UI"/>
      <w:sz w:val="18"/>
      <w:szCs w:val="18"/>
    </w:rPr>
  </w:style>
  <w:style w:type="character" w:styleId="TextedebullesCar" w:customStyle="1">
    <w:name w:val="Texte de bulles Car"/>
    <w:rPr>
      <w:rFonts w:ascii="Segoe UI" w:cs="Segoe UI" w:hAnsi="Segoe UI"/>
      <w:w w:val="100"/>
      <w:position w:val="-1"/>
      <w:sz w:val="18"/>
      <w:szCs w:val="18"/>
      <w:effect w:val="none"/>
      <w:vertAlign w:val="baseline"/>
      <w:cs w:val="0"/>
      <w:em w:val="none"/>
    </w:rPr>
  </w:style>
  <w:style w:type="character" w:styleId="Marquedecommentaire">
    <w:name w:val="annotation reference"/>
    <w:rPr>
      <w:w w:val="100"/>
      <w:position w:val="-1"/>
      <w:sz w:val="16"/>
      <w:szCs w:val="16"/>
      <w:effect w:val="none"/>
      <w:vertAlign w:val="baseline"/>
      <w:cs w:val="0"/>
      <w:em w:val="none"/>
    </w:rPr>
  </w:style>
  <w:style w:type="paragraph" w:styleId="Commentaire">
    <w:name w:val="annotation text"/>
    <w:basedOn w:val="Normal"/>
    <w:rPr>
      <w:sz w:val="20"/>
      <w:szCs w:val="20"/>
    </w:rPr>
  </w:style>
  <w:style w:type="character" w:styleId="CommentaireCar" w:customStyle="1">
    <w:name w:val="Commentaire Car"/>
    <w:basedOn w:val="Policepardfaut"/>
    <w:rPr>
      <w:w w:val="100"/>
      <w:position w:val="-1"/>
      <w:effect w:val="none"/>
      <w:vertAlign w:val="baseline"/>
      <w:cs w:val="0"/>
      <w:em w:val="none"/>
    </w:rPr>
  </w:style>
  <w:style w:type="paragraph" w:styleId="Objetducommentaire">
    <w:name w:val="annotation subject"/>
    <w:basedOn w:val="Commentaire"/>
    <w:next w:val="Commentaire"/>
    <w:rPr>
      <w:b w:val="1"/>
      <w:bCs w:val="1"/>
    </w:rPr>
  </w:style>
  <w:style w:type="character" w:styleId="ObjetducommentaireCar" w:customStyle="1">
    <w:name w:val="Objet du commentaire Car"/>
    <w:rPr>
      <w:b w:val="1"/>
      <w:bCs w:val="1"/>
      <w:w w:val="100"/>
      <w:position w:val="-1"/>
      <w:effect w:val="none"/>
      <w:vertAlign w:val="baseline"/>
      <w:cs w:val="0"/>
      <w:em w:val="none"/>
    </w:rPr>
  </w:style>
  <w:style w:type="paragraph" w:styleId="Sous-titr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1"/>
    <w:tblPr>
      <w:tblStyleRowBandSize w:val="1"/>
      <w:tblStyleColBandSize w:val="1"/>
      <w:tblCellMar>
        <w:left w:w="108.0" w:type="dxa"/>
        <w:right w:w="108.0" w:type="dxa"/>
      </w:tblCellMar>
    </w:tblPr>
  </w:style>
  <w:style w:type="character" w:styleId="lev">
    <w:name w:val="Strong"/>
    <w:basedOn w:val="Policepardfaut"/>
    <w:uiPriority w:val="22"/>
    <w:qFormat w:val="1"/>
    <w:rsid w:val="00933C73"/>
    <w:rPr>
      <w:b w:val="1"/>
      <w:bCs w:val="1"/>
    </w:rPr>
  </w:style>
  <w:style w:type="table" w:styleId="a0" w:customStyle="1">
    <w:basedOn w:val="TableNormal1"/>
    <w:tblPr>
      <w:tblStyleRowBandSize w:val="1"/>
      <w:tblStyleColBandSize w:val="1"/>
      <w:tblCellMar>
        <w:left w:w="108.0" w:type="dxa"/>
        <w:right w:w="108.0" w:type="dxa"/>
      </w:tblCellMar>
    </w:tblPr>
  </w:style>
  <w:style w:type="table" w:styleId="a1" w:customStyle="1">
    <w:basedOn w:val="TableNormal0"/>
    <w:tblPr>
      <w:tblStyleRowBandSize w:val="1"/>
      <w:tblStyleColBandSize w:val="1"/>
      <w:tblCellMar>
        <w:left w:w="108.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CenturyGothic-regular.ttf"/><Relationship Id="rId4" Type="http://schemas.openxmlformats.org/officeDocument/2006/relationships/font" Target="fonts/CenturyGothic-bold.ttf"/><Relationship Id="rId5" Type="http://schemas.openxmlformats.org/officeDocument/2006/relationships/font" Target="fonts/CenturyGothic-italic.ttf"/><Relationship Id="rId6" Type="http://schemas.openxmlformats.org/officeDocument/2006/relationships/font" Target="fonts/CenturyGothic-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LwT/N+PBJ07hdtWIcFIo2pTEEg==">CgMxLjAyDWguZmdzMXhnbzF2eWwyCWguMzBqMHpsbDgAciExRUV2aWtwaUJ5bEZRMkdQZWRKTGFscFdnbWFVc0RtNGY=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2024-05-31T15:19:00Z</dcterms:created>
  <dc:creator>florie.nicolazo</dc:creator>
</cp:coreProperties>
</file>