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FCCDD" w14:textId="765064C8" w:rsidR="00B5501D" w:rsidRPr="00FF21F5" w:rsidRDefault="003C7E57" w:rsidP="00B5501D">
      <w:pPr>
        <w:jc w:val="center"/>
        <w:rPr>
          <w:rFonts w:ascii="Atkinson Hyperlegible" w:eastAsia="Calibri" w:hAnsi="Atkinson Hyperlegible" w:cs="Arial"/>
          <w:b/>
          <w:bCs/>
          <w:caps/>
          <w:szCs w:val="20"/>
        </w:rPr>
      </w:pPr>
      <w:r w:rsidRPr="00FF21F5">
        <w:rPr>
          <w:rFonts w:ascii="Atkinson Hyperlegible" w:eastAsia="Calibri" w:hAnsi="Atkinson Hyperlegible" w:cs="Arial"/>
          <w:b/>
          <w:bCs/>
          <w:caps/>
          <w:szCs w:val="20"/>
        </w:rPr>
        <w:t>AVENANT DE REVISION DE L’ACCORD d’ENTREPRISE D’HARMONISATION DE LA DUREE DU TRAVAIL DES SALARIES DU CRTNA du 6 juillet 2018</w:t>
      </w:r>
    </w:p>
    <w:p w14:paraId="4BC30B48" w14:textId="77777777" w:rsidR="00B5501D" w:rsidRPr="00FF21F5" w:rsidRDefault="00B5501D" w:rsidP="00B5501D">
      <w:pPr>
        <w:jc w:val="center"/>
        <w:rPr>
          <w:rFonts w:ascii="Atkinson Hyperlegible" w:eastAsia="Calibri" w:hAnsi="Atkinson Hyperlegible" w:cs="Arial"/>
          <w:szCs w:val="20"/>
        </w:rPr>
      </w:pPr>
    </w:p>
    <w:p w14:paraId="1494B08F" w14:textId="77777777" w:rsidR="00B5501D" w:rsidRPr="00FF21F5" w:rsidRDefault="00B5501D" w:rsidP="00BB56C8">
      <w:pPr>
        <w:rPr>
          <w:rFonts w:ascii="Atkinson Hyperlegible" w:hAnsi="Atkinson Hyperlegible"/>
          <w:b/>
          <w:bCs/>
        </w:rPr>
      </w:pPr>
      <w:r w:rsidRPr="00FF21F5">
        <w:rPr>
          <w:rFonts w:ascii="Atkinson Hyperlegible" w:hAnsi="Atkinson Hyperlegible"/>
          <w:b/>
          <w:bCs/>
        </w:rPr>
        <w:t>ENTRE</w:t>
      </w:r>
    </w:p>
    <w:p w14:paraId="3525326E" w14:textId="77777777" w:rsidR="006A6CAD" w:rsidRPr="00FF21F5" w:rsidRDefault="006A6CAD" w:rsidP="006A6CAD">
      <w:pPr>
        <w:rPr>
          <w:rFonts w:ascii="Atkinson Hyperlegible" w:eastAsia="Calibri" w:hAnsi="Atkinson Hyperlegible" w:cs="Arial"/>
          <w:b/>
          <w:bCs/>
          <w:szCs w:val="20"/>
        </w:rPr>
      </w:pPr>
    </w:p>
    <w:p w14:paraId="6F0C76A8" w14:textId="49F74CCE" w:rsidR="006A6CAD" w:rsidRPr="00FF21F5" w:rsidRDefault="003C7E57" w:rsidP="006A6CAD">
      <w:pPr>
        <w:rPr>
          <w:rFonts w:ascii="Atkinson Hyperlegible" w:eastAsia="Calibri" w:hAnsi="Atkinson Hyperlegible" w:cs="Arial"/>
          <w:szCs w:val="20"/>
        </w:rPr>
      </w:pPr>
      <w:r w:rsidRPr="00FF21F5">
        <w:rPr>
          <w:rFonts w:ascii="Atkinson Hyperlegible" w:eastAsia="Calibri" w:hAnsi="Atkinson Hyperlegible" w:cs="Arial"/>
          <w:b/>
          <w:bCs/>
          <w:szCs w:val="20"/>
        </w:rPr>
        <w:t>LE COMITE REGIONAL DE TOURISME – NOUVELLE AQUITAINE</w:t>
      </w:r>
      <w:r w:rsidR="00BB56C8" w:rsidRPr="00FF21F5">
        <w:rPr>
          <w:rFonts w:ascii="Atkinson Hyperlegible" w:eastAsia="Calibri" w:hAnsi="Atkinson Hyperlegible" w:cs="Arial"/>
          <w:b/>
          <w:bCs/>
          <w:szCs w:val="20"/>
        </w:rPr>
        <w:t xml:space="preserve">, </w:t>
      </w:r>
      <w:r w:rsidRPr="00FF21F5">
        <w:rPr>
          <w:rFonts w:ascii="Atkinson Hyperlegible" w:eastAsia="Calibri" w:hAnsi="Atkinson Hyperlegible" w:cs="Arial"/>
          <w:szCs w:val="20"/>
        </w:rPr>
        <w:t>Association</w:t>
      </w:r>
      <w:r w:rsidR="006A6CAD" w:rsidRPr="00FF21F5">
        <w:rPr>
          <w:rFonts w:ascii="Atkinson Hyperlegible" w:eastAsia="Calibri" w:hAnsi="Atkinson Hyperlegible" w:cs="Arial"/>
          <w:b/>
          <w:bCs/>
          <w:szCs w:val="20"/>
        </w:rPr>
        <w:t xml:space="preserve"> </w:t>
      </w:r>
      <w:r w:rsidR="006A6CAD" w:rsidRPr="00FF21F5">
        <w:rPr>
          <w:rFonts w:ascii="Atkinson Hyperlegible" w:eastAsia="Calibri" w:hAnsi="Atkinson Hyperlegible" w:cs="Arial"/>
          <w:szCs w:val="20"/>
        </w:rPr>
        <w:t>dont le siège social est situé</w:t>
      </w:r>
      <w:r w:rsidR="00BB56C8" w:rsidRPr="00FF21F5">
        <w:rPr>
          <w:rFonts w:ascii="Atkinson Hyperlegible" w:eastAsia="Calibri" w:hAnsi="Atkinson Hyperlegible" w:cs="Arial"/>
          <w:szCs w:val="20"/>
        </w:rPr>
        <w:t xml:space="preserve"> </w:t>
      </w:r>
      <w:r w:rsidRPr="00FF21F5">
        <w:rPr>
          <w:rFonts w:ascii="Atkinson Hyperlegible" w:eastAsia="Calibri" w:hAnsi="Atkinson Hyperlegible" w:cs="Arial"/>
          <w:szCs w:val="20"/>
        </w:rPr>
        <w:t>CS 31759, 4 PLACE JEAN JAURES, 33000 BORDEAUX</w:t>
      </w:r>
      <w:r w:rsidR="00BB56C8" w:rsidRPr="00FF21F5">
        <w:rPr>
          <w:rFonts w:ascii="Atkinson Hyperlegible" w:eastAsia="Calibri" w:hAnsi="Atkinson Hyperlegible" w:cs="Arial"/>
          <w:szCs w:val="20"/>
        </w:rPr>
        <w:t xml:space="preserve">, </w:t>
      </w:r>
      <w:r w:rsidR="006A6CAD" w:rsidRPr="00FF21F5">
        <w:rPr>
          <w:rFonts w:ascii="Atkinson Hyperlegible" w:eastAsia="Calibri" w:hAnsi="Atkinson Hyperlegible" w:cs="Arial"/>
          <w:szCs w:val="20"/>
        </w:rPr>
        <w:t xml:space="preserve">n° SIRET </w:t>
      </w:r>
      <w:r w:rsidRPr="00FF21F5">
        <w:rPr>
          <w:rFonts w:ascii="Atkinson Hyperlegible" w:eastAsia="Calibri" w:hAnsi="Atkinson Hyperlegible" w:cs="Arial"/>
          <w:szCs w:val="20"/>
        </w:rPr>
        <w:t>82864784200016</w:t>
      </w:r>
      <w:r w:rsidR="0001673E" w:rsidRPr="00FF21F5">
        <w:rPr>
          <w:rFonts w:ascii="Atkinson Hyperlegible" w:eastAsia="Calibri" w:hAnsi="Atkinson Hyperlegible" w:cs="Arial"/>
          <w:szCs w:val="20"/>
        </w:rPr>
        <w:t xml:space="preserve">, </w:t>
      </w:r>
      <w:r w:rsidR="006A6CAD" w:rsidRPr="00FF21F5">
        <w:rPr>
          <w:rFonts w:ascii="Atkinson Hyperlegible" w:eastAsia="Calibri" w:hAnsi="Atkinson Hyperlegible" w:cs="Arial"/>
          <w:szCs w:val="20"/>
        </w:rPr>
        <w:t xml:space="preserve">représenté par </w:t>
      </w:r>
      <w:r w:rsidR="004B3494">
        <w:rPr>
          <w:rFonts w:ascii="Atkinson Hyperlegible" w:eastAsia="Calibri" w:hAnsi="Atkinson Hyperlegible" w:cs="Arial"/>
          <w:szCs w:val="20"/>
        </w:rPr>
        <w:t>xxx</w:t>
      </w:r>
      <w:r w:rsidR="0001673E" w:rsidRPr="00FF21F5">
        <w:rPr>
          <w:rFonts w:ascii="Atkinson Hyperlegible" w:eastAsia="Calibri" w:hAnsi="Atkinson Hyperlegible" w:cs="Arial"/>
          <w:szCs w:val="20"/>
        </w:rPr>
        <w:t xml:space="preserve">, </w:t>
      </w:r>
      <w:r w:rsidR="006A6CAD" w:rsidRPr="00FF21F5">
        <w:rPr>
          <w:rFonts w:ascii="Atkinson Hyperlegible" w:eastAsia="Calibri" w:hAnsi="Atkinson Hyperlegible" w:cs="Arial"/>
          <w:szCs w:val="20"/>
        </w:rPr>
        <w:t>agissant en qualité de</w:t>
      </w:r>
      <w:r w:rsidR="0001673E" w:rsidRPr="00FF21F5">
        <w:rPr>
          <w:rFonts w:ascii="Atkinson Hyperlegible" w:eastAsia="Calibri" w:hAnsi="Atkinson Hyperlegible" w:cs="Arial"/>
          <w:szCs w:val="20"/>
        </w:rPr>
        <w:t xml:space="preserve"> </w:t>
      </w:r>
      <w:proofErr w:type="spellStart"/>
      <w:r w:rsidR="004B3494">
        <w:rPr>
          <w:rFonts w:ascii="Atkinson Hyperlegible" w:eastAsia="Calibri" w:hAnsi="Atkinson Hyperlegible" w:cs="Arial"/>
          <w:szCs w:val="20"/>
        </w:rPr>
        <w:t>xxxx</w:t>
      </w:r>
      <w:proofErr w:type="spellEnd"/>
    </w:p>
    <w:p w14:paraId="4C30FCEC" w14:textId="77777777" w:rsidR="006A6CAD" w:rsidRPr="00FF21F5" w:rsidRDefault="006A6CAD" w:rsidP="006A6CAD">
      <w:pPr>
        <w:rPr>
          <w:rFonts w:ascii="Atkinson Hyperlegible" w:eastAsia="Calibri" w:hAnsi="Atkinson Hyperlegible" w:cs="Arial"/>
          <w:b/>
          <w:bCs/>
          <w:szCs w:val="20"/>
        </w:rPr>
      </w:pPr>
    </w:p>
    <w:p w14:paraId="0E63C72C" w14:textId="77777777" w:rsidR="006A6CAD" w:rsidRPr="00FF21F5" w:rsidRDefault="006A6CAD" w:rsidP="006A6CAD">
      <w:pPr>
        <w:jc w:val="right"/>
        <w:rPr>
          <w:rFonts w:ascii="Atkinson Hyperlegible" w:eastAsia="Calibri" w:hAnsi="Atkinson Hyperlegible" w:cs="Arial"/>
          <w:b/>
          <w:bCs/>
          <w:szCs w:val="20"/>
        </w:rPr>
      </w:pPr>
      <w:r w:rsidRPr="00FF21F5">
        <w:rPr>
          <w:rFonts w:ascii="Atkinson Hyperlegible" w:eastAsia="Calibri" w:hAnsi="Atkinson Hyperlegible" w:cs="Arial"/>
          <w:b/>
          <w:bCs/>
          <w:szCs w:val="20"/>
        </w:rPr>
        <w:t>D’UNE PART</w:t>
      </w:r>
    </w:p>
    <w:p w14:paraId="24DCA9DE" w14:textId="77777777" w:rsidR="006A6CAD" w:rsidRPr="00FF21F5" w:rsidRDefault="006A6CAD" w:rsidP="006A6CAD">
      <w:pPr>
        <w:rPr>
          <w:rFonts w:ascii="Atkinson Hyperlegible" w:eastAsia="Calibri" w:hAnsi="Atkinson Hyperlegible" w:cs="Arial"/>
          <w:b/>
          <w:bCs/>
          <w:szCs w:val="20"/>
        </w:rPr>
      </w:pPr>
    </w:p>
    <w:p w14:paraId="406D7D0B" w14:textId="77777777" w:rsidR="006A6CAD" w:rsidRPr="00FF21F5" w:rsidRDefault="006A6CAD" w:rsidP="006A6CAD">
      <w:pPr>
        <w:rPr>
          <w:rFonts w:ascii="Atkinson Hyperlegible" w:eastAsia="Calibri" w:hAnsi="Atkinson Hyperlegible" w:cs="Arial"/>
          <w:b/>
          <w:bCs/>
          <w:szCs w:val="20"/>
        </w:rPr>
      </w:pPr>
      <w:r w:rsidRPr="00FF21F5">
        <w:rPr>
          <w:rFonts w:ascii="Atkinson Hyperlegible" w:eastAsia="Calibri" w:hAnsi="Atkinson Hyperlegible" w:cs="Arial"/>
          <w:b/>
          <w:bCs/>
          <w:szCs w:val="20"/>
        </w:rPr>
        <w:t>ET</w:t>
      </w:r>
    </w:p>
    <w:p w14:paraId="4F491F4B" w14:textId="77777777" w:rsidR="006A6CAD" w:rsidRPr="00FF21F5" w:rsidRDefault="006A6CAD" w:rsidP="006A6CAD">
      <w:pPr>
        <w:rPr>
          <w:rFonts w:ascii="Atkinson Hyperlegible" w:eastAsia="Calibri" w:hAnsi="Atkinson Hyperlegible" w:cs="Arial"/>
          <w:b/>
          <w:bCs/>
          <w:szCs w:val="20"/>
        </w:rPr>
      </w:pPr>
    </w:p>
    <w:p w14:paraId="2D60E053" w14:textId="30243AC4" w:rsidR="003C7E57" w:rsidRPr="00FF21F5" w:rsidRDefault="003C7E57" w:rsidP="003C7E57">
      <w:pPr>
        <w:pStyle w:val="Default"/>
        <w:rPr>
          <w:rFonts w:ascii="Atkinson Hyperlegible" w:hAnsi="Atkinson Hyperlegible" w:cs="Arial"/>
          <w:color w:val="auto"/>
          <w:lang w:val="fr-FR"/>
        </w:rPr>
      </w:pPr>
      <w:r w:rsidRPr="00FF21F5">
        <w:rPr>
          <w:rFonts w:ascii="Atkinson Hyperlegible" w:hAnsi="Atkinson Hyperlegible" w:cs="Arial"/>
          <w:b/>
          <w:bCs/>
          <w:color w:val="auto"/>
          <w:lang w:val="fr-FR"/>
        </w:rPr>
        <w:t xml:space="preserve">La délégation suivante composée des membres titulaires du Comité Social et </w:t>
      </w:r>
      <w:proofErr w:type="spellStart"/>
      <w:r w:rsidRPr="00FF21F5">
        <w:rPr>
          <w:rFonts w:ascii="Atkinson Hyperlegible" w:hAnsi="Atkinson Hyperlegible" w:cs="Arial"/>
          <w:b/>
          <w:bCs/>
          <w:color w:val="auto"/>
          <w:lang w:val="fr-FR"/>
        </w:rPr>
        <w:t>Economique</w:t>
      </w:r>
      <w:proofErr w:type="spellEnd"/>
      <w:r w:rsidRPr="00FF21F5">
        <w:rPr>
          <w:rFonts w:ascii="Atkinson Hyperlegible" w:hAnsi="Atkinson Hyperlegible" w:cs="Arial"/>
          <w:b/>
          <w:bCs/>
          <w:color w:val="auto"/>
          <w:lang w:val="fr-FR"/>
        </w:rPr>
        <w:t xml:space="preserve"> </w:t>
      </w:r>
      <w:r w:rsidRPr="00FF21F5">
        <w:rPr>
          <w:rFonts w:ascii="Atkinson Hyperlegible" w:hAnsi="Atkinson Hyperlegible" w:cs="Arial"/>
          <w:color w:val="auto"/>
          <w:lang w:val="fr-FR"/>
        </w:rPr>
        <w:t xml:space="preserve">élus au sein de l’Association : </w:t>
      </w:r>
    </w:p>
    <w:p w14:paraId="788A91C9" w14:textId="6DECF52C" w:rsidR="003C7E57" w:rsidRPr="00FF21F5" w:rsidRDefault="004B3494" w:rsidP="00AC6293">
      <w:pPr>
        <w:pStyle w:val="Default"/>
        <w:numPr>
          <w:ilvl w:val="0"/>
          <w:numId w:val="14"/>
        </w:numPr>
        <w:contextualSpacing/>
        <w:rPr>
          <w:rFonts w:ascii="Atkinson Hyperlegible" w:hAnsi="Atkinson Hyperlegible" w:cs="Arial"/>
          <w:color w:val="auto"/>
          <w:lang w:val="fr-FR"/>
        </w:rPr>
      </w:pPr>
      <w:proofErr w:type="gramStart"/>
      <w:r>
        <w:rPr>
          <w:rFonts w:ascii="Atkinson Hyperlegible" w:hAnsi="Atkinson Hyperlegible" w:cs="Arial"/>
          <w:b/>
          <w:bCs/>
          <w:color w:val="auto"/>
          <w:lang w:val="fr-FR"/>
        </w:rPr>
        <w:t>xxx</w:t>
      </w:r>
      <w:r w:rsidR="00297F2C" w:rsidRPr="00FF21F5">
        <w:rPr>
          <w:rFonts w:ascii="Atkinson Hyperlegible" w:hAnsi="Atkinson Hyperlegible" w:cs="Arial"/>
          <w:b/>
          <w:bCs/>
          <w:color w:val="auto"/>
          <w:lang w:val="fr-FR"/>
        </w:rPr>
        <w:t xml:space="preserve"> </w:t>
      </w:r>
      <w:r w:rsidR="003C7E57" w:rsidRPr="00FF21F5">
        <w:rPr>
          <w:rFonts w:ascii="Atkinson Hyperlegible" w:hAnsi="Atkinson Hyperlegible" w:cs="Arial"/>
          <w:b/>
          <w:bCs/>
          <w:color w:val="auto"/>
          <w:lang w:val="fr-FR"/>
        </w:rPr>
        <w:t xml:space="preserve"> </w:t>
      </w:r>
      <w:r w:rsidR="003C7E57" w:rsidRPr="00FF21F5">
        <w:rPr>
          <w:rFonts w:ascii="Atkinson Hyperlegible" w:hAnsi="Atkinson Hyperlegible" w:cs="Arial"/>
          <w:color w:val="auto"/>
          <w:lang w:val="fr-FR"/>
        </w:rPr>
        <w:t>membre</w:t>
      </w:r>
      <w:proofErr w:type="gramEnd"/>
      <w:r w:rsidR="003C7E57" w:rsidRPr="00FF21F5">
        <w:rPr>
          <w:rFonts w:ascii="Atkinson Hyperlegible" w:hAnsi="Atkinson Hyperlegible" w:cs="Arial"/>
          <w:color w:val="auto"/>
          <w:lang w:val="fr-FR"/>
        </w:rPr>
        <w:t xml:space="preserve"> titulaire du CSE ;</w:t>
      </w:r>
    </w:p>
    <w:p w14:paraId="7407D6A4" w14:textId="5D3D5F87" w:rsidR="003C7E57" w:rsidRPr="00FF21F5" w:rsidRDefault="004B3494" w:rsidP="00AC6293">
      <w:pPr>
        <w:pStyle w:val="Default"/>
        <w:numPr>
          <w:ilvl w:val="0"/>
          <w:numId w:val="14"/>
        </w:numPr>
        <w:contextualSpacing/>
        <w:rPr>
          <w:rFonts w:ascii="Atkinson Hyperlegible" w:hAnsi="Atkinson Hyperlegible" w:cs="Arial"/>
          <w:color w:val="auto"/>
          <w:lang w:val="fr-FR"/>
        </w:rPr>
      </w:pPr>
      <w:proofErr w:type="gramStart"/>
      <w:r>
        <w:rPr>
          <w:rFonts w:ascii="Atkinson Hyperlegible" w:hAnsi="Atkinson Hyperlegible" w:cs="Arial"/>
          <w:b/>
          <w:bCs/>
          <w:color w:val="auto"/>
          <w:lang w:val="fr-FR"/>
        </w:rPr>
        <w:t>xxx</w:t>
      </w:r>
      <w:proofErr w:type="gramEnd"/>
      <w:r w:rsidR="003C7E57" w:rsidRPr="00FF21F5">
        <w:rPr>
          <w:rFonts w:ascii="Atkinson Hyperlegible" w:hAnsi="Atkinson Hyperlegible" w:cs="Arial"/>
          <w:color w:val="auto"/>
          <w:lang w:val="fr-FR"/>
        </w:rPr>
        <w:t xml:space="preserve"> membre titulaire du CSE</w:t>
      </w:r>
      <w:r w:rsidR="00D87409" w:rsidRPr="00FF21F5">
        <w:rPr>
          <w:rFonts w:ascii="Atkinson Hyperlegible" w:hAnsi="Atkinson Hyperlegible" w:cs="Arial"/>
          <w:color w:val="auto"/>
          <w:lang w:val="fr-FR"/>
        </w:rPr>
        <w:t>.</w:t>
      </w:r>
    </w:p>
    <w:p w14:paraId="0A9861CB" w14:textId="77777777" w:rsidR="003C7E57" w:rsidRPr="00FF21F5" w:rsidRDefault="003C7E57" w:rsidP="003C7E57">
      <w:pPr>
        <w:pStyle w:val="Default"/>
        <w:rPr>
          <w:rFonts w:ascii="Atkinson Hyperlegible" w:hAnsi="Atkinson Hyperlegible" w:cs="Arial"/>
          <w:color w:val="auto"/>
          <w:lang w:val="fr-FR"/>
        </w:rPr>
      </w:pPr>
    </w:p>
    <w:p w14:paraId="6BC24377" w14:textId="32F6966E" w:rsidR="003C7E57" w:rsidRPr="00FF21F5" w:rsidRDefault="003C7E57" w:rsidP="003C7E57">
      <w:pPr>
        <w:pStyle w:val="Default"/>
        <w:rPr>
          <w:rFonts w:ascii="Atkinson Hyperlegible" w:hAnsi="Atkinson Hyperlegible" w:cs="Arial"/>
          <w:color w:val="auto"/>
          <w:lang w:val="fr-FR"/>
        </w:rPr>
      </w:pPr>
      <w:r w:rsidRPr="00FF21F5">
        <w:rPr>
          <w:rFonts w:ascii="Atkinson Hyperlegible" w:hAnsi="Atkinson Hyperlegible" w:cs="Arial"/>
          <w:color w:val="auto"/>
          <w:lang w:val="fr-FR"/>
        </w:rPr>
        <w:t xml:space="preserve">Il est précisé que les personnes susvisées représentent plus de 50% des suffrages exprimés lors des dernières élections professionnelles (titulaires) qui se sont déroulées au mois de </w:t>
      </w:r>
      <w:r w:rsidR="00297F2C" w:rsidRPr="00FF21F5">
        <w:rPr>
          <w:rFonts w:ascii="Atkinson Hyperlegible" w:hAnsi="Atkinson Hyperlegible" w:cs="Arial"/>
          <w:color w:val="auto"/>
          <w:lang w:val="fr-FR"/>
        </w:rPr>
        <w:t>février 2023</w:t>
      </w:r>
      <w:r w:rsidRPr="00FF21F5">
        <w:rPr>
          <w:rFonts w:ascii="Atkinson Hyperlegible" w:hAnsi="Atkinson Hyperlegible" w:cs="Arial"/>
          <w:color w:val="auto"/>
          <w:lang w:val="fr-FR"/>
        </w:rPr>
        <w:t xml:space="preserve"> (annexe 1).</w:t>
      </w:r>
    </w:p>
    <w:p w14:paraId="3B50977F" w14:textId="77777777" w:rsidR="00B167A6" w:rsidRPr="00FF21F5" w:rsidRDefault="00B167A6" w:rsidP="006A6CAD">
      <w:pPr>
        <w:rPr>
          <w:rFonts w:ascii="Atkinson Hyperlegible" w:eastAsia="Calibri" w:hAnsi="Atkinson Hyperlegible" w:cs="Arial"/>
          <w:b/>
          <w:bCs/>
          <w:szCs w:val="20"/>
        </w:rPr>
      </w:pPr>
    </w:p>
    <w:p w14:paraId="457F806C" w14:textId="77777777" w:rsidR="006A6CAD" w:rsidRPr="00FF21F5" w:rsidRDefault="006A6CAD" w:rsidP="006A6CAD">
      <w:pPr>
        <w:jc w:val="right"/>
        <w:rPr>
          <w:rFonts w:ascii="Atkinson Hyperlegible" w:eastAsia="Calibri" w:hAnsi="Atkinson Hyperlegible" w:cs="Arial"/>
          <w:b/>
          <w:bCs/>
          <w:szCs w:val="20"/>
        </w:rPr>
      </w:pPr>
    </w:p>
    <w:p w14:paraId="2C08208A" w14:textId="562C333B" w:rsidR="00B5501D" w:rsidRPr="00FF21F5" w:rsidRDefault="006A6CAD" w:rsidP="00B5501D">
      <w:pPr>
        <w:jc w:val="right"/>
        <w:rPr>
          <w:rFonts w:ascii="Atkinson Hyperlegible" w:eastAsia="Calibri" w:hAnsi="Atkinson Hyperlegible" w:cs="Arial"/>
          <w:b/>
          <w:szCs w:val="20"/>
        </w:rPr>
      </w:pPr>
      <w:r w:rsidRPr="00FF21F5">
        <w:rPr>
          <w:rFonts w:ascii="Atkinson Hyperlegible" w:eastAsia="Calibri" w:hAnsi="Atkinson Hyperlegible" w:cs="Arial"/>
          <w:b/>
          <w:szCs w:val="20"/>
        </w:rPr>
        <w:t>D’AUTRE PART</w:t>
      </w:r>
    </w:p>
    <w:p w14:paraId="4ED51DA2" w14:textId="79D9B269" w:rsidR="00D87409" w:rsidRPr="00FF21F5" w:rsidRDefault="00D87409">
      <w:pPr>
        <w:spacing w:line="259" w:lineRule="auto"/>
        <w:rPr>
          <w:rFonts w:ascii="Atkinson Hyperlegible" w:eastAsia="Calibri" w:hAnsi="Atkinson Hyperlegible" w:cs="Arial"/>
          <w:szCs w:val="20"/>
        </w:rPr>
      </w:pPr>
      <w:r w:rsidRPr="00FF21F5">
        <w:rPr>
          <w:rFonts w:ascii="Atkinson Hyperlegible" w:eastAsia="Calibri" w:hAnsi="Atkinson Hyperlegible" w:cs="Arial"/>
          <w:szCs w:val="20"/>
        </w:rPr>
        <w:br w:type="page"/>
      </w:r>
    </w:p>
    <w:p w14:paraId="2F9E6EF7" w14:textId="77777777" w:rsidR="00B5501D" w:rsidRPr="00FF21F5" w:rsidRDefault="00B5501D" w:rsidP="00B5501D">
      <w:pPr>
        <w:rPr>
          <w:rFonts w:ascii="Atkinson Hyperlegible" w:eastAsia="Calibri" w:hAnsi="Atkinson Hyperlegible" w:cs="Arial"/>
          <w:szCs w:val="20"/>
        </w:rPr>
      </w:pPr>
    </w:p>
    <w:sdt>
      <w:sdtPr>
        <w:rPr>
          <w:rFonts w:ascii="Atkinson Hyperlegible" w:eastAsiaTheme="minorHAnsi" w:hAnsi="Atkinson Hyperlegible" w:cstheme="minorBidi"/>
          <w:color w:val="auto"/>
          <w:sz w:val="20"/>
          <w:szCs w:val="22"/>
          <w:lang w:eastAsia="en-US"/>
        </w:rPr>
        <w:id w:val="-349114310"/>
        <w:docPartObj>
          <w:docPartGallery w:val="Table of Contents"/>
          <w:docPartUnique/>
        </w:docPartObj>
      </w:sdtPr>
      <w:sdtEndPr>
        <w:rPr>
          <w:rFonts w:eastAsia="Times New Roman" w:cs="Times New Roman"/>
          <w:b/>
          <w:bCs/>
          <w:sz w:val="24"/>
          <w:szCs w:val="24"/>
          <w:lang w:eastAsia="fr-FR"/>
        </w:rPr>
      </w:sdtEndPr>
      <w:sdtContent>
        <w:p w14:paraId="1867A9D0" w14:textId="0F6D77C5" w:rsidR="006555EE" w:rsidRPr="00FF21F5" w:rsidRDefault="006555EE">
          <w:pPr>
            <w:pStyle w:val="En-ttedetabledesmatires"/>
            <w:rPr>
              <w:rFonts w:ascii="Atkinson Hyperlegible" w:hAnsi="Atkinson Hyperlegible"/>
            </w:rPr>
          </w:pPr>
          <w:r w:rsidRPr="00FF21F5">
            <w:rPr>
              <w:rFonts w:ascii="Atkinson Hyperlegible" w:hAnsi="Atkinson Hyperlegible"/>
            </w:rPr>
            <w:t>Table des matières</w:t>
          </w:r>
        </w:p>
        <w:p w14:paraId="7F0FAF27" w14:textId="34D86E63" w:rsidR="008B78F5" w:rsidRPr="00FF21F5" w:rsidRDefault="006555EE">
          <w:pPr>
            <w:pStyle w:val="TM1"/>
            <w:tabs>
              <w:tab w:val="right" w:leader="dot" w:pos="9062"/>
            </w:tabs>
            <w:rPr>
              <w:rFonts w:ascii="Atkinson Hyperlegible" w:eastAsiaTheme="minorEastAsia" w:hAnsi="Atkinson Hyperlegible"/>
              <w:noProof/>
              <w:kern w:val="2"/>
              <w14:ligatures w14:val="standardContextual"/>
            </w:rPr>
          </w:pPr>
          <w:r w:rsidRPr="00FF21F5">
            <w:rPr>
              <w:rFonts w:ascii="Atkinson Hyperlegible" w:hAnsi="Atkinson Hyperlegible"/>
            </w:rPr>
            <w:fldChar w:fldCharType="begin"/>
          </w:r>
          <w:r w:rsidRPr="00FF21F5">
            <w:rPr>
              <w:rFonts w:ascii="Atkinson Hyperlegible" w:hAnsi="Atkinson Hyperlegible"/>
            </w:rPr>
            <w:instrText xml:space="preserve"> TOC \o "1-3" \h \z \u </w:instrText>
          </w:r>
          <w:r w:rsidRPr="00FF21F5">
            <w:rPr>
              <w:rFonts w:ascii="Atkinson Hyperlegible" w:hAnsi="Atkinson Hyperlegible"/>
            </w:rPr>
            <w:fldChar w:fldCharType="separate"/>
          </w:r>
          <w:hyperlink w:anchor="_Toc210057874" w:history="1">
            <w:r w:rsidR="008B78F5" w:rsidRPr="00FF21F5">
              <w:rPr>
                <w:rStyle w:val="Lienhypertexte"/>
                <w:rFonts w:ascii="Atkinson Hyperlegible" w:eastAsia="Calibri" w:hAnsi="Atkinson Hyperlegible"/>
                <w:noProof/>
              </w:rPr>
              <w:t>PREAMBULE</w:t>
            </w:r>
            <w:r w:rsidR="008B78F5" w:rsidRPr="00FF21F5">
              <w:rPr>
                <w:rFonts w:ascii="Atkinson Hyperlegible" w:hAnsi="Atkinson Hyperlegible"/>
                <w:noProof/>
                <w:webHidden/>
              </w:rPr>
              <w:tab/>
            </w:r>
            <w:r w:rsidR="008B78F5" w:rsidRPr="00FF21F5">
              <w:rPr>
                <w:rFonts w:ascii="Atkinson Hyperlegible" w:hAnsi="Atkinson Hyperlegible"/>
                <w:noProof/>
                <w:webHidden/>
              </w:rPr>
              <w:fldChar w:fldCharType="begin"/>
            </w:r>
            <w:r w:rsidR="008B78F5" w:rsidRPr="00FF21F5">
              <w:rPr>
                <w:rFonts w:ascii="Atkinson Hyperlegible" w:hAnsi="Atkinson Hyperlegible"/>
                <w:noProof/>
                <w:webHidden/>
              </w:rPr>
              <w:instrText xml:space="preserve"> PAGEREF _Toc210057874 \h </w:instrText>
            </w:r>
            <w:r w:rsidR="008B78F5" w:rsidRPr="00FF21F5">
              <w:rPr>
                <w:rFonts w:ascii="Atkinson Hyperlegible" w:hAnsi="Atkinson Hyperlegible"/>
                <w:noProof/>
                <w:webHidden/>
              </w:rPr>
            </w:r>
            <w:r w:rsidR="008B78F5" w:rsidRPr="00FF21F5">
              <w:rPr>
                <w:rFonts w:ascii="Atkinson Hyperlegible" w:hAnsi="Atkinson Hyperlegible"/>
                <w:noProof/>
                <w:webHidden/>
              </w:rPr>
              <w:fldChar w:fldCharType="separate"/>
            </w:r>
            <w:r w:rsidR="00DA6A5B" w:rsidRPr="00FF21F5">
              <w:rPr>
                <w:rFonts w:ascii="Atkinson Hyperlegible" w:hAnsi="Atkinson Hyperlegible"/>
                <w:noProof/>
                <w:webHidden/>
              </w:rPr>
              <w:t>4</w:t>
            </w:r>
            <w:r w:rsidR="008B78F5" w:rsidRPr="00FF21F5">
              <w:rPr>
                <w:rFonts w:ascii="Atkinson Hyperlegible" w:hAnsi="Atkinson Hyperlegible"/>
                <w:noProof/>
                <w:webHidden/>
              </w:rPr>
              <w:fldChar w:fldCharType="end"/>
            </w:r>
          </w:hyperlink>
        </w:p>
        <w:p w14:paraId="17BF57D1" w14:textId="68F9C5C6" w:rsidR="008B78F5" w:rsidRPr="00FF21F5" w:rsidRDefault="008B78F5">
          <w:pPr>
            <w:pStyle w:val="TM1"/>
            <w:tabs>
              <w:tab w:val="right" w:leader="dot" w:pos="9062"/>
            </w:tabs>
            <w:rPr>
              <w:rFonts w:ascii="Atkinson Hyperlegible" w:eastAsiaTheme="minorEastAsia" w:hAnsi="Atkinson Hyperlegible"/>
              <w:noProof/>
              <w:kern w:val="2"/>
              <w14:ligatures w14:val="standardContextual"/>
            </w:rPr>
          </w:pPr>
          <w:hyperlink w:anchor="_Toc210057875" w:history="1">
            <w:r w:rsidRPr="00FF21F5">
              <w:rPr>
                <w:rStyle w:val="Lienhypertexte"/>
                <w:rFonts w:ascii="Atkinson Hyperlegible" w:hAnsi="Atkinson Hyperlegible"/>
                <w:noProof/>
              </w:rPr>
              <w:t>CHAPITRE  3 – REGLES REGISSANT LE FONCTIONNEMENT DU FORFAIT ANNUEL EN JOURS</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_Toc210057875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5</w:t>
            </w:r>
            <w:r w:rsidRPr="00FF21F5">
              <w:rPr>
                <w:rFonts w:ascii="Atkinson Hyperlegible" w:hAnsi="Atkinson Hyperlegible"/>
                <w:noProof/>
                <w:webHidden/>
              </w:rPr>
              <w:fldChar w:fldCharType="end"/>
            </w:r>
          </w:hyperlink>
        </w:p>
        <w:p w14:paraId="2298AEF1" w14:textId="19FAF1CE"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876" w:history="1">
            <w:r w:rsidRPr="00FF21F5">
              <w:rPr>
                <w:rStyle w:val="Lienhypertexte"/>
                <w:rFonts w:ascii="Atkinson Hyperlegible" w:eastAsia="Calibri" w:hAnsi="Atkinson Hyperlegible"/>
                <w:noProof/>
              </w:rPr>
              <w:t>3.1 – Bénéficiaires</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_Toc210057876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5</w:t>
            </w:r>
            <w:r w:rsidRPr="00FF21F5">
              <w:rPr>
                <w:rFonts w:ascii="Atkinson Hyperlegible" w:hAnsi="Atkinson Hyperlegible"/>
                <w:noProof/>
                <w:webHidden/>
              </w:rPr>
              <w:fldChar w:fldCharType="end"/>
            </w:r>
          </w:hyperlink>
        </w:p>
        <w:p w14:paraId="567C0800" w14:textId="6DBD6D01"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877" w:history="1">
            <w:r w:rsidRPr="00FF21F5">
              <w:rPr>
                <w:rStyle w:val="Lienhypertexte"/>
                <w:rFonts w:ascii="Atkinson Hyperlegible" w:eastAsia="Calibri" w:hAnsi="Atkinson Hyperlegible"/>
                <w:noProof/>
              </w:rPr>
              <w:t>3.2 – Convention individuelle de forfait</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_Toc210057877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5</w:t>
            </w:r>
            <w:r w:rsidRPr="00FF21F5">
              <w:rPr>
                <w:rFonts w:ascii="Atkinson Hyperlegible" w:hAnsi="Atkinson Hyperlegible"/>
                <w:noProof/>
                <w:webHidden/>
              </w:rPr>
              <w:fldChar w:fldCharType="end"/>
            </w:r>
          </w:hyperlink>
        </w:p>
        <w:p w14:paraId="6F4BC788" w14:textId="35C451D3"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878" w:history="1">
            <w:r w:rsidRPr="00FF21F5">
              <w:rPr>
                <w:rStyle w:val="Lienhypertexte"/>
                <w:rFonts w:ascii="Atkinson Hyperlegible" w:eastAsia="Calibri" w:hAnsi="Atkinson Hyperlegible"/>
                <w:noProof/>
              </w:rPr>
              <w:t>3.3 – Nombre de journées de travail</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_Toc210057878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6</w:t>
            </w:r>
            <w:r w:rsidRPr="00FF21F5">
              <w:rPr>
                <w:rFonts w:ascii="Atkinson Hyperlegible" w:hAnsi="Atkinson Hyperlegible"/>
                <w:noProof/>
                <w:webHidden/>
              </w:rPr>
              <w:fldChar w:fldCharType="end"/>
            </w:r>
          </w:hyperlink>
        </w:p>
        <w:p w14:paraId="49329CF3" w14:textId="288F5564" w:rsidR="008B78F5" w:rsidRPr="00FF21F5" w:rsidRDefault="008B78F5">
          <w:pPr>
            <w:pStyle w:val="TM3"/>
            <w:tabs>
              <w:tab w:val="right" w:leader="dot" w:pos="9062"/>
            </w:tabs>
            <w:rPr>
              <w:rFonts w:ascii="Atkinson Hyperlegible" w:eastAsiaTheme="minorEastAsia" w:hAnsi="Atkinson Hyperlegible"/>
              <w:noProof/>
              <w:kern w:val="2"/>
              <w14:ligatures w14:val="standardContextual"/>
            </w:rPr>
          </w:pPr>
          <w:hyperlink w:anchor="_Toc210057879" w:history="1">
            <w:r w:rsidRPr="00FF21F5">
              <w:rPr>
                <w:rStyle w:val="Lienhypertexte"/>
                <w:rFonts w:ascii="Atkinson Hyperlegible" w:hAnsi="Atkinson Hyperlegible"/>
                <w:noProof/>
              </w:rPr>
              <w:t>3.3.1 – Période annuelle de référence</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_Toc210057879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6</w:t>
            </w:r>
            <w:r w:rsidRPr="00FF21F5">
              <w:rPr>
                <w:rFonts w:ascii="Atkinson Hyperlegible" w:hAnsi="Atkinson Hyperlegible"/>
                <w:noProof/>
                <w:webHidden/>
              </w:rPr>
              <w:fldChar w:fldCharType="end"/>
            </w:r>
          </w:hyperlink>
        </w:p>
        <w:p w14:paraId="35BBE960" w14:textId="25D81C80" w:rsidR="008B78F5" w:rsidRPr="00FF21F5" w:rsidRDefault="008B78F5">
          <w:pPr>
            <w:pStyle w:val="TM3"/>
            <w:tabs>
              <w:tab w:val="right" w:leader="dot" w:pos="9062"/>
            </w:tabs>
            <w:rPr>
              <w:rFonts w:ascii="Atkinson Hyperlegible" w:eastAsiaTheme="minorEastAsia" w:hAnsi="Atkinson Hyperlegible"/>
              <w:noProof/>
              <w:kern w:val="2"/>
              <w14:ligatures w14:val="standardContextual"/>
            </w:rPr>
          </w:pPr>
          <w:hyperlink w:anchor="_Toc210057880" w:history="1">
            <w:r w:rsidRPr="00FF21F5">
              <w:rPr>
                <w:rStyle w:val="Lienhypertexte"/>
                <w:rFonts w:ascii="Atkinson Hyperlegible" w:eastAsia="Calibri" w:hAnsi="Atkinson Hyperlegible"/>
                <w:noProof/>
              </w:rPr>
              <w:t>3.3.2 – Fixation du forfait</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_Toc210057880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6</w:t>
            </w:r>
            <w:r w:rsidRPr="00FF21F5">
              <w:rPr>
                <w:rFonts w:ascii="Atkinson Hyperlegible" w:hAnsi="Atkinson Hyperlegible"/>
                <w:noProof/>
                <w:webHidden/>
              </w:rPr>
              <w:fldChar w:fldCharType="end"/>
            </w:r>
          </w:hyperlink>
        </w:p>
        <w:p w14:paraId="04F4CC37" w14:textId="5C4FB5E8" w:rsidR="008B78F5" w:rsidRPr="00FF21F5" w:rsidRDefault="008B78F5">
          <w:pPr>
            <w:pStyle w:val="TM3"/>
            <w:tabs>
              <w:tab w:val="right" w:leader="dot" w:pos="9062"/>
            </w:tabs>
            <w:rPr>
              <w:rFonts w:ascii="Atkinson Hyperlegible" w:eastAsiaTheme="minorEastAsia" w:hAnsi="Atkinson Hyperlegible"/>
              <w:noProof/>
              <w:kern w:val="2"/>
              <w14:ligatures w14:val="standardContextual"/>
            </w:rPr>
          </w:pPr>
          <w:hyperlink w:anchor="_Toc210057881" w:history="1">
            <w:r w:rsidRPr="00FF21F5">
              <w:rPr>
                <w:rStyle w:val="Lienhypertexte"/>
                <w:rFonts w:ascii="Atkinson Hyperlegible" w:eastAsia="Calibri" w:hAnsi="Atkinson Hyperlegible"/>
                <w:noProof/>
              </w:rPr>
              <w:t>3.3.3 – Jours de repos liés au forfait</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_Toc210057881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6</w:t>
            </w:r>
            <w:r w:rsidRPr="00FF21F5">
              <w:rPr>
                <w:rFonts w:ascii="Atkinson Hyperlegible" w:hAnsi="Atkinson Hyperlegible"/>
                <w:noProof/>
                <w:webHidden/>
              </w:rPr>
              <w:fldChar w:fldCharType="end"/>
            </w:r>
          </w:hyperlink>
        </w:p>
        <w:p w14:paraId="3E4B0045" w14:textId="6F9145AF" w:rsidR="008B78F5" w:rsidRPr="00FF21F5" w:rsidRDefault="008B78F5">
          <w:pPr>
            <w:pStyle w:val="TM3"/>
            <w:tabs>
              <w:tab w:val="right" w:leader="dot" w:pos="9062"/>
            </w:tabs>
            <w:rPr>
              <w:rFonts w:ascii="Atkinson Hyperlegible" w:eastAsiaTheme="minorEastAsia" w:hAnsi="Atkinson Hyperlegible"/>
              <w:noProof/>
              <w:kern w:val="2"/>
              <w14:ligatures w14:val="standardContextual"/>
            </w:rPr>
          </w:pPr>
          <w:hyperlink w:anchor="_Toc210057882" w:history="1">
            <w:r w:rsidRPr="00FF21F5">
              <w:rPr>
                <w:rStyle w:val="Lienhypertexte"/>
                <w:rFonts w:ascii="Atkinson Hyperlegible" w:eastAsia="Calibri" w:hAnsi="Atkinson Hyperlegible"/>
                <w:noProof/>
              </w:rPr>
              <w:t>3.3.4– Renonciation à des jours de repos</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_Toc210057882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6</w:t>
            </w:r>
            <w:r w:rsidRPr="00FF21F5">
              <w:rPr>
                <w:rFonts w:ascii="Atkinson Hyperlegible" w:hAnsi="Atkinson Hyperlegible"/>
                <w:noProof/>
                <w:webHidden/>
              </w:rPr>
              <w:fldChar w:fldCharType="end"/>
            </w:r>
          </w:hyperlink>
        </w:p>
        <w:p w14:paraId="5E5629F0" w14:textId="1C8AA0F1"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883" w:history="1">
            <w:r w:rsidRPr="00FF21F5">
              <w:rPr>
                <w:rStyle w:val="Lienhypertexte"/>
                <w:rFonts w:ascii="Atkinson Hyperlegible" w:eastAsia="Calibri" w:hAnsi="Atkinson Hyperlegible"/>
                <w:noProof/>
              </w:rPr>
              <w:t>3.4 – Décompte et déclaration des jours travaillés</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_Toc210057883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7</w:t>
            </w:r>
            <w:r w:rsidRPr="00FF21F5">
              <w:rPr>
                <w:rFonts w:ascii="Atkinson Hyperlegible" w:hAnsi="Atkinson Hyperlegible"/>
                <w:noProof/>
                <w:webHidden/>
              </w:rPr>
              <w:fldChar w:fldCharType="end"/>
            </w:r>
          </w:hyperlink>
        </w:p>
        <w:p w14:paraId="2A93B1FB" w14:textId="5EBB6933"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884" w:history="1">
            <w:r w:rsidRPr="00FF21F5">
              <w:rPr>
                <w:rStyle w:val="Lienhypertexte"/>
                <w:rFonts w:ascii="Atkinson Hyperlegible" w:hAnsi="Atkinson Hyperlegible"/>
                <w:noProof/>
              </w:rPr>
              <w:t>3.4.1 – Décompte en journées et/ou demi-journées de travail</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_Toc210057884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7</w:t>
            </w:r>
            <w:r w:rsidRPr="00FF21F5">
              <w:rPr>
                <w:rFonts w:ascii="Atkinson Hyperlegible" w:hAnsi="Atkinson Hyperlegible"/>
                <w:noProof/>
                <w:webHidden/>
              </w:rPr>
              <w:fldChar w:fldCharType="end"/>
            </w:r>
          </w:hyperlink>
        </w:p>
        <w:p w14:paraId="7F1FC332" w14:textId="1526CE11" w:rsidR="008B78F5" w:rsidRPr="00FF21F5" w:rsidRDefault="008B78F5">
          <w:pPr>
            <w:pStyle w:val="TM3"/>
            <w:tabs>
              <w:tab w:val="right" w:leader="dot" w:pos="9062"/>
            </w:tabs>
            <w:rPr>
              <w:rFonts w:ascii="Atkinson Hyperlegible" w:eastAsiaTheme="minorEastAsia" w:hAnsi="Atkinson Hyperlegible"/>
              <w:noProof/>
              <w:kern w:val="2"/>
              <w14:ligatures w14:val="standardContextual"/>
            </w:rPr>
          </w:pPr>
          <w:hyperlink w:anchor="_Toc210057885" w:history="1">
            <w:r w:rsidRPr="00FF21F5">
              <w:rPr>
                <w:rStyle w:val="Lienhypertexte"/>
                <w:rFonts w:ascii="Atkinson Hyperlegible" w:eastAsia="Calibri" w:hAnsi="Atkinson Hyperlegible"/>
                <w:noProof/>
              </w:rPr>
              <w:t>3.4.2 – Suivi du temps de travail auto-déclaratif</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_Toc210057885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7</w:t>
            </w:r>
            <w:r w:rsidRPr="00FF21F5">
              <w:rPr>
                <w:rFonts w:ascii="Atkinson Hyperlegible" w:hAnsi="Atkinson Hyperlegible"/>
                <w:noProof/>
                <w:webHidden/>
              </w:rPr>
              <w:fldChar w:fldCharType="end"/>
            </w:r>
          </w:hyperlink>
        </w:p>
        <w:p w14:paraId="00904D47" w14:textId="2968F8E1" w:rsidR="008B78F5" w:rsidRPr="00FF21F5" w:rsidRDefault="008B78F5">
          <w:pPr>
            <w:pStyle w:val="TM3"/>
            <w:tabs>
              <w:tab w:val="right" w:leader="dot" w:pos="9062"/>
            </w:tabs>
            <w:rPr>
              <w:rFonts w:ascii="Atkinson Hyperlegible" w:eastAsiaTheme="minorEastAsia" w:hAnsi="Atkinson Hyperlegible"/>
              <w:noProof/>
              <w:kern w:val="2"/>
              <w14:ligatures w14:val="standardContextual"/>
            </w:rPr>
          </w:pPr>
          <w:hyperlink w:anchor="_Toc210057886" w:history="1">
            <w:r w:rsidRPr="00FF21F5">
              <w:rPr>
                <w:rStyle w:val="Lienhypertexte"/>
                <w:rFonts w:ascii="Atkinson Hyperlegible" w:hAnsi="Atkinson Hyperlegible"/>
                <w:noProof/>
              </w:rPr>
              <w:t>3.4.3 – Synthèse annuelle</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_Toc210057886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8</w:t>
            </w:r>
            <w:r w:rsidRPr="00FF21F5">
              <w:rPr>
                <w:rFonts w:ascii="Atkinson Hyperlegible" w:hAnsi="Atkinson Hyperlegible"/>
                <w:noProof/>
                <w:webHidden/>
              </w:rPr>
              <w:fldChar w:fldCharType="end"/>
            </w:r>
          </w:hyperlink>
        </w:p>
        <w:p w14:paraId="3AF156DD" w14:textId="6F3BC2C1"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887" w:history="1">
            <w:r w:rsidRPr="00FF21F5">
              <w:rPr>
                <w:rStyle w:val="Lienhypertexte"/>
                <w:rFonts w:ascii="Atkinson Hyperlegible" w:hAnsi="Atkinson Hyperlegible"/>
                <w:noProof/>
              </w:rPr>
              <w:t>3.5 – Evaluation, maîtrise et suivi de la charge de travail</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_Toc210057887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8</w:t>
            </w:r>
            <w:r w:rsidRPr="00FF21F5">
              <w:rPr>
                <w:rFonts w:ascii="Atkinson Hyperlegible" w:hAnsi="Atkinson Hyperlegible"/>
                <w:noProof/>
                <w:webHidden/>
              </w:rPr>
              <w:fldChar w:fldCharType="end"/>
            </w:r>
          </w:hyperlink>
        </w:p>
        <w:p w14:paraId="579E2D5C" w14:textId="62283E46" w:rsidR="008B78F5" w:rsidRPr="00FF21F5" w:rsidRDefault="008B78F5">
          <w:pPr>
            <w:pStyle w:val="TM3"/>
            <w:tabs>
              <w:tab w:val="right" w:leader="dot" w:pos="9062"/>
            </w:tabs>
            <w:rPr>
              <w:rFonts w:ascii="Atkinson Hyperlegible" w:eastAsiaTheme="minorEastAsia" w:hAnsi="Atkinson Hyperlegible"/>
              <w:noProof/>
              <w:kern w:val="2"/>
              <w14:ligatures w14:val="standardContextual"/>
            </w:rPr>
          </w:pPr>
          <w:hyperlink w:anchor="_Toc210057888" w:history="1">
            <w:r w:rsidRPr="00FF21F5">
              <w:rPr>
                <w:rStyle w:val="Lienhypertexte"/>
                <w:rFonts w:ascii="Atkinson Hyperlegible" w:hAnsi="Atkinson Hyperlegible"/>
                <w:noProof/>
              </w:rPr>
              <w:t>3.5.1 – Temps de repos</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_Toc210057888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8</w:t>
            </w:r>
            <w:r w:rsidRPr="00FF21F5">
              <w:rPr>
                <w:rFonts w:ascii="Atkinson Hyperlegible" w:hAnsi="Atkinson Hyperlegible"/>
                <w:noProof/>
                <w:webHidden/>
              </w:rPr>
              <w:fldChar w:fldCharType="end"/>
            </w:r>
          </w:hyperlink>
        </w:p>
        <w:p w14:paraId="6A3EF5E4" w14:textId="7777DC95" w:rsidR="008B78F5" w:rsidRPr="00FF21F5" w:rsidRDefault="008B78F5">
          <w:pPr>
            <w:pStyle w:val="TM3"/>
            <w:tabs>
              <w:tab w:val="right" w:leader="dot" w:pos="9062"/>
            </w:tabs>
            <w:rPr>
              <w:rFonts w:ascii="Atkinson Hyperlegible" w:eastAsiaTheme="minorEastAsia" w:hAnsi="Atkinson Hyperlegible"/>
              <w:noProof/>
              <w:kern w:val="2"/>
              <w14:ligatures w14:val="standardContextual"/>
            </w:rPr>
          </w:pPr>
          <w:hyperlink w:anchor="_Toc210057889" w:history="1">
            <w:r w:rsidRPr="00FF21F5">
              <w:rPr>
                <w:rStyle w:val="Lienhypertexte"/>
                <w:rFonts w:ascii="Atkinson Hyperlegible" w:hAnsi="Atkinson Hyperlegible"/>
                <w:noProof/>
              </w:rPr>
              <w:t>3.5.2 – Suivi de l’organisation et de la charge de travail</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_Toc210057889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8</w:t>
            </w:r>
            <w:r w:rsidRPr="00FF21F5">
              <w:rPr>
                <w:rFonts w:ascii="Atkinson Hyperlegible" w:hAnsi="Atkinson Hyperlegible"/>
                <w:noProof/>
                <w:webHidden/>
              </w:rPr>
              <w:fldChar w:fldCharType="end"/>
            </w:r>
          </w:hyperlink>
        </w:p>
        <w:p w14:paraId="0C6C1302" w14:textId="23003949" w:rsidR="008B78F5" w:rsidRPr="00FF21F5" w:rsidRDefault="008B78F5">
          <w:pPr>
            <w:pStyle w:val="TM3"/>
            <w:tabs>
              <w:tab w:val="right" w:leader="dot" w:pos="9062"/>
            </w:tabs>
            <w:rPr>
              <w:rFonts w:ascii="Atkinson Hyperlegible" w:eastAsiaTheme="minorEastAsia" w:hAnsi="Atkinson Hyperlegible"/>
              <w:noProof/>
              <w:kern w:val="2"/>
              <w14:ligatures w14:val="standardContextual"/>
            </w:rPr>
          </w:pPr>
          <w:hyperlink w:anchor="_Toc210057890" w:history="1">
            <w:r w:rsidRPr="00FF21F5">
              <w:rPr>
                <w:rStyle w:val="Lienhypertexte"/>
                <w:rFonts w:ascii="Atkinson Hyperlegible" w:hAnsi="Atkinson Hyperlegible"/>
                <w:noProof/>
              </w:rPr>
              <w:t>3.5.3 – Entretien périodique</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_Toc210057890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9</w:t>
            </w:r>
            <w:r w:rsidRPr="00FF21F5">
              <w:rPr>
                <w:rFonts w:ascii="Atkinson Hyperlegible" w:hAnsi="Atkinson Hyperlegible"/>
                <w:noProof/>
                <w:webHidden/>
              </w:rPr>
              <w:fldChar w:fldCharType="end"/>
            </w:r>
          </w:hyperlink>
        </w:p>
        <w:p w14:paraId="2921EBC6" w14:textId="266FE46F" w:rsidR="008B78F5" w:rsidRPr="00FF21F5" w:rsidRDefault="008B78F5">
          <w:pPr>
            <w:pStyle w:val="TM3"/>
            <w:tabs>
              <w:tab w:val="right" w:leader="dot" w:pos="9062"/>
            </w:tabs>
            <w:rPr>
              <w:rFonts w:ascii="Atkinson Hyperlegible" w:eastAsiaTheme="minorEastAsia" w:hAnsi="Atkinson Hyperlegible"/>
              <w:noProof/>
              <w:kern w:val="2"/>
              <w14:ligatures w14:val="standardContextual"/>
            </w:rPr>
          </w:pPr>
          <w:hyperlink w:anchor="_Toc210057891" w:history="1">
            <w:r w:rsidRPr="00FF21F5">
              <w:rPr>
                <w:rStyle w:val="Lienhypertexte"/>
                <w:rFonts w:ascii="Atkinson Hyperlegible" w:hAnsi="Atkinson Hyperlegible"/>
                <w:noProof/>
              </w:rPr>
              <w:t>3.5.4 – Dispositif d’alerte et veille sur la charge de travail</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_Toc210057891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9</w:t>
            </w:r>
            <w:r w:rsidRPr="00FF21F5">
              <w:rPr>
                <w:rFonts w:ascii="Atkinson Hyperlegible" w:hAnsi="Atkinson Hyperlegible"/>
                <w:noProof/>
                <w:webHidden/>
              </w:rPr>
              <w:fldChar w:fldCharType="end"/>
            </w:r>
          </w:hyperlink>
        </w:p>
        <w:p w14:paraId="155EDFAD" w14:textId="36123E76"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892" w:history="1">
            <w:r w:rsidRPr="00FF21F5">
              <w:rPr>
                <w:rStyle w:val="Lienhypertexte"/>
                <w:rFonts w:ascii="Atkinson Hyperlegible" w:hAnsi="Atkinson Hyperlegible"/>
                <w:noProof/>
              </w:rPr>
              <w:t>3.6 – Droit à la déconnexion</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_Toc210057892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9</w:t>
            </w:r>
            <w:r w:rsidRPr="00FF21F5">
              <w:rPr>
                <w:rFonts w:ascii="Atkinson Hyperlegible" w:hAnsi="Atkinson Hyperlegible"/>
                <w:noProof/>
                <w:webHidden/>
              </w:rPr>
              <w:fldChar w:fldCharType="end"/>
            </w:r>
          </w:hyperlink>
        </w:p>
        <w:p w14:paraId="73B7B408" w14:textId="2C489EC3"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893" w:history="1">
            <w:r w:rsidRPr="00FF21F5">
              <w:rPr>
                <w:rStyle w:val="Lienhypertexte"/>
                <w:rFonts w:ascii="Atkinson Hyperlegible" w:hAnsi="Atkinson Hyperlegible"/>
                <w:noProof/>
              </w:rPr>
              <w:t>3.7 – Rémunération</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_Toc210057893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10</w:t>
            </w:r>
            <w:r w:rsidRPr="00FF21F5">
              <w:rPr>
                <w:rFonts w:ascii="Atkinson Hyperlegible" w:hAnsi="Atkinson Hyperlegible"/>
                <w:noProof/>
                <w:webHidden/>
              </w:rPr>
              <w:fldChar w:fldCharType="end"/>
            </w:r>
          </w:hyperlink>
        </w:p>
        <w:p w14:paraId="69827BFB" w14:textId="7A94CA97"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894" w:history="1">
            <w:r w:rsidRPr="00FF21F5">
              <w:rPr>
                <w:rStyle w:val="Lienhypertexte"/>
                <w:rFonts w:ascii="Atkinson Hyperlegible" w:hAnsi="Atkinson Hyperlegible"/>
                <w:noProof/>
              </w:rPr>
              <w:t>3.8 – Entrées-sorties en cours d’année civile</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_Toc210057894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10</w:t>
            </w:r>
            <w:r w:rsidRPr="00FF21F5">
              <w:rPr>
                <w:rFonts w:ascii="Atkinson Hyperlegible" w:hAnsi="Atkinson Hyperlegible"/>
                <w:noProof/>
                <w:webHidden/>
              </w:rPr>
              <w:fldChar w:fldCharType="end"/>
            </w:r>
          </w:hyperlink>
        </w:p>
        <w:p w14:paraId="4DDB4DBC" w14:textId="0B435195"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895" w:history="1">
            <w:r w:rsidRPr="00FF21F5">
              <w:rPr>
                <w:rStyle w:val="Lienhypertexte"/>
                <w:rFonts w:ascii="Atkinson Hyperlegible" w:hAnsi="Atkinson Hyperlegible"/>
                <w:noProof/>
              </w:rPr>
              <w:t>3.9 – Prise en compte des absences</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_Toc210057895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11</w:t>
            </w:r>
            <w:r w:rsidRPr="00FF21F5">
              <w:rPr>
                <w:rFonts w:ascii="Atkinson Hyperlegible" w:hAnsi="Atkinson Hyperlegible"/>
                <w:noProof/>
                <w:webHidden/>
              </w:rPr>
              <w:fldChar w:fldCharType="end"/>
            </w:r>
          </w:hyperlink>
        </w:p>
        <w:p w14:paraId="7142014E" w14:textId="26B12BE6" w:rsidR="008B78F5" w:rsidRPr="00FF21F5" w:rsidRDefault="008B78F5">
          <w:pPr>
            <w:pStyle w:val="TM1"/>
            <w:tabs>
              <w:tab w:val="right" w:leader="dot" w:pos="9062"/>
            </w:tabs>
            <w:rPr>
              <w:rFonts w:ascii="Atkinson Hyperlegible" w:eastAsiaTheme="minorEastAsia" w:hAnsi="Atkinson Hyperlegible"/>
              <w:noProof/>
              <w:kern w:val="2"/>
              <w14:ligatures w14:val="standardContextual"/>
            </w:rPr>
          </w:pPr>
          <w:hyperlink w:anchor="_Toc210057896" w:history="1">
            <w:r w:rsidRPr="00FF21F5">
              <w:rPr>
                <w:rStyle w:val="Lienhypertexte"/>
                <w:rFonts w:ascii="Atkinson Hyperlegible" w:eastAsia="Calibri" w:hAnsi="Atkinson Hyperlegible"/>
                <w:bCs/>
                <w:noProof/>
              </w:rPr>
              <w:t>CHAPITRE 4 – REGLES APPLICABLES AUX SALARIES SOUMIS A UN DECOMPTE HORAIRE DE LEUR TEMPS DE TRAVAIL</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_Toc210057896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11</w:t>
            </w:r>
            <w:r w:rsidRPr="00FF21F5">
              <w:rPr>
                <w:rFonts w:ascii="Atkinson Hyperlegible" w:hAnsi="Atkinson Hyperlegible"/>
                <w:noProof/>
                <w:webHidden/>
              </w:rPr>
              <w:fldChar w:fldCharType="end"/>
            </w:r>
          </w:hyperlink>
        </w:p>
        <w:p w14:paraId="0C390FA4" w14:textId="44460333"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897" w:history="1">
            <w:r w:rsidRPr="00FF21F5">
              <w:rPr>
                <w:rStyle w:val="Lienhypertexte"/>
                <w:rFonts w:ascii="Atkinson Hyperlegible" w:eastAsia="Calibri" w:hAnsi="Atkinson Hyperlegible"/>
                <w:noProof/>
              </w:rPr>
              <w:t>4.3.1 – Principe de réduction du temps de travail sous forme de jours de repos</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_Toc210057897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11</w:t>
            </w:r>
            <w:r w:rsidRPr="00FF21F5">
              <w:rPr>
                <w:rFonts w:ascii="Atkinson Hyperlegible" w:hAnsi="Atkinson Hyperlegible"/>
                <w:noProof/>
                <w:webHidden/>
              </w:rPr>
              <w:fldChar w:fldCharType="end"/>
            </w:r>
          </w:hyperlink>
        </w:p>
        <w:p w14:paraId="0419B543" w14:textId="04928746"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898" w:history="1">
            <w:r w:rsidRPr="00FF21F5">
              <w:rPr>
                <w:rStyle w:val="Lienhypertexte"/>
                <w:rFonts w:ascii="Atkinson Hyperlegible" w:eastAsia="Calibri" w:hAnsi="Atkinson Hyperlegible"/>
                <w:noProof/>
              </w:rPr>
              <w:t>4.3.2 – Dispositions transitoires relatives à la suppression des usages</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_Toc210057898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12</w:t>
            </w:r>
            <w:r w:rsidRPr="00FF21F5">
              <w:rPr>
                <w:rFonts w:ascii="Atkinson Hyperlegible" w:hAnsi="Atkinson Hyperlegible"/>
                <w:noProof/>
                <w:webHidden/>
              </w:rPr>
              <w:fldChar w:fldCharType="end"/>
            </w:r>
          </w:hyperlink>
        </w:p>
        <w:p w14:paraId="694B8508" w14:textId="5FB858DE" w:rsidR="008B78F5" w:rsidRPr="00FF21F5" w:rsidRDefault="008B78F5">
          <w:pPr>
            <w:pStyle w:val="TM1"/>
            <w:tabs>
              <w:tab w:val="right" w:leader="dot" w:pos="9062"/>
            </w:tabs>
            <w:rPr>
              <w:rFonts w:ascii="Atkinson Hyperlegible" w:eastAsiaTheme="minorEastAsia" w:hAnsi="Atkinson Hyperlegible"/>
              <w:noProof/>
              <w:kern w:val="2"/>
              <w14:ligatures w14:val="standardContextual"/>
            </w:rPr>
          </w:pPr>
          <w:hyperlink w:anchor="_Toc210057899" w:history="1">
            <w:r w:rsidRPr="00FF21F5">
              <w:rPr>
                <w:rStyle w:val="Lienhypertexte"/>
                <w:rFonts w:ascii="Atkinson Hyperlegible" w:eastAsia="Calibri" w:hAnsi="Atkinson Hyperlegible"/>
                <w:noProof/>
              </w:rPr>
              <w:t>CHAPITRE FINAL - DISPOSITIONS GENERALES</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_Toc210057899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12</w:t>
            </w:r>
            <w:r w:rsidRPr="00FF21F5">
              <w:rPr>
                <w:rFonts w:ascii="Atkinson Hyperlegible" w:hAnsi="Atkinson Hyperlegible"/>
                <w:noProof/>
                <w:webHidden/>
              </w:rPr>
              <w:fldChar w:fldCharType="end"/>
            </w:r>
          </w:hyperlink>
        </w:p>
        <w:p w14:paraId="113B7EDE" w14:textId="3F1767E8"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900" w:history="1">
            <w:r w:rsidRPr="00FF21F5">
              <w:rPr>
                <w:rStyle w:val="Lienhypertexte"/>
                <w:rFonts w:ascii="Atkinson Hyperlegible" w:eastAsia="Calibri" w:hAnsi="Atkinson Hyperlegible"/>
                <w:noProof/>
              </w:rPr>
              <w:t>1 - Champ d’application</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_Toc210057900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12</w:t>
            </w:r>
            <w:r w:rsidRPr="00FF21F5">
              <w:rPr>
                <w:rFonts w:ascii="Atkinson Hyperlegible" w:hAnsi="Atkinson Hyperlegible"/>
                <w:noProof/>
                <w:webHidden/>
              </w:rPr>
              <w:fldChar w:fldCharType="end"/>
            </w:r>
          </w:hyperlink>
        </w:p>
        <w:p w14:paraId="327EC0E6" w14:textId="34E98B32"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901" w:history="1">
            <w:r w:rsidRPr="00FF21F5">
              <w:rPr>
                <w:rStyle w:val="Lienhypertexte"/>
                <w:rFonts w:ascii="Atkinson Hyperlegible" w:eastAsia="Calibri" w:hAnsi="Atkinson Hyperlegible"/>
                <w:noProof/>
              </w:rPr>
              <w:t>2 - Durée de l'accord</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_Toc210057901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12</w:t>
            </w:r>
            <w:r w:rsidRPr="00FF21F5">
              <w:rPr>
                <w:rFonts w:ascii="Atkinson Hyperlegible" w:hAnsi="Atkinson Hyperlegible"/>
                <w:noProof/>
                <w:webHidden/>
              </w:rPr>
              <w:fldChar w:fldCharType="end"/>
            </w:r>
          </w:hyperlink>
        </w:p>
        <w:p w14:paraId="43BAFE83" w14:textId="208FA948"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902" w:history="1">
            <w:r w:rsidRPr="00FF21F5">
              <w:rPr>
                <w:rStyle w:val="Lienhypertexte"/>
                <w:rFonts w:ascii="Atkinson Hyperlegible" w:eastAsia="Calibri" w:hAnsi="Atkinson Hyperlegible"/>
                <w:noProof/>
              </w:rPr>
              <w:t>3 – Adhésion</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_Toc210057902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12</w:t>
            </w:r>
            <w:r w:rsidRPr="00FF21F5">
              <w:rPr>
                <w:rFonts w:ascii="Atkinson Hyperlegible" w:hAnsi="Atkinson Hyperlegible"/>
                <w:noProof/>
                <w:webHidden/>
              </w:rPr>
              <w:fldChar w:fldCharType="end"/>
            </w:r>
          </w:hyperlink>
        </w:p>
        <w:p w14:paraId="77C2C1F3" w14:textId="297E137D"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903" w:history="1">
            <w:r w:rsidRPr="00FF21F5">
              <w:rPr>
                <w:rStyle w:val="Lienhypertexte"/>
                <w:rFonts w:ascii="Atkinson Hyperlegible" w:eastAsia="Calibri" w:hAnsi="Atkinson Hyperlegible"/>
                <w:noProof/>
              </w:rPr>
              <w:t>4 - Interprétation de l'accord</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_Toc210057903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13</w:t>
            </w:r>
            <w:r w:rsidRPr="00FF21F5">
              <w:rPr>
                <w:rFonts w:ascii="Atkinson Hyperlegible" w:hAnsi="Atkinson Hyperlegible"/>
                <w:noProof/>
                <w:webHidden/>
              </w:rPr>
              <w:fldChar w:fldCharType="end"/>
            </w:r>
          </w:hyperlink>
        </w:p>
        <w:p w14:paraId="059789BB" w14:textId="7622696D"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904" w:history="1">
            <w:r w:rsidRPr="00FF21F5">
              <w:rPr>
                <w:rStyle w:val="Lienhypertexte"/>
                <w:rFonts w:ascii="Atkinson Hyperlegible" w:eastAsia="Calibri" w:hAnsi="Atkinson Hyperlegible"/>
                <w:noProof/>
              </w:rPr>
              <w:t>5 - Clause de rendez-vous</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_Toc210057904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13</w:t>
            </w:r>
            <w:r w:rsidRPr="00FF21F5">
              <w:rPr>
                <w:rFonts w:ascii="Atkinson Hyperlegible" w:hAnsi="Atkinson Hyperlegible"/>
                <w:noProof/>
                <w:webHidden/>
              </w:rPr>
              <w:fldChar w:fldCharType="end"/>
            </w:r>
          </w:hyperlink>
        </w:p>
        <w:p w14:paraId="218B878E" w14:textId="4CB0769A"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905" w:history="1">
            <w:r w:rsidRPr="00FF21F5">
              <w:rPr>
                <w:rStyle w:val="Lienhypertexte"/>
                <w:rFonts w:ascii="Atkinson Hyperlegible" w:eastAsia="Calibri" w:hAnsi="Atkinson Hyperlegible"/>
                <w:noProof/>
              </w:rPr>
              <w:t>6 - Révision de l’accord</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_Toc210057905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13</w:t>
            </w:r>
            <w:r w:rsidRPr="00FF21F5">
              <w:rPr>
                <w:rFonts w:ascii="Atkinson Hyperlegible" w:hAnsi="Atkinson Hyperlegible"/>
                <w:noProof/>
                <w:webHidden/>
              </w:rPr>
              <w:fldChar w:fldCharType="end"/>
            </w:r>
          </w:hyperlink>
        </w:p>
        <w:p w14:paraId="00DC040B" w14:textId="548C4A21"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906" w:history="1">
            <w:r w:rsidRPr="00FF21F5">
              <w:rPr>
                <w:rStyle w:val="Lienhypertexte"/>
                <w:rFonts w:ascii="Atkinson Hyperlegible" w:hAnsi="Atkinson Hyperlegible"/>
                <w:noProof/>
              </w:rPr>
              <w:t>7 - Suivi de l’accord</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_Toc210057906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13</w:t>
            </w:r>
            <w:r w:rsidRPr="00FF21F5">
              <w:rPr>
                <w:rFonts w:ascii="Atkinson Hyperlegible" w:hAnsi="Atkinson Hyperlegible"/>
                <w:noProof/>
                <w:webHidden/>
              </w:rPr>
              <w:fldChar w:fldCharType="end"/>
            </w:r>
          </w:hyperlink>
        </w:p>
        <w:p w14:paraId="1393C8FB" w14:textId="41ACB73F"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907" w:history="1">
            <w:r w:rsidRPr="00FF21F5">
              <w:rPr>
                <w:rStyle w:val="Lienhypertexte"/>
                <w:rFonts w:ascii="Atkinson Hyperlegible" w:hAnsi="Atkinson Hyperlegible"/>
                <w:noProof/>
              </w:rPr>
              <w:t>9</w:t>
            </w:r>
            <w:r w:rsidRPr="00FF21F5">
              <w:rPr>
                <w:rStyle w:val="Lienhypertexte"/>
                <w:rFonts w:ascii="Atkinson Hyperlegible" w:eastAsia="Calibri" w:hAnsi="Atkinson Hyperlegible"/>
                <w:noProof/>
              </w:rPr>
              <w:t xml:space="preserve"> - Dépôt de l’accord</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_Toc210057907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14</w:t>
            </w:r>
            <w:r w:rsidRPr="00FF21F5">
              <w:rPr>
                <w:rFonts w:ascii="Atkinson Hyperlegible" w:hAnsi="Atkinson Hyperlegible"/>
                <w:noProof/>
                <w:webHidden/>
              </w:rPr>
              <w:fldChar w:fldCharType="end"/>
            </w:r>
          </w:hyperlink>
        </w:p>
        <w:p w14:paraId="2791F464" w14:textId="5C257710"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908" w:history="1">
            <w:r w:rsidRPr="00FF21F5">
              <w:rPr>
                <w:rStyle w:val="Lienhypertexte"/>
                <w:rFonts w:ascii="Atkinson Hyperlegible" w:hAnsi="Atkinson Hyperlegible"/>
                <w:noProof/>
              </w:rPr>
              <w:t>10 - Transmission de l’accord à la commission paritaire permanente de négociation et d'interprétation de branche</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_Toc210057908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14</w:t>
            </w:r>
            <w:r w:rsidRPr="00FF21F5">
              <w:rPr>
                <w:rFonts w:ascii="Atkinson Hyperlegible" w:hAnsi="Atkinson Hyperlegible"/>
                <w:noProof/>
                <w:webHidden/>
              </w:rPr>
              <w:fldChar w:fldCharType="end"/>
            </w:r>
          </w:hyperlink>
        </w:p>
        <w:p w14:paraId="25596FF1" w14:textId="7FEFF795" w:rsidR="008B78F5" w:rsidRPr="00FF21F5" w:rsidRDefault="008B78F5">
          <w:pPr>
            <w:pStyle w:val="TM2"/>
            <w:tabs>
              <w:tab w:val="right" w:leader="dot" w:pos="9062"/>
            </w:tabs>
            <w:rPr>
              <w:rFonts w:ascii="Atkinson Hyperlegible" w:eastAsiaTheme="minorEastAsia" w:hAnsi="Atkinson Hyperlegible"/>
              <w:noProof/>
              <w:kern w:val="2"/>
              <w14:ligatures w14:val="standardContextual"/>
            </w:rPr>
          </w:pPr>
          <w:hyperlink w:anchor="_Toc210057909" w:history="1">
            <w:r w:rsidRPr="00FF21F5">
              <w:rPr>
                <w:rStyle w:val="Lienhypertexte"/>
                <w:rFonts w:ascii="Atkinson Hyperlegible" w:hAnsi="Atkinson Hyperlegible"/>
                <w:noProof/>
              </w:rPr>
              <w:t>11</w:t>
            </w:r>
            <w:r w:rsidRPr="00FF21F5">
              <w:rPr>
                <w:rStyle w:val="Lienhypertexte"/>
                <w:rFonts w:ascii="Atkinson Hyperlegible" w:eastAsia="Calibri" w:hAnsi="Atkinson Hyperlegible"/>
                <w:noProof/>
              </w:rPr>
              <w:t xml:space="preserve"> - Publication de l’accord</w:t>
            </w:r>
            <w:r w:rsidRPr="00FF21F5">
              <w:rPr>
                <w:rFonts w:ascii="Atkinson Hyperlegible" w:hAnsi="Atkinson Hyperlegible"/>
                <w:noProof/>
                <w:webHidden/>
              </w:rPr>
              <w:tab/>
            </w:r>
            <w:r w:rsidRPr="00FF21F5">
              <w:rPr>
                <w:rFonts w:ascii="Atkinson Hyperlegible" w:hAnsi="Atkinson Hyperlegible"/>
                <w:noProof/>
                <w:webHidden/>
              </w:rPr>
              <w:fldChar w:fldCharType="begin"/>
            </w:r>
            <w:r w:rsidRPr="00FF21F5">
              <w:rPr>
                <w:rFonts w:ascii="Atkinson Hyperlegible" w:hAnsi="Atkinson Hyperlegible"/>
                <w:noProof/>
                <w:webHidden/>
              </w:rPr>
              <w:instrText xml:space="preserve"> PAGEREF _Toc210057909 \h </w:instrText>
            </w:r>
            <w:r w:rsidRPr="00FF21F5">
              <w:rPr>
                <w:rFonts w:ascii="Atkinson Hyperlegible" w:hAnsi="Atkinson Hyperlegible"/>
                <w:noProof/>
                <w:webHidden/>
              </w:rPr>
            </w:r>
            <w:r w:rsidRPr="00FF21F5">
              <w:rPr>
                <w:rFonts w:ascii="Atkinson Hyperlegible" w:hAnsi="Atkinson Hyperlegible"/>
                <w:noProof/>
                <w:webHidden/>
              </w:rPr>
              <w:fldChar w:fldCharType="separate"/>
            </w:r>
            <w:r w:rsidR="00DA6A5B" w:rsidRPr="00FF21F5">
              <w:rPr>
                <w:rFonts w:ascii="Atkinson Hyperlegible" w:hAnsi="Atkinson Hyperlegible"/>
                <w:noProof/>
                <w:webHidden/>
              </w:rPr>
              <w:t>14</w:t>
            </w:r>
            <w:r w:rsidRPr="00FF21F5">
              <w:rPr>
                <w:rFonts w:ascii="Atkinson Hyperlegible" w:hAnsi="Atkinson Hyperlegible"/>
                <w:noProof/>
                <w:webHidden/>
              </w:rPr>
              <w:fldChar w:fldCharType="end"/>
            </w:r>
          </w:hyperlink>
        </w:p>
        <w:p w14:paraId="5BEA5FFC" w14:textId="732836F1" w:rsidR="006555EE" w:rsidRPr="00FF21F5" w:rsidRDefault="006555EE">
          <w:pPr>
            <w:rPr>
              <w:rFonts w:ascii="Atkinson Hyperlegible" w:hAnsi="Atkinson Hyperlegible"/>
            </w:rPr>
          </w:pPr>
          <w:r w:rsidRPr="00FF21F5">
            <w:rPr>
              <w:rFonts w:ascii="Atkinson Hyperlegible" w:hAnsi="Atkinson Hyperlegible"/>
              <w:b/>
              <w:bCs/>
            </w:rPr>
            <w:fldChar w:fldCharType="end"/>
          </w:r>
        </w:p>
      </w:sdtContent>
    </w:sdt>
    <w:p w14:paraId="236B236C" w14:textId="7EDDCEE0" w:rsidR="0099226A" w:rsidRPr="00FF21F5" w:rsidRDefault="0099226A">
      <w:pPr>
        <w:spacing w:line="259" w:lineRule="auto"/>
        <w:rPr>
          <w:rFonts w:ascii="Atkinson Hyperlegible" w:eastAsia="Calibri" w:hAnsi="Atkinson Hyperlegible" w:cs="Arial"/>
          <w:szCs w:val="20"/>
        </w:rPr>
      </w:pPr>
      <w:r w:rsidRPr="00FF21F5">
        <w:rPr>
          <w:rFonts w:ascii="Atkinson Hyperlegible" w:eastAsia="Calibri" w:hAnsi="Atkinson Hyperlegible" w:cs="Arial"/>
          <w:szCs w:val="20"/>
        </w:rPr>
        <w:br w:type="page"/>
      </w:r>
    </w:p>
    <w:p w14:paraId="1E5660D6" w14:textId="77777777" w:rsidR="006555EE" w:rsidRPr="00FF21F5" w:rsidRDefault="006555EE" w:rsidP="00B5501D">
      <w:pPr>
        <w:rPr>
          <w:rFonts w:ascii="Atkinson Hyperlegible" w:eastAsia="Calibri" w:hAnsi="Atkinson Hyperlegible" w:cs="Arial"/>
          <w:szCs w:val="20"/>
        </w:rPr>
      </w:pPr>
    </w:p>
    <w:p w14:paraId="60DE9EF9" w14:textId="77777777" w:rsidR="00B5501D" w:rsidRPr="00FF21F5" w:rsidRDefault="00B5501D" w:rsidP="006A6CAD">
      <w:pPr>
        <w:pStyle w:val="Titre1"/>
        <w:rPr>
          <w:rFonts w:ascii="Atkinson Hyperlegible" w:eastAsia="Calibri" w:hAnsi="Atkinson Hyperlegible"/>
        </w:rPr>
      </w:pPr>
      <w:bookmarkStart w:id="0" w:name="_Toc210057874"/>
      <w:r w:rsidRPr="00FF21F5">
        <w:rPr>
          <w:rFonts w:ascii="Atkinson Hyperlegible" w:eastAsia="Calibri" w:hAnsi="Atkinson Hyperlegible"/>
        </w:rPr>
        <w:t>PREAMBULE</w:t>
      </w:r>
      <w:bookmarkEnd w:id="0"/>
    </w:p>
    <w:p w14:paraId="64E284A0" w14:textId="77777777" w:rsidR="003C7E57" w:rsidRPr="00FF21F5" w:rsidRDefault="00BB56C8" w:rsidP="007F3895">
      <w:pPr>
        <w:rPr>
          <w:rFonts w:ascii="Atkinson Hyperlegible" w:hAnsi="Atkinson Hyperlegible"/>
        </w:rPr>
      </w:pPr>
      <w:r w:rsidRPr="00FF21F5">
        <w:rPr>
          <w:rFonts w:ascii="Atkinson Hyperlegible" w:hAnsi="Atkinson Hyperlegible"/>
        </w:rPr>
        <w:t>A titre liminaire, les parties rappellent que l</w:t>
      </w:r>
      <w:r w:rsidR="003C7E57" w:rsidRPr="00FF21F5">
        <w:rPr>
          <w:rFonts w:ascii="Atkinson Hyperlegible" w:hAnsi="Atkinson Hyperlegible"/>
        </w:rPr>
        <w:t xml:space="preserve">’Association a été créée le 31 mai 2017 pour permettre la fusion des trois sites de Bordeaux, Limoge et Poitiers. </w:t>
      </w:r>
    </w:p>
    <w:p w14:paraId="3D134788" w14:textId="77777777" w:rsidR="003C7E57" w:rsidRPr="00FF21F5" w:rsidRDefault="003C7E57" w:rsidP="007F3895">
      <w:pPr>
        <w:rPr>
          <w:rFonts w:ascii="Atkinson Hyperlegible" w:hAnsi="Atkinson Hyperlegible"/>
        </w:rPr>
      </w:pPr>
      <w:proofErr w:type="gramStart"/>
      <w:r w:rsidRPr="00FF21F5">
        <w:rPr>
          <w:rFonts w:ascii="Atkinson Hyperlegible" w:hAnsi="Atkinson Hyperlegible"/>
        </w:rPr>
        <w:t>Suite à</w:t>
      </w:r>
      <w:proofErr w:type="gramEnd"/>
      <w:r w:rsidRPr="00FF21F5">
        <w:rPr>
          <w:rFonts w:ascii="Atkinson Hyperlegible" w:hAnsi="Atkinson Hyperlegible"/>
        </w:rPr>
        <w:t xml:space="preserve"> cette fusion, la Direction de la nouvelle structure et les institutions représentatives du personnel ont décidé de conclure un accord d’harmonisation des pratiques en matière de durée de travail, en conservant les droits acquis et avantages équivalent à ceux qui préexistaient au rapprochement. </w:t>
      </w:r>
    </w:p>
    <w:p w14:paraId="5A057056" w14:textId="4C79E6E9" w:rsidR="003C7E57" w:rsidRPr="00FF21F5" w:rsidRDefault="003C7E57" w:rsidP="007F3895">
      <w:pPr>
        <w:rPr>
          <w:rFonts w:ascii="Atkinson Hyperlegible" w:hAnsi="Atkinson Hyperlegible"/>
        </w:rPr>
      </w:pPr>
      <w:r w:rsidRPr="00FF21F5">
        <w:rPr>
          <w:rFonts w:ascii="Atkinson Hyperlegible" w:hAnsi="Atkinson Hyperlegible"/>
        </w:rPr>
        <w:t xml:space="preserve">Un accord d’entreprise a </w:t>
      </w:r>
      <w:r w:rsidR="00D87409" w:rsidRPr="00FF21F5">
        <w:rPr>
          <w:rFonts w:ascii="Atkinson Hyperlegible" w:hAnsi="Atkinson Hyperlegible"/>
        </w:rPr>
        <w:t xml:space="preserve">ainsi </w:t>
      </w:r>
      <w:r w:rsidRPr="00FF21F5">
        <w:rPr>
          <w:rFonts w:ascii="Atkinson Hyperlegible" w:hAnsi="Atkinson Hyperlegible"/>
        </w:rPr>
        <w:t xml:space="preserve">été conclu le 6 juillet 2018 pour traiter des sujets suivants : </w:t>
      </w:r>
    </w:p>
    <w:p w14:paraId="2361A772" w14:textId="77777777" w:rsidR="008B78F5" w:rsidRPr="00FF21F5" w:rsidRDefault="008B78F5" w:rsidP="007F3895">
      <w:pPr>
        <w:rPr>
          <w:rFonts w:ascii="Atkinson Hyperlegible" w:hAnsi="Atkinson Hyperlegible"/>
        </w:rPr>
      </w:pPr>
    </w:p>
    <w:p w14:paraId="1EFC2514" w14:textId="77777777" w:rsidR="003C7E57" w:rsidRPr="00FF21F5" w:rsidRDefault="003C7E57" w:rsidP="00AC6293">
      <w:pPr>
        <w:pStyle w:val="Paragraphedeliste"/>
        <w:numPr>
          <w:ilvl w:val="0"/>
          <w:numId w:val="14"/>
        </w:numPr>
        <w:rPr>
          <w:rFonts w:ascii="Atkinson Hyperlegible" w:hAnsi="Atkinson Hyperlegible"/>
        </w:rPr>
      </w:pPr>
      <w:r w:rsidRPr="00FF21F5">
        <w:rPr>
          <w:rFonts w:ascii="Atkinson Hyperlegible" w:hAnsi="Atkinson Hyperlegible"/>
        </w:rPr>
        <w:t xml:space="preserve">Mise en place d’un forfait annuel en jours ; </w:t>
      </w:r>
    </w:p>
    <w:p w14:paraId="50E3CF76" w14:textId="4B16BAE3" w:rsidR="003C7E57" w:rsidRPr="00FF21F5" w:rsidRDefault="003C7E57" w:rsidP="00AC6293">
      <w:pPr>
        <w:pStyle w:val="Paragraphedeliste"/>
        <w:numPr>
          <w:ilvl w:val="0"/>
          <w:numId w:val="14"/>
        </w:numPr>
        <w:rPr>
          <w:rFonts w:ascii="Atkinson Hyperlegible" w:hAnsi="Atkinson Hyperlegible"/>
        </w:rPr>
      </w:pPr>
      <w:r w:rsidRPr="00FF21F5">
        <w:rPr>
          <w:rFonts w:ascii="Atkinson Hyperlegible" w:hAnsi="Atkinson Hyperlegible"/>
        </w:rPr>
        <w:t>Un</w:t>
      </w:r>
      <w:r w:rsidR="00A76562" w:rsidRPr="00FF21F5">
        <w:rPr>
          <w:rFonts w:ascii="Atkinson Hyperlegible" w:hAnsi="Atkinson Hyperlegible"/>
        </w:rPr>
        <w:t xml:space="preserve"> aménagement du temps de travail sur une durée hebdomadaire de 37</w:t>
      </w:r>
      <w:r w:rsidR="002B68D3" w:rsidRPr="00FF21F5">
        <w:rPr>
          <w:rFonts w:ascii="Atkinson Hyperlegible" w:hAnsi="Atkinson Hyperlegible"/>
        </w:rPr>
        <w:t xml:space="preserve">h30 compensées par l’attribution de 17 jours de repos par an pour les salariés soumis </w:t>
      </w:r>
      <w:r w:rsidRPr="00FF21F5">
        <w:rPr>
          <w:rFonts w:ascii="Atkinson Hyperlegible" w:hAnsi="Atkinson Hyperlegible"/>
        </w:rPr>
        <w:t xml:space="preserve">à un décompte horaire ; </w:t>
      </w:r>
    </w:p>
    <w:p w14:paraId="3831F429" w14:textId="2162B7AB" w:rsidR="003C7E57" w:rsidRPr="00FF21F5" w:rsidRDefault="003C7E57" w:rsidP="00AC6293">
      <w:pPr>
        <w:pStyle w:val="Paragraphedeliste"/>
        <w:numPr>
          <w:ilvl w:val="0"/>
          <w:numId w:val="14"/>
        </w:numPr>
        <w:rPr>
          <w:rFonts w:ascii="Atkinson Hyperlegible" w:hAnsi="Atkinson Hyperlegible"/>
        </w:rPr>
      </w:pPr>
      <w:r w:rsidRPr="00FF21F5">
        <w:rPr>
          <w:rFonts w:ascii="Atkinson Hyperlegible" w:hAnsi="Atkinson Hyperlegible"/>
        </w:rPr>
        <w:t xml:space="preserve">Le droit à la déconnexion ; </w:t>
      </w:r>
    </w:p>
    <w:p w14:paraId="4C73ED6C" w14:textId="09120657" w:rsidR="003C7E57" w:rsidRPr="00FF21F5" w:rsidRDefault="003C7E57" w:rsidP="00AC6293">
      <w:pPr>
        <w:pStyle w:val="Paragraphedeliste"/>
        <w:numPr>
          <w:ilvl w:val="0"/>
          <w:numId w:val="14"/>
        </w:numPr>
        <w:rPr>
          <w:rFonts w:ascii="Atkinson Hyperlegible" w:hAnsi="Atkinson Hyperlegible"/>
        </w:rPr>
      </w:pPr>
      <w:r w:rsidRPr="00FF21F5">
        <w:rPr>
          <w:rFonts w:ascii="Atkinson Hyperlegible" w:hAnsi="Atkinson Hyperlegible"/>
        </w:rPr>
        <w:t xml:space="preserve">Le compte épargne temps. </w:t>
      </w:r>
    </w:p>
    <w:p w14:paraId="41B5071F" w14:textId="77777777" w:rsidR="001E5CCD" w:rsidRPr="00FF21F5" w:rsidRDefault="001E5CCD" w:rsidP="001E5CCD">
      <w:pPr>
        <w:pStyle w:val="Paragraphedeliste"/>
        <w:rPr>
          <w:rFonts w:ascii="Atkinson Hyperlegible" w:hAnsi="Atkinson Hyperlegible"/>
        </w:rPr>
      </w:pPr>
    </w:p>
    <w:p w14:paraId="2F371D58" w14:textId="15B0B241" w:rsidR="003C7E57" w:rsidRPr="00FF21F5" w:rsidRDefault="0069401A" w:rsidP="007F3895">
      <w:pPr>
        <w:rPr>
          <w:rFonts w:ascii="Atkinson Hyperlegible" w:hAnsi="Atkinson Hyperlegible"/>
        </w:rPr>
      </w:pPr>
      <w:r w:rsidRPr="00FF21F5">
        <w:rPr>
          <w:rFonts w:ascii="Atkinson Hyperlegible" w:hAnsi="Atkinson Hyperlegible"/>
        </w:rPr>
        <w:t xml:space="preserve">Compte tenu de l’évolution de la structure et de certaines pratiques en matière de durée de travail, il est apparu nécessaire aux parties d’adapter certaines dispositions de cet accord. </w:t>
      </w:r>
    </w:p>
    <w:p w14:paraId="1F45B212" w14:textId="273F887C" w:rsidR="00A76562" w:rsidRPr="00FF21F5" w:rsidRDefault="0069401A" w:rsidP="007F3895">
      <w:pPr>
        <w:rPr>
          <w:rFonts w:ascii="Atkinson Hyperlegible" w:hAnsi="Atkinson Hyperlegible"/>
        </w:rPr>
      </w:pPr>
      <w:r w:rsidRPr="00FF21F5">
        <w:rPr>
          <w:rFonts w:ascii="Atkinson Hyperlegible" w:hAnsi="Atkinson Hyperlegible"/>
        </w:rPr>
        <w:t>En effet, s’agissant du chapitre 3 de l’accord d’entreprise du 6 juillet 2018,</w:t>
      </w:r>
      <w:r w:rsidR="00D87409" w:rsidRPr="00FF21F5">
        <w:rPr>
          <w:rFonts w:ascii="Atkinson Hyperlegible" w:hAnsi="Atkinson Hyperlegible"/>
        </w:rPr>
        <w:t xml:space="preserve"> relatif au forfait annuel en jours,</w:t>
      </w:r>
      <w:r w:rsidRPr="00FF21F5">
        <w:rPr>
          <w:rFonts w:ascii="Atkinson Hyperlegible" w:hAnsi="Atkinson Hyperlegible"/>
        </w:rPr>
        <w:t xml:space="preserve"> les parties ont</w:t>
      </w:r>
      <w:r w:rsidR="00D87409" w:rsidRPr="00FF21F5">
        <w:rPr>
          <w:rFonts w:ascii="Atkinson Hyperlegible" w:hAnsi="Atkinson Hyperlegible"/>
        </w:rPr>
        <w:t xml:space="preserve"> </w:t>
      </w:r>
      <w:r w:rsidR="00A76562" w:rsidRPr="00FF21F5">
        <w:rPr>
          <w:rFonts w:ascii="Atkinson Hyperlegible" w:hAnsi="Atkinson Hyperlegible"/>
        </w:rPr>
        <w:t xml:space="preserve">: </w:t>
      </w:r>
    </w:p>
    <w:p w14:paraId="28144B87" w14:textId="77777777" w:rsidR="008B78F5" w:rsidRPr="00FF21F5" w:rsidRDefault="008B78F5" w:rsidP="007F3895">
      <w:pPr>
        <w:rPr>
          <w:rFonts w:ascii="Atkinson Hyperlegible" w:hAnsi="Atkinson Hyperlegible"/>
        </w:rPr>
      </w:pPr>
    </w:p>
    <w:p w14:paraId="56D6F1CE" w14:textId="77C3476C" w:rsidR="00A76562" w:rsidRPr="00FF21F5" w:rsidRDefault="00D87409" w:rsidP="00AC6293">
      <w:pPr>
        <w:pStyle w:val="Paragraphedeliste"/>
        <w:numPr>
          <w:ilvl w:val="0"/>
          <w:numId w:val="14"/>
        </w:numPr>
        <w:rPr>
          <w:rFonts w:ascii="Atkinson Hyperlegible" w:hAnsi="Atkinson Hyperlegible"/>
        </w:rPr>
      </w:pPr>
      <w:r w:rsidRPr="00FF21F5">
        <w:rPr>
          <w:rFonts w:ascii="Atkinson Hyperlegible" w:hAnsi="Atkinson Hyperlegible"/>
        </w:rPr>
        <w:t>Constaté un décalage entre l</w:t>
      </w:r>
      <w:r w:rsidR="00A76562" w:rsidRPr="00FF21F5">
        <w:rPr>
          <w:rFonts w:ascii="Atkinson Hyperlegible" w:hAnsi="Atkinson Hyperlegible"/>
        </w:rPr>
        <w:t xml:space="preserve">e </w:t>
      </w:r>
      <w:r w:rsidRPr="00FF21F5">
        <w:rPr>
          <w:rFonts w:ascii="Atkinson Hyperlegible" w:hAnsi="Atkinson Hyperlegible"/>
        </w:rPr>
        <w:t xml:space="preserve">contingent annuel de </w:t>
      </w:r>
      <w:r w:rsidR="00A76562" w:rsidRPr="00FF21F5">
        <w:rPr>
          <w:rFonts w:ascii="Atkinson Hyperlegible" w:hAnsi="Atkinson Hyperlegible"/>
        </w:rPr>
        <w:t>jours travaillés</w:t>
      </w:r>
      <w:r w:rsidRPr="00FF21F5">
        <w:rPr>
          <w:rFonts w:ascii="Atkinson Hyperlegible" w:hAnsi="Atkinson Hyperlegible"/>
        </w:rPr>
        <w:t xml:space="preserve"> </w:t>
      </w:r>
      <w:proofErr w:type="gramStart"/>
      <w:r w:rsidRPr="00FF21F5">
        <w:rPr>
          <w:rFonts w:ascii="Atkinson Hyperlegible" w:hAnsi="Atkinson Hyperlegible"/>
        </w:rPr>
        <w:t>intégré</w:t>
      </w:r>
      <w:proofErr w:type="gramEnd"/>
      <w:r w:rsidRPr="00FF21F5">
        <w:rPr>
          <w:rFonts w:ascii="Atkinson Hyperlegible" w:hAnsi="Atkinson Hyperlegible"/>
        </w:rPr>
        <w:t xml:space="preserve"> dans les conventions individuelles</w:t>
      </w:r>
      <w:r w:rsidR="00A76562" w:rsidRPr="00FF21F5">
        <w:rPr>
          <w:rFonts w:ascii="Atkinson Hyperlegible" w:hAnsi="Atkinson Hyperlegible"/>
        </w:rPr>
        <w:t xml:space="preserve"> </w:t>
      </w:r>
      <w:r w:rsidRPr="00FF21F5">
        <w:rPr>
          <w:rFonts w:ascii="Atkinson Hyperlegible" w:hAnsi="Atkinson Hyperlegible"/>
        </w:rPr>
        <w:t>et celui prévu dans l’accord collectif</w:t>
      </w:r>
      <w:r w:rsidR="00A76562" w:rsidRPr="00FF21F5">
        <w:rPr>
          <w:rFonts w:ascii="Atkinson Hyperlegible" w:hAnsi="Atkinson Hyperlegible"/>
        </w:rPr>
        <w:t xml:space="preserve"> ; </w:t>
      </w:r>
    </w:p>
    <w:p w14:paraId="6C84A5D5" w14:textId="2EF9B823" w:rsidR="00A76562" w:rsidRPr="00FF21F5" w:rsidRDefault="00D87409" w:rsidP="00AC6293">
      <w:pPr>
        <w:pStyle w:val="Paragraphedeliste"/>
        <w:numPr>
          <w:ilvl w:val="0"/>
          <w:numId w:val="14"/>
        </w:numPr>
        <w:rPr>
          <w:rFonts w:ascii="Atkinson Hyperlegible" w:hAnsi="Atkinson Hyperlegible"/>
        </w:rPr>
      </w:pPr>
      <w:r w:rsidRPr="00FF21F5">
        <w:rPr>
          <w:rFonts w:ascii="Atkinson Hyperlegible" w:hAnsi="Atkinson Hyperlegible"/>
        </w:rPr>
        <w:t>Souhaité renforcer l</w:t>
      </w:r>
      <w:r w:rsidR="00A76562" w:rsidRPr="00FF21F5">
        <w:rPr>
          <w:rFonts w:ascii="Atkinson Hyperlegible" w:hAnsi="Atkinson Hyperlegible"/>
        </w:rPr>
        <w:t xml:space="preserve">’autonomie </w:t>
      </w:r>
      <w:r w:rsidRPr="00FF21F5">
        <w:rPr>
          <w:rFonts w:ascii="Atkinson Hyperlegible" w:hAnsi="Atkinson Hyperlegible"/>
        </w:rPr>
        <w:t xml:space="preserve">des collaborateurs </w:t>
      </w:r>
      <w:r w:rsidR="00A76562" w:rsidRPr="00FF21F5">
        <w:rPr>
          <w:rFonts w:ascii="Atkinson Hyperlegible" w:hAnsi="Atkinson Hyperlegible"/>
        </w:rPr>
        <w:t>dans l’organisation de</w:t>
      </w:r>
      <w:r w:rsidRPr="00FF21F5">
        <w:rPr>
          <w:rFonts w:ascii="Atkinson Hyperlegible" w:hAnsi="Atkinson Hyperlegible"/>
        </w:rPr>
        <w:t xml:space="preserve"> leur emploi du </w:t>
      </w:r>
      <w:r w:rsidR="00A76562" w:rsidRPr="00FF21F5">
        <w:rPr>
          <w:rFonts w:ascii="Atkinson Hyperlegible" w:hAnsi="Atkinson Hyperlegible"/>
        </w:rPr>
        <w:t xml:space="preserve">temps, notamment </w:t>
      </w:r>
      <w:r w:rsidRPr="00FF21F5">
        <w:rPr>
          <w:rFonts w:ascii="Atkinson Hyperlegible" w:hAnsi="Atkinson Hyperlegible"/>
        </w:rPr>
        <w:t xml:space="preserve">en ce qui concerne </w:t>
      </w:r>
      <w:r w:rsidR="00A76562" w:rsidRPr="00FF21F5">
        <w:rPr>
          <w:rFonts w:ascii="Atkinson Hyperlegible" w:hAnsi="Atkinson Hyperlegible"/>
        </w:rPr>
        <w:t>la prise de</w:t>
      </w:r>
      <w:r w:rsidRPr="00FF21F5">
        <w:rPr>
          <w:rFonts w:ascii="Atkinson Hyperlegible" w:hAnsi="Atkinson Hyperlegible"/>
        </w:rPr>
        <w:t>s</w:t>
      </w:r>
      <w:r w:rsidR="00A76562" w:rsidRPr="00FF21F5">
        <w:rPr>
          <w:rFonts w:ascii="Atkinson Hyperlegible" w:hAnsi="Atkinson Hyperlegible"/>
        </w:rPr>
        <w:t xml:space="preserve"> repos</w:t>
      </w:r>
      <w:r w:rsidRPr="00FF21F5">
        <w:rPr>
          <w:rFonts w:ascii="Atkinson Hyperlegible" w:hAnsi="Atkinson Hyperlegible"/>
        </w:rPr>
        <w:t xml:space="preserve"> liés au forfait</w:t>
      </w:r>
      <w:r w:rsidR="00A76562" w:rsidRPr="00FF21F5">
        <w:rPr>
          <w:rFonts w:ascii="Atkinson Hyperlegible" w:hAnsi="Atkinson Hyperlegible"/>
        </w:rPr>
        <w:t xml:space="preserve"> ; </w:t>
      </w:r>
    </w:p>
    <w:p w14:paraId="53F288AC" w14:textId="0F02AA26" w:rsidR="00A76562" w:rsidRDefault="00D87409" w:rsidP="00AC6293">
      <w:pPr>
        <w:pStyle w:val="Paragraphedeliste"/>
        <w:numPr>
          <w:ilvl w:val="0"/>
          <w:numId w:val="14"/>
        </w:numPr>
        <w:rPr>
          <w:rFonts w:ascii="Atkinson Hyperlegible" w:hAnsi="Atkinson Hyperlegible"/>
        </w:rPr>
      </w:pPr>
      <w:r w:rsidRPr="00FF21F5">
        <w:rPr>
          <w:rFonts w:ascii="Atkinson Hyperlegible" w:hAnsi="Atkinson Hyperlegible"/>
        </w:rPr>
        <w:t>Souhaité repréciser les</w:t>
      </w:r>
      <w:r w:rsidR="00A76562" w:rsidRPr="00FF21F5">
        <w:rPr>
          <w:rFonts w:ascii="Atkinson Hyperlegible" w:hAnsi="Atkinson Hyperlegible"/>
        </w:rPr>
        <w:t xml:space="preserve"> modalités </w:t>
      </w:r>
      <w:r w:rsidRPr="00FF21F5">
        <w:rPr>
          <w:rFonts w:ascii="Atkinson Hyperlegible" w:hAnsi="Atkinson Hyperlegible"/>
        </w:rPr>
        <w:t xml:space="preserve">de </w:t>
      </w:r>
      <w:r w:rsidR="00A76562" w:rsidRPr="00FF21F5">
        <w:rPr>
          <w:rFonts w:ascii="Atkinson Hyperlegible" w:hAnsi="Atkinson Hyperlegible"/>
        </w:rPr>
        <w:t xml:space="preserve">gestion des absences.   </w:t>
      </w:r>
    </w:p>
    <w:p w14:paraId="7BEEAFAA" w14:textId="77777777" w:rsidR="00CF457C" w:rsidRPr="00FF21F5" w:rsidRDefault="00CF457C" w:rsidP="00CF457C">
      <w:pPr>
        <w:pStyle w:val="Paragraphedeliste"/>
        <w:rPr>
          <w:rFonts w:ascii="Atkinson Hyperlegible" w:hAnsi="Atkinson Hyperlegible"/>
        </w:rPr>
      </w:pPr>
    </w:p>
    <w:p w14:paraId="60415DED" w14:textId="2C1106FE" w:rsidR="0069401A" w:rsidRPr="00FF21F5" w:rsidRDefault="0069401A" w:rsidP="007F3895">
      <w:pPr>
        <w:rPr>
          <w:rFonts w:ascii="Atkinson Hyperlegible" w:hAnsi="Atkinson Hyperlegible"/>
        </w:rPr>
      </w:pPr>
      <w:r w:rsidRPr="00FF21F5">
        <w:rPr>
          <w:rFonts w:ascii="Atkinson Hyperlegible" w:hAnsi="Atkinson Hyperlegible"/>
        </w:rPr>
        <w:t>Il a donc été convenu, dans un souci de lisibilité</w:t>
      </w:r>
      <w:r w:rsidR="00D87409" w:rsidRPr="00FF21F5">
        <w:rPr>
          <w:rFonts w:ascii="Atkinson Hyperlegible" w:hAnsi="Atkinson Hyperlegible"/>
        </w:rPr>
        <w:t>,</w:t>
      </w:r>
      <w:r w:rsidRPr="00FF21F5">
        <w:rPr>
          <w:rFonts w:ascii="Atkinson Hyperlegible" w:hAnsi="Atkinson Hyperlegible"/>
        </w:rPr>
        <w:t xml:space="preserve"> de réécrire le chapitre</w:t>
      </w:r>
      <w:r w:rsidR="00D87409" w:rsidRPr="00FF21F5">
        <w:rPr>
          <w:rFonts w:ascii="Atkinson Hyperlegible" w:hAnsi="Atkinson Hyperlegible"/>
        </w:rPr>
        <w:t xml:space="preserve"> 3</w:t>
      </w:r>
      <w:r w:rsidRPr="00FF21F5">
        <w:rPr>
          <w:rFonts w:ascii="Atkinson Hyperlegible" w:hAnsi="Atkinson Hyperlegible"/>
        </w:rPr>
        <w:t xml:space="preserve">. </w:t>
      </w:r>
    </w:p>
    <w:p w14:paraId="022C8D74" w14:textId="33FC6F68" w:rsidR="0069401A" w:rsidRPr="00FF21F5" w:rsidRDefault="00A76562" w:rsidP="00A76562">
      <w:pPr>
        <w:rPr>
          <w:rFonts w:ascii="Atkinson Hyperlegible" w:hAnsi="Atkinson Hyperlegible"/>
        </w:rPr>
      </w:pPr>
      <w:r w:rsidRPr="00FF21F5">
        <w:rPr>
          <w:rFonts w:ascii="Atkinson Hyperlegible" w:hAnsi="Atkinson Hyperlegible"/>
        </w:rPr>
        <w:t xml:space="preserve">Concernant les salariés soumis </w:t>
      </w:r>
      <w:r w:rsidR="00D87409" w:rsidRPr="00FF21F5">
        <w:rPr>
          <w:rFonts w:ascii="Atkinson Hyperlegible" w:hAnsi="Atkinson Hyperlegible"/>
        </w:rPr>
        <w:t xml:space="preserve">à un </w:t>
      </w:r>
      <w:r w:rsidRPr="00FF21F5">
        <w:rPr>
          <w:rFonts w:ascii="Atkinson Hyperlegible" w:hAnsi="Atkinson Hyperlegible"/>
        </w:rPr>
        <w:t>décompte horaire</w:t>
      </w:r>
      <w:r w:rsidR="00D87409" w:rsidRPr="00FF21F5">
        <w:rPr>
          <w:rFonts w:ascii="Atkinson Hyperlegible" w:hAnsi="Atkinson Hyperlegible"/>
        </w:rPr>
        <w:t xml:space="preserve"> du temps de travail</w:t>
      </w:r>
      <w:r w:rsidRPr="00FF21F5">
        <w:rPr>
          <w:rFonts w:ascii="Atkinson Hyperlegible" w:hAnsi="Atkinson Hyperlegible"/>
        </w:rPr>
        <w:t xml:space="preserve">, </w:t>
      </w:r>
      <w:r w:rsidR="00D87409" w:rsidRPr="00FF21F5">
        <w:rPr>
          <w:rFonts w:ascii="Atkinson Hyperlegible" w:hAnsi="Atkinson Hyperlegible"/>
        </w:rPr>
        <w:t>i</w:t>
      </w:r>
      <w:r w:rsidRPr="00FF21F5">
        <w:rPr>
          <w:rFonts w:ascii="Atkinson Hyperlegible" w:hAnsi="Atkinson Hyperlegible"/>
        </w:rPr>
        <w:t xml:space="preserve">l est apparu nécessaire aux parties de repréciser les bénéficiaires de l’aménagement du temps de travail mis en place par le chapitre 4 de l’accord d’entreprise du 6 juillet 2018, par la réécriture de l’article 4.3.1. </w:t>
      </w:r>
      <w:proofErr w:type="gramStart"/>
      <w:r w:rsidR="008B78F5" w:rsidRPr="00FF21F5">
        <w:rPr>
          <w:rFonts w:ascii="Atkinson Hyperlegible" w:hAnsi="Atkinson Hyperlegible"/>
        </w:rPr>
        <w:t>et</w:t>
      </w:r>
      <w:proofErr w:type="gramEnd"/>
      <w:r w:rsidR="008B78F5" w:rsidRPr="00FF21F5">
        <w:rPr>
          <w:rFonts w:ascii="Atkinson Hyperlegible" w:hAnsi="Atkinson Hyperlegible"/>
        </w:rPr>
        <w:t xml:space="preserve"> l’ajout d’un article 4.3.2.</w:t>
      </w:r>
    </w:p>
    <w:p w14:paraId="2C80C64A" w14:textId="77777777" w:rsidR="008B78F5" w:rsidRPr="00FF21F5" w:rsidRDefault="008B78F5" w:rsidP="00A76562">
      <w:pPr>
        <w:rPr>
          <w:rFonts w:ascii="Atkinson Hyperlegible" w:hAnsi="Atkinson Hyperlegible"/>
        </w:rPr>
      </w:pPr>
    </w:p>
    <w:p w14:paraId="46B269DD" w14:textId="77777777" w:rsidR="008B78F5" w:rsidRPr="00FF21F5" w:rsidRDefault="005C112A" w:rsidP="007F3895">
      <w:pPr>
        <w:rPr>
          <w:rFonts w:ascii="Atkinson Hyperlegible" w:eastAsia="Calibri" w:hAnsi="Atkinson Hyperlegible" w:cs="Arial"/>
          <w:bCs/>
          <w:szCs w:val="20"/>
        </w:rPr>
      </w:pPr>
      <w:r w:rsidRPr="00FF21F5">
        <w:rPr>
          <w:rFonts w:ascii="Atkinson Hyperlegible" w:eastAsia="Calibri" w:hAnsi="Atkinson Hyperlegible" w:cs="Arial"/>
          <w:bCs/>
          <w:szCs w:val="20"/>
        </w:rPr>
        <w:t xml:space="preserve">Les dispositions du présent accord viennent donc </w:t>
      </w:r>
      <w:r w:rsidR="0069401A" w:rsidRPr="00FF21F5">
        <w:rPr>
          <w:rFonts w:ascii="Atkinson Hyperlegible" w:eastAsia="Calibri" w:hAnsi="Atkinson Hyperlegible" w:cs="Arial"/>
          <w:bCs/>
          <w:szCs w:val="20"/>
        </w:rPr>
        <w:t>se substituer</w:t>
      </w:r>
      <w:r w:rsidR="002B68D3" w:rsidRPr="00FF21F5">
        <w:rPr>
          <w:rFonts w:ascii="Atkinson Hyperlegible" w:eastAsia="Calibri" w:hAnsi="Atkinson Hyperlegible" w:cs="Arial"/>
          <w:bCs/>
          <w:szCs w:val="20"/>
        </w:rPr>
        <w:t xml:space="preserve"> intégralement</w:t>
      </w:r>
      <w:r w:rsidR="0069401A" w:rsidRPr="00FF21F5">
        <w:rPr>
          <w:rFonts w:ascii="Atkinson Hyperlegible" w:eastAsia="Calibri" w:hAnsi="Atkinson Hyperlegible" w:cs="Arial"/>
          <w:bCs/>
          <w:szCs w:val="20"/>
        </w:rPr>
        <w:t xml:space="preserve"> aux dispositions de l’accord d’entreprise du 6 juillet 2018 qui ont le même objet</w:t>
      </w:r>
      <w:r w:rsidR="002B68D3" w:rsidRPr="00FF21F5">
        <w:rPr>
          <w:rFonts w:ascii="Atkinson Hyperlegible" w:eastAsia="Calibri" w:hAnsi="Atkinson Hyperlegible" w:cs="Arial"/>
          <w:bCs/>
          <w:szCs w:val="20"/>
        </w:rPr>
        <w:t>, à savoir :</w:t>
      </w:r>
    </w:p>
    <w:p w14:paraId="6BFFFD53" w14:textId="498321BF" w:rsidR="005C112A" w:rsidRPr="00FF21F5" w:rsidRDefault="002B68D3" w:rsidP="007F3895">
      <w:pPr>
        <w:rPr>
          <w:rFonts w:ascii="Atkinson Hyperlegible" w:eastAsia="Calibri" w:hAnsi="Atkinson Hyperlegible" w:cs="Arial"/>
          <w:bCs/>
          <w:szCs w:val="20"/>
        </w:rPr>
      </w:pPr>
      <w:r w:rsidRPr="00FF21F5">
        <w:rPr>
          <w:rFonts w:ascii="Atkinson Hyperlegible" w:eastAsia="Calibri" w:hAnsi="Atkinson Hyperlegible" w:cs="Arial"/>
          <w:bCs/>
          <w:szCs w:val="20"/>
        </w:rPr>
        <w:t xml:space="preserve"> </w:t>
      </w:r>
    </w:p>
    <w:p w14:paraId="1A02E917" w14:textId="6C249238" w:rsidR="002B68D3" w:rsidRPr="00FF21F5" w:rsidRDefault="002B68D3" w:rsidP="00AC6293">
      <w:pPr>
        <w:pStyle w:val="Paragraphedeliste"/>
        <w:numPr>
          <w:ilvl w:val="0"/>
          <w:numId w:val="14"/>
        </w:numPr>
        <w:rPr>
          <w:rFonts w:ascii="Atkinson Hyperlegible" w:eastAsia="Calibri" w:hAnsi="Atkinson Hyperlegible" w:cs="Arial"/>
          <w:bCs/>
          <w:szCs w:val="20"/>
        </w:rPr>
      </w:pPr>
      <w:r w:rsidRPr="00FF21F5">
        <w:rPr>
          <w:rFonts w:ascii="Atkinson Hyperlegible" w:eastAsia="Calibri" w:hAnsi="Atkinson Hyperlegible" w:cs="Arial"/>
          <w:bCs/>
          <w:szCs w:val="20"/>
        </w:rPr>
        <w:t xml:space="preserve">Le Chapitre 3 du présent accord se substitue intégralement au chapitre 3 de l’accord d’entreprise du 6 juillet 2018 ; </w:t>
      </w:r>
    </w:p>
    <w:p w14:paraId="56A63E74" w14:textId="301B8F9B" w:rsidR="005C112A" w:rsidRPr="00FF21F5" w:rsidRDefault="002B68D3" w:rsidP="00AC6293">
      <w:pPr>
        <w:pStyle w:val="Paragraphedeliste"/>
        <w:numPr>
          <w:ilvl w:val="0"/>
          <w:numId w:val="14"/>
        </w:numPr>
        <w:rPr>
          <w:rFonts w:ascii="Atkinson Hyperlegible" w:eastAsia="Calibri" w:hAnsi="Atkinson Hyperlegible" w:cs="Arial"/>
          <w:bCs/>
          <w:szCs w:val="20"/>
        </w:rPr>
      </w:pPr>
      <w:r w:rsidRPr="00FF21F5">
        <w:rPr>
          <w:rFonts w:ascii="Atkinson Hyperlegible" w:eastAsia="Calibri" w:hAnsi="Atkinson Hyperlegible" w:cs="Arial"/>
          <w:bCs/>
          <w:szCs w:val="20"/>
        </w:rPr>
        <w:t>L’article 4.3.1 du chapitre 4 du présent accord se substitue intégralement à l’article 4.3.1 du Chapitre 4 de l’accord d’entreprise du 6 juillet 2018</w:t>
      </w:r>
      <w:r w:rsidR="008B78F5" w:rsidRPr="00FF21F5">
        <w:rPr>
          <w:rFonts w:ascii="Atkinson Hyperlegible" w:eastAsia="Calibri" w:hAnsi="Atkinson Hyperlegible" w:cs="Arial"/>
          <w:bCs/>
          <w:szCs w:val="20"/>
        </w:rPr>
        <w:t xml:space="preserve"> et l’article </w:t>
      </w:r>
      <w:proofErr w:type="gramStart"/>
      <w:r w:rsidR="008B78F5" w:rsidRPr="00FF21F5">
        <w:rPr>
          <w:rFonts w:ascii="Atkinson Hyperlegible" w:eastAsia="Calibri" w:hAnsi="Atkinson Hyperlegible" w:cs="Arial"/>
          <w:bCs/>
          <w:szCs w:val="20"/>
        </w:rPr>
        <w:t>4..</w:t>
      </w:r>
      <w:proofErr w:type="gramEnd"/>
      <w:r w:rsidR="008B78F5" w:rsidRPr="00FF21F5">
        <w:rPr>
          <w:rFonts w:ascii="Atkinson Hyperlegible" w:eastAsia="Calibri" w:hAnsi="Atkinson Hyperlegible" w:cs="Arial"/>
          <w:bCs/>
          <w:szCs w:val="20"/>
        </w:rPr>
        <w:t>3.2 s’ajoute à l’accord afin d’en régler la période transitoire.</w:t>
      </w:r>
      <w:r w:rsidR="00D87409" w:rsidRPr="00FF21F5">
        <w:rPr>
          <w:rFonts w:ascii="Atkinson Hyperlegible" w:eastAsia="Calibri" w:hAnsi="Atkinson Hyperlegible" w:cs="Arial"/>
          <w:bCs/>
          <w:szCs w:val="20"/>
        </w:rPr>
        <w:t xml:space="preserve"> </w:t>
      </w:r>
      <w:r w:rsidR="0069401A" w:rsidRPr="00FF21F5">
        <w:rPr>
          <w:rFonts w:ascii="Atkinson Hyperlegible" w:eastAsia="Calibri" w:hAnsi="Atkinson Hyperlegible" w:cs="Arial"/>
          <w:bCs/>
          <w:szCs w:val="20"/>
        </w:rPr>
        <w:t xml:space="preserve">Les autres </w:t>
      </w:r>
      <w:r w:rsidR="0069401A" w:rsidRPr="00FF21F5">
        <w:rPr>
          <w:rFonts w:ascii="Atkinson Hyperlegible" w:eastAsia="Calibri" w:hAnsi="Atkinson Hyperlegible" w:cs="Arial"/>
          <w:bCs/>
          <w:szCs w:val="20"/>
        </w:rPr>
        <w:lastRenderedPageBreak/>
        <w:t xml:space="preserve">dispositions de </w:t>
      </w:r>
      <w:r w:rsidR="00D87409" w:rsidRPr="00FF21F5">
        <w:rPr>
          <w:rFonts w:ascii="Atkinson Hyperlegible" w:eastAsia="Calibri" w:hAnsi="Atkinson Hyperlegible" w:cs="Arial"/>
          <w:bCs/>
          <w:szCs w:val="20"/>
        </w:rPr>
        <w:t>l’</w:t>
      </w:r>
      <w:r w:rsidR="0069401A" w:rsidRPr="00FF21F5">
        <w:rPr>
          <w:rFonts w:ascii="Atkinson Hyperlegible" w:eastAsia="Calibri" w:hAnsi="Atkinson Hyperlegible" w:cs="Arial"/>
          <w:bCs/>
          <w:szCs w:val="20"/>
        </w:rPr>
        <w:t xml:space="preserve">accord initial continuent à s’appliquer pour les thèmes non traités par le présent accord. </w:t>
      </w:r>
    </w:p>
    <w:p w14:paraId="2A8B0EB5" w14:textId="38CE153E" w:rsidR="00654CB2" w:rsidRPr="00FF21F5" w:rsidRDefault="00D60CD2" w:rsidP="0069401A">
      <w:pPr>
        <w:pStyle w:val="Titre1"/>
        <w:rPr>
          <w:rFonts w:ascii="Atkinson Hyperlegible" w:hAnsi="Atkinson Hyperlegible"/>
        </w:rPr>
      </w:pPr>
      <w:bookmarkStart w:id="1" w:name="_Toc210057875"/>
      <w:r w:rsidRPr="00FF21F5">
        <w:rPr>
          <w:rFonts w:ascii="Atkinson Hyperlegible" w:hAnsi="Atkinson Hyperlegible"/>
        </w:rPr>
        <w:t xml:space="preserve">CHAPITRE  </w:t>
      </w:r>
      <w:r w:rsidR="0069401A" w:rsidRPr="00FF21F5">
        <w:rPr>
          <w:rFonts w:ascii="Atkinson Hyperlegible" w:hAnsi="Atkinson Hyperlegible"/>
        </w:rPr>
        <w:t xml:space="preserve">3 </w:t>
      </w:r>
      <w:r w:rsidRPr="00FF21F5">
        <w:rPr>
          <w:rFonts w:ascii="Atkinson Hyperlegible" w:hAnsi="Atkinson Hyperlegible"/>
        </w:rPr>
        <w:t xml:space="preserve">– </w:t>
      </w:r>
      <w:r w:rsidR="0069401A" w:rsidRPr="00FF21F5">
        <w:rPr>
          <w:rFonts w:ascii="Atkinson Hyperlegible" w:hAnsi="Atkinson Hyperlegible"/>
        </w:rPr>
        <w:t>REGLES REGISSANT LE FONCTIONNEMENT DU FORFAIT ANNUEL EN JOURS</w:t>
      </w:r>
      <w:bookmarkEnd w:id="1"/>
      <w:r w:rsidR="0069401A" w:rsidRPr="00FF21F5">
        <w:rPr>
          <w:rFonts w:ascii="Atkinson Hyperlegible" w:hAnsi="Atkinson Hyperlegible"/>
        </w:rPr>
        <w:t xml:space="preserve"> </w:t>
      </w:r>
    </w:p>
    <w:p w14:paraId="511CD5FD" w14:textId="032658D4" w:rsidR="00654CB2" w:rsidRPr="00FF21F5" w:rsidRDefault="00D60CD2" w:rsidP="002B68D3">
      <w:pPr>
        <w:pStyle w:val="Titre2"/>
        <w:rPr>
          <w:rFonts w:ascii="Atkinson Hyperlegible" w:eastAsia="Calibri" w:hAnsi="Atkinson Hyperlegible"/>
          <w:szCs w:val="20"/>
        </w:rPr>
      </w:pPr>
      <w:bookmarkStart w:id="2" w:name="_Toc184749217"/>
      <w:bookmarkStart w:id="3" w:name="_Toc210057876"/>
      <w:r w:rsidRPr="00FF21F5">
        <w:rPr>
          <w:rFonts w:ascii="Atkinson Hyperlegible" w:eastAsia="Calibri" w:hAnsi="Atkinson Hyperlegible"/>
          <w:szCs w:val="20"/>
        </w:rPr>
        <w:t>3</w:t>
      </w:r>
      <w:r w:rsidR="00654CB2" w:rsidRPr="00FF21F5">
        <w:rPr>
          <w:rFonts w:ascii="Atkinson Hyperlegible" w:eastAsia="Calibri" w:hAnsi="Atkinson Hyperlegible"/>
          <w:szCs w:val="20"/>
        </w:rPr>
        <w:t xml:space="preserve">.1 – </w:t>
      </w:r>
      <w:bookmarkEnd w:id="2"/>
      <w:r w:rsidR="002B68D3" w:rsidRPr="00FF21F5">
        <w:rPr>
          <w:rFonts w:ascii="Atkinson Hyperlegible" w:eastAsia="Calibri" w:hAnsi="Atkinson Hyperlegible"/>
          <w:szCs w:val="20"/>
        </w:rPr>
        <w:t>Bénéficiaires</w:t>
      </w:r>
      <w:bookmarkEnd w:id="3"/>
      <w:r w:rsidR="002B68D3" w:rsidRPr="00FF21F5">
        <w:rPr>
          <w:rFonts w:ascii="Atkinson Hyperlegible" w:eastAsia="Calibri" w:hAnsi="Atkinson Hyperlegible"/>
          <w:szCs w:val="20"/>
        </w:rPr>
        <w:t xml:space="preserve"> </w:t>
      </w:r>
    </w:p>
    <w:p w14:paraId="5A4A3994" w14:textId="0F4B32E3" w:rsidR="00654CB2" w:rsidRPr="00FF21F5" w:rsidRDefault="00654CB2" w:rsidP="00654CB2">
      <w:pPr>
        <w:rPr>
          <w:rFonts w:ascii="Atkinson Hyperlegible" w:eastAsia="Calibri" w:hAnsi="Atkinson Hyperlegible" w:cs="Arial"/>
          <w:szCs w:val="20"/>
        </w:rPr>
      </w:pPr>
      <w:r w:rsidRPr="00FF21F5">
        <w:rPr>
          <w:rFonts w:ascii="Atkinson Hyperlegible" w:eastAsia="Calibri" w:hAnsi="Atkinson Hyperlegible" w:cs="Arial"/>
          <w:szCs w:val="20"/>
        </w:rPr>
        <w:t>Les parties rappellent que les conventions de forfait en jours ne peuvent être conclues qu’avec</w:t>
      </w:r>
      <w:r w:rsidR="00A42C40" w:rsidRPr="00FF21F5">
        <w:rPr>
          <w:rFonts w:ascii="Atkinson Hyperlegible" w:eastAsia="Calibri" w:hAnsi="Atkinson Hyperlegible" w:cs="Arial"/>
          <w:szCs w:val="20"/>
        </w:rPr>
        <w:t xml:space="preserve"> les salariés</w:t>
      </w:r>
      <w:r w:rsidRPr="00FF21F5">
        <w:rPr>
          <w:rFonts w:ascii="Atkinson Hyperlegible" w:eastAsia="Calibri" w:hAnsi="Atkinson Hyperlegible" w:cs="Arial"/>
          <w:szCs w:val="20"/>
        </w:rPr>
        <w:t xml:space="preserve"> :</w:t>
      </w:r>
    </w:p>
    <w:p w14:paraId="6C8FC778" w14:textId="706EB26B" w:rsidR="00654CB2" w:rsidRPr="00FF21F5" w:rsidRDefault="00654CB2" w:rsidP="00AC6293">
      <w:pPr>
        <w:pStyle w:val="Paragraphedeliste"/>
        <w:numPr>
          <w:ilvl w:val="0"/>
          <w:numId w:val="2"/>
        </w:numPr>
        <w:rPr>
          <w:rFonts w:ascii="Atkinson Hyperlegible" w:eastAsia="Calibri" w:hAnsi="Atkinson Hyperlegible" w:cs="Arial"/>
          <w:szCs w:val="20"/>
        </w:rPr>
      </w:pPr>
      <w:proofErr w:type="gramStart"/>
      <w:r w:rsidRPr="00FF21F5">
        <w:rPr>
          <w:rFonts w:ascii="Atkinson Hyperlegible" w:eastAsia="Calibri" w:hAnsi="Atkinson Hyperlegible" w:cs="Arial"/>
          <w:szCs w:val="20"/>
        </w:rPr>
        <w:t>qui</w:t>
      </w:r>
      <w:proofErr w:type="gramEnd"/>
      <w:r w:rsidRPr="00FF21F5">
        <w:rPr>
          <w:rFonts w:ascii="Atkinson Hyperlegible" w:eastAsia="Calibri" w:hAnsi="Atkinson Hyperlegible" w:cs="Arial"/>
          <w:szCs w:val="20"/>
        </w:rPr>
        <w:t xml:space="preserve"> disposent d'une autonomie dans l'organisation de leur emploi du temps et dont la nature des fonctions ne les conduit pas à suivre l'horaire collectif applicable au sein de l'atelier, du service ou de l'équipe auquel ils sont intégrés ;</w:t>
      </w:r>
    </w:p>
    <w:p w14:paraId="62E4253A" w14:textId="52EBF605" w:rsidR="00654CB2" w:rsidRPr="00FF21F5" w:rsidRDefault="00654CB2" w:rsidP="00AC6293">
      <w:pPr>
        <w:pStyle w:val="Paragraphedeliste"/>
        <w:numPr>
          <w:ilvl w:val="0"/>
          <w:numId w:val="2"/>
        </w:numPr>
        <w:rPr>
          <w:rFonts w:ascii="Atkinson Hyperlegible" w:eastAsia="Calibri" w:hAnsi="Atkinson Hyperlegible" w:cs="Arial"/>
          <w:szCs w:val="20"/>
        </w:rPr>
      </w:pPr>
      <w:proofErr w:type="gramStart"/>
      <w:r w:rsidRPr="00FF21F5">
        <w:rPr>
          <w:rFonts w:ascii="Atkinson Hyperlegible" w:eastAsia="Calibri" w:hAnsi="Atkinson Hyperlegible" w:cs="Arial"/>
          <w:szCs w:val="20"/>
        </w:rPr>
        <w:t>dont</w:t>
      </w:r>
      <w:proofErr w:type="gramEnd"/>
      <w:r w:rsidRPr="00FF21F5">
        <w:rPr>
          <w:rFonts w:ascii="Atkinson Hyperlegible" w:eastAsia="Calibri" w:hAnsi="Atkinson Hyperlegible" w:cs="Arial"/>
          <w:szCs w:val="20"/>
        </w:rPr>
        <w:t xml:space="preserve"> la durée du temps de travail ne peut être prédéterminée et qui disposent d'une réelle autonomie dans l'organisation de leur emploi du temps pour l'exercice des responsabilités qui leur sont confiées.</w:t>
      </w:r>
    </w:p>
    <w:p w14:paraId="527B56A2" w14:textId="37AF9F8F" w:rsidR="002B68D3" w:rsidRPr="00FF21F5" w:rsidRDefault="00654CB2" w:rsidP="00654CB2">
      <w:pPr>
        <w:rPr>
          <w:rFonts w:ascii="Atkinson Hyperlegible" w:eastAsia="Calibri" w:hAnsi="Atkinson Hyperlegible" w:cs="Arial"/>
          <w:szCs w:val="20"/>
        </w:rPr>
      </w:pPr>
      <w:r w:rsidRPr="00FF21F5">
        <w:rPr>
          <w:rFonts w:ascii="Atkinson Hyperlegible" w:eastAsia="Calibri" w:hAnsi="Atkinson Hyperlegible" w:cs="Arial"/>
          <w:szCs w:val="20"/>
        </w:rPr>
        <w:t xml:space="preserve">A ce titre, les parties au présent accord, après avoir procédé à une analyse, retiennent </w:t>
      </w:r>
      <w:r w:rsidR="000A5ED2" w:rsidRPr="00FF21F5">
        <w:rPr>
          <w:rFonts w:ascii="Atkinson Hyperlegible" w:eastAsia="Calibri" w:hAnsi="Atkinson Hyperlegible" w:cs="Arial"/>
          <w:szCs w:val="20"/>
        </w:rPr>
        <w:t>que ne peuvent conclure une convention de forfait jours</w:t>
      </w:r>
      <w:r w:rsidR="002B68D3" w:rsidRPr="00FF21F5">
        <w:rPr>
          <w:rFonts w:ascii="Atkinson Hyperlegible" w:eastAsia="Calibri" w:hAnsi="Atkinson Hyperlegible" w:cs="Arial"/>
          <w:szCs w:val="20"/>
        </w:rPr>
        <w:t xml:space="preserve"> que :</w:t>
      </w:r>
    </w:p>
    <w:p w14:paraId="64F6C797" w14:textId="68E59A34" w:rsidR="002B68D3" w:rsidRPr="00FF21F5" w:rsidRDefault="002B68D3" w:rsidP="00AC6293">
      <w:pPr>
        <w:pStyle w:val="Paragraphedeliste"/>
        <w:numPr>
          <w:ilvl w:val="0"/>
          <w:numId w:val="2"/>
        </w:numPr>
        <w:rPr>
          <w:rFonts w:ascii="Atkinson Hyperlegible" w:eastAsia="Calibri" w:hAnsi="Atkinson Hyperlegible" w:cs="Arial"/>
          <w:szCs w:val="20"/>
        </w:rPr>
      </w:pPr>
      <w:r w:rsidRPr="00FF21F5">
        <w:rPr>
          <w:rFonts w:ascii="Atkinson Hyperlegible" w:eastAsia="Calibri" w:hAnsi="Atkinson Hyperlegible" w:cs="Arial"/>
          <w:szCs w:val="20"/>
        </w:rPr>
        <w:t xml:space="preserve">Les salariés relevant de la catégorie des cadres positionnés de l’échelon 3.1, 3.2 ou 3.3 ; </w:t>
      </w:r>
    </w:p>
    <w:p w14:paraId="56524FE6" w14:textId="5D01DB1A" w:rsidR="00654CB2" w:rsidRPr="00FF21F5" w:rsidRDefault="002B68D3" w:rsidP="00AC6293">
      <w:pPr>
        <w:pStyle w:val="Paragraphedeliste"/>
        <w:numPr>
          <w:ilvl w:val="0"/>
          <w:numId w:val="2"/>
        </w:numPr>
        <w:rPr>
          <w:rFonts w:ascii="Atkinson Hyperlegible" w:eastAsia="Calibri" w:hAnsi="Atkinson Hyperlegible" w:cs="Arial"/>
          <w:szCs w:val="20"/>
        </w:rPr>
      </w:pPr>
      <w:r w:rsidRPr="00FF21F5">
        <w:rPr>
          <w:rFonts w:ascii="Atkinson Hyperlegible" w:eastAsia="Calibri" w:hAnsi="Atkinson Hyperlegible" w:cs="Arial"/>
          <w:szCs w:val="20"/>
        </w:rPr>
        <w:t>Les salariés relevant de la catégorie des agents de maîtrise positionnés aux échelons 2.3 ou 2.4.</w:t>
      </w:r>
      <w:r w:rsidR="000A5ED2" w:rsidRPr="00FF21F5">
        <w:rPr>
          <w:rFonts w:ascii="Atkinson Hyperlegible" w:eastAsia="Calibri" w:hAnsi="Atkinson Hyperlegible" w:cs="Arial"/>
          <w:szCs w:val="20"/>
        </w:rPr>
        <w:t xml:space="preserve"> </w:t>
      </w:r>
      <w:proofErr w:type="gramStart"/>
      <w:r w:rsidR="008B78F5" w:rsidRPr="00FF21F5">
        <w:rPr>
          <w:rFonts w:ascii="Atkinson Hyperlegible" w:eastAsia="Calibri" w:hAnsi="Atkinson Hyperlegible" w:cs="Arial"/>
          <w:szCs w:val="20"/>
        </w:rPr>
        <w:t>après</w:t>
      </w:r>
      <w:proofErr w:type="gramEnd"/>
      <w:r w:rsidR="008B78F5" w:rsidRPr="00FF21F5">
        <w:rPr>
          <w:rFonts w:ascii="Atkinson Hyperlegible" w:eastAsia="Calibri" w:hAnsi="Atkinson Hyperlegible" w:cs="Arial"/>
          <w:szCs w:val="20"/>
        </w:rPr>
        <w:t xml:space="preserve"> accord de la direction</w:t>
      </w:r>
    </w:p>
    <w:p w14:paraId="43351B3A" w14:textId="77777777" w:rsidR="002B68D3" w:rsidRPr="00FF21F5" w:rsidRDefault="00654CB2" w:rsidP="00654CB2">
      <w:pPr>
        <w:contextualSpacing/>
        <w:rPr>
          <w:rFonts w:ascii="Atkinson Hyperlegible" w:eastAsia="Calibri" w:hAnsi="Atkinson Hyperlegible" w:cs="Arial"/>
          <w:szCs w:val="20"/>
        </w:rPr>
      </w:pPr>
      <w:r w:rsidRPr="00FF21F5">
        <w:rPr>
          <w:rFonts w:ascii="Atkinson Hyperlegible" w:eastAsia="Calibri" w:hAnsi="Atkinson Hyperlegible" w:cs="Arial"/>
          <w:szCs w:val="20"/>
        </w:rPr>
        <w:t xml:space="preserve">Il est expressément rappelé par les parties que l’autonomie dont disposent les salariés visés par le présent accord s’entend d’une autonomie dans l'organisation de leur emploi du temps. Celle-ci ne leur confère pas une totale indépendance et ne les délie pas de tout lien de subordination hiérarchique. </w:t>
      </w:r>
    </w:p>
    <w:p w14:paraId="4176A475" w14:textId="77777777" w:rsidR="002B68D3" w:rsidRPr="00FF21F5" w:rsidRDefault="002B68D3" w:rsidP="00654CB2">
      <w:pPr>
        <w:contextualSpacing/>
        <w:rPr>
          <w:rFonts w:ascii="Atkinson Hyperlegible" w:eastAsia="Calibri" w:hAnsi="Atkinson Hyperlegible" w:cs="Arial"/>
          <w:szCs w:val="20"/>
        </w:rPr>
      </w:pPr>
    </w:p>
    <w:p w14:paraId="2ED00CA3" w14:textId="67624ED1" w:rsidR="00654CB2" w:rsidRPr="00FF21F5" w:rsidRDefault="00654CB2" w:rsidP="00654CB2">
      <w:pPr>
        <w:contextualSpacing/>
        <w:rPr>
          <w:rFonts w:ascii="Atkinson Hyperlegible" w:eastAsia="Calibri" w:hAnsi="Atkinson Hyperlegible" w:cs="Arial"/>
          <w:szCs w:val="20"/>
        </w:rPr>
      </w:pPr>
      <w:r w:rsidRPr="00FF21F5">
        <w:rPr>
          <w:rFonts w:ascii="Atkinson Hyperlegible" w:eastAsia="Calibri" w:hAnsi="Atkinson Hyperlegible" w:cs="Arial"/>
          <w:szCs w:val="20"/>
        </w:rPr>
        <w:t>Ainsi, les salariés concernés s’ils gèrent de manière autonome leur emploi du temps devront informer leur hiérarchie de leur activité. En outre, ils devront organiser leur activité dans des conditions compatibles avec :</w:t>
      </w:r>
    </w:p>
    <w:p w14:paraId="654A4C3C" w14:textId="77777777" w:rsidR="008B78F5" w:rsidRPr="00FF21F5" w:rsidRDefault="008B78F5" w:rsidP="00654CB2">
      <w:pPr>
        <w:contextualSpacing/>
        <w:rPr>
          <w:rFonts w:ascii="Atkinson Hyperlegible" w:eastAsia="Calibri" w:hAnsi="Atkinson Hyperlegible" w:cs="Arial"/>
          <w:szCs w:val="20"/>
        </w:rPr>
      </w:pPr>
    </w:p>
    <w:p w14:paraId="7E819A22" w14:textId="77777777" w:rsidR="00654CB2" w:rsidRPr="00FF21F5" w:rsidRDefault="00654CB2" w:rsidP="00AC6293">
      <w:pPr>
        <w:pStyle w:val="Paragraphedeliste"/>
        <w:numPr>
          <w:ilvl w:val="0"/>
          <w:numId w:val="3"/>
        </w:numPr>
        <w:rPr>
          <w:rFonts w:ascii="Atkinson Hyperlegible" w:eastAsia="Calibri" w:hAnsi="Atkinson Hyperlegible" w:cs="Arial"/>
          <w:szCs w:val="20"/>
        </w:rPr>
      </w:pPr>
      <w:r w:rsidRPr="00FF21F5">
        <w:rPr>
          <w:rFonts w:ascii="Atkinson Hyperlegible" w:eastAsia="Calibri" w:hAnsi="Atkinson Hyperlegible" w:cs="Arial"/>
          <w:szCs w:val="20"/>
        </w:rPr>
        <w:t>Leurs missions ;</w:t>
      </w:r>
    </w:p>
    <w:p w14:paraId="4D031126" w14:textId="77777777" w:rsidR="00654CB2" w:rsidRPr="00FF21F5" w:rsidRDefault="00654CB2" w:rsidP="00AC6293">
      <w:pPr>
        <w:pStyle w:val="Paragraphedeliste"/>
        <w:numPr>
          <w:ilvl w:val="0"/>
          <w:numId w:val="3"/>
        </w:numPr>
        <w:rPr>
          <w:rFonts w:ascii="Atkinson Hyperlegible" w:eastAsia="Calibri" w:hAnsi="Atkinson Hyperlegible" w:cs="Arial"/>
          <w:szCs w:val="20"/>
        </w:rPr>
      </w:pPr>
      <w:r w:rsidRPr="00FF21F5">
        <w:rPr>
          <w:rFonts w:ascii="Atkinson Hyperlegible" w:eastAsia="Calibri" w:hAnsi="Atkinson Hyperlegible" w:cs="Arial"/>
          <w:szCs w:val="20"/>
        </w:rPr>
        <w:t>Leurs responsabilités professionnelles ;</w:t>
      </w:r>
    </w:p>
    <w:p w14:paraId="09B5AFF5" w14:textId="77777777" w:rsidR="00654CB2" w:rsidRPr="00FF21F5" w:rsidRDefault="00654CB2" w:rsidP="00AC6293">
      <w:pPr>
        <w:pStyle w:val="Paragraphedeliste"/>
        <w:numPr>
          <w:ilvl w:val="0"/>
          <w:numId w:val="3"/>
        </w:numPr>
        <w:rPr>
          <w:rFonts w:ascii="Atkinson Hyperlegible" w:eastAsia="Calibri" w:hAnsi="Atkinson Hyperlegible" w:cs="Arial"/>
          <w:szCs w:val="20"/>
        </w:rPr>
      </w:pPr>
      <w:r w:rsidRPr="00FF21F5">
        <w:rPr>
          <w:rFonts w:ascii="Atkinson Hyperlegible" w:eastAsia="Calibri" w:hAnsi="Atkinson Hyperlegible" w:cs="Arial"/>
          <w:szCs w:val="20"/>
        </w:rPr>
        <w:t>Leurs objectifs ;</w:t>
      </w:r>
    </w:p>
    <w:p w14:paraId="1A2BF29E" w14:textId="77777777" w:rsidR="00654CB2" w:rsidRPr="00FF21F5" w:rsidRDefault="00654CB2" w:rsidP="00AC6293">
      <w:pPr>
        <w:pStyle w:val="Paragraphedeliste"/>
        <w:numPr>
          <w:ilvl w:val="0"/>
          <w:numId w:val="3"/>
        </w:numPr>
        <w:rPr>
          <w:rFonts w:ascii="Atkinson Hyperlegible" w:eastAsia="Calibri" w:hAnsi="Atkinson Hyperlegible" w:cs="Arial"/>
          <w:szCs w:val="20"/>
        </w:rPr>
      </w:pPr>
      <w:r w:rsidRPr="00FF21F5">
        <w:rPr>
          <w:rFonts w:ascii="Atkinson Hyperlegible" w:eastAsia="Calibri" w:hAnsi="Atkinson Hyperlegible" w:cs="Arial"/>
          <w:szCs w:val="20"/>
        </w:rPr>
        <w:t>L’organisation de l’entreprise.</w:t>
      </w:r>
    </w:p>
    <w:p w14:paraId="23075C1C" w14:textId="77777777" w:rsidR="00654CB2" w:rsidRPr="00FF21F5" w:rsidRDefault="00654CB2" w:rsidP="00654CB2">
      <w:pPr>
        <w:pStyle w:val="Paragraphedeliste"/>
        <w:rPr>
          <w:rFonts w:ascii="Atkinson Hyperlegible" w:eastAsia="Calibri" w:hAnsi="Atkinson Hyperlegible" w:cs="Arial"/>
          <w:szCs w:val="20"/>
        </w:rPr>
      </w:pPr>
    </w:p>
    <w:p w14:paraId="6C65674D" w14:textId="70D4E66F" w:rsidR="00654CB2" w:rsidRPr="00FF21F5" w:rsidRDefault="00D60CD2" w:rsidP="00654CB2">
      <w:pPr>
        <w:pStyle w:val="Titre2"/>
        <w:rPr>
          <w:rFonts w:ascii="Atkinson Hyperlegible" w:eastAsia="Calibri" w:hAnsi="Atkinson Hyperlegible"/>
        </w:rPr>
      </w:pPr>
      <w:bookmarkStart w:id="4" w:name="_Toc184749218"/>
      <w:bookmarkStart w:id="5" w:name="_Toc210057877"/>
      <w:r w:rsidRPr="00FF21F5">
        <w:rPr>
          <w:rFonts w:ascii="Atkinson Hyperlegible" w:eastAsia="Calibri" w:hAnsi="Atkinson Hyperlegible"/>
        </w:rPr>
        <w:t>3</w:t>
      </w:r>
      <w:r w:rsidR="00654CB2" w:rsidRPr="00FF21F5">
        <w:rPr>
          <w:rFonts w:ascii="Atkinson Hyperlegible" w:eastAsia="Calibri" w:hAnsi="Atkinson Hyperlegible"/>
        </w:rPr>
        <w:t>.2 – Convention individuelle de forfait</w:t>
      </w:r>
      <w:bookmarkEnd w:id="4"/>
      <w:bookmarkEnd w:id="5"/>
      <w:r w:rsidR="00654CB2" w:rsidRPr="00FF21F5">
        <w:rPr>
          <w:rFonts w:ascii="Atkinson Hyperlegible" w:eastAsia="Calibri" w:hAnsi="Atkinson Hyperlegible"/>
        </w:rPr>
        <w:t xml:space="preserve"> </w:t>
      </w:r>
    </w:p>
    <w:p w14:paraId="0938D99B" w14:textId="77777777" w:rsidR="00654CB2" w:rsidRPr="00FF21F5" w:rsidRDefault="00654CB2" w:rsidP="00654CB2">
      <w:pPr>
        <w:rPr>
          <w:rFonts w:ascii="Atkinson Hyperlegible" w:eastAsia="Calibri" w:hAnsi="Atkinson Hyperlegible" w:cs="Arial"/>
          <w:szCs w:val="20"/>
        </w:rPr>
      </w:pPr>
      <w:r w:rsidRPr="00FF21F5">
        <w:rPr>
          <w:rFonts w:ascii="Atkinson Hyperlegible" w:eastAsia="Calibri" w:hAnsi="Atkinson Hyperlegible" w:cs="Arial"/>
          <w:szCs w:val="20"/>
        </w:rPr>
        <w:t xml:space="preserve">L’exécution des missions d’un salarié selon une organisation du travail en forfait jours ne peut être réalisée qu’avec son accord écrit. </w:t>
      </w:r>
    </w:p>
    <w:p w14:paraId="6500C0AF" w14:textId="77777777" w:rsidR="00654CB2" w:rsidRPr="00FF21F5" w:rsidRDefault="00654CB2" w:rsidP="00654CB2">
      <w:pPr>
        <w:rPr>
          <w:rFonts w:ascii="Atkinson Hyperlegible" w:eastAsia="Calibri" w:hAnsi="Atkinson Hyperlegible" w:cs="Arial"/>
          <w:szCs w:val="20"/>
        </w:rPr>
      </w:pPr>
      <w:r w:rsidRPr="00FF21F5">
        <w:rPr>
          <w:rFonts w:ascii="Atkinson Hyperlegible" w:eastAsia="Calibri" w:hAnsi="Atkinson Hyperlegible" w:cs="Arial"/>
          <w:szCs w:val="20"/>
        </w:rPr>
        <w:t>Une convention individuelle de forfait est établie à cet effet. Celle-ci peut être intégrée au contrat de travail initial ou bien faire l’objet d’un avenant à celui-ci</w:t>
      </w:r>
    </w:p>
    <w:p w14:paraId="68ECEE4F" w14:textId="77777777" w:rsidR="00654CB2" w:rsidRPr="00FF21F5" w:rsidRDefault="00654CB2" w:rsidP="00654CB2">
      <w:pPr>
        <w:rPr>
          <w:rFonts w:ascii="Atkinson Hyperlegible" w:eastAsia="Calibri" w:hAnsi="Atkinson Hyperlegible" w:cs="Arial"/>
          <w:szCs w:val="20"/>
        </w:rPr>
      </w:pPr>
      <w:r w:rsidRPr="00FF21F5">
        <w:rPr>
          <w:rFonts w:ascii="Atkinson Hyperlegible" w:eastAsia="Calibri" w:hAnsi="Atkinson Hyperlegible" w:cs="Arial"/>
          <w:szCs w:val="20"/>
        </w:rPr>
        <w:t>La convention individuelle de forfait comporte notamment :</w:t>
      </w:r>
    </w:p>
    <w:p w14:paraId="2C9D8376" w14:textId="77777777" w:rsidR="008B78F5" w:rsidRPr="00FF21F5" w:rsidRDefault="008B78F5" w:rsidP="00654CB2">
      <w:pPr>
        <w:rPr>
          <w:rFonts w:ascii="Atkinson Hyperlegible" w:eastAsia="Calibri" w:hAnsi="Atkinson Hyperlegible" w:cs="Arial"/>
          <w:szCs w:val="20"/>
        </w:rPr>
      </w:pPr>
    </w:p>
    <w:p w14:paraId="647F4CC0" w14:textId="77777777" w:rsidR="00654CB2" w:rsidRPr="00FF21F5" w:rsidRDefault="00654CB2" w:rsidP="00AC6293">
      <w:pPr>
        <w:pStyle w:val="Paragraphedeliste"/>
        <w:numPr>
          <w:ilvl w:val="0"/>
          <w:numId w:val="4"/>
        </w:numPr>
        <w:rPr>
          <w:rFonts w:ascii="Atkinson Hyperlegible" w:eastAsia="Calibri" w:hAnsi="Atkinson Hyperlegible" w:cs="Arial"/>
          <w:szCs w:val="20"/>
        </w:rPr>
      </w:pPr>
      <w:r w:rsidRPr="00FF21F5">
        <w:rPr>
          <w:rFonts w:ascii="Atkinson Hyperlegible" w:eastAsia="Calibri" w:hAnsi="Atkinson Hyperlegible" w:cs="Arial"/>
          <w:szCs w:val="20"/>
        </w:rPr>
        <w:t>Le nombre de jours travaillés dans l’année :</w:t>
      </w:r>
    </w:p>
    <w:p w14:paraId="02B04BDA" w14:textId="77777777" w:rsidR="00654CB2" w:rsidRPr="00FF21F5" w:rsidRDefault="00654CB2" w:rsidP="00AC6293">
      <w:pPr>
        <w:pStyle w:val="Paragraphedeliste"/>
        <w:numPr>
          <w:ilvl w:val="0"/>
          <w:numId w:val="4"/>
        </w:numPr>
        <w:rPr>
          <w:rFonts w:ascii="Atkinson Hyperlegible" w:eastAsia="Calibri" w:hAnsi="Atkinson Hyperlegible" w:cs="Arial"/>
          <w:szCs w:val="20"/>
        </w:rPr>
      </w:pPr>
      <w:r w:rsidRPr="00FF21F5">
        <w:rPr>
          <w:rFonts w:ascii="Atkinson Hyperlegible" w:eastAsia="Calibri" w:hAnsi="Atkinson Hyperlegible" w:cs="Arial"/>
          <w:szCs w:val="20"/>
        </w:rPr>
        <w:t>La rémunération forfaitaire correspondante ;</w:t>
      </w:r>
    </w:p>
    <w:p w14:paraId="405AA577" w14:textId="77777777" w:rsidR="00654CB2" w:rsidRPr="00FF21F5" w:rsidRDefault="00654CB2" w:rsidP="00AC6293">
      <w:pPr>
        <w:pStyle w:val="Paragraphedeliste"/>
        <w:numPr>
          <w:ilvl w:val="0"/>
          <w:numId w:val="4"/>
        </w:numPr>
        <w:rPr>
          <w:rFonts w:ascii="Atkinson Hyperlegible" w:eastAsia="Calibri" w:hAnsi="Atkinson Hyperlegible" w:cs="Arial"/>
          <w:szCs w:val="20"/>
        </w:rPr>
      </w:pPr>
      <w:r w:rsidRPr="00FF21F5">
        <w:rPr>
          <w:rFonts w:ascii="Atkinson Hyperlegible" w:eastAsia="Calibri" w:hAnsi="Atkinson Hyperlegible" w:cs="Arial"/>
          <w:szCs w:val="20"/>
        </w:rPr>
        <w:t>Un rappel sur les règles relatives au respect des temps de repos.</w:t>
      </w:r>
    </w:p>
    <w:p w14:paraId="708A93B5" w14:textId="77777777" w:rsidR="00654CB2" w:rsidRPr="00FF21F5" w:rsidRDefault="00654CB2" w:rsidP="008B78F5">
      <w:pPr>
        <w:jc w:val="both"/>
        <w:rPr>
          <w:rFonts w:ascii="Atkinson Hyperlegible" w:eastAsia="Calibri" w:hAnsi="Atkinson Hyperlegible" w:cs="Arial"/>
          <w:szCs w:val="20"/>
        </w:rPr>
      </w:pPr>
      <w:r w:rsidRPr="00FF21F5">
        <w:rPr>
          <w:rFonts w:ascii="Atkinson Hyperlegible" w:eastAsia="Calibri" w:hAnsi="Atkinson Hyperlegible" w:cs="Arial"/>
          <w:szCs w:val="20"/>
        </w:rPr>
        <w:lastRenderedPageBreak/>
        <w:t>Il est remis au salarié concerné un exemplaire du présent accord à l’occasion de la conclusion de la convention de forfait.</w:t>
      </w:r>
    </w:p>
    <w:p w14:paraId="0F51708E" w14:textId="77777777" w:rsidR="00654CB2" w:rsidRPr="00FF21F5" w:rsidRDefault="00654CB2" w:rsidP="008B78F5">
      <w:pPr>
        <w:jc w:val="both"/>
        <w:rPr>
          <w:rFonts w:ascii="Atkinson Hyperlegible" w:eastAsia="Calibri" w:hAnsi="Atkinson Hyperlegible" w:cs="Arial"/>
          <w:szCs w:val="20"/>
        </w:rPr>
      </w:pPr>
      <w:r w:rsidRPr="00FF21F5">
        <w:rPr>
          <w:rFonts w:ascii="Atkinson Hyperlegible" w:eastAsia="Calibri" w:hAnsi="Atkinson Hyperlegible" w:cs="Arial"/>
          <w:szCs w:val="20"/>
        </w:rPr>
        <w:t>S’il le souhaite, et ce quelle qu’en soit la cause, un salarié peut solliciter la direction de l’entreprise afin de ne plus être soumis à une convention individuelle de forfait en jours.  Cette demande sera étudiée par l’entreprise qui restera libre de l’accepter ou non. Le cas échéant, un avenant au contrat de travail sera conclu afin de régler les conditions de passage à un autre régime de durée du travail. L’avenant traitera notamment de la prise d’effet du nouveau régime, de la nouvelle durée du travail et de la rémunération qui s’y applique.</w:t>
      </w:r>
    </w:p>
    <w:p w14:paraId="4257BD58" w14:textId="77777777" w:rsidR="00654CB2" w:rsidRPr="00FF21F5" w:rsidRDefault="00654CB2" w:rsidP="008B78F5">
      <w:pPr>
        <w:jc w:val="both"/>
        <w:rPr>
          <w:rFonts w:ascii="Atkinson Hyperlegible" w:eastAsia="Calibri" w:hAnsi="Atkinson Hyperlegible" w:cs="Arial"/>
          <w:szCs w:val="20"/>
        </w:rPr>
      </w:pPr>
    </w:p>
    <w:p w14:paraId="3B07B6EE" w14:textId="3A9F7483" w:rsidR="00654CB2" w:rsidRPr="00FF21F5" w:rsidRDefault="00D60CD2" w:rsidP="00654CB2">
      <w:pPr>
        <w:pStyle w:val="Titre2"/>
        <w:rPr>
          <w:rFonts w:ascii="Atkinson Hyperlegible" w:eastAsia="Calibri" w:hAnsi="Atkinson Hyperlegible"/>
        </w:rPr>
      </w:pPr>
      <w:bookmarkStart w:id="6" w:name="_Toc184749219"/>
      <w:bookmarkStart w:id="7" w:name="_Toc210057878"/>
      <w:r w:rsidRPr="00FF21F5">
        <w:rPr>
          <w:rFonts w:ascii="Atkinson Hyperlegible" w:eastAsia="Calibri" w:hAnsi="Atkinson Hyperlegible"/>
        </w:rPr>
        <w:t>3</w:t>
      </w:r>
      <w:r w:rsidR="00654CB2" w:rsidRPr="00FF21F5">
        <w:rPr>
          <w:rFonts w:ascii="Atkinson Hyperlegible" w:eastAsia="Calibri" w:hAnsi="Atkinson Hyperlegible"/>
        </w:rPr>
        <w:t>.3 – Nombre de journées de travail</w:t>
      </w:r>
      <w:bookmarkEnd w:id="6"/>
      <w:bookmarkEnd w:id="7"/>
      <w:r w:rsidR="00654CB2" w:rsidRPr="00FF21F5">
        <w:rPr>
          <w:rFonts w:ascii="Atkinson Hyperlegible" w:eastAsia="Calibri" w:hAnsi="Atkinson Hyperlegible"/>
        </w:rPr>
        <w:t xml:space="preserve"> </w:t>
      </w:r>
    </w:p>
    <w:p w14:paraId="320199C2" w14:textId="15B41D1C" w:rsidR="00654CB2" w:rsidRPr="00FF21F5" w:rsidRDefault="00654CB2" w:rsidP="00654CB2">
      <w:pPr>
        <w:pStyle w:val="Titre3"/>
        <w:rPr>
          <w:rFonts w:ascii="Atkinson Hyperlegible" w:hAnsi="Atkinson Hyperlegible"/>
        </w:rPr>
      </w:pPr>
      <w:r w:rsidRPr="00FF21F5">
        <w:rPr>
          <w:rFonts w:ascii="Atkinson Hyperlegible" w:hAnsi="Atkinson Hyperlegible"/>
        </w:rPr>
        <w:tab/>
      </w:r>
      <w:bookmarkStart w:id="8" w:name="_Toc184749220"/>
      <w:bookmarkStart w:id="9" w:name="_Toc210057879"/>
      <w:r w:rsidR="00D60CD2" w:rsidRPr="00FF21F5">
        <w:rPr>
          <w:rFonts w:ascii="Atkinson Hyperlegible" w:hAnsi="Atkinson Hyperlegible"/>
        </w:rPr>
        <w:t>3</w:t>
      </w:r>
      <w:r w:rsidRPr="00FF21F5">
        <w:rPr>
          <w:rFonts w:ascii="Atkinson Hyperlegible" w:hAnsi="Atkinson Hyperlegible"/>
        </w:rPr>
        <w:t>.3.1 – Période annuelle de référence</w:t>
      </w:r>
      <w:bookmarkEnd w:id="8"/>
      <w:bookmarkEnd w:id="9"/>
      <w:r w:rsidRPr="00FF21F5">
        <w:rPr>
          <w:rFonts w:ascii="Atkinson Hyperlegible" w:hAnsi="Atkinson Hyperlegible"/>
        </w:rPr>
        <w:t xml:space="preserve"> </w:t>
      </w:r>
    </w:p>
    <w:p w14:paraId="02748464" w14:textId="6DE1FE36" w:rsidR="00654CB2" w:rsidRPr="00FF21F5" w:rsidRDefault="00654CB2" w:rsidP="00654CB2">
      <w:pPr>
        <w:rPr>
          <w:rFonts w:ascii="Atkinson Hyperlegible" w:hAnsi="Atkinson Hyperlegible"/>
        </w:rPr>
      </w:pPr>
      <w:r w:rsidRPr="00FF21F5">
        <w:rPr>
          <w:rFonts w:ascii="Atkinson Hyperlegible" w:hAnsi="Atkinson Hyperlegible"/>
        </w:rPr>
        <w:t>La période annuelle de référence est celle de 12 mois consécutifs s’étendant du 1</w:t>
      </w:r>
      <w:r w:rsidRPr="00FF21F5">
        <w:rPr>
          <w:rFonts w:ascii="Atkinson Hyperlegible" w:hAnsi="Atkinson Hyperlegible"/>
          <w:vertAlign w:val="superscript"/>
        </w:rPr>
        <w:t>er</w:t>
      </w:r>
      <w:r w:rsidRPr="00FF21F5">
        <w:rPr>
          <w:rFonts w:ascii="Atkinson Hyperlegible" w:hAnsi="Atkinson Hyperlegible"/>
        </w:rPr>
        <w:t xml:space="preserve"> j</w:t>
      </w:r>
      <w:r w:rsidR="00742F8D" w:rsidRPr="00FF21F5">
        <w:rPr>
          <w:rFonts w:ascii="Atkinson Hyperlegible" w:hAnsi="Atkinson Hyperlegible"/>
        </w:rPr>
        <w:t xml:space="preserve">anvier </w:t>
      </w:r>
      <w:r w:rsidRPr="00FF21F5">
        <w:rPr>
          <w:rFonts w:ascii="Atkinson Hyperlegible" w:hAnsi="Atkinson Hyperlegible"/>
        </w:rPr>
        <w:t xml:space="preserve">au 31 </w:t>
      </w:r>
      <w:r w:rsidR="00742F8D" w:rsidRPr="00FF21F5">
        <w:rPr>
          <w:rFonts w:ascii="Atkinson Hyperlegible" w:hAnsi="Atkinson Hyperlegible"/>
        </w:rPr>
        <w:t>décembre</w:t>
      </w:r>
      <w:r w:rsidRPr="00FF21F5">
        <w:rPr>
          <w:rFonts w:ascii="Atkinson Hyperlegible" w:hAnsi="Atkinson Hyperlegible"/>
        </w:rPr>
        <w:t xml:space="preserve">. </w:t>
      </w:r>
    </w:p>
    <w:p w14:paraId="4B07ACCB" w14:textId="17C4975E" w:rsidR="00654CB2" w:rsidRPr="00FF21F5" w:rsidRDefault="00654CB2" w:rsidP="00654CB2">
      <w:pPr>
        <w:pStyle w:val="Titre3"/>
        <w:rPr>
          <w:rFonts w:ascii="Atkinson Hyperlegible" w:eastAsia="Calibri" w:hAnsi="Atkinson Hyperlegible"/>
        </w:rPr>
      </w:pPr>
      <w:r w:rsidRPr="00FF21F5">
        <w:rPr>
          <w:rFonts w:ascii="Atkinson Hyperlegible" w:eastAsia="Calibri" w:hAnsi="Atkinson Hyperlegible"/>
        </w:rPr>
        <w:tab/>
      </w:r>
      <w:bookmarkStart w:id="10" w:name="_Toc184749221"/>
      <w:bookmarkStart w:id="11" w:name="_Toc210057880"/>
      <w:r w:rsidR="00D60CD2" w:rsidRPr="00FF21F5">
        <w:rPr>
          <w:rFonts w:ascii="Atkinson Hyperlegible" w:eastAsia="Calibri" w:hAnsi="Atkinson Hyperlegible"/>
        </w:rPr>
        <w:t>3</w:t>
      </w:r>
      <w:r w:rsidRPr="00FF21F5">
        <w:rPr>
          <w:rFonts w:ascii="Atkinson Hyperlegible" w:eastAsia="Calibri" w:hAnsi="Atkinson Hyperlegible"/>
        </w:rPr>
        <w:t>.3.2 – Fixation du forfait</w:t>
      </w:r>
      <w:bookmarkEnd w:id="10"/>
      <w:bookmarkEnd w:id="11"/>
      <w:r w:rsidRPr="00FF21F5">
        <w:rPr>
          <w:rFonts w:ascii="Atkinson Hyperlegible" w:eastAsia="Calibri" w:hAnsi="Atkinson Hyperlegible"/>
        </w:rPr>
        <w:t xml:space="preserve"> </w:t>
      </w:r>
    </w:p>
    <w:p w14:paraId="0FC807E3" w14:textId="3FB84695" w:rsidR="00D253AE" w:rsidRPr="00FF21F5" w:rsidRDefault="00D253AE" w:rsidP="00654CB2">
      <w:pPr>
        <w:rPr>
          <w:rFonts w:ascii="Atkinson Hyperlegible" w:hAnsi="Atkinson Hyperlegible"/>
        </w:rPr>
      </w:pPr>
      <w:r w:rsidRPr="004C6D76">
        <w:rPr>
          <w:rFonts w:ascii="Atkinson Hyperlegible" w:hAnsi="Atkinson Hyperlegible"/>
        </w:rPr>
        <w:t>Par dérogation plus favorable aux dispositions de la CCN du Tourisme (IDCC 1909) fixant le plafond à 210 jours, le nombre de jours travaillés au titre de la convention de forfait en jours est arrêté à 203 jours pour la période de référence, comprenant un jour au titre de la journée de solidarité.</w:t>
      </w:r>
      <w:r w:rsidR="002B161A">
        <w:rPr>
          <w:rFonts w:ascii="Atkinson Hyperlegible" w:hAnsi="Atkinson Hyperlegible"/>
        </w:rPr>
        <w:t xml:space="preserve"> </w:t>
      </w:r>
      <w:r w:rsidR="002B161A" w:rsidRPr="002B161A">
        <w:rPr>
          <w:rFonts w:ascii="Atkinson Hyperlegible" w:hAnsi="Atkinson Hyperlegible"/>
        </w:rPr>
        <w:t xml:space="preserve">Il est rappelé que </w:t>
      </w:r>
      <w:r w:rsidR="002B161A">
        <w:rPr>
          <w:rFonts w:ascii="Atkinson Hyperlegible" w:hAnsi="Atkinson Hyperlegible"/>
        </w:rPr>
        <w:t>le présent avenant</w:t>
      </w:r>
      <w:r w:rsidR="002B161A" w:rsidRPr="002B161A">
        <w:rPr>
          <w:rFonts w:ascii="Atkinson Hyperlegible" w:hAnsi="Atkinson Hyperlegible"/>
        </w:rPr>
        <w:t xml:space="preserve"> ne prévoit pas de forfait en jours réduit : le forfait applicable est fixé uniformément à 203 jours travaillés sur la période de référence.</w:t>
      </w:r>
    </w:p>
    <w:p w14:paraId="3338B87C" w14:textId="77777777" w:rsidR="00D253AE" w:rsidRPr="00FF21F5" w:rsidRDefault="00D253AE" w:rsidP="00654CB2">
      <w:pPr>
        <w:rPr>
          <w:rFonts w:ascii="Atkinson Hyperlegible" w:eastAsia="Calibri" w:hAnsi="Atkinson Hyperlegible" w:cs="Arial"/>
          <w:szCs w:val="20"/>
        </w:rPr>
      </w:pPr>
    </w:p>
    <w:p w14:paraId="6E8F39EB" w14:textId="77777777" w:rsidR="00CF77C3" w:rsidRPr="00FF21F5" w:rsidRDefault="00654CB2" w:rsidP="00654CB2">
      <w:pPr>
        <w:rPr>
          <w:rFonts w:ascii="Atkinson Hyperlegible" w:eastAsia="Calibri" w:hAnsi="Atkinson Hyperlegible" w:cs="Arial"/>
          <w:szCs w:val="20"/>
        </w:rPr>
      </w:pPr>
      <w:r w:rsidRPr="00FF21F5">
        <w:rPr>
          <w:rFonts w:ascii="Atkinson Hyperlegible" w:eastAsia="Calibri" w:hAnsi="Atkinson Hyperlegible" w:cs="Arial"/>
          <w:szCs w:val="20"/>
        </w:rPr>
        <w:t xml:space="preserve">Ce nombre de jours est applicable aux salariés </w:t>
      </w:r>
      <w:r w:rsidR="00CF77C3" w:rsidRPr="00FF21F5">
        <w:rPr>
          <w:rFonts w:ascii="Atkinson Hyperlegible" w:eastAsia="Calibri" w:hAnsi="Atkinson Hyperlegible" w:cs="Arial"/>
          <w:szCs w:val="20"/>
        </w:rPr>
        <w:t xml:space="preserve">qui ont acquis 30 jours ouvrés de congés payés en N-1. </w:t>
      </w:r>
    </w:p>
    <w:p w14:paraId="5076F97F" w14:textId="65695067" w:rsidR="00654CB2" w:rsidRPr="00FF21F5" w:rsidRDefault="00CF77C3" w:rsidP="00654CB2">
      <w:pPr>
        <w:rPr>
          <w:rFonts w:ascii="Atkinson Hyperlegible" w:eastAsia="Calibri" w:hAnsi="Atkinson Hyperlegible" w:cs="Arial"/>
          <w:szCs w:val="20"/>
        </w:rPr>
      </w:pPr>
      <w:r w:rsidRPr="00FF21F5">
        <w:rPr>
          <w:rFonts w:ascii="Atkinson Hyperlegible" w:eastAsia="Calibri" w:hAnsi="Atkinson Hyperlegible" w:cs="Arial"/>
          <w:szCs w:val="20"/>
        </w:rPr>
        <w:t>A l’inverse</w:t>
      </w:r>
      <w:r w:rsidR="00654CB2" w:rsidRPr="00FF21F5">
        <w:rPr>
          <w:rFonts w:ascii="Atkinson Hyperlegible" w:eastAsia="Calibri" w:hAnsi="Atkinson Hyperlegible" w:cs="Arial"/>
          <w:szCs w:val="20"/>
        </w:rPr>
        <w:t>, ce nombre de jours est réduit du nombre de jours de congés payés supplémentaires dont bénéficie un salarié</w:t>
      </w:r>
      <w:r w:rsidR="00D87409" w:rsidRPr="00FF21F5">
        <w:rPr>
          <w:rFonts w:ascii="Atkinson Hyperlegible" w:eastAsia="Calibri" w:hAnsi="Atkinson Hyperlegible" w:cs="Arial"/>
          <w:szCs w:val="20"/>
        </w:rPr>
        <w:t>, notamment en cas de report dans les conditions prévues par l’article</w:t>
      </w:r>
      <w:r w:rsidR="009B4CDC" w:rsidRPr="00FF21F5">
        <w:rPr>
          <w:rFonts w:ascii="Atkinson Hyperlegible" w:hAnsi="Atkinson Hyperlegible"/>
        </w:rPr>
        <w:t xml:space="preserve"> </w:t>
      </w:r>
      <w:r w:rsidR="009B4CDC" w:rsidRPr="00FF21F5">
        <w:rPr>
          <w:rFonts w:ascii="Atkinson Hyperlegible" w:eastAsia="Calibri" w:hAnsi="Atkinson Hyperlegible" w:cs="Arial"/>
          <w:szCs w:val="20"/>
        </w:rPr>
        <w:t>L3141-19-1 du code du travail</w:t>
      </w:r>
      <w:r w:rsidR="00654CB2" w:rsidRPr="00FF21F5">
        <w:rPr>
          <w:rFonts w:ascii="Atkinson Hyperlegible" w:eastAsia="Calibri" w:hAnsi="Atkinson Hyperlegible" w:cs="Arial"/>
          <w:szCs w:val="20"/>
        </w:rPr>
        <w:t>.</w:t>
      </w:r>
    </w:p>
    <w:p w14:paraId="7F4E6F40" w14:textId="77777777" w:rsidR="00654CB2" w:rsidRPr="00FF21F5" w:rsidRDefault="00654CB2" w:rsidP="00654CB2">
      <w:pPr>
        <w:rPr>
          <w:rFonts w:ascii="Atkinson Hyperlegible" w:eastAsia="Calibri" w:hAnsi="Atkinson Hyperlegible" w:cs="Arial"/>
          <w:szCs w:val="20"/>
        </w:rPr>
      </w:pPr>
      <w:r w:rsidRPr="00FF21F5">
        <w:rPr>
          <w:rFonts w:ascii="Atkinson Hyperlegible" w:eastAsia="Calibri" w:hAnsi="Atkinson Hyperlegible" w:cs="Arial"/>
          <w:szCs w:val="20"/>
        </w:rPr>
        <w:t>Pour les salariés ne bénéficiant pas d’un droit intégral à congés payés, le nombre de jours de travail est augmenté du nombre de jours de congés payés manquant pour atteindre un congé annuel intégral. Cette règle ne s’applique pas aux salariés entrant en cours de période auxquels un calcul spécifique est appliqué.</w:t>
      </w:r>
    </w:p>
    <w:p w14:paraId="0363E966" w14:textId="7712FB9F" w:rsidR="00654CB2" w:rsidRPr="00FF21F5" w:rsidRDefault="00654CB2" w:rsidP="006D6889">
      <w:pPr>
        <w:pStyle w:val="Titre3"/>
        <w:rPr>
          <w:rFonts w:ascii="Atkinson Hyperlegible" w:eastAsia="Calibri" w:hAnsi="Atkinson Hyperlegible" w:cs="Arial"/>
          <w:szCs w:val="20"/>
        </w:rPr>
      </w:pPr>
      <w:r w:rsidRPr="00FF21F5">
        <w:rPr>
          <w:rFonts w:ascii="Atkinson Hyperlegible" w:eastAsia="Calibri" w:hAnsi="Atkinson Hyperlegible"/>
        </w:rPr>
        <w:tab/>
      </w:r>
      <w:r w:rsidRPr="00FF21F5">
        <w:rPr>
          <w:rFonts w:ascii="Atkinson Hyperlegible" w:eastAsia="Calibri" w:hAnsi="Atkinson Hyperlegible" w:cs="Arial"/>
          <w:szCs w:val="20"/>
        </w:rPr>
        <w:t xml:space="preserve"> </w:t>
      </w:r>
    </w:p>
    <w:p w14:paraId="2AFDB337" w14:textId="326E79A6" w:rsidR="00654CB2" w:rsidRPr="00FF21F5" w:rsidRDefault="00654CB2" w:rsidP="00654CB2">
      <w:pPr>
        <w:pStyle w:val="Titre3"/>
        <w:rPr>
          <w:rFonts w:ascii="Atkinson Hyperlegible" w:eastAsia="Calibri" w:hAnsi="Atkinson Hyperlegible"/>
        </w:rPr>
      </w:pPr>
      <w:r w:rsidRPr="00FF21F5">
        <w:rPr>
          <w:rFonts w:ascii="Atkinson Hyperlegible" w:eastAsia="Calibri" w:hAnsi="Atkinson Hyperlegible"/>
        </w:rPr>
        <w:tab/>
      </w:r>
      <w:bookmarkStart w:id="12" w:name="_Toc184749223"/>
      <w:bookmarkStart w:id="13" w:name="_Toc210057881"/>
      <w:r w:rsidR="00D60CD2" w:rsidRPr="00FF21F5">
        <w:rPr>
          <w:rFonts w:ascii="Atkinson Hyperlegible" w:eastAsia="Calibri" w:hAnsi="Atkinson Hyperlegible"/>
        </w:rPr>
        <w:t>3</w:t>
      </w:r>
      <w:r w:rsidRPr="00FF21F5">
        <w:rPr>
          <w:rFonts w:ascii="Atkinson Hyperlegible" w:eastAsia="Calibri" w:hAnsi="Atkinson Hyperlegible"/>
        </w:rPr>
        <w:t>.3.</w:t>
      </w:r>
      <w:r w:rsidR="006D6889" w:rsidRPr="00FF21F5">
        <w:rPr>
          <w:rFonts w:ascii="Atkinson Hyperlegible" w:eastAsia="Calibri" w:hAnsi="Atkinson Hyperlegible"/>
        </w:rPr>
        <w:t>3</w:t>
      </w:r>
      <w:r w:rsidRPr="00FF21F5">
        <w:rPr>
          <w:rFonts w:ascii="Atkinson Hyperlegible" w:eastAsia="Calibri" w:hAnsi="Atkinson Hyperlegible"/>
        </w:rPr>
        <w:t xml:space="preserve"> – Jours de repos liés au forfait</w:t>
      </w:r>
      <w:bookmarkEnd w:id="12"/>
      <w:bookmarkEnd w:id="13"/>
      <w:r w:rsidRPr="00FF21F5">
        <w:rPr>
          <w:rFonts w:ascii="Atkinson Hyperlegible" w:eastAsia="Calibri" w:hAnsi="Atkinson Hyperlegible"/>
        </w:rPr>
        <w:t xml:space="preserve"> </w:t>
      </w:r>
    </w:p>
    <w:p w14:paraId="3B6C63AF" w14:textId="77777777" w:rsidR="007A2371" w:rsidRPr="00FF21F5" w:rsidRDefault="00654CB2" w:rsidP="00654CB2">
      <w:pPr>
        <w:rPr>
          <w:rFonts w:ascii="Atkinson Hyperlegible" w:eastAsia="Calibri" w:hAnsi="Atkinson Hyperlegible" w:cs="Arial"/>
          <w:szCs w:val="20"/>
        </w:rPr>
      </w:pPr>
      <w:r w:rsidRPr="00FF21F5">
        <w:rPr>
          <w:rFonts w:ascii="Atkinson Hyperlegible" w:eastAsia="Calibri" w:hAnsi="Atkinson Hyperlegible" w:cs="Arial"/>
          <w:szCs w:val="20"/>
        </w:rPr>
        <w:t xml:space="preserve">L’application d’une convention de forfait en jours ouvre au salarié le bénéfice de jours de repos </w:t>
      </w:r>
      <w:r w:rsidR="007A2371" w:rsidRPr="00FF21F5">
        <w:rPr>
          <w:rFonts w:ascii="Atkinson Hyperlegible" w:eastAsia="Calibri" w:hAnsi="Atkinson Hyperlegible" w:cs="Arial"/>
          <w:szCs w:val="20"/>
        </w:rPr>
        <w:t>supplémentaires (dits « RTT »), en complément des jours de repos hebdomadaires, des congés payés légaux et conventionnels, ainsi que des jours fériés chômés.</w:t>
      </w:r>
    </w:p>
    <w:p w14:paraId="2D9058F6" w14:textId="0ED60279" w:rsidR="00FA1A33" w:rsidRPr="00FF21F5" w:rsidRDefault="007A2371" w:rsidP="00654CB2">
      <w:pPr>
        <w:rPr>
          <w:rFonts w:ascii="Atkinson Hyperlegible" w:eastAsia="Calibri" w:hAnsi="Atkinson Hyperlegible" w:cs="Arial"/>
          <w:szCs w:val="20"/>
        </w:rPr>
      </w:pPr>
      <w:r w:rsidRPr="00FF21F5">
        <w:rPr>
          <w:rFonts w:ascii="Atkinson Hyperlegible" w:eastAsia="Calibri" w:hAnsi="Atkinson Hyperlegible" w:cs="Arial"/>
          <w:szCs w:val="20"/>
        </w:rPr>
        <w:t xml:space="preserve">Le nombre de jours de repos est déterminé chaque année civile, en déduisant du nombre total de jours de l’année </w:t>
      </w:r>
      <w:r w:rsidR="00654CB2" w:rsidRPr="00FF21F5">
        <w:rPr>
          <w:rFonts w:ascii="Atkinson Hyperlegible" w:eastAsia="Calibri" w:hAnsi="Atkinson Hyperlegible" w:cs="Arial"/>
          <w:szCs w:val="20"/>
        </w:rPr>
        <w:t>(365 ou 366 les années bissextiles)</w:t>
      </w:r>
      <w:r w:rsidR="00EE5FBB" w:rsidRPr="00FF21F5">
        <w:rPr>
          <w:rFonts w:ascii="Atkinson Hyperlegible" w:eastAsia="Calibri" w:hAnsi="Atkinson Hyperlegible" w:cs="Arial"/>
          <w:szCs w:val="20"/>
        </w:rPr>
        <w:t xml:space="preserve"> : </w:t>
      </w:r>
    </w:p>
    <w:p w14:paraId="16A971D1" w14:textId="77777777" w:rsidR="00654CB2" w:rsidRPr="00FF21F5" w:rsidRDefault="00654CB2" w:rsidP="00AC6293">
      <w:pPr>
        <w:pStyle w:val="Paragraphedeliste"/>
        <w:numPr>
          <w:ilvl w:val="0"/>
          <w:numId w:val="5"/>
        </w:numPr>
        <w:rPr>
          <w:rFonts w:ascii="Atkinson Hyperlegible" w:eastAsia="Calibri" w:hAnsi="Atkinson Hyperlegible" w:cs="Arial"/>
          <w:szCs w:val="20"/>
        </w:rPr>
      </w:pPr>
      <w:proofErr w:type="gramStart"/>
      <w:r w:rsidRPr="00FF21F5">
        <w:rPr>
          <w:rFonts w:ascii="Atkinson Hyperlegible" w:eastAsia="Calibri" w:hAnsi="Atkinson Hyperlegible" w:cs="Arial"/>
          <w:szCs w:val="20"/>
        </w:rPr>
        <w:t>le</w:t>
      </w:r>
      <w:proofErr w:type="gramEnd"/>
      <w:r w:rsidRPr="00FF21F5">
        <w:rPr>
          <w:rFonts w:ascii="Atkinson Hyperlegible" w:eastAsia="Calibri" w:hAnsi="Atkinson Hyperlegible" w:cs="Arial"/>
          <w:szCs w:val="20"/>
        </w:rPr>
        <w:t xml:space="preserve"> nombre de samedi et de dimanche ;</w:t>
      </w:r>
    </w:p>
    <w:p w14:paraId="7D800DD4" w14:textId="77777777" w:rsidR="00654CB2" w:rsidRPr="00FF21F5" w:rsidRDefault="00654CB2" w:rsidP="00AC6293">
      <w:pPr>
        <w:pStyle w:val="Paragraphedeliste"/>
        <w:numPr>
          <w:ilvl w:val="0"/>
          <w:numId w:val="5"/>
        </w:numPr>
        <w:rPr>
          <w:rFonts w:ascii="Atkinson Hyperlegible" w:eastAsia="Calibri" w:hAnsi="Atkinson Hyperlegible" w:cs="Arial"/>
          <w:szCs w:val="20"/>
        </w:rPr>
      </w:pPr>
      <w:proofErr w:type="gramStart"/>
      <w:r w:rsidRPr="00FF21F5">
        <w:rPr>
          <w:rFonts w:ascii="Atkinson Hyperlegible" w:eastAsia="Calibri" w:hAnsi="Atkinson Hyperlegible" w:cs="Arial"/>
          <w:szCs w:val="20"/>
        </w:rPr>
        <w:t>les</w:t>
      </w:r>
      <w:proofErr w:type="gramEnd"/>
      <w:r w:rsidRPr="00FF21F5">
        <w:rPr>
          <w:rFonts w:ascii="Atkinson Hyperlegible" w:eastAsia="Calibri" w:hAnsi="Atkinson Hyperlegible" w:cs="Arial"/>
          <w:szCs w:val="20"/>
        </w:rPr>
        <w:t xml:space="preserve"> jours fériés chômés ne coïncidant pas avec un samedi ou un dimanche ;</w:t>
      </w:r>
    </w:p>
    <w:p w14:paraId="349F72FB" w14:textId="165AB3EE" w:rsidR="00654CB2" w:rsidRPr="00FF21F5" w:rsidRDefault="009B4CDC" w:rsidP="00AC6293">
      <w:pPr>
        <w:pStyle w:val="Paragraphedeliste"/>
        <w:numPr>
          <w:ilvl w:val="0"/>
          <w:numId w:val="5"/>
        </w:numPr>
        <w:rPr>
          <w:rFonts w:ascii="Atkinson Hyperlegible" w:eastAsia="Calibri" w:hAnsi="Atkinson Hyperlegible" w:cs="Arial"/>
          <w:szCs w:val="20"/>
        </w:rPr>
      </w:pPr>
      <w:r w:rsidRPr="00FF21F5">
        <w:rPr>
          <w:rFonts w:ascii="Atkinson Hyperlegible" w:eastAsia="Calibri" w:hAnsi="Atkinson Hyperlegible" w:cs="Arial"/>
          <w:szCs w:val="20"/>
        </w:rPr>
        <w:t>30</w:t>
      </w:r>
      <w:r w:rsidR="00654CB2" w:rsidRPr="00FF21F5">
        <w:rPr>
          <w:rFonts w:ascii="Atkinson Hyperlegible" w:eastAsia="Calibri" w:hAnsi="Atkinson Hyperlegible" w:cs="Arial"/>
          <w:szCs w:val="20"/>
        </w:rPr>
        <w:t xml:space="preserve"> jours ouvrés de congés légaux annuels ;</w:t>
      </w:r>
    </w:p>
    <w:p w14:paraId="640ACF7D" w14:textId="1B6496CF" w:rsidR="00654CB2" w:rsidRPr="00FF21F5" w:rsidRDefault="00654CB2" w:rsidP="008D74DD">
      <w:pPr>
        <w:pStyle w:val="Paragraphedeliste"/>
        <w:numPr>
          <w:ilvl w:val="0"/>
          <w:numId w:val="5"/>
        </w:numPr>
        <w:rPr>
          <w:rFonts w:ascii="Atkinson Hyperlegible" w:eastAsia="Calibri" w:hAnsi="Atkinson Hyperlegible" w:cs="Arial"/>
          <w:szCs w:val="20"/>
        </w:rPr>
      </w:pPr>
      <w:proofErr w:type="gramStart"/>
      <w:r w:rsidRPr="00FF21F5">
        <w:rPr>
          <w:rFonts w:ascii="Atkinson Hyperlegible" w:eastAsia="Calibri" w:hAnsi="Atkinson Hyperlegible" w:cs="Arial"/>
          <w:szCs w:val="20"/>
        </w:rPr>
        <w:t>le</w:t>
      </w:r>
      <w:proofErr w:type="gramEnd"/>
      <w:r w:rsidRPr="00FF21F5">
        <w:rPr>
          <w:rFonts w:ascii="Atkinson Hyperlegible" w:eastAsia="Calibri" w:hAnsi="Atkinson Hyperlegible" w:cs="Arial"/>
          <w:szCs w:val="20"/>
        </w:rPr>
        <w:t xml:space="preserve"> forfait de</w:t>
      </w:r>
      <w:r w:rsidR="00742F8D" w:rsidRPr="00FF21F5">
        <w:rPr>
          <w:rFonts w:ascii="Atkinson Hyperlegible" w:eastAsia="Calibri" w:hAnsi="Atkinson Hyperlegible" w:cs="Arial"/>
          <w:szCs w:val="20"/>
        </w:rPr>
        <w:t xml:space="preserve"> </w:t>
      </w:r>
      <w:r w:rsidR="008D74DD" w:rsidRPr="00FF21F5">
        <w:rPr>
          <w:rFonts w:ascii="Atkinson Hyperlegible" w:eastAsia="Calibri" w:hAnsi="Atkinson Hyperlegible" w:cs="Arial"/>
          <w:szCs w:val="20"/>
        </w:rPr>
        <w:t xml:space="preserve">203 </w:t>
      </w:r>
      <w:r w:rsidRPr="00FF21F5">
        <w:rPr>
          <w:rFonts w:ascii="Atkinson Hyperlegible" w:eastAsia="Calibri" w:hAnsi="Atkinson Hyperlegible" w:cs="Arial"/>
          <w:szCs w:val="20"/>
        </w:rPr>
        <w:t>jours</w:t>
      </w:r>
      <w:r w:rsidR="007A2371" w:rsidRPr="00FF21F5">
        <w:rPr>
          <w:rFonts w:ascii="Atkinson Hyperlegible" w:eastAsia="Calibri" w:hAnsi="Atkinson Hyperlegible" w:cs="Arial"/>
          <w:szCs w:val="20"/>
        </w:rPr>
        <w:t xml:space="preserve"> de travail effectif</w:t>
      </w:r>
      <w:r w:rsidR="00742F8D" w:rsidRPr="00FF21F5">
        <w:rPr>
          <w:rFonts w:ascii="Atkinson Hyperlegible" w:eastAsia="Calibri" w:hAnsi="Atkinson Hyperlegible" w:cs="Arial"/>
          <w:szCs w:val="20"/>
        </w:rPr>
        <w:t>.</w:t>
      </w:r>
    </w:p>
    <w:p w14:paraId="0DE3FAF0" w14:textId="73BFFEC1" w:rsidR="007A2371" w:rsidRPr="00FF21F5" w:rsidRDefault="007A2371" w:rsidP="009B4CDC">
      <w:pPr>
        <w:rPr>
          <w:rFonts w:ascii="Atkinson Hyperlegible" w:eastAsia="Calibri" w:hAnsi="Atkinson Hyperlegible" w:cs="Arial"/>
          <w:szCs w:val="20"/>
        </w:rPr>
      </w:pPr>
      <w:r w:rsidRPr="00FF21F5">
        <w:rPr>
          <w:rFonts w:ascii="Atkinson Hyperlegible" w:eastAsia="Calibri" w:hAnsi="Atkinson Hyperlegible" w:cs="Arial"/>
          <w:szCs w:val="20"/>
        </w:rPr>
        <w:lastRenderedPageBreak/>
        <w:t>Dans l’hypothèse où le salarié justifie avoir déjà accompli une journée de solidarité au titre d’une autre activité salariée au cours de l’année civile, le 20</w:t>
      </w:r>
      <w:r w:rsidR="00FA1A33" w:rsidRPr="00FF21F5">
        <w:rPr>
          <w:rFonts w:ascii="Atkinson Hyperlegible" w:eastAsia="Calibri" w:hAnsi="Atkinson Hyperlegible" w:cs="Arial"/>
          <w:szCs w:val="20"/>
        </w:rPr>
        <w:t>3</w:t>
      </w:r>
      <w:r w:rsidRPr="00FF21F5">
        <w:rPr>
          <w:rFonts w:eastAsia="Calibri"/>
          <w:szCs w:val="20"/>
        </w:rPr>
        <w:t>ᵉ</w:t>
      </w:r>
      <w:r w:rsidRPr="00FF21F5">
        <w:rPr>
          <w:rFonts w:ascii="Atkinson Hyperlegible" w:eastAsia="Calibri" w:hAnsi="Atkinson Hyperlegible" w:cs="Arial"/>
          <w:szCs w:val="20"/>
        </w:rPr>
        <w:t xml:space="preserve"> jour n’a pas à être travaillé et un jour de repos supplémentaire est attribué au salarié.</w:t>
      </w:r>
    </w:p>
    <w:p w14:paraId="05C2B3AF" w14:textId="1AD39E36" w:rsidR="00381FDC" w:rsidRPr="00FF21F5" w:rsidRDefault="00381FDC" w:rsidP="00381FDC">
      <w:pPr>
        <w:rPr>
          <w:rFonts w:ascii="Atkinson Hyperlegible" w:eastAsia="Calibri" w:hAnsi="Atkinson Hyperlegible" w:cs="Arial"/>
          <w:szCs w:val="20"/>
        </w:rPr>
      </w:pPr>
      <w:r w:rsidRPr="00FF21F5">
        <w:rPr>
          <w:rFonts w:ascii="Atkinson Hyperlegible" w:eastAsia="Calibri" w:hAnsi="Atkinson Hyperlegible" w:cs="Arial"/>
          <w:szCs w:val="20"/>
        </w:rPr>
        <w:t xml:space="preserve">Les jours de repos liés au forfait peuvent être pris par </w:t>
      </w:r>
      <w:r w:rsidR="001C37DD" w:rsidRPr="00FF21F5">
        <w:rPr>
          <w:rFonts w:ascii="Atkinson Hyperlegible" w:eastAsia="Calibri" w:hAnsi="Atkinson Hyperlegible" w:cs="Arial"/>
          <w:szCs w:val="20"/>
        </w:rPr>
        <w:t xml:space="preserve">journée </w:t>
      </w:r>
      <w:r w:rsidR="00FA1A33" w:rsidRPr="00FF21F5">
        <w:rPr>
          <w:rFonts w:ascii="Atkinson Hyperlegible" w:eastAsia="Calibri" w:hAnsi="Atkinson Hyperlegible" w:cs="Arial"/>
          <w:szCs w:val="20"/>
        </w:rPr>
        <w:t>et demi-journée</w:t>
      </w:r>
      <w:r w:rsidRPr="00FF21F5">
        <w:rPr>
          <w:rFonts w:ascii="Atkinson Hyperlegible" w:eastAsia="Calibri" w:hAnsi="Atkinson Hyperlegible" w:cs="Arial"/>
          <w:szCs w:val="20"/>
        </w:rPr>
        <w:t>, à l’initiative du salarié, dans le respect de l’autonomie liée à l’organisation de son temps de travail.</w:t>
      </w:r>
    </w:p>
    <w:p w14:paraId="20641D06" w14:textId="394B9D73" w:rsidR="00381FDC" w:rsidRPr="00FF21F5" w:rsidRDefault="00381FDC" w:rsidP="009B4CDC">
      <w:pPr>
        <w:rPr>
          <w:rFonts w:ascii="Atkinson Hyperlegible" w:eastAsia="Calibri" w:hAnsi="Atkinson Hyperlegible" w:cs="Arial"/>
          <w:szCs w:val="20"/>
        </w:rPr>
      </w:pPr>
      <w:r w:rsidRPr="00FF21F5">
        <w:rPr>
          <w:rFonts w:ascii="Atkinson Hyperlegible" w:eastAsia="Calibri" w:hAnsi="Atkinson Hyperlegible" w:cs="Arial"/>
          <w:szCs w:val="20"/>
        </w:rPr>
        <w:t>Il est expressément convenu que ces jours ne peuvent être posés sur des journées pour lesquelles la présence du salarié est requise en raison de contraintes spécifiques liées à l’activité de l’entreprise (réunions, évènement, coordination, etc.). En dehors de ces exigences ponctuelles, le salarié demeure libre d’organiser ses horaires de travail au sein des journées travaillées.</w:t>
      </w:r>
    </w:p>
    <w:p w14:paraId="0DC6D31E" w14:textId="0C0D3A04" w:rsidR="00654CB2" w:rsidRPr="00FF21F5" w:rsidRDefault="00654CB2" w:rsidP="00654CB2">
      <w:pPr>
        <w:rPr>
          <w:rFonts w:ascii="Atkinson Hyperlegible" w:eastAsia="Calibri" w:hAnsi="Atkinson Hyperlegible" w:cs="Arial"/>
          <w:szCs w:val="20"/>
        </w:rPr>
      </w:pPr>
      <w:r w:rsidRPr="00FF21F5">
        <w:rPr>
          <w:rFonts w:ascii="Atkinson Hyperlegible" w:eastAsia="Calibri" w:hAnsi="Atkinson Hyperlegible" w:cs="Arial"/>
          <w:szCs w:val="20"/>
        </w:rPr>
        <w:t>L</w:t>
      </w:r>
      <w:r w:rsidR="009B4CDC" w:rsidRPr="00FF21F5">
        <w:rPr>
          <w:rFonts w:ascii="Atkinson Hyperlegible" w:eastAsia="Calibri" w:hAnsi="Atkinson Hyperlegible" w:cs="Arial"/>
          <w:szCs w:val="20"/>
        </w:rPr>
        <w:t>a totalité des</w:t>
      </w:r>
      <w:r w:rsidRPr="00FF21F5">
        <w:rPr>
          <w:rFonts w:ascii="Atkinson Hyperlegible" w:eastAsia="Calibri" w:hAnsi="Atkinson Hyperlegible" w:cs="Arial"/>
          <w:szCs w:val="20"/>
        </w:rPr>
        <w:t xml:space="preserve"> jours de repos doivent avoir été pris au</w:t>
      </w:r>
      <w:r w:rsidR="009B4CDC" w:rsidRPr="00FF21F5">
        <w:rPr>
          <w:rFonts w:ascii="Atkinson Hyperlegible" w:eastAsia="Calibri" w:hAnsi="Atkinson Hyperlegible" w:cs="Arial"/>
          <w:szCs w:val="20"/>
        </w:rPr>
        <w:t xml:space="preserve"> terme </w:t>
      </w:r>
      <w:r w:rsidRPr="00FF21F5">
        <w:rPr>
          <w:rFonts w:ascii="Atkinson Hyperlegible" w:eastAsia="Calibri" w:hAnsi="Atkinson Hyperlegible" w:cs="Arial"/>
          <w:szCs w:val="20"/>
        </w:rPr>
        <w:t>de la période de référence. A défaut</w:t>
      </w:r>
      <w:r w:rsidR="009B4CDC" w:rsidRPr="00FF21F5">
        <w:rPr>
          <w:rFonts w:ascii="Atkinson Hyperlegible" w:eastAsia="Calibri" w:hAnsi="Atkinson Hyperlegible" w:cs="Arial"/>
          <w:szCs w:val="20"/>
        </w:rPr>
        <w:t>,</w:t>
      </w:r>
      <w:r w:rsidRPr="00FF21F5">
        <w:rPr>
          <w:rFonts w:ascii="Atkinson Hyperlegible" w:eastAsia="Calibri" w:hAnsi="Atkinson Hyperlegible" w:cs="Arial"/>
          <w:szCs w:val="20"/>
        </w:rPr>
        <w:t xml:space="preserve"> ils ne peuvent être </w:t>
      </w:r>
      <w:r w:rsidR="00841909" w:rsidRPr="00FF21F5">
        <w:rPr>
          <w:rFonts w:ascii="Atkinson Hyperlegible" w:eastAsia="Calibri" w:hAnsi="Atkinson Hyperlegible" w:cs="Arial"/>
          <w:szCs w:val="20"/>
        </w:rPr>
        <w:t xml:space="preserve">ni </w:t>
      </w:r>
      <w:r w:rsidRPr="00FF21F5">
        <w:rPr>
          <w:rFonts w:ascii="Atkinson Hyperlegible" w:eastAsia="Calibri" w:hAnsi="Atkinson Hyperlegible" w:cs="Arial"/>
          <w:szCs w:val="20"/>
        </w:rPr>
        <w:t>reportés</w:t>
      </w:r>
      <w:r w:rsidR="009B4CDC" w:rsidRPr="00FF21F5">
        <w:rPr>
          <w:rFonts w:ascii="Atkinson Hyperlegible" w:eastAsia="Calibri" w:hAnsi="Atkinson Hyperlegible" w:cs="Arial"/>
          <w:szCs w:val="20"/>
        </w:rPr>
        <w:t>,</w:t>
      </w:r>
      <w:r w:rsidRPr="00FF21F5">
        <w:rPr>
          <w:rFonts w:ascii="Atkinson Hyperlegible" w:eastAsia="Calibri" w:hAnsi="Atkinson Hyperlegible" w:cs="Arial"/>
          <w:szCs w:val="20"/>
        </w:rPr>
        <w:t xml:space="preserve"> ni indemnisés</w:t>
      </w:r>
      <w:r w:rsidR="0059664E" w:rsidRPr="00FF21F5">
        <w:rPr>
          <w:rFonts w:ascii="Atkinson Hyperlegible" w:eastAsia="Calibri" w:hAnsi="Atkinson Hyperlegible" w:cs="Arial"/>
          <w:szCs w:val="20"/>
        </w:rPr>
        <w:t xml:space="preserve">. </w:t>
      </w:r>
    </w:p>
    <w:p w14:paraId="1F9DDE2C" w14:textId="331D1AFC" w:rsidR="00654CB2" w:rsidRPr="00FF21F5" w:rsidRDefault="00654CB2" w:rsidP="00654CB2">
      <w:pPr>
        <w:pStyle w:val="Titre3"/>
        <w:rPr>
          <w:rFonts w:ascii="Atkinson Hyperlegible" w:eastAsia="Calibri" w:hAnsi="Atkinson Hyperlegible"/>
        </w:rPr>
      </w:pPr>
      <w:r w:rsidRPr="00FF21F5">
        <w:rPr>
          <w:rFonts w:ascii="Atkinson Hyperlegible" w:eastAsia="Calibri" w:hAnsi="Atkinson Hyperlegible"/>
        </w:rPr>
        <w:tab/>
      </w:r>
      <w:bookmarkStart w:id="14" w:name="_Toc184749224"/>
      <w:bookmarkStart w:id="15" w:name="_Toc210057882"/>
      <w:r w:rsidR="0059664E" w:rsidRPr="00FF21F5">
        <w:rPr>
          <w:rFonts w:ascii="Atkinson Hyperlegible" w:eastAsia="Calibri" w:hAnsi="Atkinson Hyperlegible"/>
        </w:rPr>
        <w:t>3</w:t>
      </w:r>
      <w:r w:rsidRPr="00FF21F5">
        <w:rPr>
          <w:rFonts w:ascii="Atkinson Hyperlegible" w:eastAsia="Calibri" w:hAnsi="Atkinson Hyperlegible"/>
        </w:rPr>
        <w:t>.3.</w:t>
      </w:r>
      <w:r w:rsidR="007E59B1" w:rsidRPr="00FF21F5">
        <w:rPr>
          <w:rFonts w:ascii="Atkinson Hyperlegible" w:eastAsia="Calibri" w:hAnsi="Atkinson Hyperlegible"/>
        </w:rPr>
        <w:t>4</w:t>
      </w:r>
      <w:r w:rsidRPr="00FF21F5">
        <w:rPr>
          <w:rFonts w:ascii="Atkinson Hyperlegible" w:eastAsia="Calibri" w:hAnsi="Atkinson Hyperlegible"/>
        </w:rPr>
        <w:t>– Renonciation à des jours de repos</w:t>
      </w:r>
      <w:bookmarkEnd w:id="14"/>
      <w:bookmarkEnd w:id="15"/>
    </w:p>
    <w:p w14:paraId="06610146" w14:textId="77777777" w:rsidR="00654CB2" w:rsidRPr="00FF21F5" w:rsidRDefault="00654CB2" w:rsidP="00654CB2">
      <w:pPr>
        <w:rPr>
          <w:rFonts w:ascii="Atkinson Hyperlegible" w:hAnsi="Atkinson Hyperlegible"/>
        </w:rPr>
      </w:pPr>
      <w:r w:rsidRPr="00FF21F5">
        <w:rPr>
          <w:rFonts w:ascii="Atkinson Hyperlegible" w:hAnsi="Atkinson Hyperlegible"/>
        </w:rPr>
        <w:t xml:space="preserve">Le salarié, avec l’accord de l’entreprise, peut renoncer à une partie de ses jours de repos. </w:t>
      </w:r>
    </w:p>
    <w:p w14:paraId="527A9240" w14:textId="37BADE4D" w:rsidR="00654CB2" w:rsidRPr="00FF21F5" w:rsidRDefault="00654CB2" w:rsidP="00654CB2">
      <w:pPr>
        <w:rPr>
          <w:rFonts w:ascii="Atkinson Hyperlegible" w:hAnsi="Atkinson Hyperlegible"/>
        </w:rPr>
      </w:pPr>
      <w:r w:rsidRPr="00FF21F5">
        <w:rPr>
          <w:rFonts w:ascii="Atkinson Hyperlegible" w:hAnsi="Atkinson Hyperlegible"/>
        </w:rPr>
        <w:t>Il est alors possible de convenir d’un nombre de journées de travail supérieur à 2</w:t>
      </w:r>
      <w:r w:rsidR="0059664E" w:rsidRPr="00FF21F5">
        <w:rPr>
          <w:rFonts w:ascii="Atkinson Hyperlegible" w:hAnsi="Atkinson Hyperlegible"/>
        </w:rPr>
        <w:t>0</w:t>
      </w:r>
      <w:r w:rsidR="00FA1A33" w:rsidRPr="00FF21F5">
        <w:rPr>
          <w:rFonts w:ascii="Atkinson Hyperlegible" w:hAnsi="Atkinson Hyperlegible"/>
        </w:rPr>
        <w:t>3</w:t>
      </w:r>
      <w:r w:rsidRPr="00FF21F5">
        <w:rPr>
          <w:rFonts w:ascii="Atkinson Hyperlegible" w:hAnsi="Atkinson Hyperlegible"/>
        </w:rPr>
        <w:t xml:space="preserve"> jours dans la limite de 235 jours.</w:t>
      </w:r>
    </w:p>
    <w:p w14:paraId="43498774" w14:textId="77777777" w:rsidR="00654CB2" w:rsidRPr="00FF21F5" w:rsidRDefault="00654CB2" w:rsidP="00654CB2">
      <w:pPr>
        <w:rPr>
          <w:rFonts w:ascii="Atkinson Hyperlegible" w:hAnsi="Atkinson Hyperlegible"/>
        </w:rPr>
      </w:pPr>
      <w:r w:rsidRPr="00FF21F5">
        <w:rPr>
          <w:rFonts w:ascii="Atkinson Hyperlegible" w:hAnsi="Atkinson Hyperlegible"/>
        </w:rPr>
        <w:t>Un avenant à la convention de forfait est alors signé entre les parties. L’avenant ne peut être conclu que pour la période de référence en cours et ne peut être tacitement reconduit.</w:t>
      </w:r>
    </w:p>
    <w:p w14:paraId="71F0F74C" w14:textId="6C32B867" w:rsidR="0059664E" w:rsidRPr="00FF21F5" w:rsidRDefault="00A42C40" w:rsidP="00654CB2">
      <w:pPr>
        <w:rPr>
          <w:rFonts w:ascii="Atkinson Hyperlegible" w:hAnsi="Atkinson Hyperlegible"/>
        </w:rPr>
      </w:pPr>
      <w:r w:rsidRPr="00FF21F5">
        <w:rPr>
          <w:rFonts w:ascii="Atkinson Hyperlegible" w:hAnsi="Atkinson Hyperlegible"/>
        </w:rPr>
        <w:t>Les journées travaillées au-delà du forfait annuel de 2</w:t>
      </w:r>
      <w:r w:rsidR="0059664E" w:rsidRPr="00FF21F5">
        <w:rPr>
          <w:rFonts w:ascii="Atkinson Hyperlegible" w:hAnsi="Atkinson Hyperlegible"/>
        </w:rPr>
        <w:t>0</w:t>
      </w:r>
      <w:r w:rsidR="00FA1A33" w:rsidRPr="00FF21F5">
        <w:rPr>
          <w:rFonts w:ascii="Atkinson Hyperlegible" w:hAnsi="Atkinson Hyperlegible"/>
        </w:rPr>
        <w:t>3</w:t>
      </w:r>
      <w:r w:rsidRPr="00FF21F5">
        <w:rPr>
          <w:rFonts w:ascii="Atkinson Hyperlegible" w:hAnsi="Atkinson Hyperlegible"/>
        </w:rPr>
        <w:t xml:space="preserve"> jours donnent lieu à une contrepartie</w:t>
      </w:r>
      <w:r w:rsidR="0059664E" w:rsidRPr="00FF21F5">
        <w:rPr>
          <w:rFonts w:ascii="Atkinson Hyperlegible" w:hAnsi="Atkinson Hyperlegible"/>
        </w:rPr>
        <w:t xml:space="preserve"> fixée à une majoration de 10% du salaire journalier tel que défini à l’article 3.9 du présent avenant. </w:t>
      </w:r>
    </w:p>
    <w:p w14:paraId="36EB4CA8" w14:textId="04F26975" w:rsidR="00654CB2" w:rsidRPr="00FF21F5" w:rsidRDefault="00D60CD2" w:rsidP="00654CB2">
      <w:pPr>
        <w:pStyle w:val="Titre2"/>
        <w:rPr>
          <w:rFonts w:ascii="Atkinson Hyperlegible" w:eastAsia="Calibri" w:hAnsi="Atkinson Hyperlegible"/>
        </w:rPr>
      </w:pPr>
      <w:bookmarkStart w:id="16" w:name="_Toc184749225"/>
      <w:bookmarkStart w:id="17" w:name="_Toc210057883"/>
      <w:r w:rsidRPr="00FF21F5">
        <w:rPr>
          <w:rFonts w:ascii="Atkinson Hyperlegible" w:eastAsia="Calibri" w:hAnsi="Atkinson Hyperlegible"/>
        </w:rPr>
        <w:t>3</w:t>
      </w:r>
      <w:r w:rsidR="00654CB2" w:rsidRPr="00FF21F5">
        <w:rPr>
          <w:rFonts w:ascii="Atkinson Hyperlegible" w:eastAsia="Calibri" w:hAnsi="Atkinson Hyperlegible"/>
        </w:rPr>
        <w:t>.4 – Décompte et déclaration des jours travaillés</w:t>
      </w:r>
      <w:bookmarkEnd w:id="16"/>
      <w:bookmarkEnd w:id="17"/>
      <w:r w:rsidR="00654CB2" w:rsidRPr="00FF21F5">
        <w:rPr>
          <w:rFonts w:ascii="Atkinson Hyperlegible" w:eastAsia="Calibri" w:hAnsi="Atkinson Hyperlegible"/>
        </w:rPr>
        <w:t xml:space="preserve"> </w:t>
      </w:r>
    </w:p>
    <w:p w14:paraId="7BE89D19" w14:textId="68C8F1C2" w:rsidR="00654CB2" w:rsidRPr="00FF21F5" w:rsidRDefault="00654CB2" w:rsidP="00654CB2">
      <w:pPr>
        <w:pStyle w:val="Titre2"/>
        <w:rPr>
          <w:rFonts w:ascii="Atkinson Hyperlegible" w:hAnsi="Atkinson Hyperlegible"/>
        </w:rPr>
      </w:pPr>
      <w:r w:rsidRPr="00FF21F5">
        <w:rPr>
          <w:rFonts w:ascii="Atkinson Hyperlegible" w:hAnsi="Atkinson Hyperlegible"/>
        </w:rPr>
        <w:tab/>
      </w:r>
      <w:bookmarkStart w:id="18" w:name="_Toc184749226"/>
      <w:bookmarkStart w:id="19" w:name="_Toc210057884"/>
      <w:r w:rsidR="00D60CD2" w:rsidRPr="00FF21F5">
        <w:rPr>
          <w:rFonts w:ascii="Atkinson Hyperlegible" w:hAnsi="Atkinson Hyperlegible"/>
        </w:rPr>
        <w:t>3</w:t>
      </w:r>
      <w:r w:rsidRPr="00FF21F5">
        <w:rPr>
          <w:rFonts w:ascii="Atkinson Hyperlegible" w:hAnsi="Atkinson Hyperlegible"/>
        </w:rPr>
        <w:t xml:space="preserve">.4.1 – Décompte en journées </w:t>
      </w:r>
      <w:r w:rsidR="006D6889" w:rsidRPr="00FF21F5">
        <w:rPr>
          <w:rFonts w:ascii="Atkinson Hyperlegible" w:hAnsi="Atkinson Hyperlegible"/>
        </w:rPr>
        <w:t>et/ou</w:t>
      </w:r>
      <w:r w:rsidRPr="00FF21F5">
        <w:rPr>
          <w:rFonts w:ascii="Atkinson Hyperlegible" w:hAnsi="Atkinson Hyperlegible"/>
        </w:rPr>
        <w:t xml:space="preserve"> demi-journées de travail</w:t>
      </w:r>
      <w:bookmarkEnd w:id="18"/>
      <w:bookmarkEnd w:id="19"/>
      <w:r w:rsidRPr="00FF21F5">
        <w:rPr>
          <w:rFonts w:ascii="Atkinson Hyperlegible" w:hAnsi="Atkinson Hyperlegible"/>
        </w:rPr>
        <w:t xml:space="preserve"> </w:t>
      </w:r>
    </w:p>
    <w:p w14:paraId="25DFC0A5" w14:textId="15AAE02A" w:rsidR="00654CB2" w:rsidRPr="00FF21F5" w:rsidRDefault="00654CB2" w:rsidP="00654CB2">
      <w:pPr>
        <w:rPr>
          <w:rFonts w:ascii="Atkinson Hyperlegible" w:eastAsia="Calibri" w:hAnsi="Atkinson Hyperlegible" w:cs="Arial"/>
          <w:bCs/>
          <w:szCs w:val="20"/>
        </w:rPr>
      </w:pPr>
      <w:r w:rsidRPr="00FF21F5">
        <w:rPr>
          <w:rFonts w:ascii="Atkinson Hyperlegible" w:eastAsia="Calibri" w:hAnsi="Atkinson Hyperlegible" w:cs="Arial"/>
          <w:bCs/>
          <w:szCs w:val="20"/>
        </w:rPr>
        <w:t xml:space="preserve">La durée de travail des salariés visés par le présent accord fait l’objet d’un décompte annuel en journées ou </w:t>
      </w:r>
      <w:r w:rsidRPr="004C6D76">
        <w:rPr>
          <w:rFonts w:ascii="Atkinson Hyperlegible" w:eastAsia="Calibri" w:hAnsi="Atkinson Hyperlegible" w:cs="Arial"/>
          <w:bCs/>
          <w:szCs w:val="20"/>
        </w:rPr>
        <w:t>demi-journées de travail (</w:t>
      </w:r>
      <w:r w:rsidR="00265105" w:rsidRPr="004C6D76">
        <w:rPr>
          <w:rFonts w:ascii="Atkinson Hyperlegible" w:eastAsia="Calibri" w:hAnsi="Atkinson Hyperlegible" w:cs="Arial"/>
          <w:bCs/>
          <w:szCs w:val="20"/>
        </w:rPr>
        <w:t>laquelle ne saurait être inférieure à 2h</w:t>
      </w:r>
      <w:r w:rsidR="00671A53" w:rsidRPr="004C6D76">
        <w:rPr>
          <w:rFonts w:ascii="Atkinson Hyperlegible" w:eastAsia="Calibri" w:hAnsi="Atkinson Hyperlegible" w:cs="Arial"/>
          <w:bCs/>
          <w:szCs w:val="20"/>
        </w:rPr>
        <w:t>, ni supérieur à 4h</w:t>
      </w:r>
      <w:r w:rsidRPr="004C6D76">
        <w:rPr>
          <w:rFonts w:ascii="Atkinson Hyperlegible" w:eastAsia="Calibri" w:hAnsi="Atkinson Hyperlegible" w:cs="Arial"/>
          <w:bCs/>
          <w:szCs w:val="20"/>
        </w:rPr>
        <w:t>) de travail</w:t>
      </w:r>
      <w:r w:rsidRPr="00FF21F5">
        <w:rPr>
          <w:rFonts w:ascii="Atkinson Hyperlegible" w:eastAsia="Calibri" w:hAnsi="Atkinson Hyperlegible" w:cs="Arial"/>
          <w:bCs/>
          <w:szCs w:val="20"/>
        </w:rPr>
        <w:t xml:space="preserve"> effectif.</w:t>
      </w:r>
    </w:p>
    <w:p w14:paraId="2ACEAC7C" w14:textId="77777777" w:rsidR="00381FDC" w:rsidRPr="00FF21F5" w:rsidRDefault="00381FDC" w:rsidP="00654CB2">
      <w:pPr>
        <w:rPr>
          <w:rFonts w:ascii="Atkinson Hyperlegible" w:eastAsia="Calibri" w:hAnsi="Atkinson Hyperlegible" w:cs="Arial"/>
          <w:bCs/>
          <w:szCs w:val="20"/>
        </w:rPr>
      </w:pPr>
    </w:p>
    <w:p w14:paraId="13EE3776" w14:textId="6EC8DCE2" w:rsidR="00654CB2" w:rsidRPr="00FF21F5" w:rsidRDefault="00654CB2" w:rsidP="00654CB2">
      <w:pPr>
        <w:rPr>
          <w:rFonts w:ascii="Atkinson Hyperlegible" w:eastAsia="Calibri" w:hAnsi="Atkinson Hyperlegible" w:cs="Arial"/>
          <w:bCs/>
          <w:szCs w:val="20"/>
        </w:rPr>
      </w:pPr>
      <w:r w:rsidRPr="00FF21F5">
        <w:rPr>
          <w:rFonts w:ascii="Atkinson Hyperlegible" w:eastAsia="Calibri" w:hAnsi="Atkinson Hyperlegible" w:cs="Arial"/>
          <w:bCs/>
          <w:szCs w:val="20"/>
        </w:rPr>
        <w:t>Conformément aux dispositions de l’article L. 3121-62 du Code du travail, ils ne sont pas soumis :</w:t>
      </w:r>
    </w:p>
    <w:p w14:paraId="34D26237" w14:textId="77777777" w:rsidR="00654CB2" w:rsidRPr="00FF21F5" w:rsidRDefault="00654CB2" w:rsidP="00AC6293">
      <w:pPr>
        <w:pStyle w:val="Paragraphedeliste"/>
        <w:numPr>
          <w:ilvl w:val="0"/>
          <w:numId w:val="6"/>
        </w:numPr>
        <w:rPr>
          <w:rFonts w:ascii="Atkinson Hyperlegible" w:eastAsia="Calibri" w:hAnsi="Atkinson Hyperlegible" w:cs="Arial"/>
          <w:bCs/>
          <w:szCs w:val="20"/>
        </w:rPr>
      </w:pPr>
      <w:r w:rsidRPr="00FF21F5">
        <w:rPr>
          <w:rFonts w:ascii="Atkinson Hyperlegible" w:eastAsia="Calibri" w:hAnsi="Atkinson Hyperlegible" w:cs="Arial"/>
          <w:bCs/>
          <w:szCs w:val="20"/>
        </w:rPr>
        <w:t>À la durée quotidienne maximale de travail effectif prévue à l'article L. 3121-18 du code du travail ;</w:t>
      </w:r>
    </w:p>
    <w:p w14:paraId="060EA23D" w14:textId="77777777" w:rsidR="00654CB2" w:rsidRPr="00FF21F5" w:rsidRDefault="00654CB2" w:rsidP="00AC6293">
      <w:pPr>
        <w:pStyle w:val="Paragraphedeliste"/>
        <w:numPr>
          <w:ilvl w:val="0"/>
          <w:numId w:val="6"/>
        </w:numPr>
        <w:rPr>
          <w:rFonts w:ascii="Atkinson Hyperlegible" w:eastAsia="Calibri" w:hAnsi="Atkinson Hyperlegible" w:cs="Arial"/>
          <w:bCs/>
          <w:szCs w:val="20"/>
        </w:rPr>
      </w:pPr>
      <w:r w:rsidRPr="00FF21F5">
        <w:rPr>
          <w:rFonts w:ascii="Atkinson Hyperlegible" w:eastAsia="Calibri" w:hAnsi="Atkinson Hyperlegible" w:cs="Arial"/>
          <w:bCs/>
          <w:szCs w:val="20"/>
        </w:rPr>
        <w:t>Aux durées hebdomadaires maximales de travail prévues aux articles L. 3121-20 et L. 3121-22 du code du travail ;</w:t>
      </w:r>
    </w:p>
    <w:p w14:paraId="7A72B1DC" w14:textId="77777777" w:rsidR="00654CB2" w:rsidRPr="00FF21F5" w:rsidRDefault="00654CB2" w:rsidP="00AC6293">
      <w:pPr>
        <w:pStyle w:val="Paragraphedeliste"/>
        <w:numPr>
          <w:ilvl w:val="0"/>
          <w:numId w:val="6"/>
        </w:numPr>
        <w:rPr>
          <w:rFonts w:ascii="Atkinson Hyperlegible" w:eastAsia="Calibri" w:hAnsi="Atkinson Hyperlegible" w:cs="Arial"/>
          <w:bCs/>
          <w:szCs w:val="20"/>
        </w:rPr>
      </w:pPr>
      <w:r w:rsidRPr="00FF21F5">
        <w:rPr>
          <w:rFonts w:ascii="Atkinson Hyperlegible" w:eastAsia="Calibri" w:hAnsi="Atkinson Hyperlegible" w:cs="Arial"/>
          <w:bCs/>
          <w:szCs w:val="20"/>
        </w:rPr>
        <w:t>À la durée légale hebdomadaire prévue à l'article L. 3121-27 du code du travail.</w:t>
      </w:r>
    </w:p>
    <w:p w14:paraId="659B61A4" w14:textId="77777777" w:rsidR="00A42C40" w:rsidRPr="00FF21F5" w:rsidRDefault="00A42C40" w:rsidP="00A42C40">
      <w:pPr>
        <w:pStyle w:val="Paragraphedeliste"/>
        <w:rPr>
          <w:rFonts w:ascii="Atkinson Hyperlegible" w:eastAsia="Calibri" w:hAnsi="Atkinson Hyperlegible" w:cs="Arial"/>
          <w:bCs/>
          <w:szCs w:val="20"/>
        </w:rPr>
      </w:pPr>
    </w:p>
    <w:p w14:paraId="1D1E2B80" w14:textId="7C95BAE0" w:rsidR="00654CB2" w:rsidRPr="00FF21F5" w:rsidRDefault="00D60CD2" w:rsidP="00654CB2">
      <w:pPr>
        <w:pStyle w:val="Titre3"/>
        <w:ind w:firstLine="360"/>
        <w:rPr>
          <w:rFonts w:ascii="Atkinson Hyperlegible" w:eastAsia="Calibri" w:hAnsi="Atkinson Hyperlegible"/>
        </w:rPr>
      </w:pPr>
      <w:bookmarkStart w:id="20" w:name="_Toc184749227"/>
      <w:bookmarkStart w:id="21" w:name="_Toc210057885"/>
      <w:r w:rsidRPr="00FF21F5">
        <w:rPr>
          <w:rFonts w:ascii="Atkinson Hyperlegible" w:eastAsia="Calibri" w:hAnsi="Atkinson Hyperlegible"/>
        </w:rPr>
        <w:t>3</w:t>
      </w:r>
      <w:r w:rsidR="00654CB2" w:rsidRPr="00FF21F5">
        <w:rPr>
          <w:rFonts w:ascii="Atkinson Hyperlegible" w:eastAsia="Calibri" w:hAnsi="Atkinson Hyperlegible"/>
        </w:rPr>
        <w:t>.4.2 – Suivi du temps de travail auto-déclaratif</w:t>
      </w:r>
      <w:bookmarkEnd w:id="20"/>
      <w:bookmarkEnd w:id="21"/>
      <w:r w:rsidR="00654CB2" w:rsidRPr="00FF21F5">
        <w:rPr>
          <w:rFonts w:ascii="Atkinson Hyperlegible" w:eastAsia="Calibri" w:hAnsi="Atkinson Hyperlegible"/>
        </w:rPr>
        <w:t xml:space="preserve"> </w:t>
      </w:r>
    </w:p>
    <w:p w14:paraId="29779A9A" w14:textId="35D18300" w:rsidR="00654CB2" w:rsidRPr="00FF21F5" w:rsidRDefault="00654CB2" w:rsidP="00654CB2">
      <w:pPr>
        <w:rPr>
          <w:rFonts w:ascii="Atkinson Hyperlegible" w:hAnsi="Atkinson Hyperlegible"/>
          <w:color w:val="212121"/>
        </w:rPr>
      </w:pPr>
      <w:r w:rsidRPr="00FF21F5">
        <w:rPr>
          <w:rFonts w:ascii="Atkinson Hyperlegible" w:hAnsi="Atkinson Hyperlegible"/>
        </w:rPr>
        <w:t>Compte tenu de la spécificité du dispositif des conventions de forfait en jours, les parties considèrent que le décompte de la durée de travail sera effectué au moyen d’un système auto-déclaratif</w:t>
      </w:r>
      <w:r w:rsidR="009E52DC" w:rsidRPr="00FF21F5">
        <w:rPr>
          <w:rFonts w:ascii="Atkinson Hyperlegible" w:hAnsi="Atkinson Hyperlegible" w:cs="Arial"/>
          <w:color w:val="212121"/>
          <w:szCs w:val="20"/>
        </w:rPr>
        <w:t xml:space="preserve"> </w:t>
      </w:r>
      <w:r w:rsidR="009E52DC" w:rsidRPr="00FF21F5">
        <w:rPr>
          <w:rFonts w:ascii="Atkinson Hyperlegible" w:hAnsi="Atkinson Hyperlegible"/>
          <w:color w:val="212121"/>
        </w:rPr>
        <w:t>permettant de garantir le respect des temps de repos, l’équilibre entre vie professionnelle et vie personnelle, et le caractère raisonnable de la charge de travail.</w:t>
      </w:r>
    </w:p>
    <w:p w14:paraId="406DD66D" w14:textId="77777777" w:rsidR="009E52DC" w:rsidRPr="00FF21F5" w:rsidRDefault="009E52DC" w:rsidP="009E52DC">
      <w:pPr>
        <w:rPr>
          <w:rFonts w:ascii="Atkinson Hyperlegible" w:hAnsi="Atkinson Hyperlegible"/>
        </w:rPr>
      </w:pPr>
      <w:r w:rsidRPr="00FF21F5">
        <w:rPr>
          <w:rFonts w:ascii="Atkinson Hyperlegible" w:hAnsi="Atkinson Hyperlegible"/>
          <w:color w:val="212121"/>
        </w:rPr>
        <w:lastRenderedPageBreak/>
        <w:t>Ce suivi est effectué </w:t>
      </w:r>
      <w:r w:rsidRPr="00FF21F5">
        <w:rPr>
          <w:rFonts w:ascii="Atkinson Hyperlegible" w:hAnsi="Atkinson Hyperlegible"/>
        </w:rPr>
        <w:t>au moyen du Système d’Information des Ressources Humaines (SIRH) mis à disposition par l’employeur, qui constitue le support officiel de déclaration mensuelle des temps de présence et d’absence.</w:t>
      </w:r>
    </w:p>
    <w:p w14:paraId="50C7F36E" w14:textId="77777777" w:rsidR="009E52DC" w:rsidRPr="00FF21F5" w:rsidRDefault="009E52DC" w:rsidP="009E52DC">
      <w:pPr>
        <w:rPr>
          <w:rFonts w:ascii="Atkinson Hyperlegible" w:hAnsi="Atkinson Hyperlegible"/>
        </w:rPr>
      </w:pPr>
      <w:r w:rsidRPr="00FF21F5">
        <w:rPr>
          <w:rFonts w:ascii="Atkinson Hyperlegible" w:hAnsi="Atkinson Hyperlegible"/>
        </w:rPr>
        <w:t>Chaque mois, le salarié saisit dans le SIRH :</w:t>
      </w:r>
    </w:p>
    <w:p w14:paraId="21D2A904" w14:textId="77777777" w:rsidR="009E52DC" w:rsidRPr="00FF21F5" w:rsidRDefault="009E52DC" w:rsidP="009E52DC">
      <w:pPr>
        <w:ind w:left="1428" w:hanging="360"/>
        <w:rPr>
          <w:rFonts w:ascii="Atkinson Hyperlegible" w:hAnsi="Atkinson Hyperlegible"/>
        </w:rPr>
      </w:pPr>
      <w:r w:rsidRPr="00FF21F5">
        <w:rPr>
          <w:rFonts w:ascii="Atkinson Hyperlegible" w:hAnsi="Atkinson Hyperlegible"/>
        </w:rPr>
        <w:t xml:space="preserve">·         le nombre et la date des journées (ou demi-journées) de </w:t>
      </w:r>
      <w:proofErr w:type="gramStart"/>
      <w:r w:rsidRPr="00FF21F5">
        <w:rPr>
          <w:rFonts w:ascii="Atkinson Hyperlegible" w:hAnsi="Atkinson Hyperlegible"/>
        </w:rPr>
        <w:t>travail effectuées</w:t>
      </w:r>
      <w:proofErr w:type="gramEnd"/>
      <w:r w:rsidRPr="00FF21F5">
        <w:rPr>
          <w:rFonts w:ascii="Atkinson Hyperlegible" w:hAnsi="Atkinson Hyperlegible"/>
        </w:rPr>
        <w:t xml:space="preserve"> ;</w:t>
      </w:r>
    </w:p>
    <w:p w14:paraId="29AAC111" w14:textId="77777777" w:rsidR="009E52DC" w:rsidRPr="00FF21F5" w:rsidRDefault="009E52DC" w:rsidP="009E52DC">
      <w:pPr>
        <w:ind w:left="1428" w:hanging="360"/>
        <w:rPr>
          <w:rFonts w:ascii="Atkinson Hyperlegible" w:hAnsi="Atkinson Hyperlegible"/>
        </w:rPr>
      </w:pPr>
      <w:r w:rsidRPr="00FF21F5">
        <w:rPr>
          <w:rFonts w:ascii="Atkinson Hyperlegible" w:hAnsi="Atkinson Hyperlegible"/>
        </w:rPr>
        <w:t>·         la répartition des temps de repos entre chaque journée de travail ;</w:t>
      </w:r>
    </w:p>
    <w:p w14:paraId="16BD6F03" w14:textId="77777777" w:rsidR="009E52DC" w:rsidRPr="00FF21F5" w:rsidRDefault="009E52DC" w:rsidP="009E52DC">
      <w:pPr>
        <w:ind w:left="1428" w:hanging="360"/>
        <w:rPr>
          <w:rFonts w:ascii="Atkinson Hyperlegible" w:hAnsi="Atkinson Hyperlegible"/>
        </w:rPr>
      </w:pPr>
      <w:r w:rsidRPr="00FF21F5">
        <w:rPr>
          <w:rFonts w:ascii="Atkinson Hyperlegible" w:hAnsi="Atkinson Hyperlegible"/>
        </w:rPr>
        <w:t>·         le positionnement des journées de repos. </w:t>
      </w:r>
    </w:p>
    <w:p w14:paraId="7C5884A7" w14:textId="77777777" w:rsidR="009E52DC" w:rsidRPr="00FF21F5" w:rsidRDefault="009E52DC" w:rsidP="009E52DC">
      <w:pPr>
        <w:ind w:left="1428"/>
        <w:rPr>
          <w:rFonts w:ascii="Atkinson Hyperlegible" w:hAnsi="Atkinson Hyperlegible"/>
        </w:rPr>
      </w:pPr>
      <w:r w:rsidRPr="00FF21F5">
        <w:rPr>
          <w:rFonts w:ascii="Atkinson Hyperlegible" w:hAnsi="Atkinson Hyperlegible"/>
        </w:rPr>
        <w:t>Les jours de repos devront être identifiés en tant que :</w:t>
      </w:r>
    </w:p>
    <w:p w14:paraId="6AE5EE35" w14:textId="77777777" w:rsidR="009E52DC" w:rsidRPr="00FF21F5" w:rsidRDefault="009E52DC" w:rsidP="00AC6293">
      <w:pPr>
        <w:numPr>
          <w:ilvl w:val="0"/>
          <w:numId w:val="16"/>
        </w:numPr>
        <w:ind w:left="2148"/>
        <w:rPr>
          <w:rFonts w:ascii="Atkinson Hyperlegible" w:hAnsi="Atkinson Hyperlegible"/>
        </w:rPr>
      </w:pPr>
      <w:proofErr w:type="gramStart"/>
      <w:r w:rsidRPr="00FF21F5">
        <w:rPr>
          <w:rFonts w:ascii="Atkinson Hyperlegible" w:hAnsi="Atkinson Hyperlegible"/>
        </w:rPr>
        <w:t>repos</w:t>
      </w:r>
      <w:proofErr w:type="gramEnd"/>
      <w:r w:rsidRPr="00FF21F5">
        <w:rPr>
          <w:rFonts w:ascii="Atkinson Hyperlegible" w:hAnsi="Atkinson Hyperlegible"/>
        </w:rPr>
        <w:t xml:space="preserve"> hebdomadaire ; </w:t>
      </w:r>
    </w:p>
    <w:p w14:paraId="11F0448B" w14:textId="77777777" w:rsidR="009E52DC" w:rsidRPr="00FF21F5" w:rsidRDefault="009E52DC" w:rsidP="00AC6293">
      <w:pPr>
        <w:numPr>
          <w:ilvl w:val="0"/>
          <w:numId w:val="16"/>
        </w:numPr>
        <w:ind w:left="2148"/>
        <w:rPr>
          <w:rFonts w:ascii="Atkinson Hyperlegible" w:hAnsi="Atkinson Hyperlegible"/>
          <w:color w:val="212121"/>
        </w:rPr>
      </w:pPr>
      <w:proofErr w:type="gramStart"/>
      <w:r w:rsidRPr="00FF21F5">
        <w:rPr>
          <w:rFonts w:ascii="Atkinson Hyperlegible" w:hAnsi="Atkinson Hyperlegible" w:cs="Arial"/>
          <w:color w:val="212121"/>
          <w:szCs w:val="20"/>
        </w:rPr>
        <w:t>congés</w:t>
      </w:r>
      <w:proofErr w:type="gramEnd"/>
      <w:r w:rsidRPr="00FF21F5">
        <w:rPr>
          <w:rFonts w:ascii="Atkinson Hyperlegible" w:hAnsi="Atkinson Hyperlegible" w:cs="Arial"/>
          <w:color w:val="212121"/>
          <w:szCs w:val="20"/>
        </w:rPr>
        <w:t xml:space="preserve"> payés ;</w:t>
      </w:r>
    </w:p>
    <w:p w14:paraId="49824184" w14:textId="77777777" w:rsidR="009E52DC" w:rsidRPr="00FF21F5" w:rsidRDefault="009E52DC" w:rsidP="00AC6293">
      <w:pPr>
        <w:numPr>
          <w:ilvl w:val="0"/>
          <w:numId w:val="16"/>
        </w:numPr>
        <w:ind w:left="2148"/>
        <w:rPr>
          <w:rFonts w:ascii="Atkinson Hyperlegible" w:hAnsi="Atkinson Hyperlegible"/>
          <w:color w:val="212121"/>
        </w:rPr>
      </w:pPr>
      <w:proofErr w:type="gramStart"/>
      <w:r w:rsidRPr="00FF21F5">
        <w:rPr>
          <w:rFonts w:ascii="Atkinson Hyperlegible" w:hAnsi="Atkinson Hyperlegible" w:cs="Arial"/>
          <w:color w:val="212121"/>
          <w:szCs w:val="20"/>
        </w:rPr>
        <w:t>jours</w:t>
      </w:r>
      <w:proofErr w:type="gramEnd"/>
      <w:r w:rsidRPr="00FF21F5">
        <w:rPr>
          <w:rFonts w:ascii="Atkinson Hyperlegible" w:hAnsi="Atkinson Hyperlegible" w:cs="Arial"/>
          <w:color w:val="212121"/>
          <w:szCs w:val="20"/>
        </w:rPr>
        <w:t xml:space="preserve"> fériés chômés ;</w:t>
      </w:r>
    </w:p>
    <w:p w14:paraId="25184790" w14:textId="77777777" w:rsidR="009E52DC" w:rsidRPr="00FF21F5" w:rsidRDefault="009E52DC" w:rsidP="00AC6293">
      <w:pPr>
        <w:numPr>
          <w:ilvl w:val="0"/>
          <w:numId w:val="16"/>
        </w:numPr>
        <w:ind w:left="2148"/>
        <w:rPr>
          <w:rFonts w:ascii="Atkinson Hyperlegible" w:hAnsi="Atkinson Hyperlegible"/>
          <w:color w:val="212121"/>
        </w:rPr>
      </w:pPr>
      <w:r w:rsidRPr="00FF21F5">
        <w:rPr>
          <w:rFonts w:ascii="Atkinson Hyperlegible" w:hAnsi="Atkinson Hyperlegible" w:cs="Arial"/>
          <w:color w:val="212121"/>
          <w:szCs w:val="20"/>
        </w:rPr>
        <w:t>RTT. </w:t>
      </w:r>
    </w:p>
    <w:p w14:paraId="2F7E144A" w14:textId="77777777" w:rsidR="009E52DC" w:rsidRPr="00FF21F5" w:rsidRDefault="009E52DC" w:rsidP="009E52DC">
      <w:pPr>
        <w:rPr>
          <w:rFonts w:ascii="Atkinson Hyperlegible" w:hAnsi="Atkinson Hyperlegible"/>
        </w:rPr>
      </w:pPr>
      <w:r w:rsidRPr="00FF21F5">
        <w:rPr>
          <w:rFonts w:ascii="Atkinson Hyperlegible" w:hAnsi="Atkinson Hyperlegible" w:cs="Arial"/>
          <w:color w:val="212121"/>
          <w:szCs w:val="20"/>
        </w:rPr>
        <w:t>Le salarié peut également</w:t>
      </w:r>
      <w:r w:rsidRPr="00FF21F5">
        <w:rPr>
          <w:rFonts w:ascii="Atkinson Hyperlegible" w:hAnsi="Atkinson Hyperlegible"/>
        </w:rPr>
        <w:t>, via cet outil, faire part à sa hiérarchie des difficultés éventuellement rencontrées dans les domaines suivants :</w:t>
      </w:r>
    </w:p>
    <w:p w14:paraId="12DD1E79" w14:textId="77777777" w:rsidR="009E52DC" w:rsidRPr="00FF21F5" w:rsidRDefault="009E52DC" w:rsidP="008D74DD">
      <w:pPr>
        <w:rPr>
          <w:rFonts w:ascii="Atkinson Hyperlegible" w:hAnsi="Atkinson Hyperlegible"/>
        </w:rPr>
      </w:pPr>
      <w:r w:rsidRPr="00FF21F5">
        <w:rPr>
          <w:rFonts w:ascii="Atkinson Hyperlegible" w:hAnsi="Atkinson Hyperlegible"/>
        </w:rPr>
        <w:t>·          répartition de son temps de travail ;</w:t>
      </w:r>
    </w:p>
    <w:p w14:paraId="47E6B54A" w14:textId="77777777" w:rsidR="009E52DC" w:rsidRPr="00FF21F5" w:rsidRDefault="009E52DC" w:rsidP="008D74DD">
      <w:pPr>
        <w:rPr>
          <w:rFonts w:ascii="Atkinson Hyperlegible" w:hAnsi="Atkinson Hyperlegible"/>
        </w:rPr>
      </w:pPr>
      <w:r w:rsidRPr="00FF21F5">
        <w:rPr>
          <w:rFonts w:ascii="Atkinson Hyperlegible" w:hAnsi="Atkinson Hyperlegible"/>
        </w:rPr>
        <w:t>·         charge de travail ;</w:t>
      </w:r>
    </w:p>
    <w:p w14:paraId="78C5AD99" w14:textId="77777777" w:rsidR="009E52DC" w:rsidRPr="00FF21F5" w:rsidRDefault="009E52DC" w:rsidP="009E52DC">
      <w:pPr>
        <w:ind w:left="1428" w:hanging="360"/>
        <w:rPr>
          <w:rFonts w:ascii="Atkinson Hyperlegible" w:hAnsi="Atkinson Hyperlegible" w:cs="Arial"/>
          <w:color w:val="212121"/>
          <w:szCs w:val="20"/>
        </w:rPr>
      </w:pPr>
      <w:r w:rsidRPr="00FF21F5">
        <w:rPr>
          <w:rFonts w:ascii="Atkinson Hyperlegible" w:hAnsi="Atkinson Hyperlegible"/>
          <w:color w:val="212121"/>
          <w:szCs w:val="20"/>
        </w:rPr>
        <w:t>·</w:t>
      </w:r>
      <w:r w:rsidRPr="00FF21F5">
        <w:rPr>
          <w:rFonts w:ascii="Atkinson Hyperlegible" w:hAnsi="Atkinson Hyperlegible"/>
          <w:color w:val="212121"/>
          <w:sz w:val="14"/>
          <w:szCs w:val="14"/>
        </w:rPr>
        <w:t>         </w:t>
      </w:r>
      <w:r w:rsidRPr="00FF21F5">
        <w:rPr>
          <w:rFonts w:ascii="Atkinson Hyperlegible" w:hAnsi="Atkinson Hyperlegible" w:cs="Arial"/>
          <w:color w:val="212121"/>
          <w:szCs w:val="20"/>
        </w:rPr>
        <w:t>amplitude de travail et les temps de repos.</w:t>
      </w:r>
    </w:p>
    <w:p w14:paraId="0506D7C4" w14:textId="77777777" w:rsidR="008B78F5" w:rsidRPr="00FF21F5" w:rsidRDefault="008B78F5" w:rsidP="009E52DC">
      <w:pPr>
        <w:ind w:left="1428" w:hanging="360"/>
        <w:rPr>
          <w:rFonts w:ascii="Atkinson Hyperlegible" w:hAnsi="Atkinson Hyperlegible"/>
          <w:color w:val="212121"/>
        </w:rPr>
      </w:pPr>
    </w:p>
    <w:p w14:paraId="52A1BEFE" w14:textId="77777777" w:rsidR="009E52DC" w:rsidRPr="00FF21F5" w:rsidRDefault="009E52DC" w:rsidP="009E52DC">
      <w:pPr>
        <w:rPr>
          <w:rFonts w:ascii="Atkinson Hyperlegible" w:hAnsi="Atkinson Hyperlegible"/>
        </w:rPr>
      </w:pPr>
      <w:r w:rsidRPr="00FF21F5">
        <w:rPr>
          <w:rFonts w:ascii="Atkinson Hyperlegible" w:hAnsi="Atkinson Hyperlegible"/>
        </w:rPr>
        <w:t>L’extraction mensuelle du SIRH est transmise au salarié pour validation, puis transmise à la hiérarchie qui l’étudiera afin de vérifier que la charge de travail du salarié est raisonnable et permet une bonne répartition dans le temps de son travail. Le cas échéant, il pourra décider d’activer les mesures liées au dispositif de veille prévu par le présent accord.</w:t>
      </w:r>
    </w:p>
    <w:p w14:paraId="2228EC38" w14:textId="77777777" w:rsidR="009E52DC" w:rsidRPr="00FF21F5" w:rsidRDefault="009E52DC" w:rsidP="008D74DD">
      <w:pPr>
        <w:rPr>
          <w:rFonts w:ascii="Atkinson Hyperlegible" w:hAnsi="Atkinson Hyperlegible"/>
        </w:rPr>
      </w:pPr>
      <w:r w:rsidRPr="00FF21F5">
        <w:rPr>
          <w:rFonts w:ascii="Atkinson Hyperlegible" w:hAnsi="Atkinson Hyperlegible"/>
        </w:rPr>
        <w:t> </w:t>
      </w:r>
    </w:p>
    <w:p w14:paraId="16FAE0EF" w14:textId="3BC3D6E3" w:rsidR="009E52DC" w:rsidRPr="00FF21F5" w:rsidRDefault="009E52DC" w:rsidP="009E52DC">
      <w:pPr>
        <w:rPr>
          <w:rFonts w:ascii="Atkinson Hyperlegible" w:hAnsi="Atkinson Hyperlegible"/>
          <w:color w:val="212121"/>
        </w:rPr>
      </w:pPr>
      <w:r w:rsidRPr="00FF21F5">
        <w:rPr>
          <w:rFonts w:ascii="Atkinson Hyperlegible" w:hAnsi="Atkinson Hyperlegible" w:cs="Arial"/>
          <w:color w:val="212121"/>
          <w:szCs w:val="20"/>
        </w:rPr>
        <w:t>La hiérarchie vérifie que la charge de travail du salarié est compatible avec le respect des temps de repos et les objectifs du forfait. Si des difficultés sont identifiées, le responsable peut activer les mesures prévues par le dispositif de veille du présent accord.</w:t>
      </w:r>
    </w:p>
    <w:p w14:paraId="797D0869" w14:textId="77777777" w:rsidR="009E52DC" w:rsidRPr="00FF21F5" w:rsidRDefault="009E52DC" w:rsidP="00654CB2">
      <w:pPr>
        <w:rPr>
          <w:rFonts w:ascii="Atkinson Hyperlegible" w:hAnsi="Atkinson Hyperlegible"/>
        </w:rPr>
      </w:pPr>
    </w:p>
    <w:p w14:paraId="0DBDB5A4" w14:textId="081B4395" w:rsidR="00654CB2" w:rsidRPr="00FF21F5" w:rsidRDefault="00654CB2" w:rsidP="00654CB2">
      <w:pPr>
        <w:pStyle w:val="Titre3"/>
        <w:rPr>
          <w:rFonts w:ascii="Atkinson Hyperlegible" w:hAnsi="Atkinson Hyperlegible"/>
        </w:rPr>
      </w:pPr>
      <w:r w:rsidRPr="00FF21F5">
        <w:rPr>
          <w:rFonts w:ascii="Atkinson Hyperlegible" w:hAnsi="Atkinson Hyperlegible"/>
        </w:rPr>
        <w:tab/>
      </w:r>
      <w:bookmarkStart w:id="22" w:name="_Toc184749228"/>
      <w:bookmarkStart w:id="23" w:name="_Toc210057886"/>
      <w:r w:rsidR="00D60CD2" w:rsidRPr="00FF21F5">
        <w:rPr>
          <w:rFonts w:ascii="Atkinson Hyperlegible" w:hAnsi="Atkinson Hyperlegible"/>
        </w:rPr>
        <w:t>3</w:t>
      </w:r>
      <w:r w:rsidRPr="00FF21F5">
        <w:rPr>
          <w:rFonts w:ascii="Atkinson Hyperlegible" w:hAnsi="Atkinson Hyperlegible"/>
        </w:rPr>
        <w:t>.4.3 – Synthèse annuelle</w:t>
      </w:r>
      <w:bookmarkEnd w:id="22"/>
      <w:bookmarkEnd w:id="23"/>
      <w:r w:rsidRPr="00FF21F5">
        <w:rPr>
          <w:rFonts w:ascii="Atkinson Hyperlegible" w:hAnsi="Atkinson Hyperlegible"/>
        </w:rPr>
        <w:t xml:space="preserve"> </w:t>
      </w:r>
    </w:p>
    <w:p w14:paraId="41EE0EDF" w14:textId="77777777" w:rsidR="00654CB2" w:rsidRPr="00FF21F5" w:rsidRDefault="00654CB2" w:rsidP="00654CB2">
      <w:pPr>
        <w:rPr>
          <w:rFonts w:ascii="Atkinson Hyperlegible" w:hAnsi="Atkinson Hyperlegible"/>
        </w:rPr>
      </w:pPr>
      <w:r w:rsidRPr="00FF21F5">
        <w:rPr>
          <w:rFonts w:ascii="Atkinson Hyperlegible" w:hAnsi="Atkinson Hyperlegible"/>
        </w:rPr>
        <w:t xml:space="preserve">A la fin de chaque période de référence, il est remis au salarié un récapitulatif des journées de travail effectuées. </w:t>
      </w:r>
    </w:p>
    <w:p w14:paraId="64BD66FD" w14:textId="77777777" w:rsidR="00654CB2" w:rsidRPr="00FF21F5" w:rsidRDefault="00654CB2" w:rsidP="00654CB2">
      <w:pPr>
        <w:rPr>
          <w:rFonts w:ascii="Atkinson Hyperlegible" w:hAnsi="Atkinson Hyperlegible"/>
        </w:rPr>
      </w:pPr>
    </w:p>
    <w:p w14:paraId="5124D9EA" w14:textId="223F6F15" w:rsidR="00654CB2" w:rsidRPr="00FF21F5" w:rsidRDefault="00D60CD2" w:rsidP="00654CB2">
      <w:pPr>
        <w:pStyle w:val="Titre2"/>
        <w:rPr>
          <w:rFonts w:ascii="Atkinson Hyperlegible" w:hAnsi="Atkinson Hyperlegible"/>
        </w:rPr>
      </w:pPr>
      <w:bookmarkStart w:id="24" w:name="_Toc184749229"/>
      <w:bookmarkStart w:id="25" w:name="_Toc210057887"/>
      <w:r w:rsidRPr="00FF21F5">
        <w:rPr>
          <w:rFonts w:ascii="Atkinson Hyperlegible" w:hAnsi="Atkinson Hyperlegible"/>
        </w:rPr>
        <w:t>3</w:t>
      </w:r>
      <w:r w:rsidR="00654CB2" w:rsidRPr="00FF21F5">
        <w:rPr>
          <w:rFonts w:ascii="Atkinson Hyperlegible" w:hAnsi="Atkinson Hyperlegible"/>
        </w:rPr>
        <w:t xml:space="preserve">.5 – </w:t>
      </w:r>
      <w:proofErr w:type="spellStart"/>
      <w:r w:rsidR="00654CB2" w:rsidRPr="00FF21F5">
        <w:rPr>
          <w:rFonts w:ascii="Atkinson Hyperlegible" w:hAnsi="Atkinson Hyperlegible"/>
        </w:rPr>
        <w:t>Evaluation</w:t>
      </w:r>
      <w:proofErr w:type="spellEnd"/>
      <w:r w:rsidR="00654CB2" w:rsidRPr="00FF21F5">
        <w:rPr>
          <w:rFonts w:ascii="Atkinson Hyperlegible" w:hAnsi="Atkinson Hyperlegible"/>
        </w:rPr>
        <w:t>, maîtrise et suivi de la charge de travail</w:t>
      </w:r>
      <w:bookmarkEnd w:id="24"/>
      <w:bookmarkEnd w:id="25"/>
      <w:r w:rsidR="00654CB2" w:rsidRPr="00FF21F5">
        <w:rPr>
          <w:rFonts w:ascii="Atkinson Hyperlegible" w:hAnsi="Atkinson Hyperlegible"/>
        </w:rPr>
        <w:t xml:space="preserve"> </w:t>
      </w:r>
    </w:p>
    <w:p w14:paraId="0DC8D654" w14:textId="54B2AF01" w:rsidR="00654CB2" w:rsidRPr="00FF21F5" w:rsidRDefault="00654CB2" w:rsidP="00654CB2">
      <w:pPr>
        <w:pStyle w:val="Titre3"/>
        <w:rPr>
          <w:rFonts w:ascii="Atkinson Hyperlegible" w:hAnsi="Atkinson Hyperlegible"/>
        </w:rPr>
      </w:pPr>
      <w:r w:rsidRPr="00FF21F5">
        <w:rPr>
          <w:rFonts w:ascii="Atkinson Hyperlegible" w:hAnsi="Atkinson Hyperlegible"/>
        </w:rPr>
        <w:tab/>
      </w:r>
      <w:bookmarkStart w:id="26" w:name="_Toc184749230"/>
      <w:bookmarkStart w:id="27" w:name="_Toc210057888"/>
      <w:r w:rsidR="00D60CD2" w:rsidRPr="00FF21F5">
        <w:rPr>
          <w:rFonts w:ascii="Atkinson Hyperlegible" w:hAnsi="Atkinson Hyperlegible"/>
        </w:rPr>
        <w:t>3</w:t>
      </w:r>
      <w:r w:rsidRPr="00FF21F5">
        <w:rPr>
          <w:rFonts w:ascii="Atkinson Hyperlegible" w:hAnsi="Atkinson Hyperlegible"/>
        </w:rPr>
        <w:t>.5.1 – Temps de repos</w:t>
      </w:r>
      <w:bookmarkEnd w:id="26"/>
      <w:bookmarkEnd w:id="27"/>
      <w:r w:rsidRPr="00FF21F5">
        <w:rPr>
          <w:rFonts w:ascii="Atkinson Hyperlegible" w:hAnsi="Atkinson Hyperlegible"/>
        </w:rPr>
        <w:t xml:space="preserve"> </w:t>
      </w:r>
    </w:p>
    <w:p w14:paraId="6CD312B4" w14:textId="77777777" w:rsidR="00654CB2" w:rsidRPr="00FF21F5" w:rsidRDefault="00654CB2" w:rsidP="00654CB2">
      <w:pPr>
        <w:rPr>
          <w:rFonts w:ascii="Atkinson Hyperlegible" w:hAnsi="Atkinson Hyperlegible"/>
        </w:rPr>
      </w:pPr>
      <w:r w:rsidRPr="00FF21F5">
        <w:rPr>
          <w:rFonts w:ascii="Atkinson Hyperlegible" w:hAnsi="Atkinson Hyperlegible"/>
        </w:rPr>
        <w:t>Les salariés dont le travail est décompté en jours bénéficient au minimum :</w:t>
      </w:r>
    </w:p>
    <w:p w14:paraId="78817A73" w14:textId="77777777" w:rsidR="00654CB2" w:rsidRPr="00FF21F5" w:rsidRDefault="00654CB2" w:rsidP="00AC6293">
      <w:pPr>
        <w:pStyle w:val="Paragraphedeliste"/>
        <w:numPr>
          <w:ilvl w:val="0"/>
          <w:numId w:val="9"/>
        </w:numPr>
        <w:rPr>
          <w:rFonts w:ascii="Atkinson Hyperlegible" w:hAnsi="Atkinson Hyperlegible"/>
        </w:rPr>
      </w:pPr>
      <w:proofErr w:type="gramStart"/>
      <w:r w:rsidRPr="00FF21F5">
        <w:rPr>
          <w:rFonts w:ascii="Atkinson Hyperlegible" w:hAnsi="Atkinson Hyperlegible"/>
        </w:rPr>
        <w:t>d’un</w:t>
      </w:r>
      <w:proofErr w:type="gramEnd"/>
      <w:r w:rsidRPr="00FF21F5">
        <w:rPr>
          <w:rFonts w:ascii="Atkinson Hyperlegible" w:hAnsi="Atkinson Hyperlegible"/>
        </w:rPr>
        <w:t xml:space="preserve"> repos quotidien consécutif de d’une durée minimale de 11 heures ;</w:t>
      </w:r>
    </w:p>
    <w:p w14:paraId="1A437FBF" w14:textId="33010023" w:rsidR="00654CB2" w:rsidRPr="00FF21F5" w:rsidRDefault="00654CB2" w:rsidP="00AC6293">
      <w:pPr>
        <w:pStyle w:val="Paragraphedeliste"/>
        <w:numPr>
          <w:ilvl w:val="0"/>
          <w:numId w:val="9"/>
        </w:numPr>
        <w:rPr>
          <w:rFonts w:ascii="Atkinson Hyperlegible" w:hAnsi="Atkinson Hyperlegible"/>
        </w:rPr>
      </w:pPr>
      <w:proofErr w:type="gramStart"/>
      <w:r w:rsidRPr="00FF21F5">
        <w:rPr>
          <w:rFonts w:ascii="Atkinson Hyperlegible" w:hAnsi="Atkinson Hyperlegible"/>
        </w:rPr>
        <w:t>et</w:t>
      </w:r>
      <w:proofErr w:type="gramEnd"/>
      <w:r w:rsidRPr="00FF21F5">
        <w:rPr>
          <w:rFonts w:ascii="Atkinson Hyperlegible" w:hAnsi="Atkinson Hyperlegible"/>
        </w:rPr>
        <w:t xml:space="preserve"> d’un repos hebdomadaire consécutif d’une durée minimale de 35 heures.</w:t>
      </w:r>
    </w:p>
    <w:p w14:paraId="2A888081" w14:textId="77777777" w:rsidR="00654CB2" w:rsidRPr="00FF21F5" w:rsidRDefault="00654CB2" w:rsidP="00654CB2">
      <w:pPr>
        <w:rPr>
          <w:rFonts w:ascii="Atkinson Hyperlegible" w:hAnsi="Atkinson Hyperlegible"/>
        </w:rPr>
      </w:pPr>
      <w:r w:rsidRPr="00FF21F5">
        <w:rPr>
          <w:rFonts w:ascii="Atkinson Hyperlegible" w:hAnsi="Atkinson Hyperlegible"/>
        </w:rPr>
        <w:t xml:space="preserve">Les périodes de repos ainsi définies ne constituent qu’une durée minimale. Les salariés sont encouragés, dans le cadre de l’organisation de leur temps de travail, chaque fois qu’ils le peuvent, à porter cette durée à un niveau supérieur. </w:t>
      </w:r>
    </w:p>
    <w:p w14:paraId="51B69E98" w14:textId="77777777" w:rsidR="00654CB2" w:rsidRPr="00FF21F5" w:rsidRDefault="00654CB2" w:rsidP="00654CB2">
      <w:pPr>
        <w:rPr>
          <w:rFonts w:ascii="Atkinson Hyperlegible" w:hAnsi="Atkinson Hyperlegible"/>
        </w:rPr>
      </w:pPr>
      <w:r w:rsidRPr="00FF21F5">
        <w:rPr>
          <w:rFonts w:ascii="Atkinson Hyperlegible" w:hAnsi="Atkinson Hyperlegible"/>
        </w:rPr>
        <w:t xml:space="preserve">A l’intérieur des périodes de repos, les salariés veillent à ne pas exercer leur activité professionnelle. A ce titre, ils ne devront notamment pas avoir recours aux moyens et outils de communication, quelle qu’en soit la nature, pour exercer leur activité professionnelle. </w:t>
      </w:r>
    </w:p>
    <w:p w14:paraId="65EEFCDE" w14:textId="77777777" w:rsidR="00654CB2" w:rsidRPr="00FF21F5" w:rsidRDefault="00654CB2" w:rsidP="00654CB2">
      <w:pPr>
        <w:rPr>
          <w:rFonts w:ascii="Atkinson Hyperlegible" w:hAnsi="Atkinson Hyperlegible"/>
        </w:rPr>
      </w:pPr>
      <w:r w:rsidRPr="00FF21F5">
        <w:rPr>
          <w:rFonts w:ascii="Atkinson Hyperlegible" w:hAnsi="Atkinson Hyperlegible"/>
        </w:rPr>
        <w:lastRenderedPageBreak/>
        <w:t>Afin d’assurer la meilleure répartition possible du travail des salariés, ceux-ci sont incités à poser les jours de repos liés au forfait de manière homogène sur la période de référence.</w:t>
      </w:r>
    </w:p>
    <w:p w14:paraId="1C67ADB6" w14:textId="77777777" w:rsidR="00654CB2" w:rsidRPr="00FF21F5" w:rsidRDefault="00654CB2" w:rsidP="00654CB2">
      <w:pPr>
        <w:rPr>
          <w:rFonts w:ascii="Atkinson Hyperlegible" w:hAnsi="Atkinson Hyperlegible"/>
        </w:rPr>
      </w:pPr>
      <w:r w:rsidRPr="00FF21F5">
        <w:rPr>
          <w:rFonts w:ascii="Atkinson Hyperlegible" w:hAnsi="Atkinson Hyperlegible"/>
        </w:rPr>
        <w:t>Il en est de même pour ce qui concerne la prise des jours de congés payés sous réserve du respect de l’ensemble des dispositions légales en la matière et particulièrement des conditions de prise du congé principal.</w:t>
      </w:r>
    </w:p>
    <w:p w14:paraId="507FE985" w14:textId="5AF5706C" w:rsidR="00654CB2" w:rsidRPr="00FF21F5" w:rsidRDefault="00654CB2" w:rsidP="00654CB2">
      <w:pPr>
        <w:pStyle w:val="Titre3"/>
        <w:rPr>
          <w:rFonts w:ascii="Atkinson Hyperlegible" w:hAnsi="Atkinson Hyperlegible"/>
        </w:rPr>
      </w:pPr>
      <w:r w:rsidRPr="00FF21F5">
        <w:rPr>
          <w:rFonts w:ascii="Atkinson Hyperlegible" w:hAnsi="Atkinson Hyperlegible"/>
        </w:rPr>
        <w:tab/>
      </w:r>
      <w:bookmarkStart w:id="28" w:name="_Toc184749231"/>
      <w:bookmarkStart w:id="29" w:name="_Toc210057889"/>
      <w:r w:rsidR="00D60CD2" w:rsidRPr="00FF21F5">
        <w:rPr>
          <w:rFonts w:ascii="Atkinson Hyperlegible" w:hAnsi="Atkinson Hyperlegible"/>
        </w:rPr>
        <w:t>3</w:t>
      </w:r>
      <w:r w:rsidRPr="00FF21F5">
        <w:rPr>
          <w:rFonts w:ascii="Atkinson Hyperlegible" w:hAnsi="Atkinson Hyperlegible"/>
        </w:rPr>
        <w:t>.5.2 – Suivi de l’organisation et de la charge de travail</w:t>
      </w:r>
      <w:bookmarkEnd w:id="28"/>
      <w:bookmarkEnd w:id="29"/>
      <w:r w:rsidRPr="00FF21F5">
        <w:rPr>
          <w:rFonts w:ascii="Atkinson Hyperlegible" w:hAnsi="Atkinson Hyperlegible"/>
        </w:rPr>
        <w:t xml:space="preserve"> </w:t>
      </w:r>
    </w:p>
    <w:p w14:paraId="562E7B51" w14:textId="77777777" w:rsidR="00654CB2" w:rsidRPr="00FF21F5" w:rsidRDefault="00654CB2" w:rsidP="00654CB2">
      <w:pPr>
        <w:rPr>
          <w:rFonts w:ascii="Atkinson Hyperlegible" w:hAnsi="Atkinson Hyperlegible"/>
        </w:rPr>
      </w:pPr>
      <w:r w:rsidRPr="00FF21F5">
        <w:rPr>
          <w:rFonts w:ascii="Atkinson Hyperlegible" w:hAnsi="Atkinson Hyperlegible"/>
        </w:rPr>
        <w:t>La charge de travail des salariés doit être raisonnable.</w:t>
      </w:r>
    </w:p>
    <w:p w14:paraId="503DB0C3" w14:textId="77777777" w:rsidR="00654CB2" w:rsidRPr="00FF21F5" w:rsidRDefault="00654CB2" w:rsidP="00654CB2">
      <w:pPr>
        <w:rPr>
          <w:rFonts w:ascii="Atkinson Hyperlegible" w:hAnsi="Atkinson Hyperlegible"/>
        </w:rPr>
      </w:pPr>
      <w:r w:rsidRPr="00FF21F5">
        <w:rPr>
          <w:rFonts w:ascii="Atkinson Hyperlegible" w:hAnsi="Atkinson Hyperlegible"/>
        </w:rPr>
        <w:t>L’organisation du travail, la charge de travail et la répartition dans le temps du travail des salariés fait l’objet d’un suivi régulier par la hiérarchie qui veillera notamment à ce que :</w:t>
      </w:r>
    </w:p>
    <w:p w14:paraId="69B2F69D" w14:textId="77777777" w:rsidR="00654CB2" w:rsidRPr="00FF21F5" w:rsidRDefault="00654CB2" w:rsidP="00AC6293">
      <w:pPr>
        <w:pStyle w:val="Paragraphedeliste"/>
        <w:numPr>
          <w:ilvl w:val="0"/>
          <w:numId w:val="10"/>
        </w:numPr>
        <w:rPr>
          <w:rFonts w:ascii="Atkinson Hyperlegible" w:hAnsi="Atkinson Hyperlegible"/>
        </w:rPr>
      </w:pPr>
      <w:proofErr w:type="gramStart"/>
      <w:r w:rsidRPr="00FF21F5">
        <w:rPr>
          <w:rFonts w:ascii="Atkinson Hyperlegible" w:hAnsi="Atkinson Hyperlegible"/>
        </w:rPr>
        <w:t>le</w:t>
      </w:r>
      <w:proofErr w:type="gramEnd"/>
      <w:r w:rsidRPr="00FF21F5">
        <w:rPr>
          <w:rFonts w:ascii="Atkinson Hyperlegible" w:hAnsi="Atkinson Hyperlegible"/>
        </w:rPr>
        <w:t xml:space="preserve"> salarié ne soit pas placé dans une situation de surcharge de travail ;</w:t>
      </w:r>
    </w:p>
    <w:p w14:paraId="11ABD3B5" w14:textId="77777777" w:rsidR="00654CB2" w:rsidRPr="00FF21F5" w:rsidRDefault="00654CB2" w:rsidP="00AC6293">
      <w:pPr>
        <w:pStyle w:val="Paragraphedeliste"/>
        <w:numPr>
          <w:ilvl w:val="0"/>
          <w:numId w:val="10"/>
        </w:numPr>
        <w:rPr>
          <w:rFonts w:ascii="Atkinson Hyperlegible" w:hAnsi="Atkinson Hyperlegible"/>
        </w:rPr>
      </w:pPr>
      <w:proofErr w:type="gramStart"/>
      <w:r w:rsidRPr="00FF21F5">
        <w:rPr>
          <w:rFonts w:ascii="Atkinson Hyperlegible" w:hAnsi="Atkinson Hyperlegible"/>
        </w:rPr>
        <w:t>l’amplitude</w:t>
      </w:r>
      <w:proofErr w:type="gramEnd"/>
      <w:r w:rsidRPr="00FF21F5">
        <w:rPr>
          <w:rFonts w:ascii="Atkinson Hyperlegible" w:hAnsi="Atkinson Hyperlegible"/>
        </w:rPr>
        <w:t xml:space="preserve"> maximale de travail et les durées minimales de repos soient respectées.</w:t>
      </w:r>
    </w:p>
    <w:p w14:paraId="07E58519" w14:textId="77777777" w:rsidR="00654CB2" w:rsidRPr="00FF21F5" w:rsidRDefault="00654CB2" w:rsidP="00654CB2">
      <w:pPr>
        <w:rPr>
          <w:rFonts w:ascii="Atkinson Hyperlegible" w:hAnsi="Atkinson Hyperlegible"/>
        </w:rPr>
      </w:pPr>
      <w:r w:rsidRPr="00FF21F5">
        <w:rPr>
          <w:rFonts w:ascii="Atkinson Hyperlegible" w:hAnsi="Atkinson Hyperlegible"/>
        </w:rPr>
        <w:t>Ce suivi est notamment assuré par :</w:t>
      </w:r>
    </w:p>
    <w:p w14:paraId="0B2FC85B" w14:textId="77777777" w:rsidR="00654CB2" w:rsidRPr="00FF21F5" w:rsidRDefault="00654CB2" w:rsidP="00AC6293">
      <w:pPr>
        <w:pStyle w:val="Paragraphedeliste"/>
        <w:numPr>
          <w:ilvl w:val="0"/>
          <w:numId w:val="11"/>
        </w:numPr>
        <w:rPr>
          <w:rFonts w:ascii="Atkinson Hyperlegible" w:hAnsi="Atkinson Hyperlegible"/>
        </w:rPr>
      </w:pPr>
      <w:proofErr w:type="gramStart"/>
      <w:r w:rsidRPr="00FF21F5">
        <w:rPr>
          <w:rFonts w:ascii="Atkinson Hyperlegible" w:hAnsi="Atkinson Hyperlegible"/>
        </w:rPr>
        <w:t>l’étude</w:t>
      </w:r>
      <w:proofErr w:type="gramEnd"/>
      <w:r w:rsidRPr="00FF21F5">
        <w:rPr>
          <w:rFonts w:ascii="Atkinson Hyperlegible" w:hAnsi="Atkinson Hyperlegible"/>
        </w:rPr>
        <w:t xml:space="preserve"> des décomptes déclaratifs sur la durée de travail effectuée ;</w:t>
      </w:r>
    </w:p>
    <w:p w14:paraId="43260E58" w14:textId="5DF9459B" w:rsidR="00654CB2" w:rsidRPr="00FF21F5" w:rsidRDefault="00654CB2" w:rsidP="00AC6293">
      <w:pPr>
        <w:pStyle w:val="Paragraphedeliste"/>
        <w:numPr>
          <w:ilvl w:val="0"/>
          <w:numId w:val="11"/>
        </w:numPr>
        <w:rPr>
          <w:rFonts w:ascii="Atkinson Hyperlegible" w:hAnsi="Atkinson Hyperlegible"/>
        </w:rPr>
      </w:pPr>
      <w:proofErr w:type="gramStart"/>
      <w:r w:rsidRPr="00FF21F5">
        <w:rPr>
          <w:rFonts w:ascii="Atkinson Hyperlegible" w:hAnsi="Atkinson Hyperlegible"/>
        </w:rPr>
        <w:t>la</w:t>
      </w:r>
      <w:proofErr w:type="gramEnd"/>
      <w:r w:rsidRPr="00FF21F5">
        <w:rPr>
          <w:rFonts w:ascii="Atkinson Hyperlegible" w:hAnsi="Atkinson Hyperlegible"/>
        </w:rPr>
        <w:t xml:space="preserve"> tenue de</w:t>
      </w:r>
      <w:r w:rsidR="00381FDC" w:rsidRPr="00FF21F5">
        <w:rPr>
          <w:rFonts w:ascii="Atkinson Hyperlegible" w:hAnsi="Atkinson Hyperlegible"/>
        </w:rPr>
        <w:t xml:space="preserve"> l’</w:t>
      </w:r>
      <w:r w:rsidRPr="00FF21F5">
        <w:rPr>
          <w:rFonts w:ascii="Atkinson Hyperlegible" w:hAnsi="Atkinson Hyperlegible"/>
        </w:rPr>
        <w:t>entretien périodique</w:t>
      </w:r>
      <w:r w:rsidR="00381FDC" w:rsidRPr="00FF21F5">
        <w:rPr>
          <w:rFonts w:ascii="Atkinson Hyperlegible" w:hAnsi="Atkinson Hyperlegible"/>
        </w:rPr>
        <w:t xml:space="preserve"> (cf. 3.5.3</w:t>
      </w:r>
      <w:r w:rsidR="00FA1A33" w:rsidRPr="00FF21F5">
        <w:rPr>
          <w:rFonts w:ascii="Atkinson Hyperlegible" w:hAnsi="Atkinson Hyperlegible"/>
        </w:rPr>
        <w:t>)</w:t>
      </w:r>
    </w:p>
    <w:p w14:paraId="26012428" w14:textId="77777777" w:rsidR="00654CB2" w:rsidRPr="00FF21F5" w:rsidRDefault="00654CB2" w:rsidP="00654CB2">
      <w:pPr>
        <w:rPr>
          <w:rFonts w:ascii="Atkinson Hyperlegible" w:hAnsi="Atkinson Hyperlegible"/>
        </w:rPr>
      </w:pPr>
      <w:r w:rsidRPr="00FF21F5">
        <w:rPr>
          <w:rFonts w:ascii="Atkinson Hyperlegible" w:hAnsi="Atkinson Hyperlegible"/>
        </w:rPr>
        <w:t>Le cas échéant, à l’occasion de ce suivi, le responsable hiérarchique pourra décider d’activer les mesures liées au dispositif de veille prévu par le présent accord.</w:t>
      </w:r>
    </w:p>
    <w:p w14:paraId="14D4D260" w14:textId="5EA5A07D" w:rsidR="00654CB2" w:rsidRPr="00FF21F5" w:rsidRDefault="00654CB2" w:rsidP="00654CB2">
      <w:pPr>
        <w:pStyle w:val="Titre3"/>
        <w:rPr>
          <w:rFonts w:ascii="Atkinson Hyperlegible" w:hAnsi="Atkinson Hyperlegible"/>
        </w:rPr>
      </w:pPr>
      <w:r w:rsidRPr="00FF21F5">
        <w:rPr>
          <w:rFonts w:ascii="Atkinson Hyperlegible" w:hAnsi="Atkinson Hyperlegible"/>
        </w:rPr>
        <w:tab/>
      </w:r>
      <w:bookmarkStart w:id="30" w:name="_Toc184749232"/>
      <w:bookmarkStart w:id="31" w:name="_Toc210057890"/>
      <w:r w:rsidR="0059664E" w:rsidRPr="00FF21F5">
        <w:rPr>
          <w:rFonts w:ascii="Atkinson Hyperlegible" w:hAnsi="Atkinson Hyperlegible"/>
        </w:rPr>
        <w:t>3</w:t>
      </w:r>
      <w:r w:rsidRPr="00FF21F5">
        <w:rPr>
          <w:rFonts w:ascii="Atkinson Hyperlegible" w:hAnsi="Atkinson Hyperlegible"/>
        </w:rPr>
        <w:t>.5.3 – Entretien périodique</w:t>
      </w:r>
      <w:bookmarkEnd w:id="30"/>
      <w:bookmarkEnd w:id="31"/>
      <w:r w:rsidRPr="00FF21F5">
        <w:rPr>
          <w:rFonts w:ascii="Atkinson Hyperlegible" w:hAnsi="Atkinson Hyperlegible"/>
        </w:rPr>
        <w:t xml:space="preserve"> </w:t>
      </w:r>
    </w:p>
    <w:p w14:paraId="4397570F" w14:textId="77777777" w:rsidR="00654CB2" w:rsidRPr="00FF21F5" w:rsidRDefault="00654CB2" w:rsidP="00654CB2">
      <w:pPr>
        <w:rPr>
          <w:rFonts w:ascii="Atkinson Hyperlegible" w:hAnsi="Atkinson Hyperlegible"/>
        </w:rPr>
      </w:pPr>
      <w:r w:rsidRPr="00FF21F5">
        <w:rPr>
          <w:rFonts w:ascii="Atkinson Hyperlegible" w:hAnsi="Atkinson Hyperlegible"/>
        </w:rPr>
        <w:t>Un entretien annuel est organisé entre le salarié ayant conclu une convention de forfait en jours sur l’année et la Direction.</w:t>
      </w:r>
    </w:p>
    <w:p w14:paraId="1FF3BE68" w14:textId="77777777" w:rsidR="00654CB2" w:rsidRPr="00FF21F5" w:rsidRDefault="00654CB2" w:rsidP="00654CB2">
      <w:pPr>
        <w:rPr>
          <w:rFonts w:ascii="Atkinson Hyperlegible" w:hAnsi="Atkinson Hyperlegible"/>
        </w:rPr>
      </w:pPr>
      <w:r w:rsidRPr="00FF21F5">
        <w:rPr>
          <w:rFonts w:ascii="Atkinson Hyperlegible" w:hAnsi="Atkinson Hyperlegible"/>
        </w:rPr>
        <w:t>Ce bilan formel annuel est complété par un suivi régulier de la charge de travail tout au long de la période de référence à l’occasion des entretiens périodiques, qui se tiennent, de manière formelle ou informelle, entre le salarié et son responsable hiérarchique.</w:t>
      </w:r>
    </w:p>
    <w:p w14:paraId="34C1A056" w14:textId="77777777" w:rsidR="00381FDC" w:rsidRPr="00FF21F5" w:rsidRDefault="00381FDC" w:rsidP="00654CB2">
      <w:pPr>
        <w:rPr>
          <w:rFonts w:ascii="Atkinson Hyperlegible" w:hAnsi="Atkinson Hyperlegible"/>
        </w:rPr>
      </w:pPr>
    </w:p>
    <w:p w14:paraId="64DC5B18" w14:textId="792FAB0A" w:rsidR="00654CB2" w:rsidRPr="00FF21F5" w:rsidRDefault="00654CB2" w:rsidP="00654CB2">
      <w:pPr>
        <w:rPr>
          <w:rFonts w:ascii="Atkinson Hyperlegible" w:hAnsi="Atkinson Hyperlegible"/>
        </w:rPr>
      </w:pPr>
      <w:r w:rsidRPr="00FF21F5">
        <w:rPr>
          <w:rFonts w:ascii="Atkinson Hyperlegible" w:hAnsi="Atkinson Hyperlegible"/>
        </w:rPr>
        <w:t>L’entretien aborde les thèmes suivants :</w:t>
      </w:r>
    </w:p>
    <w:p w14:paraId="749F9436" w14:textId="77777777" w:rsidR="00654CB2" w:rsidRPr="00FF21F5" w:rsidRDefault="00654CB2" w:rsidP="00AC6293">
      <w:pPr>
        <w:pStyle w:val="Paragraphedeliste"/>
        <w:numPr>
          <w:ilvl w:val="0"/>
          <w:numId w:val="12"/>
        </w:numPr>
        <w:rPr>
          <w:rFonts w:ascii="Atkinson Hyperlegible" w:hAnsi="Atkinson Hyperlegible"/>
        </w:rPr>
      </w:pPr>
      <w:proofErr w:type="gramStart"/>
      <w:r w:rsidRPr="00FF21F5">
        <w:rPr>
          <w:rFonts w:ascii="Atkinson Hyperlegible" w:hAnsi="Atkinson Hyperlegible"/>
        </w:rPr>
        <w:t>la</w:t>
      </w:r>
      <w:proofErr w:type="gramEnd"/>
      <w:r w:rsidRPr="00FF21F5">
        <w:rPr>
          <w:rFonts w:ascii="Atkinson Hyperlegible" w:hAnsi="Atkinson Hyperlegible"/>
        </w:rPr>
        <w:t xml:space="preserve"> charge de travail du salarié ;</w:t>
      </w:r>
    </w:p>
    <w:p w14:paraId="2905DC6C" w14:textId="77777777" w:rsidR="00654CB2" w:rsidRPr="00FF21F5" w:rsidRDefault="00654CB2" w:rsidP="00AC6293">
      <w:pPr>
        <w:pStyle w:val="Paragraphedeliste"/>
        <w:numPr>
          <w:ilvl w:val="0"/>
          <w:numId w:val="12"/>
        </w:numPr>
        <w:rPr>
          <w:rFonts w:ascii="Atkinson Hyperlegible" w:hAnsi="Atkinson Hyperlegible"/>
        </w:rPr>
      </w:pPr>
      <w:proofErr w:type="gramStart"/>
      <w:r w:rsidRPr="00FF21F5">
        <w:rPr>
          <w:rFonts w:ascii="Atkinson Hyperlegible" w:hAnsi="Atkinson Hyperlegible"/>
        </w:rPr>
        <w:t>l’adéquation</w:t>
      </w:r>
      <w:proofErr w:type="gramEnd"/>
      <w:r w:rsidRPr="00FF21F5">
        <w:rPr>
          <w:rFonts w:ascii="Atkinson Hyperlegible" w:hAnsi="Atkinson Hyperlegible"/>
        </w:rPr>
        <w:t xml:space="preserve"> des moyens mis à la disposition du salarié au regard des missions et objectifs qui lui sont confiées ; </w:t>
      </w:r>
    </w:p>
    <w:p w14:paraId="60E5D800" w14:textId="77777777" w:rsidR="00654CB2" w:rsidRPr="00FF21F5" w:rsidRDefault="00654CB2" w:rsidP="00AC6293">
      <w:pPr>
        <w:pStyle w:val="Paragraphedeliste"/>
        <w:numPr>
          <w:ilvl w:val="0"/>
          <w:numId w:val="12"/>
        </w:numPr>
        <w:rPr>
          <w:rFonts w:ascii="Atkinson Hyperlegible" w:hAnsi="Atkinson Hyperlegible"/>
        </w:rPr>
      </w:pPr>
      <w:proofErr w:type="gramStart"/>
      <w:r w:rsidRPr="00FF21F5">
        <w:rPr>
          <w:rFonts w:ascii="Atkinson Hyperlegible" w:hAnsi="Atkinson Hyperlegible"/>
        </w:rPr>
        <w:t>le</w:t>
      </w:r>
      <w:proofErr w:type="gramEnd"/>
      <w:r w:rsidRPr="00FF21F5">
        <w:rPr>
          <w:rFonts w:ascii="Atkinson Hyperlegible" w:hAnsi="Atkinson Hyperlegible"/>
        </w:rPr>
        <w:t xml:space="preserve"> respect des durées maximales d’amplitude ;</w:t>
      </w:r>
    </w:p>
    <w:p w14:paraId="6C9C5DC0" w14:textId="77777777" w:rsidR="00654CB2" w:rsidRPr="00FF21F5" w:rsidRDefault="00654CB2" w:rsidP="00AC6293">
      <w:pPr>
        <w:pStyle w:val="Paragraphedeliste"/>
        <w:numPr>
          <w:ilvl w:val="0"/>
          <w:numId w:val="12"/>
        </w:numPr>
        <w:rPr>
          <w:rFonts w:ascii="Atkinson Hyperlegible" w:hAnsi="Atkinson Hyperlegible"/>
        </w:rPr>
      </w:pPr>
      <w:proofErr w:type="gramStart"/>
      <w:r w:rsidRPr="00FF21F5">
        <w:rPr>
          <w:rFonts w:ascii="Atkinson Hyperlegible" w:hAnsi="Atkinson Hyperlegible"/>
        </w:rPr>
        <w:t>le</w:t>
      </w:r>
      <w:proofErr w:type="gramEnd"/>
      <w:r w:rsidRPr="00FF21F5">
        <w:rPr>
          <w:rFonts w:ascii="Atkinson Hyperlegible" w:hAnsi="Atkinson Hyperlegible"/>
        </w:rPr>
        <w:t xml:space="preserve"> respect des durées minimales des repos ;</w:t>
      </w:r>
    </w:p>
    <w:p w14:paraId="45C58237" w14:textId="77777777" w:rsidR="00654CB2" w:rsidRPr="00FF21F5" w:rsidRDefault="00654CB2" w:rsidP="00AC6293">
      <w:pPr>
        <w:pStyle w:val="Paragraphedeliste"/>
        <w:numPr>
          <w:ilvl w:val="0"/>
          <w:numId w:val="12"/>
        </w:numPr>
        <w:rPr>
          <w:rFonts w:ascii="Atkinson Hyperlegible" w:hAnsi="Atkinson Hyperlegible"/>
        </w:rPr>
      </w:pPr>
      <w:proofErr w:type="gramStart"/>
      <w:r w:rsidRPr="00FF21F5">
        <w:rPr>
          <w:rFonts w:ascii="Atkinson Hyperlegible" w:hAnsi="Atkinson Hyperlegible"/>
        </w:rPr>
        <w:t>l’organisation</w:t>
      </w:r>
      <w:proofErr w:type="gramEnd"/>
      <w:r w:rsidRPr="00FF21F5">
        <w:rPr>
          <w:rFonts w:ascii="Atkinson Hyperlegible" w:hAnsi="Atkinson Hyperlegible"/>
        </w:rPr>
        <w:t xml:space="preserve"> du travail dans l’entreprise ;</w:t>
      </w:r>
    </w:p>
    <w:p w14:paraId="45214E5F" w14:textId="77777777" w:rsidR="00654CB2" w:rsidRPr="00FF21F5" w:rsidRDefault="00654CB2" w:rsidP="00AC6293">
      <w:pPr>
        <w:pStyle w:val="Paragraphedeliste"/>
        <w:numPr>
          <w:ilvl w:val="0"/>
          <w:numId w:val="12"/>
        </w:numPr>
        <w:rPr>
          <w:rFonts w:ascii="Atkinson Hyperlegible" w:hAnsi="Atkinson Hyperlegible"/>
        </w:rPr>
      </w:pPr>
      <w:proofErr w:type="gramStart"/>
      <w:r w:rsidRPr="00FF21F5">
        <w:rPr>
          <w:rFonts w:ascii="Atkinson Hyperlegible" w:hAnsi="Atkinson Hyperlegible"/>
        </w:rPr>
        <w:t>l’articulation</w:t>
      </w:r>
      <w:proofErr w:type="gramEnd"/>
      <w:r w:rsidRPr="00FF21F5">
        <w:rPr>
          <w:rFonts w:ascii="Atkinson Hyperlegible" w:hAnsi="Atkinson Hyperlegible"/>
        </w:rPr>
        <w:t xml:space="preserve"> entre l’activité professionnelle et la vie personnelle ;</w:t>
      </w:r>
    </w:p>
    <w:p w14:paraId="29C87CE9" w14:textId="77777777" w:rsidR="00654CB2" w:rsidRPr="00FF21F5" w:rsidRDefault="00654CB2" w:rsidP="00AC6293">
      <w:pPr>
        <w:pStyle w:val="Paragraphedeliste"/>
        <w:numPr>
          <w:ilvl w:val="0"/>
          <w:numId w:val="12"/>
        </w:numPr>
        <w:rPr>
          <w:rFonts w:ascii="Atkinson Hyperlegible" w:hAnsi="Atkinson Hyperlegible"/>
        </w:rPr>
      </w:pPr>
      <w:proofErr w:type="gramStart"/>
      <w:r w:rsidRPr="00FF21F5">
        <w:rPr>
          <w:rFonts w:ascii="Atkinson Hyperlegible" w:hAnsi="Atkinson Hyperlegible"/>
        </w:rPr>
        <w:t>la</w:t>
      </w:r>
      <w:proofErr w:type="gramEnd"/>
      <w:r w:rsidRPr="00FF21F5">
        <w:rPr>
          <w:rFonts w:ascii="Atkinson Hyperlegible" w:hAnsi="Atkinson Hyperlegible"/>
        </w:rPr>
        <w:t xml:space="preserve"> déconnexion ;</w:t>
      </w:r>
    </w:p>
    <w:p w14:paraId="0B6CCDCA" w14:textId="77777777" w:rsidR="00654CB2" w:rsidRPr="00FF21F5" w:rsidRDefault="00654CB2" w:rsidP="00AC6293">
      <w:pPr>
        <w:pStyle w:val="Paragraphedeliste"/>
        <w:numPr>
          <w:ilvl w:val="0"/>
          <w:numId w:val="12"/>
        </w:numPr>
        <w:rPr>
          <w:rFonts w:ascii="Atkinson Hyperlegible" w:hAnsi="Atkinson Hyperlegible"/>
        </w:rPr>
      </w:pPr>
      <w:proofErr w:type="gramStart"/>
      <w:r w:rsidRPr="00FF21F5">
        <w:rPr>
          <w:rFonts w:ascii="Atkinson Hyperlegible" w:hAnsi="Atkinson Hyperlegible"/>
        </w:rPr>
        <w:t>la</w:t>
      </w:r>
      <w:proofErr w:type="gramEnd"/>
      <w:r w:rsidRPr="00FF21F5">
        <w:rPr>
          <w:rFonts w:ascii="Atkinson Hyperlegible" w:hAnsi="Atkinson Hyperlegible"/>
        </w:rPr>
        <w:t xml:space="preserve"> rémunération du salarié.</w:t>
      </w:r>
    </w:p>
    <w:p w14:paraId="681F7B5F" w14:textId="77777777" w:rsidR="00654CB2" w:rsidRPr="00FF21F5" w:rsidRDefault="00654CB2" w:rsidP="00654CB2">
      <w:pPr>
        <w:rPr>
          <w:rFonts w:ascii="Atkinson Hyperlegible" w:hAnsi="Atkinson Hyperlegible"/>
        </w:rPr>
      </w:pPr>
      <w:r w:rsidRPr="00FF21F5">
        <w:rPr>
          <w:rFonts w:ascii="Atkinson Hyperlegible" w:hAnsi="Atkinson Hyperlegible"/>
        </w:rPr>
        <w:t>Les éventuelles problématiques constatées lors de ces entretiens donneront lieu à :</w:t>
      </w:r>
    </w:p>
    <w:p w14:paraId="1ACCE62C" w14:textId="77777777" w:rsidR="00654CB2" w:rsidRPr="00FF21F5" w:rsidRDefault="00654CB2" w:rsidP="00AC6293">
      <w:pPr>
        <w:pStyle w:val="Paragraphedeliste"/>
        <w:numPr>
          <w:ilvl w:val="0"/>
          <w:numId w:val="13"/>
        </w:numPr>
        <w:rPr>
          <w:rFonts w:ascii="Atkinson Hyperlegible" w:hAnsi="Atkinson Hyperlegible"/>
        </w:rPr>
      </w:pPr>
      <w:proofErr w:type="gramStart"/>
      <w:r w:rsidRPr="00FF21F5">
        <w:rPr>
          <w:rFonts w:ascii="Atkinson Hyperlegible" w:hAnsi="Atkinson Hyperlegible"/>
        </w:rPr>
        <w:t>une</w:t>
      </w:r>
      <w:proofErr w:type="gramEnd"/>
      <w:r w:rsidRPr="00FF21F5">
        <w:rPr>
          <w:rFonts w:ascii="Atkinson Hyperlegible" w:hAnsi="Atkinson Hyperlegible"/>
        </w:rPr>
        <w:t xml:space="preserve"> recherche et une analyse des causes de celles-ci ;</w:t>
      </w:r>
    </w:p>
    <w:p w14:paraId="41A6E6B9" w14:textId="77777777" w:rsidR="00654CB2" w:rsidRPr="00FF21F5" w:rsidRDefault="00654CB2" w:rsidP="00AC6293">
      <w:pPr>
        <w:pStyle w:val="Paragraphedeliste"/>
        <w:numPr>
          <w:ilvl w:val="0"/>
          <w:numId w:val="13"/>
        </w:numPr>
        <w:rPr>
          <w:rFonts w:ascii="Atkinson Hyperlegible" w:hAnsi="Atkinson Hyperlegible"/>
        </w:rPr>
      </w:pPr>
      <w:proofErr w:type="gramStart"/>
      <w:r w:rsidRPr="00FF21F5">
        <w:rPr>
          <w:rFonts w:ascii="Atkinson Hyperlegible" w:hAnsi="Atkinson Hyperlegible"/>
        </w:rPr>
        <w:t>une</w:t>
      </w:r>
      <w:proofErr w:type="gramEnd"/>
      <w:r w:rsidRPr="00FF21F5">
        <w:rPr>
          <w:rFonts w:ascii="Atkinson Hyperlegible" w:hAnsi="Atkinson Hyperlegible"/>
        </w:rPr>
        <w:t xml:space="preserve"> concertation ayant pour objet de mettre en œuvres des actions correctives. </w:t>
      </w:r>
    </w:p>
    <w:p w14:paraId="3AEE1EA6" w14:textId="77777777" w:rsidR="00654CB2" w:rsidRPr="00FF21F5" w:rsidRDefault="00654CB2" w:rsidP="00654CB2">
      <w:pPr>
        <w:rPr>
          <w:rFonts w:ascii="Atkinson Hyperlegible" w:hAnsi="Atkinson Hyperlegible"/>
        </w:rPr>
      </w:pPr>
      <w:r w:rsidRPr="00FF21F5">
        <w:rPr>
          <w:rFonts w:ascii="Atkinson Hyperlegible" w:hAnsi="Atkinson Hyperlegible"/>
        </w:rPr>
        <w:t xml:space="preserve">Par ailleurs, en l’absence même de difficultés rencontrées par le salarié, l’entretien peut être l’occasion de suggérer et, le cas échéant, de mettre en œuvre toute mesure de nature à améliorer les conditions de travail du salarié. </w:t>
      </w:r>
    </w:p>
    <w:p w14:paraId="5C1A9F2B" w14:textId="77777777" w:rsidR="00654CB2" w:rsidRPr="00FF21F5" w:rsidRDefault="00654CB2" w:rsidP="00654CB2">
      <w:pPr>
        <w:rPr>
          <w:rFonts w:ascii="Atkinson Hyperlegible" w:hAnsi="Atkinson Hyperlegible"/>
        </w:rPr>
      </w:pPr>
      <w:r w:rsidRPr="00FF21F5">
        <w:rPr>
          <w:rFonts w:ascii="Atkinson Hyperlegible" w:hAnsi="Atkinson Hyperlegible"/>
        </w:rPr>
        <w:t xml:space="preserve">L’entretien fera l’objet d’un compte-rendu conjointement signé par le salarié et la Direction.  </w:t>
      </w:r>
    </w:p>
    <w:p w14:paraId="04591ECC" w14:textId="72DB199F" w:rsidR="00654CB2" w:rsidRPr="00FF21F5" w:rsidRDefault="00654CB2" w:rsidP="00654CB2">
      <w:pPr>
        <w:pStyle w:val="Titre3"/>
        <w:rPr>
          <w:rFonts w:ascii="Atkinson Hyperlegible" w:hAnsi="Atkinson Hyperlegible"/>
        </w:rPr>
      </w:pPr>
      <w:r w:rsidRPr="00FF21F5">
        <w:rPr>
          <w:rFonts w:ascii="Atkinson Hyperlegible" w:hAnsi="Atkinson Hyperlegible"/>
        </w:rPr>
        <w:lastRenderedPageBreak/>
        <w:tab/>
      </w:r>
      <w:bookmarkStart w:id="32" w:name="_Toc184749233"/>
      <w:bookmarkStart w:id="33" w:name="_Toc210057891"/>
      <w:r w:rsidR="00D60CD2" w:rsidRPr="00FF21F5">
        <w:rPr>
          <w:rFonts w:ascii="Atkinson Hyperlegible" w:hAnsi="Atkinson Hyperlegible"/>
        </w:rPr>
        <w:t>3</w:t>
      </w:r>
      <w:r w:rsidRPr="00FF21F5">
        <w:rPr>
          <w:rFonts w:ascii="Atkinson Hyperlegible" w:hAnsi="Atkinson Hyperlegible"/>
        </w:rPr>
        <w:t>.5.4 – Dispositif d’alerte et veille sur la charge de travail</w:t>
      </w:r>
      <w:bookmarkEnd w:id="32"/>
      <w:bookmarkEnd w:id="33"/>
      <w:r w:rsidRPr="00FF21F5">
        <w:rPr>
          <w:rFonts w:ascii="Atkinson Hyperlegible" w:hAnsi="Atkinson Hyperlegible"/>
        </w:rPr>
        <w:t xml:space="preserve"> </w:t>
      </w:r>
    </w:p>
    <w:p w14:paraId="69FF3A58" w14:textId="77777777" w:rsidR="00654CB2" w:rsidRPr="00FF21F5" w:rsidRDefault="00654CB2" w:rsidP="00654CB2">
      <w:pPr>
        <w:rPr>
          <w:rFonts w:ascii="Atkinson Hyperlegible" w:hAnsi="Atkinson Hyperlegible"/>
        </w:rPr>
      </w:pPr>
      <w:r w:rsidRPr="00FF21F5">
        <w:rPr>
          <w:rFonts w:ascii="Atkinson Hyperlegible" w:hAnsi="Atkinson Hyperlegible"/>
        </w:rPr>
        <w:t xml:space="preserve">Le salarié qui rencontre des difficultés inhabituelles dans l’organisation de son travail, dans la prise de ses congés ou temps de repos ou estime que sa charge de travail est trop importante </w:t>
      </w:r>
      <w:proofErr w:type="gramStart"/>
      <w:r w:rsidRPr="00FF21F5">
        <w:rPr>
          <w:rFonts w:ascii="Atkinson Hyperlegible" w:hAnsi="Atkinson Hyperlegible"/>
        </w:rPr>
        <w:t>a</w:t>
      </w:r>
      <w:proofErr w:type="gramEnd"/>
      <w:r w:rsidRPr="00FF21F5">
        <w:rPr>
          <w:rFonts w:ascii="Atkinson Hyperlegible" w:hAnsi="Atkinson Hyperlegible"/>
        </w:rPr>
        <w:t xml:space="preserve"> le devoir d’alerter immédiatement sa hiérarchie en transmettant des éléments sur la situation invoquée. </w:t>
      </w:r>
    </w:p>
    <w:p w14:paraId="7F6E31AF" w14:textId="4BA1A5E4" w:rsidR="00654CB2" w:rsidRPr="00FF21F5" w:rsidRDefault="00654CB2" w:rsidP="00654CB2">
      <w:pPr>
        <w:rPr>
          <w:rFonts w:ascii="Atkinson Hyperlegible" w:hAnsi="Atkinson Hyperlegible"/>
        </w:rPr>
      </w:pPr>
      <w:r w:rsidRPr="00FF21F5">
        <w:rPr>
          <w:rFonts w:ascii="Atkinson Hyperlegible" w:hAnsi="Atkinson Hyperlegible"/>
        </w:rPr>
        <w:t xml:space="preserve">Un entretien sera organisé dans </w:t>
      </w:r>
      <w:r w:rsidR="00381FDC" w:rsidRPr="00FF21F5">
        <w:rPr>
          <w:rFonts w:ascii="Atkinson Hyperlegible" w:hAnsi="Atkinson Hyperlegible"/>
        </w:rPr>
        <w:t xml:space="preserve">un délai maximum de </w:t>
      </w:r>
      <w:r w:rsidR="003C6F8C" w:rsidRPr="00FF21F5">
        <w:rPr>
          <w:rFonts w:ascii="Atkinson Hyperlegible" w:hAnsi="Atkinson Hyperlegible"/>
        </w:rPr>
        <w:t xml:space="preserve">3 semaines </w:t>
      </w:r>
      <w:r w:rsidRPr="00FF21F5">
        <w:rPr>
          <w:rFonts w:ascii="Atkinson Hyperlegible" w:hAnsi="Atkinson Hyperlegible"/>
        </w:rPr>
        <w:t xml:space="preserve">afin que la situation soit analysée. </w:t>
      </w:r>
    </w:p>
    <w:p w14:paraId="4175001C" w14:textId="77777777" w:rsidR="00654CB2" w:rsidRPr="00FF21F5" w:rsidRDefault="00654CB2" w:rsidP="00654CB2">
      <w:pPr>
        <w:rPr>
          <w:rFonts w:ascii="Atkinson Hyperlegible" w:hAnsi="Atkinson Hyperlegible"/>
        </w:rPr>
      </w:pPr>
      <w:r w:rsidRPr="00FF21F5">
        <w:rPr>
          <w:rFonts w:ascii="Atkinson Hyperlegible" w:hAnsi="Atkinson Hyperlegible"/>
        </w:rPr>
        <w:t xml:space="preserve">Lors de cet entretien, il sera procédé à un examen de l’organisation du travail du salarié, de sa charge de travail, de l’amplitude de ses journées d’activité, avant d’envisager toute solution permettant de traiter les difficultés qui auraient été identifiées. </w:t>
      </w:r>
    </w:p>
    <w:p w14:paraId="4091FDA0" w14:textId="77777777" w:rsidR="00654CB2" w:rsidRPr="00FF21F5" w:rsidRDefault="00654CB2" w:rsidP="00654CB2">
      <w:pPr>
        <w:rPr>
          <w:rFonts w:ascii="Atkinson Hyperlegible" w:hAnsi="Atkinson Hyperlegible"/>
        </w:rPr>
      </w:pPr>
      <w:r w:rsidRPr="00FF21F5">
        <w:rPr>
          <w:rFonts w:ascii="Atkinson Hyperlegible" w:hAnsi="Atkinson Hyperlegible"/>
        </w:rPr>
        <w:t>A l’issue de cet entretien, un compte-rendu écrit, auquel est annexée l’alerte écrite initiale du salarié, décrivant les mesures qui seront le cas échéant mises en place pour permettre un traitement effectif de la situation, sera établi.</w:t>
      </w:r>
    </w:p>
    <w:p w14:paraId="3BBBB998" w14:textId="77777777" w:rsidR="00654CB2" w:rsidRPr="00FF21F5" w:rsidRDefault="00654CB2" w:rsidP="00654CB2">
      <w:pPr>
        <w:rPr>
          <w:rFonts w:ascii="Atkinson Hyperlegible" w:hAnsi="Atkinson Hyperlegible"/>
        </w:rPr>
      </w:pPr>
    </w:p>
    <w:p w14:paraId="2BCBC739" w14:textId="05A51A61" w:rsidR="00654CB2" w:rsidRPr="00FF21F5" w:rsidRDefault="00D60CD2" w:rsidP="00654CB2">
      <w:pPr>
        <w:pStyle w:val="Titre2"/>
        <w:rPr>
          <w:rFonts w:ascii="Atkinson Hyperlegible" w:hAnsi="Atkinson Hyperlegible"/>
        </w:rPr>
      </w:pPr>
      <w:bookmarkStart w:id="34" w:name="_Toc184749234"/>
      <w:bookmarkStart w:id="35" w:name="_Toc210057892"/>
      <w:r w:rsidRPr="00FF21F5">
        <w:rPr>
          <w:rFonts w:ascii="Atkinson Hyperlegible" w:hAnsi="Atkinson Hyperlegible"/>
        </w:rPr>
        <w:t>3</w:t>
      </w:r>
      <w:r w:rsidR="00654CB2" w:rsidRPr="00FF21F5">
        <w:rPr>
          <w:rFonts w:ascii="Atkinson Hyperlegible" w:hAnsi="Atkinson Hyperlegible"/>
        </w:rPr>
        <w:t>.6 – Droit à la déconnexion</w:t>
      </w:r>
      <w:bookmarkEnd w:id="34"/>
      <w:bookmarkEnd w:id="35"/>
      <w:r w:rsidR="00654CB2" w:rsidRPr="00FF21F5">
        <w:rPr>
          <w:rFonts w:ascii="Atkinson Hyperlegible" w:hAnsi="Atkinson Hyperlegible"/>
        </w:rPr>
        <w:t xml:space="preserve"> </w:t>
      </w:r>
    </w:p>
    <w:p w14:paraId="75D78708" w14:textId="1365FD9D" w:rsidR="00654CB2" w:rsidRPr="00FF21F5" w:rsidRDefault="0059664E" w:rsidP="00654CB2">
      <w:pPr>
        <w:rPr>
          <w:rFonts w:ascii="Atkinson Hyperlegible" w:hAnsi="Atkinson Hyperlegible"/>
          <w:bCs/>
        </w:rPr>
      </w:pPr>
      <w:r w:rsidRPr="00FF21F5">
        <w:rPr>
          <w:rFonts w:ascii="Atkinson Hyperlegible" w:hAnsi="Atkinson Hyperlegible"/>
          <w:bCs/>
        </w:rPr>
        <w:t>Les salariés titulaire</w:t>
      </w:r>
      <w:r w:rsidR="003C6F8C" w:rsidRPr="00FF21F5">
        <w:rPr>
          <w:rFonts w:ascii="Atkinson Hyperlegible" w:hAnsi="Atkinson Hyperlegible"/>
          <w:bCs/>
        </w:rPr>
        <w:t>s</w:t>
      </w:r>
      <w:r w:rsidRPr="00FF21F5">
        <w:rPr>
          <w:rFonts w:ascii="Atkinson Hyperlegible" w:hAnsi="Atkinson Hyperlegible"/>
          <w:bCs/>
        </w:rPr>
        <w:t xml:space="preserve"> d’une convention individuelle en forfait jours bénéficient des dispositions du chapitre 5 de l’accord d’entreprise du 6 juillet 2018. </w:t>
      </w:r>
    </w:p>
    <w:p w14:paraId="64F2550F" w14:textId="77777777" w:rsidR="00654CB2" w:rsidRPr="00FF21F5" w:rsidRDefault="00654CB2" w:rsidP="00654CB2">
      <w:pPr>
        <w:rPr>
          <w:rFonts w:ascii="Atkinson Hyperlegible" w:hAnsi="Atkinson Hyperlegible"/>
          <w:bCs/>
        </w:rPr>
      </w:pPr>
    </w:p>
    <w:p w14:paraId="3FB5FF02" w14:textId="356FAF2F" w:rsidR="00654CB2" w:rsidRPr="00FF21F5" w:rsidRDefault="00D60CD2" w:rsidP="00654CB2">
      <w:pPr>
        <w:pStyle w:val="Titre2"/>
        <w:rPr>
          <w:rFonts w:ascii="Atkinson Hyperlegible" w:hAnsi="Atkinson Hyperlegible"/>
        </w:rPr>
      </w:pPr>
      <w:bookmarkStart w:id="36" w:name="_Toc184749235"/>
      <w:bookmarkStart w:id="37" w:name="_Toc210057893"/>
      <w:r w:rsidRPr="00FF21F5">
        <w:rPr>
          <w:rFonts w:ascii="Atkinson Hyperlegible" w:hAnsi="Atkinson Hyperlegible"/>
        </w:rPr>
        <w:t>3</w:t>
      </w:r>
      <w:r w:rsidR="00654CB2" w:rsidRPr="00FF21F5">
        <w:rPr>
          <w:rFonts w:ascii="Atkinson Hyperlegible" w:hAnsi="Atkinson Hyperlegible"/>
        </w:rPr>
        <w:t>.7 – Rémunération</w:t>
      </w:r>
      <w:bookmarkEnd w:id="36"/>
      <w:bookmarkEnd w:id="37"/>
      <w:r w:rsidR="00654CB2" w:rsidRPr="00FF21F5">
        <w:rPr>
          <w:rFonts w:ascii="Atkinson Hyperlegible" w:hAnsi="Atkinson Hyperlegible"/>
        </w:rPr>
        <w:t xml:space="preserve"> </w:t>
      </w:r>
    </w:p>
    <w:p w14:paraId="4404D268" w14:textId="77777777" w:rsidR="00654CB2" w:rsidRPr="00FF21F5" w:rsidRDefault="00654CB2" w:rsidP="00FA1A33">
      <w:pPr>
        <w:jc w:val="both"/>
        <w:rPr>
          <w:rFonts w:ascii="Atkinson Hyperlegible" w:hAnsi="Atkinson Hyperlegible"/>
          <w:bCs/>
        </w:rPr>
      </w:pPr>
      <w:r w:rsidRPr="00FF21F5">
        <w:rPr>
          <w:rFonts w:ascii="Atkinson Hyperlegible" w:hAnsi="Atkinson Hyperlegible"/>
          <w:bCs/>
        </w:rPr>
        <w:t>Les salariés visés au présent accord bénéficient d’une rémunération forfaitaire annuelle, en contrepartie de l’exercice de leur mission, lissée sur 12 mois.</w:t>
      </w:r>
    </w:p>
    <w:p w14:paraId="0808C217" w14:textId="77777777" w:rsidR="00654CB2" w:rsidRPr="00FF21F5" w:rsidRDefault="00654CB2" w:rsidP="00FA1A33">
      <w:pPr>
        <w:jc w:val="both"/>
        <w:rPr>
          <w:rFonts w:ascii="Atkinson Hyperlegible" w:hAnsi="Atkinson Hyperlegible"/>
          <w:bCs/>
        </w:rPr>
      </w:pPr>
      <w:r w:rsidRPr="00FF21F5">
        <w:rPr>
          <w:rFonts w:ascii="Atkinson Hyperlegible" w:hAnsi="Atkinson Hyperlegible"/>
          <w:bCs/>
        </w:rPr>
        <w:t xml:space="preserve">La rémunération forfaitaire est indépendante du nombre d'heures de travail effectif accomplies. </w:t>
      </w:r>
    </w:p>
    <w:p w14:paraId="530AABD2" w14:textId="77777777" w:rsidR="00654CB2" w:rsidRPr="00FF21F5" w:rsidRDefault="00654CB2" w:rsidP="00FA1A33">
      <w:pPr>
        <w:jc w:val="both"/>
        <w:rPr>
          <w:rFonts w:ascii="Atkinson Hyperlegible" w:hAnsi="Atkinson Hyperlegible"/>
          <w:bCs/>
        </w:rPr>
      </w:pPr>
      <w:r w:rsidRPr="00FF21F5">
        <w:rPr>
          <w:rFonts w:ascii="Atkinson Hyperlegible" w:hAnsi="Atkinson Hyperlegible"/>
          <w:bCs/>
        </w:rPr>
        <w:t>Les parties rappellent expressément que le salaire ainsi versé est la contrepartie des missions effectuées par le salarié mais que celui-ci couvre également toutes les sujétions résultant de l’organisation de la durée du travail sous la forme d’un forfait annuel en jours et inclue donc la rémunération de toutes les sujétions particulières (dimanches, jours fériés, heures de nuit).</w:t>
      </w:r>
    </w:p>
    <w:p w14:paraId="5B6E6B5B" w14:textId="77777777" w:rsidR="00654CB2" w:rsidRPr="00FF21F5" w:rsidRDefault="00654CB2" w:rsidP="00654CB2">
      <w:pPr>
        <w:rPr>
          <w:rFonts w:ascii="Atkinson Hyperlegible" w:hAnsi="Atkinson Hyperlegible"/>
        </w:rPr>
      </w:pPr>
    </w:p>
    <w:p w14:paraId="36197A9F" w14:textId="54284EDC" w:rsidR="00654CB2" w:rsidRPr="00FF21F5" w:rsidRDefault="00D60CD2" w:rsidP="00654CB2">
      <w:pPr>
        <w:pStyle w:val="Titre2"/>
        <w:rPr>
          <w:rFonts w:ascii="Atkinson Hyperlegible" w:hAnsi="Atkinson Hyperlegible"/>
        </w:rPr>
      </w:pPr>
      <w:bookmarkStart w:id="38" w:name="_Toc184749236"/>
      <w:bookmarkStart w:id="39" w:name="_Toc210057894"/>
      <w:r w:rsidRPr="00FF21F5">
        <w:rPr>
          <w:rFonts w:ascii="Atkinson Hyperlegible" w:hAnsi="Atkinson Hyperlegible"/>
        </w:rPr>
        <w:t>3</w:t>
      </w:r>
      <w:r w:rsidR="00654CB2" w:rsidRPr="00FF21F5">
        <w:rPr>
          <w:rFonts w:ascii="Atkinson Hyperlegible" w:hAnsi="Atkinson Hyperlegible"/>
        </w:rPr>
        <w:t>.8 –</w:t>
      </w:r>
      <w:r w:rsidR="00AD5E3D" w:rsidRPr="00FF21F5">
        <w:rPr>
          <w:rFonts w:ascii="Atkinson Hyperlegible" w:hAnsi="Atkinson Hyperlegible"/>
        </w:rPr>
        <w:t xml:space="preserve"> E</w:t>
      </w:r>
      <w:r w:rsidR="00654CB2" w:rsidRPr="00FF21F5">
        <w:rPr>
          <w:rFonts w:ascii="Atkinson Hyperlegible" w:hAnsi="Atkinson Hyperlegible"/>
        </w:rPr>
        <w:t>ntrées-sorties en cours d’année civile</w:t>
      </w:r>
      <w:bookmarkEnd w:id="38"/>
      <w:bookmarkEnd w:id="39"/>
      <w:r w:rsidR="00654CB2" w:rsidRPr="00FF21F5">
        <w:rPr>
          <w:rFonts w:ascii="Atkinson Hyperlegible" w:hAnsi="Atkinson Hyperlegible"/>
        </w:rPr>
        <w:t xml:space="preserve"> </w:t>
      </w:r>
    </w:p>
    <w:p w14:paraId="210F37F3" w14:textId="307BD4FA" w:rsidR="00AD5E3D" w:rsidRPr="00FF21F5" w:rsidRDefault="00AD5E3D" w:rsidP="00AD5E3D">
      <w:pPr>
        <w:ind w:firstLine="708"/>
        <w:rPr>
          <w:rFonts w:ascii="Atkinson Hyperlegible" w:hAnsi="Atkinson Hyperlegible"/>
          <w:u w:val="single"/>
        </w:rPr>
      </w:pPr>
      <w:r w:rsidRPr="00FF21F5">
        <w:rPr>
          <w:rFonts w:ascii="Atkinson Hyperlegible" w:hAnsi="Atkinson Hyperlegible"/>
          <w:u w:val="single"/>
        </w:rPr>
        <w:t xml:space="preserve">Article 3.8.1 : arrivée en cours de période </w:t>
      </w:r>
    </w:p>
    <w:p w14:paraId="5FE22604" w14:textId="77777777" w:rsidR="00AD5E3D" w:rsidRPr="00FF21F5" w:rsidRDefault="00AD5E3D" w:rsidP="00AD5E3D">
      <w:pPr>
        <w:rPr>
          <w:rFonts w:ascii="Atkinson Hyperlegible" w:hAnsi="Atkinson Hyperlegible"/>
        </w:rPr>
      </w:pPr>
      <w:r w:rsidRPr="00FF21F5">
        <w:rPr>
          <w:rFonts w:ascii="Atkinson Hyperlegible" w:hAnsi="Atkinson Hyperlegible"/>
        </w:rPr>
        <w:t>Pour les salariés embauchés en cours de période de référence, un calcul spécifique du forfait applicable sur la période considérée est effectué dans les conditions suivantes.</w:t>
      </w:r>
    </w:p>
    <w:p w14:paraId="01D93EE6" w14:textId="37927450" w:rsidR="00AD5E3D" w:rsidRPr="00FF21F5" w:rsidRDefault="00AD5E3D" w:rsidP="00AD5E3D">
      <w:pPr>
        <w:rPr>
          <w:rFonts w:ascii="Atkinson Hyperlegible" w:hAnsi="Atkinson Hyperlegible"/>
        </w:rPr>
      </w:pPr>
      <w:r w:rsidRPr="00FF21F5">
        <w:rPr>
          <w:rFonts w:ascii="Atkinson Hyperlegible" w:hAnsi="Atkinson Hyperlegible"/>
        </w:rPr>
        <w:t xml:space="preserve">Tout d’abord, il est ajouté au forfait prévu par l’accord collectif 30 jours ouvrés de congés payés et le nombre de jours fériés chômés compris dans la période de référence. </w:t>
      </w:r>
    </w:p>
    <w:p w14:paraId="064EB00F" w14:textId="77777777" w:rsidR="00AD5E3D" w:rsidRPr="00FF21F5" w:rsidRDefault="00AD5E3D" w:rsidP="00AD5E3D">
      <w:pPr>
        <w:rPr>
          <w:rFonts w:ascii="Atkinson Hyperlegible" w:hAnsi="Atkinson Hyperlegible"/>
        </w:rPr>
      </w:pPr>
      <w:r w:rsidRPr="00FF21F5">
        <w:rPr>
          <w:rFonts w:ascii="Atkinson Hyperlegible" w:hAnsi="Atkinson Hyperlegible"/>
        </w:rPr>
        <w:t>Ensuite, ce résultat est proratisé en multipliant le nombre obtenu par le nombre de jours calendaires qui séparent la date d’entrée de la fin de période de référence, puis il est divisé par 365 (ou 366 les années bissextiles).</w:t>
      </w:r>
    </w:p>
    <w:p w14:paraId="13C4F344" w14:textId="77777777" w:rsidR="00AD5E3D" w:rsidRPr="00FF21F5" w:rsidRDefault="00AD5E3D" w:rsidP="00AD5E3D">
      <w:pPr>
        <w:rPr>
          <w:rFonts w:ascii="Atkinson Hyperlegible" w:hAnsi="Atkinson Hyperlegible"/>
        </w:rPr>
      </w:pPr>
      <w:r w:rsidRPr="00FF21F5">
        <w:rPr>
          <w:rFonts w:ascii="Atkinson Hyperlegible" w:hAnsi="Atkinson Hyperlegible"/>
        </w:rPr>
        <w:t>Enfin, il est déduit de cette opération :</w:t>
      </w:r>
    </w:p>
    <w:p w14:paraId="05B52A93" w14:textId="77777777" w:rsidR="00AD5E3D" w:rsidRPr="00FF21F5" w:rsidRDefault="00AD5E3D" w:rsidP="00AC6293">
      <w:pPr>
        <w:pStyle w:val="Paragraphedeliste"/>
        <w:numPr>
          <w:ilvl w:val="0"/>
          <w:numId w:val="15"/>
        </w:numPr>
        <w:rPr>
          <w:rFonts w:ascii="Atkinson Hyperlegible" w:hAnsi="Atkinson Hyperlegible"/>
        </w:rPr>
      </w:pPr>
      <w:proofErr w:type="gramStart"/>
      <w:r w:rsidRPr="00FF21F5">
        <w:rPr>
          <w:rFonts w:ascii="Atkinson Hyperlegible" w:hAnsi="Atkinson Hyperlegible"/>
        </w:rPr>
        <w:t>les</w:t>
      </w:r>
      <w:proofErr w:type="gramEnd"/>
      <w:r w:rsidRPr="00FF21F5">
        <w:rPr>
          <w:rFonts w:ascii="Atkinson Hyperlegible" w:hAnsi="Atkinson Hyperlegible"/>
        </w:rPr>
        <w:t xml:space="preserve"> jours fériés chômés sur la période à effectuer ;</w:t>
      </w:r>
    </w:p>
    <w:p w14:paraId="122EFA72" w14:textId="77777777" w:rsidR="00AD5E3D" w:rsidRPr="00FF21F5" w:rsidRDefault="00AD5E3D" w:rsidP="00AC6293">
      <w:pPr>
        <w:pStyle w:val="Paragraphedeliste"/>
        <w:numPr>
          <w:ilvl w:val="0"/>
          <w:numId w:val="15"/>
        </w:numPr>
        <w:rPr>
          <w:rFonts w:ascii="Atkinson Hyperlegible" w:hAnsi="Atkinson Hyperlegible"/>
        </w:rPr>
      </w:pPr>
      <w:proofErr w:type="gramStart"/>
      <w:r w:rsidRPr="00FF21F5">
        <w:rPr>
          <w:rFonts w:ascii="Atkinson Hyperlegible" w:hAnsi="Atkinson Hyperlegible"/>
        </w:rPr>
        <w:t>et</w:t>
      </w:r>
      <w:proofErr w:type="gramEnd"/>
      <w:r w:rsidRPr="00FF21F5">
        <w:rPr>
          <w:rFonts w:ascii="Atkinson Hyperlegible" w:hAnsi="Atkinson Hyperlegible"/>
        </w:rPr>
        <w:t xml:space="preserve"> le cas échéant, le nombre de jours de congés que doit prendre le salarié sur la période.</w:t>
      </w:r>
    </w:p>
    <w:p w14:paraId="2F4AA99D" w14:textId="77777777" w:rsidR="00AD5E3D" w:rsidRPr="00FF21F5" w:rsidRDefault="00AD5E3D" w:rsidP="00AD5E3D">
      <w:pPr>
        <w:ind w:left="708"/>
        <w:rPr>
          <w:rFonts w:ascii="Atkinson Hyperlegible" w:hAnsi="Atkinson Hyperlegible"/>
        </w:rPr>
      </w:pPr>
      <w:r w:rsidRPr="00FF21F5">
        <w:rPr>
          <w:rFonts w:ascii="Atkinson Hyperlegible" w:hAnsi="Atkinson Hyperlegible"/>
          <w:u w:val="single"/>
        </w:rPr>
        <w:lastRenderedPageBreak/>
        <w:t>Exemple de calcul</w:t>
      </w:r>
      <w:r w:rsidRPr="00FF21F5">
        <w:rPr>
          <w:rFonts w:ascii="Atkinson Hyperlegible" w:hAnsi="Atkinson Hyperlegible"/>
        </w:rPr>
        <w:t> :</w:t>
      </w:r>
    </w:p>
    <w:p w14:paraId="5E59C516" w14:textId="77777777" w:rsidR="00AD5E3D" w:rsidRPr="00FF21F5" w:rsidRDefault="00AD5E3D" w:rsidP="00AD5E3D">
      <w:pPr>
        <w:ind w:left="708"/>
        <w:rPr>
          <w:rFonts w:ascii="Atkinson Hyperlegible" w:hAnsi="Atkinson Hyperlegible"/>
        </w:rPr>
      </w:pPr>
      <w:r w:rsidRPr="00FF21F5">
        <w:rPr>
          <w:rFonts w:ascii="Atkinson Hyperlegible" w:hAnsi="Atkinson Hyperlegible"/>
        </w:rPr>
        <w:t>La période de référence en vigueur : 1er janvier au 31 décembre.</w:t>
      </w:r>
    </w:p>
    <w:p w14:paraId="34EAC568" w14:textId="77777777" w:rsidR="00AD5E3D" w:rsidRPr="00FF21F5" w:rsidRDefault="00AD5E3D" w:rsidP="00AD5E3D">
      <w:pPr>
        <w:ind w:left="708"/>
        <w:rPr>
          <w:rFonts w:ascii="Atkinson Hyperlegible" w:hAnsi="Atkinson Hyperlegible"/>
        </w:rPr>
      </w:pPr>
      <w:r w:rsidRPr="00FF21F5">
        <w:rPr>
          <w:rFonts w:ascii="Atkinson Hyperlegible" w:hAnsi="Atkinson Hyperlegible"/>
        </w:rPr>
        <w:t xml:space="preserve">Le salarié intègre l’entreprise le 1er septembre. </w:t>
      </w:r>
    </w:p>
    <w:p w14:paraId="2DA3F1DC" w14:textId="77777777" w:rsidR="00AD5E3D" w:rsidRPr="00FF21F5" w:rsidRDefault="00AD5E3D" w:rsidP="00AD5E3D">
      <w:pPr>
        <w:ind w:left="708"/>
        <w:rPr>
          <w:rFonts w:ascii="Atkinson Hyperlegible" w:hAnsi="Atkinson Hyperlegible"/>
        </w:rPr>
      </w:pPr>
      <w:r w:rsidRPr="00FF21F5">
        <w:rPr>
          <w:rFonts w:ascii="Atkinson Hyperlegible" w:hAnsi="Atkinson Hyperlegible"/>
        </w:rPr>
        <w:t>Sur la période de référence, se trouvent 8 jours fériés chômés dont 3 sur la période à effectuer. On considère que le salarié n’a le droit à aucun jour de congés payés.</w:t>
      </w:r>
    </w:p>
    <w:p w14:paraId="05825EEA" w14:textId="4CD07703" w:rsidR="00AD5E3D" w:rsidRPr="00FF21F5" w:rsidRDefault="00AD5E3D" w:rsidP="00AD5E3D">
      <w:pPr>
        <w:ind w:left="708"/>
        <w:rPr>
          <w:rFonts w:ascii="Atkinson Hyperlegible" w:hAnsi="Atkinson Hyperlegible"/>
        </w:rPr>
      </w:pPr>
      <w:r w:rsidRPr="00FF21F5">
        <w:rPr>
          <w:rFonts w:ascii="Atkinson Hyperlegible" w:hAnsi="Atkinson Hyperlegible"/>
        </w:rPr>
        <w:t xml:space="preserve">Le forfait retenu par l’accord est de </w:t>
      </w:r>
      <w:proofErr w:type="gramStart"/>
      <w:r w:rsidRPr="00FF21F5">
        <w:rPr>
          <w:rFonts w:ascii="Atkinson Hyperlegible" w:hAnsi="Atkinson Hyperlegible"/>
        </w:rPr>
        <w:t>20</w:t>
      </w:r>
      <w:r w:rsidR="000777CB" w:rsidRPr="00FF21F5">
        <w:rPr>
          <w:rFonts w:ascii="Atkinson Hyperlegible" w:hAnsi="Atkinson Hyperlegible"/>
        </w:rPr>
        <w:t>3</w:t>
      </w:r>
      <w:r w:rsidRPr="00FF21F5">
        <w:rPr>
          <w:rFonts w:ascii="Atkinson Hyperlegible" w:hAnsi="Atkinson Hyperlegible"/>
        </w:rPr>
        <w:t xml:space="preserve">  jours</w:t>
      </w:r>
      <w:proofErr w:type="gramEnd"/>
      <w:r w:rsidRPr="00FF21F5">
        <w:rPr>
          <w:rFonts w:ascii="Atkinson Hyperlegible" w:hAnsi="Atkinson Hyperlegible"/>
        </w:rPr>
        <w:t xml:space="preserve">. </w:t>
      </w:r>
    </w:p>
    <w:p w14:paraId="757FF040" w14:textId="59E7C801" w:rsidR="00AD5E3D" w:rsidRPr="00FF21F5" w:rsidRDefault="000777CB" w:rsidP="00AD5E3D">
      <w:pPr>
        <w:ind w:left="708"/>
        <w:rPr>
          <w:rFonts w:ascii="Atkinson Hyperlegible" w:hAnsi="Atkinson Hyperlegible"/>
        </w:rPr>
      </w:pPr>
      <w:r w:rsidRPr="00FF21F5">
        <w:rPr>
          <w:rFonts w:ascii="Atkinson Hyperlegible" w:hAnsi="Atkinson Hyperlegible"/>
        </w:rPr>
        <w:t xml:space="preserve">203 </w:t>
      </w:r>
      <w:r w:rsidR="00AD5E3D" w:rsidRPr="00FF21F5">
        <w:rPr>
          <w:rFonts w:ascii="Atkinson Hyperlegible" w:hAnsi="Atkinson Hyperlegible"/>
        </w:rPr>
        <w:t xml:space="preserve">(forfait accord) + 30 (jours de congés) + 8 (jours fériés chômés) = </w:t>
      </w:r>
      <w:r w:rsidR="008945BF" w:rsidRPr="00FF21F5">
        <w:rPr>
          <w:rFonts w:ascii="Atkinson Hyperlegible" w:hAnsi="Atkinson Hyperlegible"/>
        </w:rPr>
        <w:t>241</w:t>
      </w:r>
    </w:p>
    <w:p w14:paraId="4830BEC3" w14:textId="77777777" w:rsidR="00AD5E3D" w:rsidRPr="00FF21F5" w:rsidRDefault="00AD5E3D" w:rsidP="00AD5E3D">
      <w:pPr>
        <w:ind w:left="708"/>
        <w:rPr>
          <w:rFonts w:ascii="Atkinson Hyperlegible" w:hAnsi="Atkinson Hyperlegible"/>
        </w:rPr>
      </w:pPr>
      <w:r w:rsidRPr="00FF21F5">
        <w:rPr>
          <w:rFonts w:ascii="Atkinson Hyperlegible" w:hAnsi="Atkinson Hyperlegible"/>
        </w:rPr>
        <w:t xml:space="preserve">122 jours séparent le 1er septembre du 31 décembre. </w:t>
      </w:r>
    </w:p>
    <w:p w14:paraId="11130DE4" w14:textId="231241D1" w:rsidR="00AD5E3D" w:rsidRPr="00FF21F5" w:rsidRDefault="00AD5E3D" w:rsidP="00AD5E3D">
      <w:pPr>
        <w:ind w:left="708"/>
        <w:rPr>
          <w:rFonts w:ascii="Atkinson Hyperlegible" w:hAnsi="Atkinson Hyperlegible"/>
        </w:rPr>
      </w:pPr>
      <w:r w:rsidRPr="00FF21F5">
        <w:rPr>
          <w:rFonts w:ascii="Atkinson Hyperlegible" w:hAnsi="Atkinson Hyperlegible"/>
        </w:rPr>
        <w:t xml:space="preserve">Proratisation : </w:t>
      </w:r>
      <w:r w:rsidR="008945BF" w:rsidRPr="00FF21F5">
        <w:rPr>
          <w:rFonts w:ascii="Atkinson Hyperlegible" w:hAnsi="Atkinson Hyperlegible"/>
        </w:rPr>
        <w:t xml:space="preserve"> 241</w:t>
      </w:r>
      <w:r w:rsidRPr="00FF21F5">
        <w:rPr>
          <w:rFonts w:ascii="Atkinson Hyperlegible" w:hAnsi="Atkinson Hyperlegible"/>
        </w:rPr>
        <w:t xml:space="preserve"> x 122/365 = </w:t>
      </w:r>
      <w:r w:rsidR="00850DA0" w:rsidRPr="00FF21F5">
        <w:rPr>
          <w:rFonts w:ascii="Atkinson Hyperlegible" w:hAnsi="Atkinson Hyperlegible"/>
        </w:rPr>
        <w:t xml:space="preserve">80,55 </w:t>
      </w:r>
      <w:r w:rsidR="002B7D85" w:rsidRPr="00FF21F5">
        <w:rPr>
          <w:rFonts w:ascii="Atkinson Hyperlegible" w:hAnsi="Atkinson Hyperlegible"/>
        </w:rPr>
        <w:t>(</w:t>
      </w:r>
      <w:r w:rsidR="00850DA0" w:rsidRPr="00FF21F5">
        <w:rPr>
          <w:rFonts w:ascii="Atkinson Hyperlegible" w:hAnsi="Atkinson Hyperlegible"/>
        </w:rPr>
        <w:t>arrond</w:t>
      </w:r>
      <w:r w:rsidR="002B7D85" w:rsidRPr="00FF21F5">
        <w:rPr>
          <w:rFonts w:ascii="Atkinson Hyperlegible" w:hAnsi="Atkinson Hyperlegible"/>
        </w:rPr>
        <w:t>i à 81 jours)</w:t>
      </w:r>
    </w:p>
    <w:p w14:paraId="2308AF82" w14:textId="77777777" w:rsidR="00AD5E3D" w:rsidRPr="00FF21F5" w:rsidRDefault="00AD5E3D" w:rsidP="00AD5E3D">
      <w:pPr>
        <w:ind w:left="708"/>
        <w:rPr>
          <w:rFonts w:ascii="Atkinson Hyperlegible" w:hAnsi="Atkinson Hyperlegible"/>
        </w:rPr>
      </w:pPr>
      <w:r w:rsidRPr="00FF21F5">
        <w:rPr>
          <w:rFonts w:ascii="Atkinson Hyperlegible" w:hAnsi="Atkinson Hyperlegible"/>
        </w:rPr>
        <w:t xml:space="preserve">Sont ensuite retranchés les 3 jours fériés. </w:t>
      </w:r>
    </w:p>
    <w:p w14:paraId="1F41D33D" w14:textId="24880293" w:rsidR="00AD5E3D" w:rsidRPr="00FF21F5" w:rsidRDefault="00AD5E3D" w:rsidP="00AD5E3D">
      <w:pPr>
        <w:ind w:firstLine="708"/>
        <w:rPr>
          <w:rFonts w:ascii="Atkinson Hyperlegible" w:hAnsi="Atkinson Hyperlegible"/>
        </w:rPr>
      </w:pPr>
      <w:r w:rsidRPr="00FF21F5">
        <w:rPr>
          <w:rFonts w:ascii="Atkinson Hyperlegible" w:hAnsi="Atkinson Hyperlegible"/>
        </w:rPr>
        <w:t xml:space="preserve">Le forfait pour la période est alors de 78 jours. </w:t>
      </w:r>
    </w:p>
    <w:p w14:paraId="305F6A8E" w14:textId="77777777" w:rsidR="00AD5E3D" w:rsidRPr="00FF21F5" w:rsidRDefault="00AD5E3D" w:rsidP="00AD5E3D">
      <w:pPr>
        <w:ind w:firstLine="708"/>
        <w:rPr>
          <w:rFonts w:ascii="Atkinson Hyperlegible" w:hAnsi="Atkinson Hyperlegible"/>
          <w:u w:val="single"/>
        </w:rPr>
      </w:pPr>
    </w:p>
    <w:p w14:paraId="3A1FB6D7" w14:textId="5787A8D2" w:rsidR="00AD5E3D" w:rsidRPr="00FF21F5" w:rsidRDefault="00AD5E3D" w:rsidP="00AD5E3D">
      <w:pPr>
        <w:ind w:firstLine="708"/>
        <w:rPr>
          <w:rFonts w:ascii="Atkinson Hyperlegible" w:hAnsi="Atkinson Hyperlegible"/>
          <w:u w:val="single"/>
        </w:rPr>
      </w:pPr>
      <w:r w:rsidRPr="00FF21F5">
        <w:rPr>
          <w:rFonts w:ascii="Atkinson Hyperlegible" w:hAnsi="Atkinson Hyperlegible"/>
          <w:u w:val="single"/>
        </w:rPr>
        <w:t xml:space="preserve">Article 3.8.2 : départ en cours de période </w:t>
      </w:r>
    </w:p>
    <w:p w14:paraId="4F875D7C" w14:textId="5547E891" w:rsidR="00AD5E3D" w:rsidRPr="00FF21F5" w:rsidRDefault="00AD5E3D" w:rsidP="00AD5E3D">
      <w:pPr>
        <w:rPr>
          <w:rFonts w:ascii="Atkinson Hyperlegible" w:hAnsi="Atkinson Hyperlegible"/>
        </w:rPr>
      </w:pPr>
      <w:r w:rsidRPr="00FF21F5">
        <w:rPr>
          <w:rFonts w:ascii="Atkinson Hyperlegible" w:hAnsi="Atkinson Hyperlegible"/>
        </w:rPr>
        <w:t>En cas de départ en cours de période de référence, le nombre de jours RTT à compter du début de la période de référence et jusqu'au départ, est recalculé comme suit :</w:t>
      </w:r>
    </w:p>
    <w:p w14:paraId="01927A99" w14:textId="06829122" w:rsidR="00AD5E3D" w:rsidRPr="00FF21F5" w:rsidRDefault="00AD5E3D" w:rsidP="00AD5E3D">
      <w:pPr>
        <w:ind w:left="708"/>
        <w:rPr>
          <w:rFonts w:ascii="Atkinson Hyperlegible" w:hAnsi="Atkinson Hyperlegible"/>
        </w:rPr>
      </w:pPr>
      <w:r w:rsidRPr="00FF21F5">
        <w:rPr>
          <w:rFonts w:ascii="Atkinson Hyperlegible" w:hAnsi="Atkinson Hyperlegible"/>
        </w:rPr>
        <w:t>Nombre de jours RTT accordés aux salariés présents sur toute la période de référence x nombre de jours calendaires depuis le début de l’année civile jusqu’à la date de départ / nombre de jours calendaires sur l'année civile considérée.</w:t>
      </w:r>
    </w:p>
    <w:p w14:paraId="23927CC8" w14:textId="5A066F76" w:rsidR="00AD5E3D" w:rsidRPr="00FF21F5" w:rsidRDefault="00AD5E3D" w:rsidP="00AD5E3D">
      <w:pPr>
        <w:rPr>
          <w:rFonts w:ascii="Atkinson Hyperlegible" w:hAnsi="Atkinson Hyperlegible"/>
        </w:rPr>
      </w:pPr>
      <w:r w:rsidRPr="00FF21F5">
        <w:rPr>
          <w:rFonts w:ascii="Atkinson Hyperlegible" w:hAnsi="Atkinson Hyperlegible"/>
        </w:rPr>
        <w:t>Lorsque le salarié a posé plus ou moins de jours RTT que le nombre de jours RTT qui lui est dû, une régularisation est effectuée dans le cadre de son solde de tout compte</w:t>
      </w:r>
    </w:p>
    <w:p w14:paraId="2D5622AE" w14:textId="5C7D47B9" w:rsidR="00AD5E3D" w:rsidRPr="00FF21F5" w:rsidRDefault="00AD5E3D" w:rsidP="00AD5E3D">
      <w:pPr>
        <w:rPr>
          <w:rFonts w:ascii="Atkinson Hyperlegible" w:hAnsi="Atkinson Hyperlegible"/>
        </w:rPr>
      </w:pPr>
      <w:r w:rsidRPr="00FF21F5">
        <w:rPr>
          <w:rFonts w:ascii="Atkinson Hyperlegible" w:hAnsi="Atkinson Hyperlegible"/>
        </w:rPr>
        <w:t xml:space="preserve">Le cas échéant, une compensation pourra être faite avec les autres sommes restant dues au salarié au titre de la rupture du contrat de travail (indemnité de congés </w:t>
      </w:r>
      <w:proofErr w:type="gramStart"/>
      <w:r w:rsidRPr="00FF21F5">
        <w:rPr>
          <w:rFonts w:ascii="Atkinson Hyperlegible" w:hAnsi="Atkinson Hyperlegible"/>
        </w:rPr>
        <w:t>payés,…</w:t>
      </w:r>
      <w:proofErr w:type="gramEnd"/>
      <w:r w:rsidRPr="00FF21F5">
        <w:rPr>
          <w:rFonts w:ascii="Atkinson Hyperlegible" w:hAnsi="Atkinson Hyperlegible"/>
        </w:rPr>
        <w:t>).</w:t>
      </w:r>
    </w:p>
    <w:p w14:paraId="0F30C416" w14:textId="77777777" w:rsidR="001406D5" w:rsidRPr="00FF21F5" w:rsidRDefault="001406D5" w:rsidP="00CF77C3">
      <w:pPr>
        <w:ind w:left="720"/>
        <w:rPr>
          <w:rFonts w:ascii="Atkinson Hyperlegible" w:hAnsi="Atkinson Hyperlegible"/>
          <w:strike/>
        </w:rPr>
      </w:pPr>
    </w:p>
    <w:p w14:paraId="58618308" w14:textId="3B92A328" w:rsidR="001149AB" w:rsidRPr="004C6D76" w:rsidRDefault="001149AB" w:rsidP="001149AB">
      <w:pPr>
        <w:ind w:left="720"/>
        <w:rPr>
          <w:rFonts w:ascii="Atkinson Hyperlegible" w:hAnsi="Atkinson Hyperlegible"/>
        </w:rPr>
      </w:pPr>
      <w:r w:rsidRPr="004C6D76">
        <w:rPr>
          <w:rFonts w:ascii="Atkinson Hyperlegible" w:hAnsi="Atkinson Hyperlegible"/>
        </w:rPr>
        <w:t>Nombre de jours RTT 2025 pour un forfait à 203 jours : 25 jours</w:t>
      </w:r>
    </w:p>
    <w:p w14:paraId="2FECC1F1" w14:textId="77777777" w:rsidR="001149AB" w:rsidRPr="004C6D76" w:rsidRDefault="001149AB" w:rsidP="001149AB">
      <w:pPr>
        <w:ind w:left="720"/>
        <w:rPr>
          <w:rFonts w:ascii="Atkinson Hyperlegible" w:hAnsi="Atkinson Hyperlegible"/>
        </w:rPr>
      </w:pPr>
      <w:r w:rsidRPr="004C6D76">
        <w:rPr>
          <w:rFonts w:ascii="Atkinson Hyperlegible" w:hAnsi="Atkinson Hyperlegible"/>
        </w:rPr>
        <w:t>Date de départ : 15 septembre 2025</w:t>
      </w:r>
    </w:p>
    <w:p w14:paraId="28D913F1" w14:textId="77777777" w:rsidR="001149AB" w:rsidRPr="004C6D76" w:rsidRDefault="001149AB" w:rsidP="001149AB">
      <w:pPr>
        <w:ind w:left="720"/>
        <w:rPr>
          <w:rFonts w:ascii="Atkinson Hyperlegible" w:hAnsi="Atkinson Hyperlegible"/>
        </w:rPr>
      </w:pPr>
      <w:r w:rsidRPr="004C6D76">
        <w:rPr>
          <w:rFonts w:ascii="Atkinson Hyperlegible" w:hAnsi="Atkinson Hyperlegible"/>
        </w:rPr>
        <w:t>Nombre de jours calendaires écoulés entre le 1er janvier et le 15 septembre 2025 inclus : 258 jours</w:t>
      </w:r>
    </w:p>
    <w:p w14:paraId="2ADED2C7" w14:textId="0B224ECF" w:rsidR="001149AB" w:rsidRPr="004C6D76" w:rsidRDefault="001149AB" w:rsidP="001149AB">
      <w:pPr>
        <w:ind w:left="708"/>
        <w:rPr>
          <w:rFonts w:ascii="Atkinson Hyperlegible" w:hAnsi="Atkinson Hyperlegible"/>
        </w:rPr>
      </w:pPr>
      <w:r w:rsidRPr="004C6D76">
        <w:rPr>
          <w:rFonts w:ascii="Atkinson Hyperlegible" w:hAnsi="Atkinson Hyperlegible"/>
        </w:rPr>
        <w:t xml:space="preserve">Calcul du nombre de jours de RTT </w:t>
      </w:r>
      <w:proofErr w:type="spellStart"/>
      <w:r w:rsidRPr="004C6D76">
        <w:rPr>
          <w:rFonts w:ascii="Atkinson Hyperlegible" w:hAnsi="Atkinson Hyperlegible"/>
        </w:rPr>
        <w:t>dûs</w:t>
      </w:r>
      <w:proofErr w:type="spellEnd"/>
      <w:r w:rsidRPr="004C6D76">
        <w:rPr>
          <w:rFonts w:ascii="Atkinson Hyperlegible" w:hAnsi="Atkinson Hyperlegible"/>
        </w:rPr>
        <w:t xml:space="preserve"> : 2</w:t>
      </w:r>
      <w:r w:rsidR="00F97FEE" w:rsidRPr="004C6D76">
        <w:rPr>
          <w:rFonts w:ascii="Atkinson Hyperlegible" w:hAnsi="Atkinson Hyperlegible"/>
        </w:rPr>
        <w:t>5</w:t>
      </w:r>
      <w:r w:rsidRPr="004C6D76">
        <w:rPr>
          <w:rFonts w:ascii="Atkinson Hyperlegible" w:hAnsi="Atkinson Hyperlegible"/>
        </w:rPr>
        <w:t xml:space="preserve"> jours × 258 / 365 = </w:t>
      </w:r>
      <w:r w:rsidR="0037064F" w:rsidRPr="004C6D76">
        <w:rPr>
          <w:rFonts w:ascii="Atkinson Hyperlegible" w:hAnsi="Atkinson Hyperlegible"/>
        </w:rPr>
        <w:t>17,67</w:t>
      </w:r>
      <w:r w:rsidRPr="004C6D76">
        <w:rPr>
          <w:rFonts w:ascii="Atkinson Hyperlegible" w:hAnsi="Atkinson Hyperlegible"/>
        </w:rPr>
        <w:t xml:space="preserve"> jours, arrondis à </w:t>
      </w:r>
      <w:r w:rsidR="0037064F" w:rsidRPr="004C6D76">
        <w:rPr>
          <w:rFonts w:ascii="Atkinson Hyperlegible" w:hAnsi="Atkinson Hyperlegible"/>
        </w:rPr>
        <w:t>1</w:t>
      </w:r>
      <w:r w:rsidR="00AB2F5D" w:rsidRPr="004C6D76">
        <w:rPr>
          <w:rFonts w:ascii="Atkinson Hyperlegible" w:hAnsi="Atkinson Hyperlegible"/>
        </w:rPr>
        <w:t>7,5</w:t>
      </w:r>
      <w:r w:rsidRPr="004C6D76">
        <w:rPr>
          <w:rFonts w:ascii="Atkinson Hyperlegible" w:hAnsi="Atkinson Hyperlegible"/>
        </w:rPr>
        <w:t xml:space="preserve"> jours RTT</w:t>
      </w:r>
    </w:p>
    <w:p w14:paraId="4148E80C" w14:textId="77777777" w:rsidR="001149AB" w:rsidRPr="004C6D76" w:rsidRDefault="001149AB" w:rsidP="001149AB">
      <w:pPr>
        <w:ind w:firstLine="708"/>
        <w:rPr>
          <w:rFonts w:ascii="Atkinson Hyperlegible" w:hAnsi="Atkinson Hyperlegible"/>
        </w:rPr>
      </w:pPr>
      <w:r w:rsidRPr="004C6D76">
        <w:rPr>
          <w:rFonts w:ascii="Atkinson Hyperlegible" w:hAnsi="Atkinson Hyperlegible"/>
        </w:rPr>
        <w:t>Régularisation :</w:t>
      </w:r>
    </w:p>
    <w:p w14:paraId="24FAE057" w14:textId="2AA75800" w:rsidR="001149AB" w:rsidRPr="004C6D76" w:rsidRDefault="001149AB" w:rsidP="001149AB">
      <w:pPr>
        <w:ind w:left="720"/>
        <w:rPr>
          <w:rFonts w:ascii="Atkinson Hyperlegible" w:hAnsi="Atkinson Hyperlegible"/>
        </w:rPr>
      </w:pPr>
      <w:r w:rsidRPr="004C6D76">
        <w:rPr>
          <w:rFonts w:ascii="Atkinson Hyperlegible" w:hAnsi="Atkinson Hyperlegible"/>
        </w:rPr>
        <w:t>Si le salarié a pris 1</w:t>
      </w:r>
      <w:r w:rsidR="000333EC" w:rsidRPr="004C6D76">
        <w:rPr>
          <w:rFonts w:ascii="Atkinson Hyperlegible" w:hAnsi="Atkinson Hyperlegible"/>
        </w:rPr>
        <w:t>5</w:t>
      </w:r>
      <w:r w:rsidRPr="004C6D76">
        <w:rPr>
          <w:rFonts w:ascii="Atkinson Hyperlegible" w:hAnsi="Atkinson Hyperlegible"/>
        </w:rPr>
        <w:t xml:space="preserve"> jours de RTT avant son départ, il a perçu 2,5 jours de plus que ses droits acquis </w:t>
      </w:r>
      <w:r w:rsidRPr="004C6D76">
        <w:t>→</w:t>
      </w:r>
      <w:r w:rsidRPr="004C6D76">
        <w:rPr>
          <w:rFonts w:ascii="Atkinson Hyperlegible" w:hAnsi="Atkinson Hyperlegible"/>
        </w:rPr>
        <w:t xml:space="preserve"> une retenue équivalente à 2,5 jours de salaire pourra être effectuée sur le solde de tout compte.</w:t>
      </w:r>
    </w:p>
    <w:p w14:paraId="79283B60" w14:textId="61382719" w:rsidR="001406D5" w:rsidRPr="00FF21F5" w:rsidRDefault="001149AB" w:rsidP="001149AB">
      <w:pPr>
        <w:ind w:left="720"/>
        <w:rPr>
          <w:rFonts w:ascii="Atkinson Hyperlegible" w:hAnsi="Atkinson Hyperlegible"/>
        </w:rPr>
      </w:pPr>
      <w:r w:rsidRPr="004C6D76">
        <w:rPr>
          <w:rFonts w:ascii="Atkinson Hyperlegible" w:hAnsi="Atkinson Hyperlegible"/>
        </w:rPr>
        <w:t xml:space="preserve">Si le salarié n’a pris que 12 jours de RTT, </w:t>
      </w:r>
      <w:r w:rsidR="00C17C70" w:rsidRPr="004C6D76">
        <w:rPr>
          <w:rFonts w:ascii="Atkinson Hyperlegible" w:hAnsi="Atkinson Hyperlegible"/>
        </w:rPr>
        <w:t>5,</w:t>
      </w:r>
      <w:proofErr w:type="gramStart"/>
      <w:r w:rsidR="00C17C70" w:rsidRPr="004C6D76">
        <w:rPr>
          <w:rFonts w:ascii="Atkinson Hyperlegible" w:hAnsi="Atkinson Hyperlegible"/>
        </w:rPr>
        <w:t>5</w:t>
      </w:r>
      <w:r w:rsidR="000333EC" w:rsidRPr="004C6D76">
        <w:rPr>
          <w:rFonts w:ascii="Atkinson Hyperlegible" w:hAnsi="Atkinson Hyperlegible"/>
        </w:rPr>
        <w:t xml:space="preserve"> </w:t>
      </w:r>
      <w:r w:rsidRPr="004C6D76">
        <w:rPr>
          <w:rFonts w:ascii="Atkinson Hyperlegible" w:hAnsi="Atkinson Hyperlegible"/>
        </w:rPr>
        <w:t xml:space="preserve"> journées</w:t>
      </w:r>
      <w:proofErr w:type="gramEnd"/>
      <w:r w:rsidRPr="004C6D76">
        <w:rPr>
          <w:rFonts w:ascii="Atkinson Hyperlegible" w:hAnsi="Atkinson Hyperlegible"/>
        </w:rPr>
        <w:t xml:space="preserve"> de travail lui sont rémunérées à titre de STC sur la base de la formule </w:t>
      </w:r>
      <w:proofErr w:type="gramStart"/>
      <w:r w:rsidRPr="004C6D76">
        <w:rPr>
          <w:rFonts w:ascii="Atkinson Hyperlegible" w:hAnsi="Atkinson Hyperlegible"/>
        </w:rPr>
        <w:t>suivante  «</w:t>
      </w:r>
      <w:proofErr w:type="gramEnd"/>
      <w:r w:rsidRPr="004C6D76">
        <w:rPr>
          <w:rFonts w:ascii="Atkinson Hyperlegible" w:hAnsi="Atkinson Hyperlegible"/>
        </w:rPr>
        <w:t> </w:t>
      </w:r>
      <w:r w:rsidRPr="004C6D76">
        <w:rPr>
          <w:rFonts w:ascii="Atkinson Hyperlegible" w:hAnsi="Atkinson Hyperlegible"/>
          <w:u w:val="single"/>
        </w:rPr>
        <w:t>(</w:t>
      </w:r>
      <w:r w:rsidR="00C17C70" w:rsidRPr="004C6D76">
        <w:rPr>
          <w:rFonts w:ascii="Atkinson Hyperlegible" w:hAnsi="Atkinson Hyperlegible"/>
          <w:u w:val="single"/>
        </w:rPr>
        <w:t>5,5</w:t>
      </w:r>
      <w:r w:rsidRPr="004C6D76">
        <w:rPr>
          <w:rFonts w:ascii="Atkinson Hyperlegible" w:hAnsi="Atkinson Hyperlegible"/>
          <w:u w:val="single"/>
        </w:rPr>
        <w:t xml:space="preserve"> x 7) x taux horaire de base</w:t>
      </w:r>
      <w:r w:rsidRPr="004C6D76">
        <w:rPr>
          <w:rFonts w:ascii="Atkinson Hyperlegible" w:hAnsi="Atkinson Hyperlegible"/>
        </w:rPr>
        <w:t> »</w:t>
      </w:r>
    </w:p>
    <w:p w14:paraId="47B1CBEA" w14:textId="77777777" w:rsidR="00A42C40" w:rsidRPr="00FF21F5" w:rsidRDefault="00A42C40" w:rsidP="00A42C40">
      <w:pPr>
        <w:ind w:left="360"/>
        <w:rPr>
          <w:rFonts w:ascii="Atkinson Hyperlegible" w:hAnsi="Atkinson Hyperlegible"/>
          <w:u w:val="single"/>
        </w:rPr>
      </w:pPr>
    </w:p>
    <w:p w14:paraId="0DDB0DF3" w14:textId="4A4E78FA" w:rsidR="00654CB2" w:rsidRPr="00FF21F5" w:rsidRDefault="00D60CD2" w:rsidP="00654CB2">
      <w:pPr>
        <w:pStyle w:val="Titre2"/>
        <w:rPr>
          <w:rFonts w:ascii="Atkinson Hyperlegible" w:hAnsi="Atkinson Hyperlegible"/>
        </w:rPr>
      </w:pPr>
      <w:bookmarkStart w:id="40" w:name="_Toc184749237"/>
      <w:bookmarkStart w:id="41" w:name="_Toc210057895"/>
      <w:r w:rsidRPr="00FF21F5">
        <w:rPr>
          <w:rFonts w:ascii="Atkinson Hyperlegible" w:hAnsi="Atkinson Hyperlegible"/>
        </w:rPr>
        <w:t>3</w:t>
      </w:r>
      <w:r w:rsidR="00654CB2" w:rsidRPr="00FF21F5">
        <w:rPr>
          <w:rFonts w:ascii="Atkinson Hyperlegible" w:hAnsi="Atkinson Hyperlegible"/>
        </w:rPr>
        <w:t>.9 – Prise en compte des absences</w:t>
      </w:r>
      <w:bookmarkEnd w:id="40"/>
      <w:bookmarkEnd w:id="41"/>
      <w:r w:rsidR="00654CB2" w:rsidRPr="00FF21F5">
        <w:rPr>
          <w:rFonts w:ascii="Atkinson Hyperlegible" w:hAnsi="Atkinson Hyperlegible"/>
        </w:rPr>
        <w:t xml:space="preserve"> </w:t>
      </w:r>
    </w:p>
    <w:p w14:paraId="27B2E837" w14:textId="27017FDD" w:rsidR="00654CB2" w:rsidRPr="004C6D76" w:rsidRDefault="00654CB2" w:rsidP="00654CB2">
      <w:pPr>
        <w:rPr>
          <w:rFonts w:ascii="Atkinson Hyperlegible" w:hAnsi="Atkinson Hyperlegible"/>
        </w:rPr>
      </w:pPr>
      <w:r w:rsidRPr="004C6D76">
        <w:rPr>
          <w:rFonts w:ascii="Atkinson Hyperlegible" w:hAnsi="Atkinson Hyperlegible"/>
        </w:rPr>
        <w:t xml:space="preserve">Chaque journée d’absence non assimilée à du temps de travail effectif par une disposition légale, réglementaire ou conventionnelle, </w:t>
      </w:r>
      <w:r w:rsidR="009E52DC" w:rsidRPr="004C6D76">
        <w:rPr>
          <w:rFonts w:ascii="Atkinson Hyperlegible" w:hAnsi="Atkinson Hyperlegible" w:cs="Arial"/>
        </w:rPr>
        <w:t>vient réduire le nombre de jours travaillés dans le cadre de la convention de forfait annuel en jours.</w:t>
      </w:r>
    </w:p>
    <w:p w14:paraId="15833DA8" w14:textId="77777777" w:rsidR="00654CB2" w:rsidRPr="004C6D76" w:rsidRDefault="00654CB2" w:rsidP="00654CB2">
      <w:pPr>
        <w:rPr>
          <w:rFonts w:ascii="Atkinson Hyperlegible" w:hAnsi="Atkinson Hyperlegible"/>
        </w:rPr>
      </w:pPr>
      <w:r w:rsidRPr="004C6D76">
        <w:rPr>
          <w:rFonts w:ascii="Atkinson Hyperlegible" w:hAnsi="Atkinson Hyperlegible"/>
        </w:rPr>
        <w:lastRenderedPageBreak/>
        <w:t>Les absences non rémunérées (justifiées ou non justifiées) d’une journée seront déduites de la rémunération mensuelle sur la base d’un salaire journalier reconstitué selon la formule :</w:t>
      </w:r>
    </w:p>
    <w:p w14:paraId="66E107EE" w14:textId="2256C5B4" w:rsidR="00654CB2" w:rsidRPr="004C6D76" w:rsidRDefault="00654CB2" w:rsidP="00CF77C3">
      <w:pPr>
        <w:ind w:left="708"/>
        <w:rPr>
          <w:rFonts w:ascii="Atkinson Hyperlegible" w:hAnsi="Atkinson Hyperlegible"/>
        </w:rPr>
      </w:pPr>
      <w:r w:rsidRPr="004C6D76">
        <w:rPr>
          <w:rFonts w:ascii="Atkinson Hyperlegible" w:hAnsi="Atkinson Hyperlegible"/>
        </w:rPr>
        <w:t xml:space="preserve">« Salaire journalier = rémunération annuelle / (nombre de jours de la convention de forfait + </w:t>
      </w:r>
      <w:r w:rsidR="00F8194A" w:rsidRPr="004C6D76">
        <w:rPr>
          <w:rFonts w:ascii="Atkinson Hyperlegible" w:hAnsi="Atkinson Hyperlegible"/>
        </w:rPr>
        <w:t xml:space="preserve">30 </w:t>
      </w:r>
      <w:r w:rsidRPr="004C6D76">
        <w:rPr>
          <w:rFonts w:ascii="Atkinson Hyperlegible" w:hAnsi="Atkinson Hyperlegible"/>
        </w:rPr>
        <w:t>jours</w:t>
      </w:r>
      <w:r w:rsidR="00F8194A" w:rsidRPr="004C6D76">
        <w:rPr>
          <w:rFonts w:ascii="Atkinson Hyperlegible" w:hAnsi="Atkinson Hyperlegible"/>
        </w:rPr>
        <w:t xml:space="preserve"> ouvrés de</w:t>
      </w:r>
      <w:r w:rsidRPr="004C6D76">
        <w:rPr>
          <w:rFonts w:ascii="Atkinson Hyperlegible" w:hAnsi="Atkinson Hyperlegible"/>
        </w:rPr>
        <w:t xml:space="preserve"> congés payés + nombre de jours fériés chômés tombant un jour </w:t>
      </w:r>
      <w:proofErr w:type="gramStart"/>
      <w:r w:rsidRPr="004C6D76">
        <w:rPr>
          <w:rFonts w:ascii="Atkinson Hyperlegible" w:hAnsi="Atkinson Hyperlegible"/>
        </w:rPr>
        <w:t>ouvré</w:t>
      </w:r>
      <w:proofErr w:type="gramEnd"/>
      <w:r w:rsidRPr="004C6D76">
        <w:rPr>
          <w:rFonts w:ascii="Atkinson Hyperlegible" w:hAnsi="Atkinson Hyperlegible"/>
        </w:rPr>
        <w:t>) ».</w:t>
      </w:r>
    </w:p>
    <w:p w14:paraId="28814E99" w14:textId="77777777" w:rsidR="00A23058" w:rsidRPr="004C6D76" w:rsidRDefault="00A23058" w:rsidP="00654CB2">
      <w:pPr>
        <w:rPr>
          <w:rFonts w:ascii="Atkinson Hyperlegible" w:hAnsi="Atkinson Hyperlegible"/>
        </w:rPr>
      </w:pPr>
    </w:p>
    <w:p w14:paraId="234F1C1D" w14:textId="0291E484" w:rsidR="00B5501D" w:rsidRPr="00FF21F5" w:rsidRDefault="00B5501D" w:rsidP="00044B7D">
      <w:pPr>
        <w:pStyle w:val="Titre1"/>
        <w:rPr>
          <w:rFonts w:ascii="Atkinson Hyperlegible" w:eastAsia="Calibri" w:hAnsi="Atkinson Hyperlegible"/>
        </w:rPr>
      </w:pPr>
      <w:bookmarkStart w:id="42" w:name="_Toc210057896"/>
      <w:r w:rsidRPr="00FF21F5">
        <w:rPr>
          <w:rFonts w:ascii="Atkinson Hyperlegible" w:eastAsia="Calibri" w:hAnsi="Atkinson Hyperlegible"/>
          <w:bCs/>
          <w:szCs w:val="24"/>
        </w:rPr>
        <w:t xml:space="preserve">CHAPITRE </w:t>
      </w:r>
      <w:r w:rsidR="0059664E" w:rsidRPr="00FF21F5">
        <w:rPr>
          <w:rFonts w:ascii="Atkinson Hyperlegible" w:eastAsia="Calibri" w:hAnsi="Atkinson Hyperlegible"/>
          <w:bCs/>
          <w:szCs w:val="24"/>
        </w:rPr>
        <w:t>4</w:t>
      </w:r>
      <w:r w:rsidRPr="00FF21F5">
        <w:rPr>
          <w:rFonts w:ascii="Atkinson Hyperlegible" w:eastAsia="Calibri" w:hAnsi="Atkinson Hyperlegible"/>
          <w:bCs/>
          <w:szCs w:val="24"/>
        </w:rPr>
        <w:t xml:space="preserve"> – </w:t>
      </w:r>
      <w:r w:rsidR="00562049" w:rsidRPr="00FF21F5">
        <w:rPr>
          <w:rFonts w:ascii="Atkinson Hyperlegible" w:eastAsia="Calibri" w:hAnsi="Atkinson Hyperlegible"/>
          <w:bCs/>
          <w:szCs w:val="24"/>
        </w:rPr>
        <w:t>REGLES APPLICABLES AUX SALARIES SOUMIS A UN DECOMPTE HORAIRE DE LEUR TEMPS DE TRAVAIL</w:t>
      </w:r>
      <w:bookmarkEnd w:id="42"/>
      <w:r w:rsidR="00562049" w:rsidRPr="00FF21F5">
        <w:rPr>
          <w:rFonts w:ascii="Atkinson Hyperlegible" w:eastAsia="Calibri" w:hAnsi="Atkinson Hyperlegible"/>
          <w:bCs/>
          <w:szCs w:val="24"/>
        </w:rPr>
        <w:t xml:space="preserve"> </w:t>
      </w:r>
    </w:p>
    <w:p w14:paraId="2CF6462D" w14:textId="77777777" w:rsidR="00B5501D" w:rsidRPr="00FF21F5" w:rsidRDefault="00B5501D" w:rsidP="00B5501D">
      <w:pPr>
        <w:rPr>
          <w:rFonts w:ascii="Atkinson Hyperlegible" w:eastAsia="Calibri" w:hAnsi="Atkinson Hyperlegible" w:cs="Arial"/>
          <w:szCs w:val="20"/>
        </w:rPr>
      </w:pPr>
      <w:bookmarkStart w:id="43" w:name="_Hlk125550253"/>
    </w:p>
    <w:p w14:paraId="7EEEE451" w14:textId="3F187F08" w:rsidR="00B5501D" w:rsidRPr="00FF21F5" w:rsidRDefault="00D60CD2" w:rsidP="00842C1B">
      <w:pPr>
        <w:pStyle w:val="Titre2"/>
        <w:rPr>
          <w:rFonts w:ascii="Atkinson Hyperlegible" w:eastAsia="Calibri" w:hAnsi="Atkinson Hyperlegible"/>
        </w:rPr>
      </w:pPr>
      <w:bookmarkStart w:id="44" w:name="_Hlk125550426"/>
      <w:bookmarkStart w:id="45" w:name="_Toc210057897"/>
      <w:r w:rsidRPr="00FF21F5">
        <w:rPr>
          <w:rFonts w:ascii="Atkinson Hyperlegible" w:eastAsia="Calibri" w:hAnsi="Atkinson Hyperlegible"/>
        </w:rPr>
        <w:t>4</w:t>
      </w:r>
      <w:r w:rsidR="00B5501D" w:rsidRPr="00FF21F5">
        <w:rPr>
          <w:rFonts w:ascii="Atkinson Hyperlegible" w:eastAsia="Calibri" w:hAnsi="Atkinson Hyperlegible"/>
        </w:rPr>
        <w:t>.</w:t>
      </w:r>
      <w:r w:rsidR="00562049" w:rsidRPr="00FF21F5">
        <w:rPr>
          <w:rFonts w:ascii="Atkinson Hyperlegible" w:eastAsia="Calibri" w:hAnsi="Atkinson Hyperlegible"/>
        </w:rPr>
        <w:t>3.1</w:t>
      </w:r>
      <w:r w:rsidR="00B5501D" w:rsidRPr="00FF21F5">
        <w:rPr>
          <w:rFonts w:ascii="Atkinson Hyperlegible" w:eastAsia="Calibri" w:hAnsi="Atkinson Hyperlegible"/>
        </w:rPr>
        <w:t xml:space="preserve"> </w:t>
      </w:r>
      <w:r w:rsidR="00562049" w:rsidRPr="00FF21F5">
        <w:rPr>
          <w:rFonts w:ascii="Atkinson Hyperlegible" w:eastAsia="Calibri" w:hAnsi="Atkinson Hyperlegible"/>
        </w:rPr>
        <w:t>–</w:t>
      </w:r>
      <w:r w:rsidR="00B5501D" w:rsidRPr="00FF21F5">
        <w:rPr>
          <w:rFonts w:ascii="Atkinson Hyperlegible" w:eastAsia="Calibri" w:hAnsi="Atkinson Hyperlegible"/>
        </w:rPr>
        <w:t xml:space="preserve"> </w:t>
      </w:r>
      <w:bookmarkEnd w:id="43"/>
      <w:bookmarkEnd w:id="44"/>
      <w:r w:rsidR="00562049" w:rsidRPr="00FF21F5">
        <w:rPr>
          <w:rFonts w:ascii="Atkinson Hyperlegible" w:eastAsia="Calibri" w:hAnsi="Atkinson Hyperlegible"/>
        </w:rPr>
        <w:t>Principe de réduction du temps de travail sous forme de jours de repos</w:t>
      </w:r>
      <w:bookmarkEnd w:id="45"/>
      <w:r w:rsidR="00562049" w:rsidRPr="00FF21F5">
        <w:rPr>
          <w:rFonts w:ascii="Atkinson Hyperlegible" w:eastAsia="Calibri" w:hAnsi="Atkinson Hyperlegible"/>
        </w:rPr>
        <w:t xml:space="preserve"> </w:t>
      </w:r>
      <w:r w:rsidR="00B5501D" w:rsidRPr="00FF21F5">
        <w:rPr>
          <w:rFonts w:ascii="Atkinson Hyperlegible" w:eastAsia="Calibri" w:hAnsi="Atkinson Hyperlegible"/>
        </w:rPr>
        <w:t xml:space="preserve"> </w:t>
      </w:r>
    </w:p>
    <w:p w14:paraId="59F0B445" w14:textId="27C31622" w:rsidR="000773D0" w:rsidRPr="00FF21F5" w:rsidRDefault="00562049" w:rsidP="00B5501D">
      <w:pPr>
        <w:rPr>
          <w:rFonts w:ascii="Atkinson Hyperlegible" w:eastAsia="Calibri" w:hAnsi="Atkinson Hyperlegible" w:cs="Arial"/>
          <w:bCs/>
          <w:szCs w:val="20"/>
        </w:rPr>
      </w:pPr>
      <w:r w:rsidRPr="004C6D76">
        <w:rPr>
          <w:rFonts w:ascii="Atkinson Hyperlegible" w:eastAsia="Calibri" w:hAnsi="Atkinson Hyperlegible" w:cs="Arial"/>
          <w:bCs/>
          <w:szCs w:val="20"/>
        </w:rPr>
        <w:t>En compensation de la durée de travail hebdomadaire de 37h30 prévue à l’article 4.2 de l’accord d’entreprise du 6 juillet 2018, et conformément à la législation en vigueur, les salariés bénéficient de 17 jours de repos par an</w:t>
      </w:r>
      <w:r w:rsidR="00F8194A" w:rsidRPr="004C6D76">
        <w:rPr>
          <w:rFonts w:ascii="Atkinson Hyperlegible" w:eastAsia="Calibri" w:hAnsi="Atkinson Hyperlegible" w:cs="Arial"/>
          <w:bCs/>
          <w:szCs w:val="20"/>
        </w:rPr>
        <w:t xml:space="preserve"> (dits RTT)</w:t>
      </w:r>
      <w:r w:rsidRPr="004C6D76">
        <w:rPr>
          <w:rFonts w:ascii="Atkinson Hyperlegible" w:eastAsia="Calibri" w:hAnsi="Atkinson Hyperlegible" w:cs="Arial"/>
          <w:bCs/>
          <w:szCs w:val="20"/>
        </w:rPr>
        <w:t>.</w:t>
      </w:r>
      <w:r w:rsidRPr="00FF21F5">
        <w:rPr>
          <w:rFonts w:ascii="Atkinson Hyperlegible" w:eastAsia="Calibri" w:hAnsi="Atkinson Hyperlegible" w:cs="Arial"/>
          <w:bCs/>
          <w:szCs w:val="20"/>
        </w:rPr>
        <w:t xml:space="preserve"> </w:t>
      </w:r>
    </w:p>
    <w:p w14:paraId="51FA4038" w14:textId="77777777" w:rsidR="00577411" w:rsidRPr="00FF21F5" w:rsidRDefault="00577411" w:rsidP="00577411">
      <w:pPr>
        <w:rPr>
          <w:rFonts w:ascii="Atkinson Hyperlegible" w:hAnsi="Atkinson Hyperlegible"/>
        </w:rPr>
      </w:pPr>
      <w:r w:rsidRPr="00FF21F5">
        <w:rPr>
          <w:rFonts w:ascii="Atkinson Hyperlegible" w:hAnsi="Atkinson Hyperlegible"/>
        </w:rPr>
        <w:t>Les salariés dont la durée contractuelle hebdomadaire de travail, telle que prévue dans leur contrat de travail ou avenant, est supérieure à 35 heures bénéficient de jours de réduction du temps de travail (RTT), en compensation du temps de travail accompli au-delà de la durée légale hebdomadaire.</w:t>
      </w:r>
    </w:p>
    <w:p w14:paraId="78D84CF1" w14:textId="77777777" w:rsidR="00577411" w:rsidRPr="00FF21F5" w:rsidRDefault="00577411" w:rsidP="00577411">
      <w:pPr>
        <w:rPr>
          <w:rFonts w:ascii="Atkinson Hyperlegible" w:hAnsi="Atkinson Hyperlegible"/>
        </w:rPr>
      </w:pPr>
      <w:r w:rsidRPr="00FF21F5">
        <w:rPr>
          <w:rFonts w:ascii="Atkinson Hyperlegible" w:hAnsi="Atkinson Hyperlegible"/>
        </w:rPr>
        <w:t>Pour les salariés dont la durée contractuelle est strictement supérieure à 35 heures et inférieure à 37h30, le nombre de jours de RTT est attribué au prorata de leur durée contractuelle hebdomadaire, selon une règle de proportionnalité.</w:t>
      </w:r>
    </w:p>
    <w:p w14:paraId="1D0CBE40" w14:textId="77777777" w:rsidR="00577411" w:rsidRPr="00FF21F5" w:rsidRDefault="00577411" w:rsidP="00577411">
      <w:pPr>
        <w:rPr>
          <w:rFonts w:ascii="Atkinson Hyperlegible" w:hAnsi="Atkinson Hyperlegible"/>
        </w:rPr>
      </w:pPr>
      <w:r w:rsidRPr="00FF21F5">
        <w:rPr>
          <w:rFonts w:ascii="Atkinson Hyperlegible" w:hAnsi="Atkinson Hyperlegible"/>
        </w:rPr>
        <w:t>Les salariés dont la durée contractuelle est inférieure ou égale à 35 heures ne bénéficient pas de jours de RTT au titre du présent accord. </w:t>
      </w:r>
    </w:p>
    <w:p w14:paraId="0CEB6B1B" w14:textId="77777777" w:rsidR="00577411" w:rsidRPr="00FF21F5" w:rsidRDefault="00577411" w:rsidP="00577411">
      <w:pPr>
        <w:rPr>
          <w:rFonts w:ascii="Atkinson Hyperlegible" w:hAnsi="Atkinson Hyperlegible"/>
        </w:rPr>
      </w:pPr>
      <w:r w:rsidRPr="00FF21F5">
        <w:rPr>
          <w:rFonts w:ascii="Atkinson Hyperlegible" w:hAnsi="Atkinson Hyperlegible"/>
        </w:rPr>
        <w:t>Le droit à RTT est apprécié au regard de la durée contractuelle de travail, telle que définie dans le contrat de travail, indépendamment de toute indication éventuelle figurant sur le bulletin de paie.</w:t>
      </w:r>
    </w:p>
    <w:p w14:paraId="711AF5EF" w14:textId="77777777" w:rsidR="00577411" w:rsidRPr="00FF21F5" w:rsidRDefault="00577411" w:rsidP="00F8194A">
      <w:pPr>
        <w:rPr>
          <w:rFonts w:ascii="Atkinson Hyperlegible" w:hAnsi="Atkinson Hyperlegible"/>
        </w:rPr>
      </w:pPr>
    </w:p>
    <w:p w14:paraId="247D7476" w14:textId="05F41622" w:rsidR="009E52DC" w:rsidRPr="00FF21F5" w:rsidRDefault="009E52DC" w:rsidP="009E52DC">
      <w:pPr>
        <w:pStyle w:val="Titre2"/>
        <w:rPr>
          <w:rFonts w:ascii="Atkinson Hyperlegible" w:eastAsia="Calibri" w:hAnsi="Atkinson Hyperlegible"/>
        </w:rPr>
      </w:pPr>
      <w:bookmarkStart w:id="46" w:name="_Toc210057898"/>
      <w:r w:rsidRPr="00FF21F5">
        <w:rPr>
          <w:rFonts w:ascii="Atkinson Hyperlegible" w:eastAsia="Calibri" w:hAnsi="Atkinson Hyperlegible"/>
        </w:rPr>
        <w:t xml:space="preserve">4.3.2 – </w:t>
      </w:r>
      <w:r w:rsidR="00675639" w:rsidRPr="00CF457C">
        <w:rPr>
          <w:rFonts w:ascii="Atkinson Hyperlegible" w:eastAsia="Calibri" w:hAnsi="Atkinson Hyperlegible"/>
        </w:rPr>
        <w:t>Dispositions transitoires relatives à la suppression des usages</w:t>
      </w:r>
      <w:bookmarkEnd w:id="46"/>
    </w:p>
    <w:p w14:paraId="114DE3BC" w14:textId="77777777" w:rsidR="00675639" w:rsidRPr="00FF21F5" w:rsidRDefault="00675639" w:rsidP="00675639">
      <w:pPr>
        <w:rPr>
          <w:rFonts w:ascii="Atkinson Hyperlegible" w:hAnsi="Atkinson Hyperlegible"/>
        </w:rPr>
      </w:pPr>
      <w:r w:rsidRPr="00FF21F5">
        <w:rPr>
          <w:rFonts w:ascii="Atkinson Hyperlegible" w:hAnsi="Atkinson Hyperlegible"/>
        </w:rPr>
        <w:t>Le présent accord se substitue aux usages antérieurement en vigueur au sein de l’entreprise, notamment ceux ayant conduit à attribuer des jours de RTT à des salariés à temps partiel dont la durée contractuelle est inférieure ou égale à 35 heures hebdomadaires.</w:t>
      </w:r>
    </w:p>
    <w:p w14:paraId="742658A5" w14:textId="77777777" w:rsidR="00675639" w:rsidRPr="00FF21F5" w:rsidRDefault="00675639" w:rsidP="00675639">
      <w:pPr>
        <w:rPr>
          <w:rFonts w:ascii="Atkinson Hyperlegible" w:hAnsi="Atkinson Hyperlegible"/>
        </w:rPr>
      </w:pPr>
      <w:r w:rsidRPr="00FF21F5">
        <w:rPr>
          <w:rFonts w:ascii="Atkinson Hyperlegible" w:hAnsi="Atkinson Hyperlegible"/>
        </w:rPr>
        <w:t> </w:t>
      </w:r>
    </w:p>
    <w:p w14:paraId="7E23985D" w14:textId="77777777" w:rsidR="00675639" w:rsidRPr="00FF21F5" w:rsidRDefault="00675639" w:rsidP="00675639">
      <w:pPr>
        <w:rPr>
          <w:rFonts w:ascii="Atkinson Hyperlegible" w:hAnsi="Atkinson Hyperlegible"/>
        </w:rPr>
      </w:pPr>
      <w:r w:rsidRPr="00FF21F5">
        <w:rPr>
          <w:rFonts w:ascii="Atkinson Hyperlegible" w:hAnsi="Atkinson Hyperlegible"/>
        </w:rPr>
        <w:t>À titre transitoire, les mesures suivantes sont mises en œuvre afin de permettre une mise en conformité progressive :</w:t>
      </w:r>
    </w:p>
    <w:p w14:paraId="369933AD" w14:textId="77777777" w:rsidR="00675639" w:rsidRPr="00FF21F5" w:rsidRDefault="00675639" w:rsidP="00675639">
      <w:pPr>
        <w:rPr>
          <w:rFonts w:ascii="Atkinson Hyperlegible" w:hAnsi="Atkinson Hyperlegible"/>
        </w:rPr>
      </w:pPr>
      <w:r w:rsidRPr="00FF21F5">
        <w:rPr>
          <w:rFonts w:ascii="Atkinson Hyperlegible" w:hAnsi="Atkinson Hyperlegible"/>
        </w:rPr>
        <w:t> </w:t>
      </w:r>
    </w:p>
    <w:p w14:paraId="2E60527C" w14:textId="51423A6B" w:rsidR="00675639" w:rsidRPr="00FF21F5" w:rsidRDefault="00675639" w:rsidP="00675639">
      <w:pPr>
        <w:rPr>
          <w:rFonts w:ascii="Atkinson Hyperlegible" w:hAnsi="Atkinson Hyperlegible"/>
        </w:rPr>
      </w:pPr>
      <w:r w:rsidRPr="00FF21F5">
        <w:rPr>
          <w:rFonts w:ascii="Atkinson Hyperlegible" w:hAnsi="Atkinson Hyperlegible"/>
        </w:rPr>
        <w:t xml:space="preserve">Les salariés à temps partiel dont la durée contractuelle est actuellement inférieure à 35 heures (notamment ceux à 31 heures), mais qui bénéficient de jours de RTT en application d’un usage, continueront à en bénéficier </w:t>
      </w:r>
      <w:r w:rsidR="004C6D76" w:rsidRPr="004C6D76">
        <w:rPr>
          <w:rFonts w:ascii="Atkinson Hyperlegible" w:hAnsi="Atkinson Hyperlegible"/>
          <w:strike/>
        </w:rPr>
        <w:t>j</w:t>
      </w:r>
      <w:r w:rsidR="00FA6F7B" w:rsidRPr="004C6D76">
        <w:rPr>
          <w:rFonts w:ascii="Atkinson Hyperlegible" w:hAnsi="Atkinson Hyperlegible"/>
        </w:rPr>
        <w:t>usqu’au 30 juin 2026 inclus</w:t>
      </w:r>
      <w:r w:rsidR="00FA6F7B" w:rsidRPr="00FF21F5">
        <w:rPr>
          <w:rFonts w:ascii="Atkinson Hyperlegible" w:hAnsi="Atkinson Hyperlegible"/>
        </w:rPr>
        <w:t>.</w:t>
      </w:r>
      <w:r w:rsidRPr="00FF21F5">
        <w:rPr>
          <w:rFonts w:ascii="Atkinson Hyperlegible" w:hAnsi="Atkinson Hyperlegible"/>
        </w:rPr>
        <w:t xml:space="preserve"> À compter du 1er janvier 2026, seuls les salariés dont la durée contractuelle excède 35 heures pourront bénéficier de jours de RTT, conformément à l’article 4.3.1.</w:t>
      </w:r>
    </w:p>
    <w:p w14:paraId="40492255" w14:textId="77777777" w:rsidR="00675639" w:rsidRPr="00FF21F5" w:rsidRDefault="00675639" w:rsidP="00675639">
      <w:pPr>
        <w:rPr>
          <w:rFonts w:ascii="Atkinson Hyperlegible" w:hAnsi="Atkinson Hyperlegible"/>
        </w:rPr>
      </w:pPr>
      <w:r w:rsidRPr="00FF21F5">
        <w:rPr>
          <w:rFonts w:ascii="Atkinson Hyperlegible" w:hAnsi="Atkinson Hyperlegible"/>
        </w:rPr>
        <w:t> </w:t>
      </w:r>
    </w:p>
    <w:p w14:paraId="50B6F510" w14:textId="77777777" w:rsidR="00675639" w:rsidRPr="00FF21F5" w:rsidRDefault="00675639" w:rsidP="00675639">
      <w:pPr>
        <w:rPr>
          <w:rFonts w:ascii="Atkinson Hyperlegible" w:hAnsi="Atkinson Hyperlegible"/>
        </w:rPr>
      </w:pPr>
      <w:r w:rsidRPr="00FF21F5">
        <w:rPr>
          <w:rFonts w:ascii="Atkinson Hyperlegible" w:hAnsi="Atkinson Hyperlegible"/>
        </w:rPr>
        <w:t xml:space="preserve">S’agissant des salariés ayant repris leur activité à temps partiel dans le cadre d’un congé parental d’éducation à temps réduit, et qui bénéficient par usage de l’attribution de jours de RTT malgré une durée contractuelle inférieure ou égale à 35 </w:t>
      </w:r>
      <w:r w:rsidRPr="00FF21F5">
        <w:rPr>
          <w:rFonts w:ascii="Atkinson Hyperlegible" w:hAnsi="Atkinson Hyperlegible"/>
        </w:rPr>
        <w:lastRenderedPageBreak/>
        <w:t>heures, il est expressément prévu que ce droit cessera automatiquement au terme des 3 ans de l’enfant, y compris en cas de poursuite du temps partiel au-delà de cette échéance.</w:t>
      </w:r>
    </w:p>
    <w:p w14:paraId="28962E5D" w14:textId="77777777" w:rsidR="009E52DC" w:rsidRPr="00FF21F5" w:rsidRDefault="009E52DC" w:rsidP="00F8194A">
      <w:pPr>
        <w:rPr>
          <w:rFonts w:ascii="Atkinson Hyperlegible" w:eastAsia="Calibri" w:hAnsi="Atkinson Hyperlegible" w:cs="Arial"/>
          <w:bCs/>
          <w:szCs w:val="20"/>
        </w:rPr>
      </w:pPr>
    </w:p>
    <w:p w14:paraId="25B8297B" w14:textId="77777777" w:rsidR="00E04197" w:rsidRPr="00FF21F5" w:rsidRDefault="00E04197" w:rsidP="00B9763D">
      <w:pPr>
        <w:rPr>
          <w:rFonts w:ascii="Atkinson Hyperlegible" w:hAnsi="Atkinson Hyperlegible"/>
        </w:rPr>
      </w:pPr>
    </w:p>
    <w:p w14:paraId="4E3ADC68" w14:textId="77777777" w:rsidR="004C6D76" w:rsidRDefault="004C6D76" w:rsidP="00327E4A">
      <w:pPr>
        <w:pStyle w:val="Titre1"/>
        <w:rPr>
          <w:rFonts w:ascii="Atkinson Hyperlegible" w:eastAsia="Calibri" w:hAnsi="Atkinson Hyperlegible"/>
          <w:szCs w:val="24"/>
        </w:rPr>
      </w:pPr>
      <w:bookmarkStart w:id="47" w:name="_Toc210057899"/>
    </w:p>
    <w:p w14:paraId="320E6F01" w14:textId="77777777" w:rsidR="004C6D76" w:rsidRDefault="004C6D76" w:rsidP="00327E4A">
      <w:pPr>
        <w:pStyle w:val="Titre1"/>
        <w:rPr>
          <w:rFonts w:ascii="Atkinson Hyperlegible" w:eastAsia="Calibri" w:hAnsi="Atkinson Hyperlegible"/>
          <w:szCs w:val="24"/>
        </w:rPr>
      </w:pPr>
    </w:p>
    <w:p w14:paraId="7D16E131" w14:textId="43265EC4" w:rsidR="00B5501D" w:rsidRPr="00FF21F5" w:rsidRDefault="00A40FAE" w:rsidP="00327E4A">
      <w:pPr>
        <w:pStyle w:val="Titre1"/>
        <w:rPr>
          <w:rFonts w:ascii="Atkinson Hyperlegible" w:eastAsia="Calibri" w:hAnsi="Atkinson Hyperlegible"/>
          <w:szCs w:val="24"/>
        </w:rPr>
      </w:pPr>
      <w:r w:rsidRPr="00FF21F5">
        <w:rPr>
          <w:rFonts w:ascii="Atkinson Hyperlegible" w:eastAsia="Calibri" w:hAnsi="Atkinson Hyperlegible"/>
          <w:szCs w:val="24"/>
        </w:rPr>
        <w:t xml:space="preserve">CHAPITRE </w:t>
      </w:r>
      <w:r w:rsidR="00562049" w:rsidRPr="00FF21F5">
        <w:rPr>
          <w:rFonts w:ascii="Atkinson Hyperlegible" w:eastAsia="Calibri" w:hAnsi="Atkinson Hyperlegible"/>
          <w:szCs w:val="24"/>
        </w:rPr>
        <w:t>FINAL</w:t>
      </w:r>
      <w:r w:rsidRPr="00FF21F5">
        <w:rPr>
          <w:rFonts w:ascii="Atkinson Hyperlegible" w:eastAsia="Calibri" w:hAnsi="Atkinson Hyperlegible"/>
          <w:szCs w:val="24"/>
        </w:rPr>
        <w:t xml:space="preserve"> - </w:t>
      </w:r>
      <w:r w:rsidR="00B5501D" w:rsidRPr="00FF21F5">
        <w:rPr>
          <w:rFonts w:ascii="Atkinson Hyperlegible" w:eastAsia="Calibri" w:hAnsi="Atkinson Hyperlegible"/>
          <w:szCs w:val="24"/>
        </w:rPr>
        <w:t xml:space="preserve">DISPOSITIONS </w:t>
      </w:r>
      <w:r w:rsidR="00562049" w:rsidRPr="00FF21F5">
        <w:rPr>
          <w:rFonts w:ascii="Atkinson Hyperlegible" w:eastAsia="Calibri" w:hAnsi="Atkinson Hyperlegible"/>
          <w:szCs w:val="24"/>
        </w:rPr>
        <w:t>GENERALES</w:t>
      </w:r>
      <w:bookmarkEnd w:id="47"/>
    </w:p>
    <w:p w14:paraId="449F4591" w14:textId="77777777" w:rsidR="00327E4A" w:rsidRPr="00FF21F5" w:rsidRDefault="00327E4A" w:rsidP="001879A0">
      <w:pPr>
        <w:rPr>
          <w:rFonts w:ascii="Atkinson Hyperlegible" w:hAnsi="Atkinson Hyperlegible"/>
        </w:rPr>
      </w:pPr>
    </w:p>
    <w:p w14:paraId="20963E05" w14:textId="52B4FEF0" w:rsidR="00833C58" w:rsidRPr="00FF21F5" w:rsidRDefault="00833C58" w:rsidP="001879A0">
      <w:pPr>
        <w:pStyle w:val="Titre2"/>
        <w:rPr>
          <w:rFonts w:ascii="Atkinson Hyperlegible" w:eastAsia="Calibri" w:hAnsi="Atkinson Hyperlegible"/>
        </w:rPr>
      </w:pPr>
      <w:bookmarkStart w:id="48" w:name="_Toc210057900"/>
      <w:r w:rsidRPr="00FF21F5">
        <w:rPr>
          <w:rFonts w:ascii="Atkinson Hyperlegible" w:eastAsia="Calibri" w:hAnsi="Atkinson Hyperlegible"/>
        </w:rPr>
        <w:t>1 - Champ d’application</w:t>
      </w:r>
      <w:bookmarkEnd w:id="48"/>
      <w:r w:rsidRPr="00FF21F5">
        <w:rPr>
          <w:rFonts w:ascii="Atkinson Hyperlegible" w:eastAsia="Calibri" w:hAnsi="Atkinson Hyperlegible"/>
        </w:rPr>
        <w:t xml:space="preserve"> </w:t>
      </w:r>
    </w:p>
    <w:p w14:paraId="3ED6056E" w14:textId="4CA13E1E" w:rsidR="00833C58" w:rsidRPr="00FF21F5" w:rsidRDefault="00833C58" w:rsidP="001879A0">
      <w:pPr>
        <w:rPr>
          <w:rFonts w:ascii="Atkinson Hyperlegible" w:hAnsi="Atkinson Hyperlegible"/>
        </w:rPr>
      </w:pPr>
      <w:r w:rsidRPr="00FF21F5">
        <w:rPr>
          <w:rFonts w:ascii="Atkinson Hyperlegible" w:hAnsi="Atkinson Hyperlegible"/>
        </w:rPr>
        <w:t xml:space="preserve">Le présent </w:t>
      </w:r>
      <w:r w:rsidR="00562049" w:rsidRPr="00FF21F5">
        <w:rPr>
          <w:rFonts w:ascii="Atkinson Hyperlegible" w:hAnsi="Atkinson Hyperlegible"/>
        </w:rPr>
        <w:t xml:space="preserve">avenant </w:t>
      </w:r>
      <w:r w:rsidRPr="00FF21F5">
        <w:rPr>
          <w:rFonts w:ascii="Atkinson Hyperlegible" w:hAnsi="Atkinson Hyperlegible"/>
        </w:rPr>
        <w:t xml:space="preserve">concerne </w:t>
      </w:r>
      <w:r w:rsidR="008E3D1F" w:rsidRPr="00FF21F5">
        <w:rPr>
          <w:rFonts w:ascii="Atkinson Hyperlegible" w:hAnsi="Atkinson Hyperlegible"/>
        </w:rPr>
        <w:t>l</w:t>
      </w:r>
      <w:r w:rsidR="00562049" w:rsidRPr="00FF21F5">
        <w:rPr>
          <w:rFonts w:ascii="Atkinson Hyperlegible" w:hAnsi="Atkinson Hyperlegible"/>
        </w:rPr>
        <w:t>’ensemble des</w:t>
      </w:r>
      <w:r w:rsidR="008E3D1F" w:rsidRPr="00FF21F5">
        <w:rPr>
          <w:rFonts w:ascii="Atkinson Hyperlegible" w:hAnsi="Atkinson Hyperlegible"/>
        </w:rPr>
        <w:t xml:space="preserve"> salariés d</w:t>
      </w:r>
      <w:r w:rsidR="00F527DC" w:rsidRPr="00FF21F5">
        <w:rPr>
          <w:rFonts w:ascii="Atkinson Hyperlegible" w:hAnsi="Atkinson Hyperlegible"/>
        </w:rPr>
        <w:t xml:space="preserve">u </w:t>
      </w:r>
      <w:r w:rsidR="00562049" w:rsidRPr="00FF21F5">
        <w:rPr>
          <w:rFonts w:ascii="Atkinson Hyperlegible" w:hAnsi="Atkinson Hyperlegible"/>
        </w:rPr>
        <w:t>CRTNA</w:t>
      </w:r>
      <w:r w:rsidR="008E3D1F" w:rsidRPr="00FF21F5">
        <w:rPr>
          <w:rFonts w:ascii="Atkinson Hyperlegible" w:hAnsi="Atkinson Hyperlegible"/>
        </w:rPr>
        <w:t xml:space="preserve">, </w:t>
      </w:r>
      <w:r w:rsidRPr="00FF21F5">
        <w:rPr>
          <w:rFonts w:ascii="Atkinson Hyperlegible" w:hAnsi="Atkinson Hyperlegible"/>
        </w:rPr>
        <w:t>quelle que soit la nature de leur contrat (CDD ou CDI), leur statut (cadre ou non-cadre), leur durée de travail (temps complet ou temps partiel).</w:t>
      </w:r>
    </w:p>
    <w:p w14:paraId="48D59F60" w14:textId="77777777" w:rsidR="00562049" w:rsidRPr="00FF21F5" w:rsidRDefault="00562049" w:rsidP="001879A0">
      <w:pPr>
        <w:pStyle w:val="Titre2"/>
        <w:rPr>
          <w:rFonts w:ascii="Atkinson Hyperlegible" w:eastAsia="Calibri" w:hAnsi="Atkinson Hyperlegible"/>
        </w:rPr>
      </w:pPr>
    </w:p>
    <w:p w14:paraId="6365AA0C" w14:textId="42802343" w:rsidR="00833C58" w:rsidRPr="00FF21F5" w:rsidRDefault="00833C58" w:rsidP="001879A0">
      <w:pPr>
        <w:pStyle w:val="Titre2"/>
        <w:rPr>
          <w:rFonts w:ascii="Atkinson Hyperlegible" w:eastAsia="Calibri" w:hAnsi="Atkinson Hyperlegible"/>
        </w:rPr>
      </w:pPr>
      <w:bookmarkStart w:id="49" w:name="_Toc210057901"/>
      <w:r w:rsidRPr="00FF21F5">
        <w:rPr>
          <w:rFonts w:ascii="Atkinson Hyperlegible" w:eastAsia="Calibri" w:hAnsi="Atkinson Hyperlegible"/>
        </w:rPr>
        <w:t>2 - Durée de l'accord</w:t>
      </w:r>
      <w:bookmarkEnd w:id="49"/>
    </w:p>
    <w:p w14:paraId="1BAAC869" w14:textId="53ECC13C" w:rsidR="008E3D1F" w:rsidRPr="00FF21F5" w:rsidRDefault="008E3D1F" w:rsidP="008E3D1F">
      <w:pPr>
        <w:rPr>
          <w:rFonts w:ascii="Atkinson Hyperlegible" w:hAnsi="Atkinson Hyperlegible"/>
        </w:rPr>
      </w:pPr>
      <w:r w:rsidRPr="00FF21F5">
        <w:rPr>
          <w:rFonts w:ascii="Atkinson Hyperlegible" w:hAnsi="Atkinson Hyperlegible"/>
        </w:rPr>
        <w:t xml:space="preserve">Le présent </w:t>
      </w:r>
      <w:r w:rsidR="00562049" w:rsidRPr="00FF21F5">
        <w:rPr>
          <w:rFonts w:ascii="Atkinson Hyperlegible" w:hAnsi="Atkinson Hyperlegible"/>
        </w:rPr>
        <w:t>avenant</w:t>
      </w:r>
      <w:r w:rsidRPr="00FF21F5">
        <w:rPr>
          <w:rFonts w:ascii="Atkinson Hyperlegible" w:hAnsi="Atkinson Hyperlegible"/>
        </w:rPr>
        <w:t xml:space="preserve"> est conclu pour une durée indéterminée. </w:t>
      </w:r>
    </w:p>
    <w:p w14:paraId="01D733F3" w14:textId="77777777" w:rsidR="008E3D1F" w:rsidRPr="00FF21F5" w:rsidRDefault="008E3D1F" w:rsidP="008E3D1F">
      <w:pPr>
        <w:rPr>
          <w:rFonts w:ascii="Atkinson Hyperlegible" w:hAnsi="Atkinson Hyperlegible"/>
        </w:rPr>
      </w:pPr>
      <w:r w:rsidRPr="00FF21F5">
        <w:rPr>
          <w:rFonts w:ascii="Atkinson Hyperlegible" w:hAnsi="Atkinson Hyperlegible"/>
        </w:rPr>
        <w:t xml:space="preserve">Il prend effet à compter de sa signature. </w:t>
      </w:r>
    </w:p>
    <w:p w14:paraId="46F48548" w14:textId="77777777" w:rsidR="001879A0" w:rsidRPr="00FF21F5" w:rsidRDefault="001879A0" w:rsidP="001879A0">
      <w:pPr>
        <w:rPr>
          <w:rFonts w:ascii="Atkinson Hyperlegible" w:hAnsi="Atkinson Hyperlegible"/>
        </w:rPr>
      </w:pPr>
    </w:p>
    <w:p w14:paraId="7BDD9B19" w14:textId="01955F4D" w:rsidR="00B167A6" w:rsidRPr="00FF21F5" w:rsidRDefault="00833C58" w:rsidP="00B167A6">
      <w:pPr>
        <w:pStyle w:val="Titre2"/>
        <w:rPr>
          <w:rFonts w:ascii="Atkinson Hyperlegible" w:eastAsia="Calibri" w:hAnsi="Atkinson Hyperlegible"/>
        </w:rPr>
      </w:pPr>
      <w:bookmarkStart w:id="50" w:name="_Toc210057902"/>
      <w:r w:rsidRPr="00FF21F5">
        <w:rPr>
          <w:rFonts w:ascii="Atkinson Hyperlegible" w:eastAsia="Calibri" w:hAnsi="Atkinson Hyperlegible"/>
        </w:rPr>
        <w:t xml:space="preserve">3 </w:t>
      </w:r>
      <w:r w:rsidR="008E3D1F" w:rsidRPr="00FF21F5">
        <w:rPr>
          <w:rFonts w:ascii="Atkinson Hyperlegible" w:eastAsia="Calibri" w:hAnsi="Atkinson Hyperlegible"/>
        </w:rPr>
        <w:t>–</w:t>
      </w:r>
      <w:bookmarkStart w:id="51" w:name="_Toc184834524"/>
      <w:r w:rsidR="00B167A6" w:rsidRPr="00FF21F5">
        <w:rPr>
          <w:rFonts w:ascii="Atkinson Hyperlegible" w:eastAsia="Calibri" w:hAnsi="Atkinson Hyperlegible"/>
        </w:rPr>
        <w:t xml:space="preserve"> </w:t>
      </w:r>
      <w:bookmarkEnd w:id="51"/>
      <w:r w:rsidR="00562049" w:rsidRPr="00FF21F5">
        <w:rPr>
          <w:rFonts w:ascii="Atkinson Hyperlegible" w:eastAsia="Calibri" w:hAnsi="Atkinson Hyperlegible"/>
        </w:rPr>
        <w:t>Adhésion</w:t>
      </w:r>
      <w:bookmarkEnd w:id="50"/>
      <w:r w:rsidR="00562049" w:rsidRPr="00FF21F5">
        <w:rPr>
          <w:rFonts w:ascii="Atkinson Hyperlegible" w:eastAsia="Calibri" w:hAnsi="Atkinson Hyperlegible"/>
        </w:rPr>
        <w:t xml:space="preserve"> </w:t>
      </w:r>
    </w:p>
    <w:p w14:paraId="1A46573C" w14:textId="4D6BD40F" w:rsidR="00562049" w:rsidRPr="00FF21F5" w:rsidRDefault="00562049" w:rsidP="00562049">
      <w:pPr>
        <w:rPr>
          <w:rFonts w:ascii="Atkinson Hyperlegible" w:hAnsi="Atkinson Hyperlegible"/>
        </w:rPr>
      </w:pPr>
      <w:r w:rsidRPr="00FF21F5">
        <w:rPr>
          <w:rFonts w:ascii="Atkinson Hyperlegible" w:hAnsi="Atkinson Hyperlegible"/>
        </w:rPr>
        <w:t>Conformément à l'article L. 2261-3 du code du travail, toute organisation syndicale de salariés représentative dans l’Association, qui n'est pas signataire du présent avenant, pourra y adhérer ultérieurement.</w:t>
      </w:r>
    </w:p>
    <w:p w14:paraId="178D484B" w14:textId="77777777" w:rsidR="00562049" w:rsidRPr="00FF21F5" w:rsidRDefault="00562049" w:rsidP="00562049">
      <w:pPr>
        <w:rPr>
          <w:rFonts w:ascii="Atkinson Hyperlegible" w:hAnsi="Atkinson Hyperlegible"/>
        </w:rPr>
      </w:pPr>
      <w:r w:rsidRPr="00FF21F5">
        <w:rPr>
          <w:rFonts w:ascii="Atkinson Hyperlegible" w:hAnsi="Atkinson Hyperlegible"/>
        </w:rPr>
        <w:t>L'adhésion produira effet à partir du jour qui suivra celui de son dépôt au greffe du conseil de prud'hommes compétent et à la DREETS.</w:t>
      </w:r>
    </w:p>
    <w:p w14:paraId="221B35FC" w14:textId="77777777" w:rsidR="00562049" w:rsidRPr="00FF21F5" w:rsidRDefault="00562049" w:rsidP="00562049">
      <w:pPr>
        <w:rPr>
          <w:rFonts w:ascii="Atkinson Hyperlegible" w:hAnsi="Atkinson Hyperlegible"/>
        </w:rPr>
      </w:pPr>
      <w:r w:rsidRPr="00FF21F5">
        <w:rPr>
          <w:rFonts w:ascii="Atkinson Hyperlegible" w:hAnsi="Atkinson Hyperlegible"/>
        </w:rPr>
        <w:t>Notification devra également en être faite, dans le délai de huit jours, par lettre recommandée, aux parties signataires.</w:t>
      </w:r>
    </w:p>
    <w:p w14:paraId="4723B85B" w14:textId="77777777" w:rsidR="00B167A6" w:rsidRPr="00FF21F5" w:rsidRDefault="00B167A6" w:rsidP="00B167A6">
      <w:pPr>
        <w:rPr>
          <w:rFonts w:ascii="Atkinson Hyperlegible" w:hAnsi="Atkinson Hyperlegible"/>
        </w:rPr>
      </w:pPr>
    </w:p>
    <w:p w14:paraId="69746534" w14:textId="097FA97A" w:rsidR="00833C58" w:rsidRPr="00FF21F5" w:rsidRDefault="00833C58" w:rsidP="001879A0">
      <w:pPr>
        <w:pStyle w:val="Titre2"/>
        <w:rPr>
          <w:rFonts w:ascii="Atkinson Hyperlegible" w:eastAsia="Calibri" w:hAnsi="Atkinson Hyperlegible"/>
        </w:rPr>
      </w:pPr>
      <w:bookmarkStart w:id="52" w:name="_Toc210057903"/>
      <w:r w:rsidRPr="00FF21F5">
        <w:rPr>
          <w:rFonts w:ascii="Atkinson Hyperlegible" w:eastAsia="Calibri" w:hAnsi="Atkinson Hyperlegible"/>
        </w:rPr>
        <w:t>4 - Interprétation de l'accord</w:t>
      </w:r>
      <w:bookmarkEnd w:id="52"/>
    </w:p>
    <w:p w14:paraId="1B392990" w14:textId="77777777" w:rsidR="008E3D1F" w:rsidRPr="00FF21F5" w:rsidRDefault="008E3D1F" w:rsidP="00893508">
      <w:pPr>
        <w:rPr>
          <w:rFonts w:ascii="Atkinson Hyperlegible" w:hAnsi="Atkinson Hyperlegible"/>
          <w:b/>
        </w:rPr>
      </w:pPr>
      <w:r w:rsidRPr="00FF21F5">
        <w:rPr>
          <w:rFonts w:ascii="Atkinson Hyperlegible" w:hAnsi="Atkinson Hyperlegible"/>
        </w:rPr>
        <w:t>Les représentants de chacune des parties signataires conviennent de se rencontrer à la requête de la partie la plus diligente, dans les 60 jours suivant la demande pour étudier et tenter de régler tout différend d'ordre individuel ou collectif né de l'application du présent accord.</w:t>
      </w:r>
    </w:p>
    <w:p w14:paraId="7AFC4CA1" w14:textId="77777777" w:rsidR="008E3D1F" w:rsidRPr="00FF21F5" w:rsidRDefault="008E3D1F" w:rsidP="00893508">
      <w:pPr>
        <w:rPr>
          <w:rFonts w:ascii="Atkinson Hyperlegible" w:hAnsi="Atkinson Hyperlegible"/>
          <w:b/>
        </w:rPr>
      </w:pPr>
      <w:r w:rsidRPr="00FF21F5">
        <w:rPr>
          <w:rFonts w:ascii="Atkinson Hyperlegible" w:hAnsi="Atkinson Hyperlegible"/>
        </w:rPr>
        <w:t>Les avenants interprétatifs de l’accord sont adoptés à l’unanimité des signataires de l’accord.</w:t>
      </w:r>
    </w:p>
    <w:p w14:paraId="3C14BC17" w14:textId="77777777" w:rsidR="008E3D1F" w:rsidRPr="00FF21F5" w:rsidRDefault="008E3D1F" w:rsidP="00893508">
      <w:pPr>
        <w:rPr>
          <w:rFonts w:ascii="Atkinson Hyperlegible" w:hAnsi="Atkinson Hyperlegible"/>
          <w:b/>
        </w:rPr>
      </w:pPr>
      <w:r w:rsidRPr="00FF21F5">
        <w:rPr>
          <w:rFonts w:ascii="Atkinson Hyperlegible" w:hAnsi="Atkinson Hyperlegible"/>
        </w:rPr>
        <w:t>Les avenants interprétatifs doivent être conclus dans un délai maximum de 60 jours suivant la première réunion de négociation. A défaut, il sera dressé un procès-verbal de désaccord.</w:t>
      </w:r>
    </w:p>
    <w:p w14:paraId="0280A516" w14:textId="77777777" w:rsidR="008E3D1F" w:rsidRPr="00FF21F5" w:rsidRDefault="008E3D1F" w:rsidP="00893508">
      <w:pPr>
        <w:rPr>
          <w:rFonts w:ascii="Atkinson Hyperlegible" w:hAnsi="Atkinson Hyperlegible"/>
          <w:b/>
        </w:rPr>
      </w:pPr>
      <w:r w:rsidRPr="00FF21F5">
        <w:rPr>
          <w:rFonts w:ascii="Atkinson Hyperlegible" w:hAnsi="Atkinson Hyperlegible"/>
        </w:rPr>
        <w:t>Jusqu'à l'expiration de la négociation d'interprétation, les parties contractantes s'engagent à ne susciter aucune forme d'action contentieuse liée au différend faisant l'objet de cette procédure.</w:t>
      </w:r>
    </w:p>
    <w:p w14:paraId="168B178E" w14:textId="77777777" w:rsidR="001879A0" w:rsidRPr="00FF21F5" w:rsidRDefault="001879A0" w:rsidP="001879A0">
      <w:pPr>
        <w:pStyle w:val="Titre2"/>
        <w:rPr>
          <w:rFonts w:ascii="Atkinson Hyperlegible" w:eastAsia="Calibri" w:hAnsi="Atkinson Hyperlegible"/>
        </w:rPr>
      </w:pPr>
    </w:p>
    <w:p w14:paraId="2422E8CA" w14:textId="6AEC6230" w:rsidR="00833C58" w:rsidRPr="00FF21F5" w:rsidRDefault="00833C58" w:rsidP="001879A0">
      <w:pPr>
        <w:pStyle w:val="Titre2"/>
        <w:rPr>
          <w:rFonts w:ascii="Atkinson Hyperlegible" w:eastAsia="Calibri" w:hAnsi="Atkinson Hyperlegible"/>
        </w:rPr>
      </w:pPr>
      <w:bookmarkStart w:id="53" w:name="_Toc210057904"/>
      <w:r w:rsidRPr="00FF21F5">
        <w:rPr>
          <w:rFonts w:ascii="Atkinson Hyperlegible" w:eastAsia="Calibri" w:hAnsi="Atkinson Hyperlegible"/>
        </w:rPr>
        <w:t>5 - Clause de rendez-vous</w:t>
      </w:r>
      <w:bookmarkEnd w:id="53"/>
    </w:p>
    <w:p w14:paraId="0E71B4B2" w14:textId="77777777" w:rsidR="008E3D1F" w:rsidRPr="00FF21F5" w:rsidRDefault="008E3D1F" w:rsidP="008E3D1F">
      <w:pPr>
        <w:rPr>
          <w:rFonts w:ascii="Atkinson Hyperlegible" w:hAnsi="Atkinson Hyperlegible"/>
        </w:rPr>
      </w:pPr>
      <w:r w:rsidRPr="00FF21F5">
        <w:rPr>
          <w:rFonts w:ascii="Atkinson Hyperlegible" w:hAnsi="Atkinson Hyperlegible"/>
        </w:rPr>
        <w:t>Les parties signataires s’engagent à se rencontrer tous les 3 ans suivant l’application du présent accord en vue d’entamer des négociations relatives à son adaptation.</w:t>
      </w:r>
    </w:p>
    <w:p w14:paraId="3B2DC3C4" w14:textId="77777777" w:rsidR="008E3D1F" w:rsidRPr="00FF21F5" w:rsidRDefault="008E3D1F" w:rsidP="008E3D1F">
      <w:pPr>
        <w:rPr>
          <w:rFonts w:ascii="Atkinson Hyperlegible" w:hAnsi="Atkinson Hyperlegible"/>
        </w:rPr>
      </w:pPr>
      <w:r w:rsidRPr="00FF21F5">
        <w:rPr>
          <w:rFonts w:ascii="Atkinson Hyperlegible" w:hAnsi="Atkinson Hyperlegible"/>
        </w:rPr>
        <w:t>En cas de modification substantielle des textes régissant les matières traitées par le présent accord, les parties signataires s’engagent à se rencontrer dans un délai de 60 jours suivant la demande de l’une des parties signataires en vue d’entamer des négociations relatives à l’adaptation du présent accord.</w:t>
      </w:r>
    </w:p>
    <w:p w14:paraId="4FD35F0B" w14:textId="77777777" w:rsidR="001879A0" w:rsidRPr="00FF21F5" w:rsidRDefault="001879A0" w:rsidP="001879A0">
      <w:pPr>
        <w:rPr>
          <w:rFonts w:ascii="Atkinson Hyperlegible" w:hAnsi="Atkinson Hyperlegible"/>
        </w:rPr>
      </w:pPr>
    </w:p>
    <w:p w14:paraId="6E5C2A32" w14:textId="7E8FBA56" w:rsidR="00833C58" w:rsidRPr="00FF21F5" w:rsidRDefault="00833C58" w:rsidP="001879A0">
      <w:pPr>
        <w:pStyle w:val="Titre2"/>
        <w:rPr>
          <w:rFonts w:ascii="Atkinson Hyperlegible" w:eastAsia="Calibri" w:hAnsi="Atkinson Hyperlegible"/>
        </w:rPr>
      </w:pPr>
      <w:bookmarkStart w:id="54" w:name="_Toc210057905"/>
      <w:r w:rsidRPr="00FF21F5">
        <w:rPr>
          <w:rFonts w:ascii="Atkinson Hyperlegible" w:eastAsia="Calibri" w:hAnsi="Atkinson Hyperlegible"/>
        </w:rPr>
        <w:t>6 - Révision de l’accord</w:t>
      </w:r>
      <w:bookmarkEnd w:id="54"/>
    </w:p>
    <w:p w14:paraId="60CBA671" w14:textId="77777777" w:rsidR="00833C58" w:rsidRPr="00FF21F5" w:rsidRDefault="00833C58" w:rsidP="001879A0">
      <w:pPr>
        <w:rPr>
          <w:rFonts w:ascii="Atkinson Hyperlegible" w:hAnsi="Atkinson Hyperlegible"/>
        </w:rPr>
      </w:pPr>
      <w:r w:rsidRPr="00FF21F5">
        <w:rPr>
          <w:rFonts w:ascii="Atkinson Hyperlegible" w:hAnsi="Atkinson Hyperlegible"/>
        </w:rPr>
        <w:t>L’accord pourra être révisé au terme d’un délai de 1 an suivant sa prise d’effet</w:t>
      </w:r>
      <w:r w:rsidRPr="00FF21F5">
        <w:rPr>
          <w:rFonts w:ascii="Atkinson Hyperlegible" w:hAnsi="Atkinson Hyperlegible"/>
          <w:sz w:val="22"/>
        </w:rPr>
        <w:t xml:space="preserve"> </w:t>
      </w:r>
      <w:r w:rsidRPr="00FF21F5">
        <w:rPr>
          <w:rFonts w:ascii="Atkinson Hyperlegible" w:hAnsi="Atkinson Hyperlegible"/>
        </w:rPr>
        <w:t>dans les conditions légales en vigueur.</w:t>
      </w:r>
    </w:p>
    <w:p w14:paraId="62A7E00C" w14:textId="77777777" w:rsidR="008E3D1F" w:rsidRPr="00FF21F5" w:rsidRDefault="008E3D1F" w:rsidP="008E3D1F">
      <w:pPr>
        <w:rPr>
          <w:rFonts w:ascii="Atkinson Hyperlegible" w:hAnsi="Atkinson Hyperlegible"/>
        </w:rPr>
      </w:pPr>
      <w:r w:rsidRPr="00FF21F5">
        <w:rPr>
          <w:rFonts w:ascii="Atkinson Hyperlegible" w:hAnsi="Atkinson Hyperlegible"/>
        </w:rPr>
        <w:t>La procédure de révision du présent accord ne peut être engagée que par la Direction ou l’une des parties habilitées en application des dispositions du code du travail.</w:t>
      </w:r>
    </w:p>
    <w:p w14:paraId="5D4B1D46" w14:textId="77777777" w:rsidR="008E3D1F" w:rsidRPr="00FF21F5" w:rsidRDefault="008E3D1F" w:rsidP="008E3D1F">
      <w:pPr>
        <w:rPr>
          <w:rFonts w:ascii="Atkinson Hyperlegible" w:hAnsi="Atkinson Hyperlegible"/>
        </w:rPr>
      </w:pPr>
      <w:r w:rsidRPr="00FF21F5">
        <w:rPr>
          <w:rFonts w:ascii="Atkinson Hyperlegible" w:hAnsi="Atkinson Hyperlegible"/>
        </w:rPr>
        <w:t xml:space="preserve">La demande de révision devra être faite par lettre recommandée avec accusé de réception adressé à chacune des autres parties signataires ou adhérentes et comportant, outre l’indication des dispositions dont la révision est demandée, des propositions de remplacement. </w:t>
      </w:r>
    </w:p>
    <w:p w14:paraId="25AEFC5E" w14:textId="77777777" w:rsidR="008E3D1F" w:rsidRPr="00FF21F5" w:rsidRDefault="008E3D1F" w:rsidP="008E3D1F">
      <w:pPr>
        <w:rPr>
          <w:rFonts w:ascii="Atkinson Hyperlegible" w:hAnsi="Atkinson Hyperlegible"/>
        </w:rPr>
      </w:pPr>
      <w:r w:rsidRPr="00FF21F5">
        <w:rPr>
          <w:rFonts w:ascii="Atkinson Hyperlegible" w:hAnsi="Atkinson Hyperlegible"/>
        </w:rPr>
        <w:t xml:space="preserve">Au plus tard un mois après réception de la demande, les parties devront ouvrir une négociation en vue de la rédaction d’un nouveau texte destiné à porter révision du présent accord. </w:t>
      </w:r>
    </w:p>
    <w:p w14:paraId="7E5CFD57" w14:textId="77777777" w:rsidR="008E3D1F" w:rsidRPr="00FF21F5" w:rsidRDefault="008E3D1F" w:rsidP="008E3D1F">
      <w:pPr>
        <w:rPr>
          <w:rFonts w:ascii="Atkinson Hyperlegible" w:hAnsi="Atkinson Hyperlegible"/>
        </w:rPr>
      </w:pPr>
      <w:r w:rsidRPr="00FF21F5">
        <w:rPr>
          <w:rFonts w:ascii="Atkinson Hyperlegible" w:hAnsi="Atkinson Hyperlegible"/>
        </w:rPr>
        <w:t>Ce nouveau texte sera formalisé par un avenant qui se substituera de plein droit aux dispositions du présent accord qu’il modifiera.</w:t>
      </w:r>
    </w:p>
    <w:p w14:paraId="4514783E" w14:textId="0E9665F6" w:rsidR="008E3D1F" w:rsidRPr="00FF21F5" w:rsidRDefault="008E3D1F" w:rsidP="008E3D1F">
      <w:pPr>
        <w:rPr>
          <w:rFonts w:ascii="Atkinson Hyperlegible" w:hAnsi="Atkinson Hyperlegible"/>
        </w:rPr>
      </w:pPr>
      <w:r w:rsidRPr="00FF21F5">
        <w:rPr>
          <w:rFonts w:ascii="Atkinson Hyperlegible" w:hAnsi="Atkinson Hyperlegible"/>
        </w:rPr>
        <w:t xml:space="preserve"> </w:t>
      </w:r>
    </w:p>
    <w:p w14:paraId="66DD5215" w14:textId="37EF3967" w:rsidR="008E3D1F" w:rsidRPr="00FF21F5" w:rsidRDefault="008E3D1F" w:rsidP="008E3D1F">
      <w:pPr>
        <w:pStyle w:val="Titre2"/>
        <w:rPr>
          <w:rFonts w:ascii="Atkinson Hyperlegible" w:hAnsi="Atkinson Hyperlegible"/>
        </w:rPr>
      </w:pPr>
      <w:bookmarkStart w:id="55" w:name="_Toc210057906"/>
      <w:r w:rsidRPr="00FF21F5">
        <w:rPr>
          <w:rFonts w:ascii="Atkinson Hyperlegible" w:hAnsi="Atkinson Hyperlegible"/>
        </w:rPr>
        <w:t>7 - Suivi de l’accord</w:t>
      </w:r>
      <w:bookmarkEnd w:id="55"/>
    </w:p>
    <w:p w14:paraId="53A2EB56" w14:textId="77777777" w:rsidR="008E3D1F" w:rsidRPr="00FF21F5" w:rsidRDefault="008E3D1F" w:rsidP="008E3D1F">
      <w:pPr>
        <w:rPr>
          <w:rFonts w:ascii="Atkinson Hyperlegible" w:hAnsi="Atkinson Hyperlegible"/>
        </w:rPr>
      </w:pPr>
      <w:r w:rsidRPr="00FF21F5">
        <w:rPr>
          <w:rFonts w:ascii="Atkinson Hyperlegible" w:hAnsi="Atkinson Hyperlegible"/>
        </w:rPr>
        <w:t xml:space="preserve">A la demande de l’une des parties signataires, un suivi de l’accord est réalisé par l’entreprise et les parties signataires de l’accord. </w:t>
      </w:r>
    </w:p>
    <w:p w14:paraId="123D4CAD" w14:textId="2361ECBC" w:rsidR="001879A0" w:rsidRPr="00FF21F5" w:rsidRDefault="008E3D1F" w:rsidP="001879A0">
      <w:pPr>
        <w:rPr>
          <w:rFonts w:ascii="Atkinson Hyperlegible" w:hAnsi="Atkinson Hyperlegible"/>
        </w:rPr>
      </w:pPr>
      <w:r w:rsidRPr="00FF21F5">
        <w:rPr>
          <w:rFonts w:ascii="Atkinson Hyperlegible" w:hAnsi="Atkinson Hyperlegible"/>
        </w:rPr>
        <w:t xml:space="preserve">Il est établi un Procès-Verbal de chaque réunion de suivi faisant état de ses échanges et qui servira de base aux interprétations du présent accord. </w:t>
      </w:r>
    </w:p>
    <w:p w14:paraId="30A95F45" w14:textId="77777777" w:rsidR="008E3D1F" w:rsidRPr="00FF21F5" w:rsidRDefault="008E3D1F" w:rsidP="001879A0">
      <w:pPr>
        <w:rPr>
          <w:rFonts w:ascii="Atkinson Hyperlegible" w:hAnsi="Atkinson Hyperlegible"/>
        </w:rPr>
      </w:pPr>
    </w:p>
    <w:p w14:paraId="37A1AEA2" w14:textId="6F79F244" w:rsidR="008E3D1F" w:rsidRPr="00FF21F5" w:rsidRDefault="008E3D1F" w:rsidP="008E3D1F">
      <w:pPr>
        <w:rPr>
          <w:rFonts w:ascii="Atkinson Hyperlegible" w:hAnsi="Atkinson Hyperlegible"/>
          <w:b/>
          <w:bCs/>
        </w:rPr>
      </w:pPr>
      <w:r w:rsidRPr="00FF21F5">
        <w:rPr>
          <w:rFonts w:ascii="Atkinson Hyperlegible" w:hAnsi="Atkinson Hyperlegible"/>
          <w:b/>
          <w:bCs/>
        </w:rPr>
        <w:t>8</w:t>
      </w:r>
      <w:r w:rsidR="00833C58" w:rsidRPr="00FF21F5">
        <w:rPr>
          <w:rFonts w:ascii="Atkinson Hyperlegible" w:hAnsi="Atkinson Hyperlegible"/>
          <w:b/>
          <w:bCs/>
        </w:rPr>
        <w:t xml:space="preserve"> - Dénonciation de l’accord</w:t>
      </w:r>
    </w:p>
    <w:p w14:paraId="69A4450B" w14:textId="77777777" w:rsidR="008E3D1F" w:rsidRPr="00FF21F5" w:rsidRDefault="008E3D1F" w:rsidP="008E3D1F">
      <w:pPr>
        <w:rPr>
          <w:rFonts w:ascii="Atkinson Hyperlegible" w:hAnsi="Atkinson Hyperlegible"/>
        </w:rPr>
      </w:pPr>
      <w:r w:rsidRPr="00FF21F5">
        <w:rPr>
          <w:rFonts w:ascii="Atkinson Hyperlegible" w:hAnsi="Atkinson Hyperlegible"/>
        </w:rPr>
        <w:t xml:space="preserve">Le présent accord pourra être dénoncé par l’une ou l’autre des parties. </w:t>
      </w:r>
    </w:p>
    <w:p w14:paraId="380038DD" w14:textId="56F3FFAC" w:rsidR="008E3D1F" w:rsidRPr="00FF21F5" w:rsidRDefault="008E3D1F" w:rsidP="008E3D1F">
      <w:pPr>
        <w:rPr>
          <w:rFonts w:ascii="Atkinson Hyperlegible" w:hAnsi="Atkinson Hyperlegible"/>
        </w:rPr>
      </w:pPr>
      <w:r w:rsidRPr="00FF21F5">
        <w:rPr>
          <w:rFonts w:ascii="Atkinson Hyperlegible" w:hAnsi="Atkinson Hyperlegible"/>
        </w:rPr>
        <w:t>La partie qui dénonce l'accord doit notifier cette décision par lettre recommandée avec accusé de réception à l'autre partie.</w:t>
      </w:r>
    </w:p>
    <w:p w14:paraId="7B92433C" w14:textId="77777777" w:rsidR="008E3D1F" w:rsidRPr="00FF21F5" w:rsidRDefault="008E3D1F" w:rsidP="008E3D1F">
      <w:pPr>
        <w:rPr>
          <w:rFonts w:ascii="Atkinson Hyperlegible" w:hAnsi="Atkinson Hyperlegible"/>
        </w:rPr>
      </w:pPr>
      <w:r w:rsidRPr="00FF21F5">
        <w:rPr>
          <w:rFonts w:ascii="Atkinson Hyperlegible" w:hAnsi="Atkinson Hyperlegible"/>
        </w:rPr>
        <w:t>Les parties se réuniront pendant la durée du préavis pour discuter les possibilités d'un nouvel accord.</w:t>
      </w:r>
    </w:p>
    <w:p w14:paraId="352A438B" w14:textId="77777777" w:rsidR="008E3D1F" w:rsidRPr="00FF21F5" w:rsidRDefault="008E3D1F" w:rsidP="008E3D1F">
      <w:pPr>
        <w:rPr>
          <w:rFonts w:ascii="Atkinson Hyperlegible" w:hAnsi="Atkinson Hyperlegible"/>
        </w:rPr>
      </w:pPr>
      <w:r w:rsidRPr="00FF21F5">
        <w:rPr>
          <w:rFonts w:ascii="Atkinson Hyperlegible" w:hAnsi="Atkinson Hyperlegible"/>
        </w:rPr>
        <w:t xml:space="preserve">Pendant cette négociation, l’accord restera applicable sans aucun changement. </w:t>
      </w:r>
    </w:p>
    <w:p w14:paraId="316DF0F5" w14:textId="77777777" w:rsidR="008E3D1F" w:rsidRPr="00FF21F5" w:rsidRDefault="008E3D1F" w:rsidP="008E3D1F">
      <w:pPr>
        <w:rPr>
          <w:rFonts w:ascii="Atkinson Hyperlegible" w:hAnsi="Atkinson Hyperlegible"/>
        </w:rPr>
      </w:pPr>
      <w:r w:rsidRPr="00FF21F5">
        <w:rPr>
          <w:rFonts w:ascii="Atkinson Hyperlegible" w:hAnsi="Atkinson Hyperlegible"/>
        </w:rPr>
        <w:t xml:space="preserve">A la fin des négociations, il sera établi, selon le cas, soit un avenant au présent accord ou un nouvel accord, soit un procès-verbal de clôture constatant le désaccord. </w:t>
      </w:r>
    </w:p>
    <w:p w14:paraId="61C1A917" w14:textId="77777777" w:rsidR="008E3D1F" w:rsidRPr="00FF21F5" w:rsidRDefault="008E3D1F" w:rsidP="008E3D1F">
      <w:pPr>
        <w:rPr>
          <w:rFonts w:ascii="Atkinson Hyperlegible" w:hAnsi="Atkinson Hyperlegible"/>
        </w:rPr>
      </w:pPr>
      <w:r w:rsidRPr="00FF21F5">
        <w:rPr>
          <w:rFonts w:ascii="Atkinson Hyperlegible" w:hAnsi="Atkinson Hyperlegible"/>
        </w:rPr>
        <w:t xml:space="preserve">Ces documents feront l’objet des mêmes publicités que celles décrites ci-dessus. </w:t>
      </w:r>
    </w:p>
    <w:p w14:paraId="5D80B923" w14:textId="77777777" w:rsidR="008E3D1F" w:rsidRPr="00FF21F5" w:rsidRDefault="008E3D1F" w:rsidP="008E3D1F">
      <w:pPr>
        <w:rPr>
          <w:rFonts w:ascii="Atkinson Hyperlegible" w:hAnsi="Atkinson Hyperlegible"/>
        </w:rPr>
      </w:pPr>
      <w:r w:rsidRPr="00FF21F5">
        <w:rPr>
          <w:rFonts w:ascii="Atkinson Hyperlegible" w:hAnsi="Atkinson Hyperlegible"/>
        </w:rPr>
        <w:t xml:space="preserve">Les nouvelles dispositions se substitueront à celles de l’accord dénoncé à la date expressément convenue par les parties. </w:t>
      </w:r>
    </w:p>
    <w:p w14:paraId="2E4B4F21" w14:textId="77777777" w:rsidR="008E3D1F" w:rsidRPr="00FF21F5" w:rsidRDefault="008E3D1F" w:rsidP="008E3D1F">
      <w:pPr>
        <w:rPr>
          <w:rFonts w:ascii="Atkinson Hyperlegible" w:hAnsi="Atkinson Hyperlegible"/>
        </w:rPr>
      </w:pPr>
      <w:r w:rsidRPr="00FF21F5">
        <w:rPr>
          <w:rFonts w:ascii="Atkinson Hyperlegible" w:hAnsi="Atkinson Hyperlegible"/>
        </w:rPr>
        <w:t xml:space="preserve">En cas de désaccord et de procès-verbal de clôture des négociations, le présent accord restera en vigueur pendant une année à compter du préavis de trois mois </w:t>
      </w:r>
      <w:r w:rsidRPr="00FF21F5">
        <w:rPr>
          <w:rFonts w:ascii="Atkinson Hyperlegible" w:hAnsi="Atkinson Hyperlegible"/>
        </w:rPr>
        <w:lastRenderedPageBreak/>
        <w:t xml:space="preserve">applicables, comme le prévoient les dispositions des articles L 2261-9 et suivants du Code du travail. </w:t>
      </w:r>
    </w:p>
    <w:p w14:paraId="32A2CFFE" w14:textId="77777777" w:rsidR="008E3D1F" w:rsidRPr="00FF21F5" w:rsidRDefault="008E3D1F" w:rsidP="008E3D1F">
      <w:pPr>
        <w:rPr>
          <w:rFonts w:ascii="Atkinson Hyperlegible" w:hAnsi="Atkinson Hyperlegible"/>
        </w:rPr>
      </w:pPr>
    </w:p>
    <w:p w14:paraId="785D3580" w14:textId="5A75C65E" w:rsidR="00833C58" w:rsidRPr="00FF21F5" w:rsidRDefault="008E3D1F" w:rsidP="001879A0">
      <w:pPr>
        <w:pStyle w:val="Titre2"/>
        <w:rPr>
          <w:rFonts w:ascii="Atkinson Hyperlegible" w:eastAsia="Calibri" w:hAnsi="Atkinson Hyperlegible"/>
        </w:rPr>
      </w:pPr>
      <w:bookmarkStart w:id="56" w:name="_Toc210057907"/>
      <w:r w:rsidRPr="00FF21F5">
        <w:rPr>
          <w:rFonts w:ascii="Atkinson Hyperlegible" w:hAnsi="Atkinson Hyperlegible"/>
        </w:rPr>
        <w:t>9</w:t>
      </w:r>
      <w:r w:rsidR="00833C58" w:rsidRPr="00FF21F5">
        <w:rPr>
          <w:rFonts w:ascii="Atkinson Hyperlegible" w:eastAsia="Calibri" w:hAnsi="Atkinson Hyperlegible"/>
        </w:rPr>
        <w:t xml:space="preserve"> - Dépôt de l’accord</w:t>
      </w:r>
      <w:bookmarkEnd w:id="56"/>
    </w:p>
    <w:p w14:paraId="2ADA6643" w14:textId="77777777" w:rsidR="00833C58" w:rsidRPr="00FF21F5" w:rsidRDefault="00833C58" w:rsidP="001879A0">
      <w:pPr>
        <w:rPr>
          <w:rFonts w:ascii="Atkinson Hyperlegible" w:hAnsi="Atkinson Hyperlegible"/>
        </w:rPr>
      </w:pPr>
      <w:r w:rsidRPr="00FF21F5">
        <w:rPr>
          <w:rFonts w:ascii="Atkinson Hyperlegible" w:hAnsi="Atkinson Hyperlegible"/>
        </w:rPr>
        <w:t>Le présent accord donnera lieu à dépôt dans les conditions prévues aux articles L. 2231-6 et D. 2231-2 et suivants du code du travail. Il sera déposé :</w:t>
      </w:r>
    </w:p>
    <w:p w14:paraId="1791EE6F" w14:textId="77777777" w:rsidR="00833C58" w:rsidRPr="00FF21F5" w:rsidRDefault="00833C58" w:rsidP="00AC6293">
      <w:pPr>
        <w:pStyle w:val="Paragraphedeliste"/>
        <w:numPr>
          <w:ilvl w:val="0"/>
          <w:numId w:val="1"/>
        </w:numPr>
        <w:rPr>
          <w:rFonts w:ascii="Atkinson Hyperlegible" w:hAnsi="Atkinson Hyperlegible"/>
        </w:rPr>
      </w:pPr>
      <w:proofErr w:type="gramStart"/>
      <w:r w:rsidRPr="00FF21F5">
        <w:rPr>
          <w:rFonts w:ascii="Atkinson Hyperlegible" w:hAnsi="Atkinson Hyperlegible"/>
        </w:rPr>
        <w:t>sur</w:t>
      </w:r>
      <w:proofErr w:type="gramEnd"/>
      <w:r w:rsidRPr="00FF21F5">
        <w:rPr>
          <w:rFonts w:ascii="Atkinson Hyperlegible" w:hAnsi="Atkinson Hyperlegible"/>
        </w:rPr>
        <w:t xml:space="preserve"> la plateforme de téléprocédure dénommée</w:t>
      </w:r>
      <w:proofErr w:type="gramStart"/>
      <w:r w:rsidRPr="00FF21F5">
        <w:rPr>
          <w:rFonts w:ascii="Atkinson Hyperlegible" w:hAnsi="Atkinson Hyperlegible"/>
        </w:rPr>
        <w:t xml:space="preserve"> «</w:t>
      </w:r>
      <w:proofErr w:type="spellStart"/>
      <w:r w:rsidRPr="00FF21F5">
        <w:rPr>
          <w:rFonts w:ascii="Atkinson Hyperlegible" w:hAnsi="Atkinson Hyperlegible"/>
        </w:rPr>
        <w:t>TéléAccords</w:t>
      </w:r>
      <w:proofErr w:type="spellEnd"/>
      <w:proofErr w:type="gramEnd"/>
      <w:r w:rsidRPr="00FF21F5">
        <w:rPr>
          <w:rFonts w:ascii="Atkinson Hyperlegible" w:hAnsi="Atkinson Hyperlegible"/>
        </w:rPr>
        <w:t> » accompagné des pièces prévues à l’article D. 2231-7 du code du travail,</w:t>
      </w:r>
    </w:p>
    <w:p w14:paraId="5474E6D9" w14:textId="77777777" w:rsidR="00833C58" w:rsidRPr="00FF21F5" w:rsidRDefault="00833C58" w:rsidP="00AC6293">
      <w:pPr>
        <w:pStyle w:val="Paragraphedeliste"/>
        <w:numPr>
          <w:ilvl w:val="0"/>
          <w:numId w:val="1"/>
        </w:numPr>
        <w:rPr>
          <w:rFonts w:ascii="Atkinson Hyperlegible" w:hAnsi="Atkinson Hyperlegible"/>
        </w:rPr>
      </w:pPr>
      <w:proofErr w:type="gramStart"/>
      <w:r w:rsidRPr="00FF21F5">
        <w:rPr>
          <w:rFonts w:ascii="Atkinson Hyperlegible" w:hAnsi="Atkinson Hyperlegible"/>
        </w:rPr>
        <w:t>et</w:t>
      </w:r>
      <w:proofErr w:type="gramEnd"/>
      <w:r w:rsidRPr="00FF21F5">
        <w:rPr>
          <w:rFonts w:ascii="Atkinson Hyperlegible" w:hAnsi="Atkinson Hyperlegible"/>
        </w:rPr>
        <w:t xml:space="preserve"> en un exemplaire auprès du greffe du conseil de prud'hommes territorialement compétent.</w:t>
      </w:r>
    </w:p>
    <w:p w14:paraId="62B4E341" w14:textId="77777777" w:rsidR="001879A0" w:rsidRPr="00FF21F5" w:rsidRDefault="001879A0" w:rsidP="001879A0">
      <w:pPr>
        <w:pStyle w:val="Paragraphedeliste"/>
        <w:rPr>
          <w:rFonts w:ascii="Atkinson Hyperlegible" w:hAnsi="Atkinson Hyperlegible"/>
        </w:rPr>
      </w:pPr>
    </w:p>
    <w:p w14:paraId="23C8FA76" w14:textId="7347E33B" w:rsidR="00833C58" w:rsidRPr="00FF21F5" w:rsidRDefault="008E3D1F" w:rsidP="006555EE">
      <w:pPr>
        <w:pStyle w:val="Titre2"/>
        <w:rPr>
          <w:rFonts w:ascii="Atkinson Hyperlegible" w:eastAsia="Times New Roman" w:hAnsi="Atkinson Hyperlegible"/>
        </w:rPr>
      </w:pPr>
      <w:bookmarkStart w:id="57" w:name="_Toc487114901"/>
      <w:bookmarkStart w:id="58" w:name="_Toc210057908"/>
      <w:r w:rsidRPr="00FF21F5">
        <w:rPr>
          <w:rFonts w:ascii="Atkinson Hyperlegible" w:eastAsia="Times New Roman" w:hAnsi="Atkinson Hyperlegible"/>
        </w:rPr>
        <w:t>10</w:t>
      </w:r>
      <w:r w:rsidR="00833C58" w:rsidRPr="00FF21F5">
        <w:rPr>
          <w:rFonts w:ascii="Atkinson Hyperlegible" w:eastAsia="Times New Roman" w:hAnsi="Atkinson Hyperlegible"/>
        </w:rPr>
        <w:t xml:space="preserve"> - Transmission de l’accord à la commission paritaire permanente de négociation et d'interprétation de branche</w:t>
      </w:r>
      <w:bookmarkEnd w:id="57"/>
      <w:bookmarkEnd w:id="58"/>
    </w:p>
    <w:p w14:paraId="703D3C5C" w14:textId="77777777" w:rsidR="00833C58" w:rsidRPr="00FF21F5" w:rsidRDefault="00833C58" w:rsidP="001879A0">
      <w:pPr>
        <w:rPr>
          <w:rFonts w:ascii="Atkinson Hyperlegible" w:hAnsi="Atkinson Hyperlegible"/>
        </w:rPr>
      </w:pPr>
      <w:r w:rsidRPr="00FF21F5">
        <w:rPr>
          <w:rFonts w:ascii="Atkinson Hyperlegible" w:hAnsi="Atkinson Hyperlegible"/>
        </w:rPr>
        <w:t>Après suppression des noms et prénoms des négociateurs et des signataires, la partie la plus diligente transmettra cet accord à la commission paritaire permanente de négociation et d'interprétation de branche.</w:t>
      </w:r>
    </w:p>
    <w:p w14:paraId="6336308A" w14:textId="77777777" w:rsidR="006555EE" w:rsidRPr="00FF21F5" w:rsidRDefault="006555EE" w:rsidP="001879A0">
      <w:pPr>
        <w:rPr>
          <w:rFonts w:ascii="Atkinson Hyperlegible" w:hAnsi="Atkinson Hyperlegible"/>
        </w:rPr>
      </w:pPr>
    </w:p>
    <w:p w14:paraId="784177CD" w14:textId="27E546FF" w:rsidR="00833C58" w:rsidRPr="00FF21F5" w:rsidRDefault="008E3D1F" w:rsidP="006555EE">
      <w:pPr>
        <w:pStyle w:val="Titre2"/>
        <w:rPr>
          <w:rFonts w:ascii="Atkinson Hyperlegible" w:eastAsia="Calibri" w:hAnsi="Atkinson Hyperlegible"/>
        </w:rPr>
      </w:pPr>
      <w:bookmarkStart w:id="59" w:name="_Toc210057909"/>
      <w:r w:rsidRPr="00FF21F5">
        <w:rPr>
          <w:rFonts w:ascii="Atkinson Hyperlegible" w:hAnsi="Atkinson Hyperlegible"/>
        </w:rPr>
        <w:t>11</w:t>
      </w:r>
      <w:r w:rsidR="00833C58" w:rsidRPr="00FF21F5">
        <w:rPr>
          <w:rFonts w:ascii="Atkinson Hyperlegible" w:eastAsia="Calibri" w:hAnsi="Atkinson Hyperlegible"/>
        </w:rPr>
        <w:t xml:space="preserve"> - Publication de l’accord</w:t>
      </w:r>
      <w:bookmarkEnd w:id="59"/>
    </w:p>
    <w:p w14:paraId="029DE059" w14:textId="77777777" w:rsidR="00833C58" w:rsidRPr="00FF21F5" w:rsidRDefault="00833C58" w:rsidP="001879A0">
      <w:pPr>
        <w:rPr>
          <w:rFonts w:ascii="Atkinson Hyperlegible" w:hAnsi="Atkinson Hyperlegible"/>
        </w:rPr>
      </w:pPr>
      <w:r w:rsidRPr="00FF21F5">
        <w:rPr>
          <w:rFonts w:ascii="Atkinson Hyperlegible" w:hAnsi="Atkinson Hyperlegible"/>
        </w:rPr>
        <w:t>Le présent accord fera l’objet d’une publication dans la base de données nationale visée à l’article L. 2231-5-1 du code du travail.</w:t>
      </w:r>
    </w:p>
    <w:p w14:paraId="26AC471E" w14:textId="77777777" w:rsidR="00B5501D" w:rsidRPr="00FF21F5" w:rsidRDefault="00B5501D" w:rsidP="001879A0">
      <w:pPr>
        <w:rPr>
          <w:rFonts w:ascii="Atkinson Hyperlegible" w:hAnsi="Atkinson Hyperlegible"/>
        </w:rPr>
      </w:pPr>
    </w:p>
    <w:p w14:paraId="3A31029F" w14:textId="44D0EF92" w:rsidR="00B5501D" w:rsidRPr="00FF21F5" w:rsidRDefault="00B5501D" w:rsidP="00B5501D">
      <w:pPr>
        <w:rPr>
          <w:rFonts w:ascii="Atkinson Hyperlegible" w:eastAsia="Calibri" w:hAnsi="Atkinson Hyperlegible" w:cs="Arial"/>
          <w:szCs w:val="20"/>
        </w:rPr>
      </w:pPr>
      <w:r w:rsidRPr="00FF21F5">
        <w:rPr>
          <w:rFonts w:ascii="Atkinson Hyperlegible" w:eastAsia="Calibri" w:hAnsi="Atkinson Hyperlegible" w:cs="Arial"/>
          <w:szCs w:val="20"/>
        </w:rPr>
        <w:t xml:space="preserve">Fait </w:t>
      </w:r>
      <w:r w:rsidR="00D24E82" w:rsidRPr="00FF21F5">
        <w:rPr>
          <w:rFonts w:ascii="Atkinson Hyperlegible" w:eastAsia="Calibri" w:hAnsi="Atkinson Hyperlegible" w:cs="Arial"/>
          <w:szCs w:val="20"/>
        </w:rPr>
        <w:t>à</w:t>
      </w:r>
      <w:r w:rsidR="008E3D1F" w:rsidRPr="00FF21F5">
        <w:rPr>
          <w:rFonts w:ascii="Atkinson Hyperlegible" w:eastAsia="Calibri" w:hAnsi="Atkinson Hyperlegible" w:cs="Arial"/>
          <w:szCs w:val="20"/>
        </w:rPr>
        <w:t xml:space="preserve"> </w:t>
      </w:r>
      <w:r w:rsidR="001C5AEE" w:rsidRPr="00FF21F5">
        <w:rPr>
          <w:rFonts w:ascii="Atkinson Hyperlegible" w:eastAsia="Calibri" w:hAnsi="Atkinson Hyperlegible" w:cs="Arial"/>
          <w:szCs w:val="20"/>
        </w:rPr>
        <w:t>Bordeaux</w:t>
      </w:r>
    </w:p>
    <w:p w14:paraId="053E547F" w14:textId="3D4DBA8B" w:rsidR="00B5501D" w:rsidRPr="00FF21F5" w:rsidRDefault="00B5501D" w:rsidP="00B5501D">
      <w:pPr>
        <w:rPr>
          <w:rFonts w:ascii="Atkinson Hyperlegible" w:eastAsia="Calibri" w:hAnsi="Atkinson Hyperlegible" w:cs="Arial"/>
          <w:szCs w:val="20"/>
        </w:rPr>
      </w:pPr>
      <w:r w:rsidRPr="00FF21F5">
        <w:rPr>
          <w:rFonts w:ascii="Atkinson Hyperlegible" w:eastAsia="Calibri" w:hAnsi="Atkinson Hyperlegible" w:cs="Arial"/>
          <w:szCs w:val="20"/>
        </w:rPr>
        <w:t xml:space="preserve">Le </w:t>
      </w:r>
      <w:r w:rsidR="004B3494">
        <w:rPr>
          <w:rFonts w:ascii="Atkinson Hyperlegible" w:eastAsia="Calibri" w:hAnsi="Atkinson Hyperlegible" w:cs="Arial"/>
          <w:szCs w:val="20"/>
        </w:rPr>
        <w:t>16/12/2025</w:t>
      </w:r>
    </w:p>
    <w:p w14:paraId="433C5198" w14:textId="77777777" w:rsidR="00B5501D" w:rsidRPr="00FF21F5" w:rsidRDefault="00B5501D" w:rsidP="00B5501D">
      <w:pPr>
        <w:rPr>
          <w:rFonts w:ascii="Atkinson Hyperlegible" w:eastAsia="Calibri" w:hAnsi="Atkinson Hyperlegible" w:cs="Arial"/>
          <w:szCs w:val="20"/>
        </w:rPr>
      </w:pPr>
      <w:r w:rsidRPr="00FF21F5">
        <w:rPr>
          <w:rFonts w:ascii="Atkinson Hyperlegible" w:eastAsia="Calibri" w:hAnsi="Atkinson Hyperlegible" w:cs="Arial"/>
          <w:szCs w:val="20"/>
        </w:rPr>
        <w:t xml:space="preserve">En 3 exemplaires originaux </w:t>
      </w:r>
    </w:p>
    <w:p w14:paraId="7C131CAA" w14:textId="77777777" w:rsidR="00B5501D" w:rsidRPr="00FF21F5" w:rsidRDefault="00B5501D" w:rsidP="00B5501D">
      <w:pPr>
        <w:rPr>
          <w:rFonts w:ascii="Atkinson Hyperlegible" w:eastAsia="Calibri" w:hAnsi="Atkinson Hyperlegible" w:cs="Arial"/>
          <w:szCs w:val="20"/>
        </w:rPr>
      </w:pPr>
    </w:p>
    <w:p w14:paraId="6E8F96C6" w14:textId="7D1E540E" w:rsidR="0051353D" w:rsidRPr="00FF21F5" w:rsidRDefault="00B5501D" w:rsidP="008F26C5">
      <w:pPr>
        <w:jc w:val="center"/>
        <w:rPr>
          <w:rFonts w:ascii="Atkinson Hyperlegible" w:eastAsia="Calibri" w:hAnsi="Atkinson Hyperlegible" w:cs="Arial"/>
          <w:b/>
          <w:szCs w:val="20"/>
        </w:rPr>
      </w:pPr>
      <w:r w:rsidRPr="00FF21F5">
        <w:rPr>
          <w:rFonts w:ascii="Atkinson Hyperlegible" w:eastAsia="Calibri" w:hAnsi="Atkinson Hyperlegible" w:cs="Arial"/>
          <w:b/>
          <w:szCs w:val="20"/>
        </w:rPr>
        <w:t xml:space="preserve">Pour </w:t>
      </w:r>
      <w:r w:rsidR="00F527DC" w:rsidRPr="00FF21F5">
        <w:rPr>
          <w:rFonts w:ascii="Atkinson Hyperlegible" w:eastAsia="Calibri" w:hAnsi="Atkinson Hyperlegible" w:cs="Arial"/>
          <w:b/>
          <w:szCs w:val="20"/>
        </w:rPr>
        <w:t>LE C</w:t>
      </w:r>
      <w:r w:rsidR="001C5AEE" w:rsidRPr="00FF21F5">
        <w:rPr>
          <w:rFonts w:ascii="Atkinson Hyperlegible" w:eastAsia="Calibri" w:hAnsi="Atkinson Hyperlegible" w:cs="Arial"/>
          <w:b/>
          <w:szCs w:val="20"/>
        </w:rPr>
        <w:t>OMITE REGIONAL DE TOURISME DE NOUVELLE AQUITAINE</w:t>
      </w:r>
    </w:p>
    <w:p w14:paraId="147A8C7C" w14:textId="7DA58198" w:rsidR="004A7958" w:rsidRPr="00FF21F5" w:rsidRDefault="006555EE" w:rsidP="004A7958">
      <w:pPr>
        <w:jc w:val="center"/>
        <w:rPr>
          <w:rFonts w:ascii="Atkinson Hyperlegible" w:eastAsia="Calibri" w:hAnsi="Atkinson Hyperlegible" w:cs="Arial"/>
          <w:b/>
          <w:szCs w:val="20"/>
        </w:rPr>
      </w:pPr>
      <w:proofErr w:type="gramStart"/>
      <w:r w:rsidRPr="00FF21F5">
        <w:rPr>
          <w:rFonts w:ascii="Atkinson Hyperlegible" w:eastAsia="Calibri" w:hAnsi="Atkinson Hyperlegible" w:cs="Arial"/>
          <w:b/>
          <w:szCs w:val="20"/>
          <w:highlight w:val="yellow"/>
        </w:rPr>
        <w:t>M….</w:t>
      </w:r>
      <w:proofErr w:type="gramEnd"/>
      <w:r w:rsidR="004A7958" w:rsidRPr="00FF21F5">
        <w:rPr>
          <w:rFonts w:ascii="Atkinson Hyperlegible" w:eastAsia="Calibri" w:hAnsi="Atkinson Hyperlegible" w:cs="Arial"/>
          <w:b/>
          <w:szCs w:val="20"/>
          <w:highlight w:val="yellow"/>
        </w:rPr>
        <w:t>,</w:t>
      </w:r>
      <w:r w:rsidR="008F26C5" w:rsidRPr="00FF21F5">
        <w:rPr>
          <w:rFonts w:ascii="Atkinson Hyperlegible" w:eastAsia="Calibri" w:hAnsi="Atkinson Hyperlegible" w:cs="Arial"/>
          <w:b/>
          <w:szCs w:val="20"/>
          <w:highlight w:val="yellow"/>
        </w:rPr>
        <w:t xml:space="preserve"> </w:t>
      </w:r>
      <w:r w:rsidRPr="00FF21F5">
        <w:rPr>
          <w:rFonts w:ascii="Atkinson Hyperlegible" w:eastAsia="Calibri" w:hAnsi="Atkinson Hyperlegible" w:cs="Arial"/>
          <w:b/>
          <w:szCs w:val="20"/>
          <w:highlight w:val="yellow"/>
        </w:rPr>
        <w:t>Qualité</w:t>
      </w:r>
    </w:p>
    <w:p w14:paraId="57353FC6" w14:textId="77777777" w:rsidR="008E3D1F" w:rsidRPr="00FF21F5" w:rsidRDefault="008E3D1F" w:rsidP="004A7958">
      <w:pPr>
        <w:jc w:val="center"/>
        <w:rPr>
          <w:rFonts w:ascii="Atkinson Hyperlegible" w:eastAsia="Calibri" w:hAnsi="Atkinson Hyperlegible" w:cs="Arial"/>
          <w:b/>
          <w:szCs w:val="20"/>
        </w:rPr>
      </w:pPr>
    </w:p>
    <w:p w14:paraId="5A06FD19" w14:textId="7E3EE0D3" w:rsidR="004A7958" w:rsidRPr="00FF21F5" w:rsidRDefault="001C5AEE" w:rsidP="004A7958">
      <w:pPr>
        <w:jc w:val="center"/>
        <w:rPr>
          <w:rFonts w:ascii="Atkinson Hyperlegible" w:eastAsia="Calibri" w:hAnsi="Atkinson Hyperlegible" w:cs="Arial"/>
          <w:b/>
          <w:szCs w:val="20"/>
        </w:rPr>
      </w:pPr>
      <w:r w:rsidRPr="00FF21F5">
        <w:rPr>
          <w:rFonts w:ascii="Atkinson Hyperlegible" w:eastAsia="Calibri" w:hAnsi="Atkinson Hyperlegible" w:cs="Arial"/>
          <w:b/>
          <w:szCs w:val="20"/>
        </w:rPr>
        <w:t xml:space="preserve">Pour le COMITE SOCIAL ET ECONOMIQUE </w:t>
      </w:r>
    </w:p>
    <w:p w14:paraId="26A70D0E" w14:textId="116D8FF5" w:rsidR="001C5AEE" w:rsidRPr="00FF21F5" w:rsidRDefault="001C5AEE" w:rsidP="004A7958">
      <w:pPr>
        <w:jc w:val="center"/>
        <w:rPr>
          <w:rFonts w:ascii="Atkinson Hyperlegible" w:eastAsia="Calibri" w:hAnsi="Atkinson Hyperlegible" w:cs="Arial"/>
          <w:b/>
          <w:szCs w:val="20"/>
        </w:rPr>
      </w:pPr>
      <w:r w:rsidRPr="00FF21F5">
        <w:rPr>
          <w:rFonts w:ascii="Atkinson Hyperlegible" w:eastAsia="Calibri" w:hAnsi="Atkinson Hyperlegible" w:cs="Arial"/>
          <w:b/>
          <w:szCs w:val="20"/>
        </w:rPr>
        <w:t>M</w:t>
      </w:r>
      <w:proofErr w:type="gramStart"/>
      <w:r w:rsidRPr="00FF21F5">
        <w:rPr>
          <w:rFonts w:ascii="Atkinson Hyperlegible" w:eastAsia="Calibri" w:hAnsi="Atkinson Hyperlegible" w:cs="Arial"/>
          <w:b/>
          <w:szCs w:val="20"/>
        </w:rPr>
        <w:t>…….</w:t>
      </w:r>
      <w:proofErr w:type="gramEnd"/>
      <w:r w:rsidRPr="00FF21F5">
        <w:rPr>
          <w:rFonts w:ascii="Atkinson Hyperlegible" w:eastAsia="Calibri" w:hAnsi="Atkinson Hyperlegible" w:cs="Arial"/>
          <w:b/>
          <w:szCs w:val="20"/>
        </w:rPr>
        <w:t xml:space="preserve">., Membre titulaire </w:t>
      </w:r>
    </w:p>
    <w:p w14:paraId="15781D13" w14:textId="77777777" w:rsidR="001C5AEE" w:rsidRPr="00FF21F5" w:rsidRDefault="001C5AEE" w:rsidP="004A7958">
      <w:pPr>
        <w:jc w:val="center"/>
        <w:rPr>
          <w:rFonts w:ascii="Atkinson Hyperlegible" w:eastAsia="Calibri" w:hAnsi="Atkinson Hyperlegible" w:cs="Arial"/>
          <w:b/>
          <w:szCs w:val="20"/>
        </w:rPr>
      </w:pPr>
    </w:p>
    <w:p w14:paraId="6901EA43" w14:textId="77777777" w:rsidR="001C5AEE" w:rsidRPr="00FF21F5" w:rsidRDefault="001C5AEE" w:rsidP="004A7958">
      <w:pPr>
        <w:jc w:val="center"/>
        <w:rPr>
          <w:rFonts w:ascii="Atkinson Hyperlegible" w:eastAsia="Calibri" w:hAnsi="Atkinson Hyperlegible" w:cs="Arial"/>
          <w:b/>
          <w:szCs w:val="20"/>
        </w:rPr>
      </w:pPr>
    </w:p>
    <w:p w14:paraId="4FBDA7FD" w14:textId="77777777" w:rsidR="001C5AEE" w:rsidRPr="00FF21F5" w:rsidRDefault="001C5AEE" w:rsidP="004A7958">
      <w:pPr>
        <w:jc w:val="center"/>
        <w:rPr>
          <w:rFonts w:ascii="Atkinson Hyperlegible" w:eastAsia="Calibri" w:hAnsi="Atkinson Hyperlegible" w:cs="Arial"/>
          <w:b/>
          <w:szCs w:val="20"/>
        </w:rPr>
      </w:pPr>
    </w:p>
    <w:p w14:paraId="3DB9F931" w14:textId="0A3FBB79" w:rsidR="001C5AEE" w:rsidRPr="007B3CD6" w:rsidRDefault="001C5AEE" w:rsidP="004A7958">
      <w:pPr>
        <w:jc w:val="center"/>
        <w:rPr>
          <w:rFonts w:ascii="Atkinson Hyperlegible" w:eastAsia="Calibri" w:hAnsi="Atkinson Hyperlegible" w:cs="Arial"/>
          <w:b/>
          <w:szCs w:val="20"/>
        </w:rPr>
      </w:pPr>
      <w:r w:rsidRPr="007B3CD6">
        <w:rPr>
          <w:rFonts w:ascii="Atkinson Hyperlegible" w:eastAsia="Calibri" w:hAnsi="Atkinson Hyperlegible" w:cs="Arial"/>
          <w:b/>
          <w:szCs w:val="20"/>
        </w:rPr>
        <w:t xml:space="preserve">M……, Membre titulaire </w:t>
      </w:r>
    </w:p>
    <w:sectPr w:rsidR="001C5AEE" w:rsidRPr="007B3CD6" w:rsidSect="00B5501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F8599" w14:textId="77777777" w:rsidR="008E520C" w:rsidRDefault="008E520C">
      <w:r>
        <w:separator/>
      </w:r>
    </w:p>
  </w:endnote>
  <w:endnote w:type="continuationSeparator" w:id="0">
    <w:p w14:paraId="0E547AC7" w14:textId="77777777" w:rsidR="008E520C" w:rsidRDefault="008E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2" w:usb2="00000000" w:usb3="00000000" w:csb0="0000009F" w:csb1="00000000"/>
  </w:font>
  <w:font w:name="Atkinson Hyperlegible">
    <w:panose1 w:val="020B0604020202020204"/>
    <w:charset w:val="00"/>
    <w:family w:val="auto"/>
    <w:notTrueType/>
    <w:pitch w:val="variable"/>
    <w:sig w:usb0="00000027"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052920226"/>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7309314D" w14:textId="77777777" w:rsidR="00B5501D" w:rsidRPr="00A94276" w:rsidRDefault="00B5501D">
            <w:pPr>
              <w:pStyle w:val="Pieddepage"/>
              <w:jc w:val="right"/>
              <w:rPr>
                <w:sz w:val="16"/>
                <w:szCs w:val="16"/>
              </w:rPr>
            </w:pPr>
            <w:r w:rsidRPr="00A94276">
              <w:rPr>
                <w:sz w:val="16"/>
                <w:szCs w:val="16"/>
              </w:rPr>
              <w:t xml:space="preserve">Page </w:t>
            </w:r>
            <w:r w:rsidRPr="00A94276">
              <w:rPr>
                <w:b/>
                <w:bCs/>
                <w:sz w:val="16"/>
                <w:szCs w:val="16"/>
              </w:rPr>
              <w:fldChar w:fldCharType="begin"/>
            </w:r>
            <w:r w:rsidRPr="00A94276">
              <w:rPr>
                <w:b/>
                <w:bCs/>
                <w:sz w:val="16"/>
                <w:szCs w:val="16"/>
              </w:rPr>
              <w:instrText>PAGE</w:instrText>
            </w:r>
            <w:r w:rsidRPr="00A94276">
              <w:rPr>
                <w:b/>
                <w:bCs/>
                <w:sz w:val="16"/>
                <w:szCs w:val="16"/>
              </w:rPr>
              <w:fldChar w:fldCharType="separate"/>
            </w:r>
            <w:r>
              <w:rPr>
                <w:b/>
                <w:bCs/>
                <w:noProof/>
                <w:sz w:val="16"/>
                <w:szCs w:val="16"/>
              </w:rPr>
              <w:t>11</w:t>
            </w:r>
            <w:r w:rsidRPr="00A94276">
              <w:rPr>
                <w:b/>
                <w:bCs/>
                <w:sz w:val="16"/>
                <w:szCs w:val="16"/>
              </w:rPr>
              <w:fldChar w:fldCharType="end"/>
            </w:r>
            <w:r w:rsidRPr="00A94276">
              <w:rPr>
                <w:sz w:val="16"/>
                <w:szCs w:val="16"/>
              </w:rPr>
              <w:t xml:space="preserve"> sur </w:t>
            </w:r>
            <w:r w:rsidRPr="00A94276">
              <w:rPr>
                <w:b/>
                <w:bCs/>
                <w:sz w:val="16"/>
                <w:szCs w:val="16"/>
              </w:rPr>
              <w:fldChar w:fldCharType="begin"/>
            </w:r>
            <w:r w:rsidRPr="00A94276">
              <w:rPr>
                <w:b/>
                <w:bCs/>
                <w:sz w:val="16"/>
                <w:szCs w:val="16"/>
              </w:rPr>
              <w:instrText>NUMPAGES</w:instrText>
            </w:r>
            <w:r w:rsidRPr="00A94276">
              <w:rPr>
                <w:b/>
                <w:bCs/>
                <w:sz w:val="16"/>
                <w:szCs w:val="16"/>
              </w:rPr>
              <w:fldChar w:fldCharType="separate"/>
            </w:r>
            <w:r>
              <w:rPr>
                <w:b/>
                <w:bCs/>
                <w:noProof/>
                <w:sz w:val="16"/>
                <w:szCs w:val="16"/>
              </w:rPr>
              <w:t>15</w:t>
            </w:r>
            <w:r w:rsidRPr="00A94276">
              <w:rPr>
                <w:b/>
                <w:bCs/>
                <w:sz w:val="16"/>
                <w:szCs w:val="16"/>
              </w:rPr>
              <w:fldChar w:fldCharType="end"/>
            </w:r>
          </w:p>
        </w:sdtContent>
      </w:sdt>
    </w:sdtContent>
  </w:sdt>
  <w:p w14:paraId="42B548CA" w14:textId="77777777" w:rsidR="00B5501D" w:rsidRDefault="00B5501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9FD4E" w14:textId="77777777" w:rsidR="008E520C" w:rsidRDefault="008E520C">
      <w:r>
        <w:separator/>
      </w:r>
    </w:p>
  </w:footnote>
  <w:footnote w:type="continuationSeparator" w:id="0">
    <w:p w14:paraId="358682A5" w14:textId="77777777" w:rsidR="008E520C" w:rsidRDefault="008E5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34669"/>
    <w:multiLevelType w:val="hybridMultilevel"/>
    <w:tmpl w:val="0002AC5A"/>
    <w:lvl w:ilvl="0" w:tplc="5CFC94B4">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7CE3D5A"/>
    <w:multiLevelType w:val="hybridMultilevel"/>
    <w:tmpl w:val="B9C0A8CC"/>
    <w:lvl w:ilvl="0" w:tplc="5CFC94B4">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B9C453B"/>
    <w:multiLevelType w:val="multilevel"/>
    <w:tmpl w:val="62C23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D635A8F"/>
    <w:multiLevelType w:val="hybridMultilevel"/>
    <w:tmpl w:val="F160727A"/>
    <w:lvl w:ilvl="0" w:tplc="5CFC94B4">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35FC468D"/>
    <w:multiLevelType w:val="hybridMultilevel"/>
    <w:tmpl w:val="A466482E"/>
    <w:lvl w:ilvl="0" w:tplc="5CFC94B4">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6A52956"/>
    <w:multiLevelType w:val="hybridMultilevel"/>
    <w:tmpl w:val="EAF8D512"/>
    <w:lvl w:ilvl="0" w:tplc="5CFC94B4">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7C672B6"/>
    <w:multiLevelType w:val="hybridMultilevel"/>
    <w:tmpl w:val="92740A90"/>
    <w:lvl w:ilvl="0" w:tplc="9918DA20">
      <w:numFmt w:val="bullet"/>
      <w:lvlText w:val="-"/>
      <w:lvlJc w:val="left"/>
      <w:pPr>
        <w:ind w:left="720" w:hanging="360"/>
      </w:pPr>
      <w:rPr>
        <w:rFonts w:ascii="Arial" w:eastAsia="MS Mincho"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8541228"/>
    <w:multiLevelType w:val="hybridMultilevel"/>
    <w:tmpl w:val="62E0CA98"/>
    <w:lvl w:ilvl="0" w:tplc="5CFC94B4">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9FF12A4"/>
    <w:multiLevelType w:val="hybridMultilevel"/>
    <w:tmpl w:val="AFD4D18E"/>
    <w:lvl w:ilvl="0" w:tplc="5CFC94B4">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0615B93"/>
    <w:multiLevelType w:val="hybridMultilevel"/>
    <w:tmpl w:val="D6D2BC94"/>
    <w:lvl w:ilvl="0" w:tplc="5CFC94B4">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727840D3"/>
    <w:multiLevelType w:val="hybridMultilevel"/>
    <w:tmpl w:val="62A273B8"/>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44F4B94"/>
    <w:multiLevelType w:val="hybridMultilevel"/>
    <w:tmpl w:val="5264246A"/>
    <w:lvl w:ilvl="0" w:tplc="5330ABF6">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95919DA"/>
    <w:multiLevelType w:val="hybridMultilevel"/>
    <w:tmpl w:val="C61A6388"/>
    <w:lvl w:ilvl="0" w:tplc="5CFC94B4">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A6830CF"/>
    <w:multiLevelType w:val="hybridMultilevel"/>
    <w:tmpl w:val="55423B38"/>
    <w:lvl w:ilvl="0" w:tplc="5CFC94B4">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7B565C57"/>
    <w:multiLevelType w:val="hybridMultilevel"/>
    <w:tmpl w:val="6C0C6838"/>
    <w:lvl w:ilvl="0" w:tplc="5CFC94B4">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F76293E"/>
    <w:multiLevelType w:val="hybridMultilevel"/>
    <w:tmpl w:val="E4AC1F7E"/>
    <w:lvl w:ilvl="0" w:tplc="5CFC94B4">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770122177">
    <w:abstractNumId w:val="10"/>
  </w:num>
  <w:num w:numId="2" w16cid:durableId="1802116028">
    <w:abstractNumId w:val="13"/>
  </w:num>
  <w:num w:numId="3" w16cid:durableId="1312057438">
    <w:abstractNumId w:val="4"/>
  </w:num>
  <w:num w:numId="4" w16cid:durableId="1245185238">
    <w:abstractNumId w:val="9"/>
  </w:num>
  <w:num w:numId="5" w16cid:durableId="1698463128">
    <w:abstractNumId w:val="12"/>
  </w:num>
  <w:num w:numId="6" w16cid:durableId="624773210">
    <w:abstractNumId w:val="7"/>
  </w:num>
  <w:num w:numId="7" w16cid:durableId="1673139404">
    <w:abstractNumId w:val="3"/>
  </w:num>
  <w:num w:numId="8" w16cid:durableId="902956921">
    <w:abstractNumId w:val="15"/>
  </w:num>
  <w:num w:numId="9" w16cid:durableId="1939292681">
    <w:abstractNumId w:val="5"/>
  </w:num>
  <w:num w:numId="10" w16cid:durableId="963854743">
    <w:abstractNumId w:val="8"/>
  </w:num>
  <w:num w:numId="11" w16cid:durableId="258684019">
    <w:abstractNumId w:val="14"/>
  </w:num>
  <w:num w:numId="12" w16cid:durableId="2069063464">
    <w:abstractNumId w:val="0"/>
  </w:num>
  <w:num w:numId="13" w16cid:durableId="300617476">
    <w:abstractNumId w:val="1"/>
  </w:num>
  <w:num w:numId="14" w16cid:durableId="1902445061">
    <w:abstractNumId w:val="6"/>
  </w:num>
  <w:num w:numId="15" w16cid:durableId="219489011">
    <w:abstractNumId w:val="11"/>
  </w:num>
  <w:num w:numId="16" w16cid:durableId="124769339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01D"/>
    <w:rsid w:val="000024B5"/>
    <w:rsid w:val="000057D7"/>
    <w:rsid w:val="0001673E"/>
    <w:rsid w:val="00021A86"/>
    <w:rsid w:val="00023430"/>
    <w:rsid w:val="000333EC"/>
    <w:rsid w:val="00033658"/>
    <w:rsid w:val="00040160"/>
    <w:rsid w:val="00041F06"/>
    <w:rsid w:val="00044B7D"/>
    <w:rsid w:val="00050D0A"/>
    <w:rsid w:val="00066F7B"/>
    <w:rsid w:val="000773D0"/>
    <w:rsid w:val="000777CB"/>
    <w:rsid w:val="00077E63"/>
    <w:rsid w:val="00092C70"/>
    <w:rsid w:val="000A3B05"/>
    <w:rsid w:val="000A5ED2"/>
    <w:rsid w:val="000B1BE3"/>
    <w:rsid w:val="000C1FE7"/>
    <w:rsid w:val="000C6CB2"/>
    <w:rsid w:val="000D038F"/>
    <w:rsid w:val="000D1787"/>
    <w:rsid w:val="000D1F95"/>
    <w:rsid w:val="000E3547"/>
    <w:rsid w:val="000E4458"/>
    <w:rsid w:val="000F2B70"/>
    <w:rsid w:val="00100A04"/>
    <w:rsid w:val="00103135"/>
    <w:rsid w:val="00103817"/>
    <w:rsid w:val="001149AB"/>
    <w:rsid w:val="00121DDD"/>
    <w:rsid w:val="001352C4"/>
    <w:rsid w:val="001406D5"/>
    <w:rsid w:val="00142E50"/>
    <w:rsid w:val="00154A4A"/>
    <w:rsid w:val="00155738"/>
    <w:rsid w:val="00175076"/>
    <w:rsid w:val="0018531E"/>
    <w:rsid w:val="001879A0"/>
    <w:rsid w:val="001916E8"/>
    <w:rsid w:val="00193AEF"/>
    <w:rsid w:val="001A355C"/>
    <w:rsid w:val="001B0B76"/>
    <w:rsid w:val="001B6890"/>
    <w:rsid w:val="001B6968"/>
    <w:rsid w:val="001C1A07"/>
    <w:rsid w:val="001C3199"/>
    <w:rsid w:val="001C37DD"/>
    <w:rsid w:val="001C5AEE"/>
    <w:rsid w:val="001D41AD"/>
    <w:rsid w:val="001D55C4"/>
    <w:rsid w:val="001E5CCD"/>
    <w:rsid w:val="001F532D"/>
    <w:rsid w:val="00234620"/>
    <w:rsid w:val="00236E97"/>
    <w:rsid w:val="002418B3"/>
    <w:rsid w:val="002446F3"/>
    <w:rsid w:val="00247D64"/>
    <w:rsid w:val="00265105"/>
    <w:rsid w:val="00271B22"/>
    <w:rsid w:val="002731B1"/>
    <w:rsid w:val="002945D3"/>
    <w:rsid w:val="002953C8"/>
    <w:rsid w:val="00297F2C"/>
    <w:rsid w:val="002B161A"/>
    <w:rsid w:val="002B68D3"/>
    <w:rsid w:val="002B7D85"/>
    <w:rsid w:val="002C6910"/>
    <w:rsid w:val="002D0622"/>
    <w:rsid w:val="002D217E"/>
    <w:rsid w:val="002D6764"/>
    <w:rsid w:val="002E23C5"/>
    <w:rsid w:val="002F3995"/>
    <w:rsid w:val="00306B5A"/>
    <w:rsid w:val="0031328D"/>
    <w:rsid w:val="00313CF2"/>
    <w:rsid w:val="00327E4A"/>
    <w:rsid w:val="00344889"/>
    <w:rsid w:val="0037064F"/>
    <w:rsid w:val="00381FDC"/>
    <w:rsid w:val="00383624"/>
    <w:rsid w:val="00390635"/>
    <w:rsid w:val="00397AD6"/>
    <w:rsid w:val="003A1C76"/>
    <w:rsid w:val="003A265B"/>
    <w:rsid w:val="003A285F"/>
    <w:rsid w:val="003B0B3B"/>
    <w:rsid w:val="003C25CD"/>
    <w:rsid w:val="003C29EB"/>
    <w:rsid w:val="003C6F8C"/>
    <w:rsid w:val="003C77FE"/>
    <w:rsid w:val="003C7E57"/>
    <w:rsid w:val="003D18C7"/>
    <w:rsid w:val="003E120D"/>
    <w:rsid w:val="003E51E3"/>
    <w:rsid w:val="003F2C6A"/>
    <w:rsid w:val="003F7CF2"/>
    <w:rsid w:val="004179D3"/>
    <w:rsid w:val="00440324"/>
    <w:rsid w:val="004512B3"/>
    <w:rsid w:val="0045256E"/>
    <w:rsid w:val="00461488"/>
    <w:rsid w:val="00472287"/>
    <w:rsid w:val="004749F3"/>
    <w:rsid w:val="004A1AA4"/>
    <w:rsid w:val="004A1ABC"/>
    <w:rsid w:val="004A6789"/>
    <w:rsid w:val="004A6F04"/>
    <w:rsid w:val="004A7958"/>
    <w:rsid w:val="004B11E0"/>
    <w:rsid w:val="004B3494"/>
    <w:rsid w:val="004B5B77"/>
    <w:rsid w:val="004C6D76"/>
    <w:rsid w:val="004D40DC"/>
    <w:rsid w:val="004F0DE5"/>
    <w:rsid w:val="0051353D"/>
    <w:rsid w:val="005220D8"/>
    <w:rsid w:val="00524D62"/>
    <w:rsid w:val="0054123C"/>
    <w:rsid w:val="00562049"/>
    <w:rsid w:val="00573DC6"/>
    <w:rsid w:val="00577411"/>
    <w:rsid w:val="0058326B"/>
    <w:rsid w:val="005873C8"/>
    <w:rsid w:val="005905D1"/>
    <w:rsid w:val="0059375F"/>
    <w:rsid w:val="005963BA"/>
    <w:rsid w:val="0059664E"/>
    <w:rsid w:val="005B3681"/>
    <w:rsid w:val="005B5557"/>
    <w:rsid w:val="005C112A"/>
    <w:rsid w:val="005C170C"/>
    <w:rsid w:val="005C28F9"/>
    <w:rsid w:val="005C6885"/>
    <w:rsid w:val="005E478D"/>
    <w:rsid w:val="00602964"/>
    <w:rsid w:val="00607153"/>
    <w:rsid w:val="00614377"/>
    <w:rsid w:val="00624140"/>
    <w:rsid w:val="00626BF0"/>
    <w:rsid w:val="00631488"/>
    <w:rsid w:val="00632647"/>
    <w:rsid w:val="00642D27"/>
    <w:rsid w:val="00654CB2"/>
    <w:rsid w:val="006555EE"/>
    <w:rsid w:val="00661929"/>
    <w:rsid w:val="00671A53"/>
    <w:rsid w:val="00675639"/>
    <w:rsid w:val="00682AFC"/>
    <w:rsid w:val="0069401A"/>
    <w:rsid w:val="006948B5"/>
    <w:rsid w:val="00695EAC"/>
    <w:rsid w:val="006A32BC"/>
    <w:rsid w:val="006A6CAD"/>
    <w:rsid w:val="006C0D0E"/>
    <w:rsid w:val="006C59BF"/>
    <w:rsid w:val="006C7846"/>
    <w:rsid w:val="006D37CF"/>
    <w:rsid w:val="006D6889"/>
    <w:rsid w:val="006E12D4"/>
    <w:rsid w:val="006E1613"/>
    <w:rsid w:val="006E2C4F"/>
    <w:rsid w:val="006F0F04"/>
    <w:rsid w:val="006F3466"/>
    <w:rsid w:val="007142B3"/>
    <w:rsid w:val="00715474"/>
    <w:rsid w:val="00726E69"/>
    <w:rsid w:val="007325E5"/>
    <w:rsid w:val="00735629"/>
    <w:rsid w:val="00742F8D"/>
    <w:rsid w:val="0075091E"/>
    <w:rsid w:val="00751696"/>
    <w:rsid w:val="00763A62"/>
    <w:rsid w:val="00767D2D"/>
    <w:rsid w:val="00774F4B"/>
    <w:rsid w:val="00775FFD"/>
    <w:rsid w:val="007A2371"/>
    <w:rsid w:val="007B2586"/>
    <w:rsid w:val="007B27AE"/>
    <w:rsid w:val="007B3CD6"/>
    <w:rsid w:val="007B6249"/>
    <w:rsid w:val="007B6D7D"/>
    <w:rsid w:val="007D2D13"/>
    <w:rsid w:val="007E59B1"/>
    <w:rsid w:val="007E7585"/>
    <w:rsid w:val="007F3895"/>
    <w:rsid w:val="008003EF"/>
    <w:rsid w:val="00802991"/>
    <w:rsid w:val="00802EC6"/>
    <w:rsid w:val="00823E4D"/>
    <w:rsid w:val="00825DAA"/>
    <w:rsid w:val="00826192"/>
    <w:rsid w:val="008339BD"/>
    <w:rsid w:val="00833C58"/>
    <w:rsid w:val="00841909"/>
    <w:rsid w:val="00841959"/>
    <w:rsid w:val="00842C1B"/>
    <w:rsid w:val="0084443D"/>
    <w:rsid w:val="00850DA0"/>
    <w:rsid w:val="00860F7F"/>
    <w:rsid w:val="00884D3E"/>
    <w:rsid w:val="0089043E"/>
    <w:rsid w:val="00893508"/>
    <w:rsid w:val="00893A03"/>
    <w:rsid w:val="008945BF"/>
    <w:rsid w:val="008B6CEE"/>
    <w:rsid w:val="008B78F5"/>
    <w:rsid w:val="008C362D"/>
    <w:rsid w:val="008D0AEE"/>
    <w:rsid w:val="008D74DD"/>
    <w:rsid w:val="008D7C9E"/>
    <w:rsid w:val="008E3D1F"/>
    <w:rsid w:val="008E520C"/>
    <w:rsid w:val="008E5F8F"/>
    <w:rsid w:val="008F26C5"/>
    <w:rsid w:val="009077EF"/>
    <w:rsid w:val="00913482"/>
    <w:rsid w:val="0092009E"/>
    <w:rsid w:val="00923950"/>
    <w:rsid w:val="00926731"/>
    <w:rsid w:val="009550E3"/>
    <w:rsid w:val="00957BF5"/>
    <w:rsid w:val="0099226A"/>
    <w:rsid w:val="00992B75"/>
    <w:rsid w:val="009B4CDC"/>
    <w:rsid w:val="009C4AC4"/>
    <w:rsid w:val="009D5CA2"/>
    <w:rsid w:val="009E1203"/>
    <w:rsid w:val="009E52DC"/>
    <w:rsid w:val="00A00530"/>
    <w:rsid w:val="00A07D16"/>
    <w:rsid w:val="00A1044F"/>
    <w:rsid w:val="00A11FF6"/>
    <w:rsid w:val="00A172FF"/>
    <w:rsid w:val="00A23058"/>
    <w:rsid w:val="00A25D65"/>
    <w:rsid w:val="00A40FAE"/>
    <w:rsid w:val="00A42C40"/>
    <w:rsid w:val="00A50708"/>
    <w:rsid w:val="00A51B43"/>
    <w:rsid w:val="00A62795"/>
    <w:rsid w:val="00A67C67"/>
    <w:rsid w:val="00A76562"/>
    <w:rsid w:val="00A80FAC"/>
    <w:rsid w:val="00A867EA"/>
    <w:rsid w:val="00A8689B"/>
    <w:rsid w:val="00A8798B"/>
    <w:rsid w:val="00A92ABC"/>
    <w:rsid w:val="00A96698"/>
    <w:rsid w:val="00A969AC"/>
    <w:rsid w:val="00A97BA6"/>
    <w:rsid w:val="00AA3BD8"/>
    <w:rsid w:val="00AB0753"/>
    <w:rsid w:val="00AB0E27"/>
    <w:rsid w:val="00AB2F5D"/>
    <w:rsid w:val="00AC1904"/>
    <w:rsid w:val="00AC6293"/>
    <w:rsid w:val="00AC64EE"/>
    <w:rsid w:val="00AC78E2"/>
    <w:rsid w:val="00AD5E3D"/>
    <w:rsid w:val="00AE4BEF"/>
    <w:rsid w:val="00AF3A4D"/>
    <w:rsid w:val="00B05280"/>
    <w:rsid w:val="00B05922"/>
    <w:rsid w:val="00B14DB9"/>
    <w:rsid w:val="00B167A6"/>
    <w:rsid w:val="00B5501D"/>
    <w:rsid w:val="00B80FD5"/>
    <w:rsid w:val="00B837A6"/>
    <w:rsid w:val="00B91C63"/>
    <w:rsid w:val="00B9763D"/>
    <w:rsid w:val="00BA6BE0"/>
    <w:rsid w:val="00BA7511"/>
    <w:rsid w:val="00BB56C8"/>
    <w:rsid w:val="00BB6468"/>
    <w:rsid w:val="00BC018C"/>
    <w:rsid w:val="00BC0501"/>
    <w:rsid w:val="00BE0BD9"/>
    <w:rsid w:val="00BE1A19"/>
    <w:rsid w:val="00C143B3"/>
    <w:rsid w:val="00C17B8F"/>
    <w:rsid w:val="00C17C70"/>
    <w:rsid w:val="00C216BC"/>
    <w:rsid w:val="00C47CD5"/>
    <w:rsid w:val="00C553B6"/>
    <w:rsid w:val="00C57F43"/>
    <w:rsid w:val="00C71EBB"/>
    <w:rsid w:val="00C73065"/>
    <w:rsid w:val="00C75AD8"/>
    <w:rsid w:val="00C828B8"/>
    <w:rsid w:val="00C83F79"/>
    <w:rsid w:val="00C87CD3"/>
    <w:rsid w:val="00CA586E"/>
    <w:rsid w:val="00CA5EE3"/>
    <w:rsid w:val="00CB55E6"/>
    <w:rsid w:val="00CB6A67"/>
    <w:rsid w:val="00CC6782"/>
    <w:rsid w:val="00CD1435"/>
    <w:rsid w:val="00CD39F0"/>
    <w:rsid w:val="00CD48F8"/>
    <w:rsid w:val="00CE5ACD"/>
    <w:rsid w:val="00CF27A4"/>
    <w:rsid w:val="00CF457C"/>
    <w:rsid w:val="00CF6054"/>
    <w:rsid w:val="00CF77C3"/>
    <w:rsid w:val="00D17B2C"/>
    <w:rsid w:val="00D24E82"/>
    <w:rsid w:val="00D253AE"/>
    <w:rsid w:val="00D35D38"/>
    <w:rsid w:val="00D43A90"/>
    <w:rsid w:val="00D461C0"/>
    <w:rsid w:val="00D56662"/>
    <w:rsid w:val="00D57C72"/>
    <w:rsid w:val="00D60CD2"/>
    <w:rsid w:val="00D67685"/>
    <w:rsid w:val="00D731C7"/>
    <w:rsid w:val="00D73D9D"/>
    <w:rsid w:val="00D7538D"/>
    <w:rsid w:val="00D87409"/>
    <w:rsid w:val="00D87B25"/>
    <w:rsid w:val="00D93345"/>
    <w:rsid w:val="00D93439"/>
    <w:rsid w:val="00DA64CB"/>
    <w:rsid w:val="00DA6A5B"/>
    <w:rsid w:val="00DB33B7"/>
    <w:rsid w:val="00DD1BD7"/>
    <w:rsid w:val="00DD5651"/>
    <w:rsid w:val="00DE176D"/>
    <w:rsid w:val="00DE18EE"/>
    <w:rsid w:val="00DE55BD"/>
    <w:rsid w:val="00DF3C8F"/>
    <w:rsid w:val="00DF7938"/>
    <w:rsid w:val="00E00E1A"/>
    <w:rsid w:val="00E04197"/>
    <w:rsid w:val="00E06A51"/>
    <w:rsid w:val="00E07D9C"/>
    <w:rsid w:val="00E112D1"/>
    <w:rsid w:val="00E150E0"/>
    <w:rsid w:val="00E15537"/>
    <w:rsid w:val="00E303DF"/>
    <w:rsid w:val="00E31AE5"/>
    <w:rsid w:val="00E60480"/>
    <w:rsid w:val="00E6462F"/>
    <w:rsid w:val="00E7141F"/>
    <w:rsid w:val="00E71614"/>
    <w:rsid w:val="00E7215F"/>
    <w:rsid w:val="00E81652"/>
    <w:rsid w:val="00E81C9C"/>
    <w:rsid w:val="00E83D53"/>
    <w:rsid w:val="00E951F0"/>
    <w:rsid w:val="00EA37FB"/>
    <w:rsid w:val="00EA5432"/>
    <w:rsid w:val="00EB0BD9"/>
    <w:rsid w:val="00EB2B7E"/>
    <w:rsid w:val="00EB6C0E"/>
    <w:rsid w:val="00ED0C61"/>
    <w:rsid w:val="00ED17D2"/>
    <w:rsid w:val="00ED1CBA"/>
    <w:rsid w:val="00ED5E22"/>
    <w:rsid w:val="00ED67B0"/>
    <w:rsid w:val="00EE5FBB"/>
    <w:rsid w:val="00EF406C"/>
    <w:rsid w:val="00F04D16"/>
    <w:rsid w:val="00F15CEB"/>
    <w:rsid w:val="00F233CD"/>
    <w:rsid w:val="00F252DD"/>
    <w:rsid w:val="00F27CB6"/>
    <w:rsid w:val="00F33620"/>
    <w:rsid w:val="00F37163"/>
    <w:rsid w:val="00F47682"/>
    <w:rsid w:val="00F527DC"/>
    <w:rsid w:val="00F54D90"/>
    <w:rsid w:val="00F73061"/>
    <w:rsid w:val="00F80D59"/>
    <w:rsid w:val="00F81912"/>
    <w:rsid w:val="00F8194A"/>
    <w:rsid w:val="00F8684C"/>
    <w:rsid w:val="00F97A9B"/>
    <w:rsid w:val="00F97FEE"/>
    <w:rsid w:val="00FA1A33"/>
    <w:rsid w:val="00FA3270"/>
    <w:rsid w:val="00FA6F7B"/>
    <w:rsid w:val="00FC4B1D"/>
    <w:rsid w:val="00FD2A10"/>
    <w:rsid w:val="00FD7C4D"/>
    <w:rsid w:val="00FE763B"/>
    <w:rsid w:val="00FF21F5"/>
    <w:rsid w:val="00FF2EBE"/>
    <w:rsid w:val="00FF4C9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47271F"/>
  <w15:chartTrackingRefBased/>
  <w15:docId w15:val="{D6721BA1-8E96-44C2-A7A7-E0A215B4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639"/>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6A6CAD"/>
    <w:pPr>
      <w:keepNext/>
      <w:keepLines/>
      <w:spacing w:before="360" w:after="80"/>
      <w:jc w:val="center"/>
      <w:outlineLvl w:val="0"/>
    </w:pPr>
    <w:rPr>
      <w:rFonts w:eastAsiaTheme="majorEastAsia" w:cstheme="majorBidi"/>
      <w:b/>
      <w:szCs w:val="40"/>
    </w:rPr>
  </w:style>
  <w:style w:type="paragraph" w:styleId="Titre2">
    <w:name w:val="heading 2"/>
    <w:basedOn w:val="Normal"/>
    <w:next w:val="Normal"/>
    <w:link w:val="Titre2Car"/>
    <w:uiPriority w:val="9"/>
    <w:unhideWhenUsed/>
    <w:qFormat/>
    <w:rsid w:val="00236E97"/>
    <w:pPr>
      <w:keepNext/>
      <w:keepLines/>
      <w:spacing w:before="160" w:after="80"/>
      <w:outlineLvl w:val="1"/>
    </w:pPr>
    <w:rPr>
      <w:rFonts w:eastAsiaTheme="majorEastAsia" w:cstheme="majorBidi"/>
      <w:b/>
      <w:szCs w:val="32"/>
    </w:rPr>
  </w:style>
  <w:style w:type="paragraph" w:styleId="Titre3">
    <w:name w:val="heading 3"/>
    <w:basedOn w:val="Normal"/>
    <w:next w:val="Normal"/>
    <w:link w:val="Titre3Car"/>
    <w:uiPriority w:val="9"/>
    <w:unhideWhenUsed/>
    <w:qFormat/>
    <w:rsid w:val="00F47682"/>
    <w:pPr>
      <w:keepNext/>
      <w:keepLines/>
      <w:spacing w:before="160" w:after="80"/>
      <w:outlineLvl w:val="2"/>
    </w:pPr>
    <w:rPr>
      <w:rFonts w:eastAsiaTheme="majorEastAsia" w:cstheme="majorBidi"/>
      <w:b/>
      <w:szCs w:val="28"/>
    </w:rPr>
  </w:style>
  <w:style w:type="paragraph" w:styleId="Titre4">
    <w:name w:val="heading 4"/>
    <w:basedOn w:val="Normal"/>
    <w:next w:val="Normal"/>
    <w:link w:val="Titre4Car"/>
    <w:uiPriority w:val="9"/>
    <w:semiHidden/>
    <w:unhideWhenUsed/>
    <w:qFormat/>
    <w:rsid w:val="00B5501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B5501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B5501D"/>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5501D"/>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5501D"/>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5501D"/>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A6CAD"/>
    <w:rPr>
      <w:rFonts w:ascii="Arial" w:eastAsiaTheme="majorEastAsia" w:hAnsi="Arial" w:cstheme="majorBidi"/>
      <w:b/>
      <w:sz w:val="24"/>
      <w:szCs w:val="40"/>
    </w:rPr>
  </w:style>
  <w:style w:type="character" w:customStyle="1" w:styleId="Titre2Car">
    <w:name w:val="Titre 2 Car"/>
    <w:basedOn w:val="Policepardfaut"/>
    <w:link w:val="Titre2"/>
    <w:uiPriority w:val="9"/>
    <w:rsid w:val="00236E97"/>
    <w:rPr>
      <w:rFonts w:ascii="Arial" w:eastAsiaTheme="majorEastAsia" w:hAnsi="Arial" w:cstheme="majorBidi"/>
      <w:b/>
      <w:sz w:val="20"/>
      <w:szCs w:val="32"/>
    </w:rPr>
  </w:style>
  <w:style w:type="character" w:customStyle="1" w:styleId="Titre3Car">
    <w:name w:val="Titre 3 Car"/>
    <w:basedOn w:val="Policepardfaut"/>
    <w:link w:val="Titre3"/>
    <w:uiPriority w:val="9"/>
    <w:rsid w:val="00F47682"/>
    <w:rPr>
      <w:rFonts w:ascii="Arial" w:eastAsiaTheme="majorEastAsia" w:hAnsi="Arial" w:cstheme="majorBidi"/>
      <w:b/>
      <w:sz w:val="20"/>
      <w:szCs w:val="28"/>
    </w:rPr>
  </w:style>
  <w:style w:type="character" w:customStyle="1" w:styleId="Titre4Car">
    <w:name w:val="Titre 4 Car"/>
    <w:basedOn w:val="Policepardfaut"/>
    <w:link w:val="Titre4"/>
    <w:uiPriority w:val="9"/>
    <w:semiHidden/>
    <w:rsid w:val="00B5501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B5501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B5501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5501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5501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5501D"/>
    <w:rPr>
      <w:rFonts w:eastAsiaTheme="majorEastAsia" w:cstheme="majorBidi"/>
      <w:color w:val="272727" w:themeColor="text1" w:themeTint="D8"/>
    </w:rPr>
  </w:style>
  <w:style w:type="paragraph" w:styleId="Titre">
    <w:name w:val="Title"/>
    <w:basedOn w:val="Normal"/>
    <w:next w:val="Normal"/>
    <w:link w:val="TitreCar"/>
    <w:uiPriority w:val="10"/>
    <w:qFormat/>
    <w:rsid w:val="00B5501D"/>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5501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5501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5501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5501D"/>
    <w:pPr>
      <w:spacing w:before="160"/>
      <w:jc w:val="center"/>
    </w:pPr>
    <w:rPr>
      <w:i/>
      <w:iCs/>
      <w:color w:val="404040" w:themeColor="text1" w:themeTint="BF"/>
    </w:rPr>
  </w:style>
  <w:style w:type="character" w:customStyle="1" w:styleId="CitationCar">
    <w:name w:val="Citation Car"/>
    <w:basedOn w:val="Policepardfaut"/>
    <w:link w:val="Citation"/>
    <w:uiPriority w:val="29"/>
    <w:rsid w:val="00B5501D"/>
    <w:rPr>
      <w:i/>
      <w:iCs/>
      <w:color w:val="404040" w:themeColor="text1" w:themeTint="BF"/>
    </w:rPr>
  </w:style>
  <w:style w:type="paragraph" w:styleId="Paragraphedeliste">
    <w:name w:val="List Paragraph"/>
    <w:basedOn w:val="Normal"/>
    <w:uiPriority w:val="34"/>
    <w:qFormat/>
    <w:rsid w:val="00B5501D"/>
    <w:pPr>
      <w:ind w:left="720"/>
      <w:contextualSpacing/>
    </w:pPr>
  </w:style>
  <w:style w:type="character" w:styleId="Accentuationintense">
    <w:name w:val="Intense Emphasis"/>
    <w:basedOn w:val="Policepardfaut"/>
    <w:uiPriority w:val="21"/>
    <w:qFormat/>
    <w:rsid w:val="00B5501D"/>
    <w:rPr>
      <w:i/>
      <w:iCs/>
      <w:color w:val="0F4761" w:themeColor="accent1" w:themeShade="BF"/>
    </w:rPr>
  </w:style>
  <w:style w:type="paragraph" w:styleId="Citationintense">
    <w:name w:val="Intense Quote"/>
    <w:basedOn w:val="Normal"/>
    <w:next w:val="Normal"/>
    <w:link w:val="CitationintenseCar"/>
    <w:uiPriority w:val="30"/>
    <w:qFormat/>
    <w:rsid w:val="00B550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5501D"/>
    <w:rPr>
      <w:i/>
      <w:iCs/>
      <w:color w:val="0F4761" w:themeColor="accent1" w:themeShade="BF"/>
    </w:rPr>
  </w:style>
  <w:style w:type="character" w:styleId="Rfrenceintense">
    <w:name w:val="Intense Reference"/>
    <w:basedOn w:val="Policepardfaut"/>
    <w:uiPriority w:val="32"/>
    <w:qFormat/>
    <w:rsid w:val="00B5501D"/>
    <w:rPr>
      <w:b/>
      <w:bCs/>
      <w:smallCaps/>
      <w:color w:val="0F4761" w:themeColor="accent1" w:themeShade="BF"/>
      <w:spacing w:val="5"/>
    </w:rPr>
  </w:style>
  <w:style w:type="paragraph" w:styleId="Pieddepage">
    <w:name w:val="footer"/>
    <w:basedOn w:val="Normal"/>
    <w:link w:val="PieddepageCar"/>
    <w:uiPriority w:val="99"/>
    <w:unhideWhenUsed/>
    <w:rsid w:val="00B5501D"/>
    <w:pPr>
      <w:tabs>
        <w:tab w:val="center" w:pos="4536"/>
        <w:tab w:val="right" w:pos="9072"/>
      </w:tabs>
    </w:pPr>
    <w:rPr>
      <w:rFonts w:ascii="Garamond" w:hAnsi="Garamond"/>
    </w:rPr>
  </w:style>
  <w:style w:type="character" w:customStyle="1" w:styleId="PieddepageCar">
    <w:name w:val="Pied de page Car"/>
    <w:basedOn w:val="Policepardfaut"/>
    <w:link w:val="Pieddepage"/>
    <w:uiPriority w:val="99"/>
    <w:rsid w:val="00B5501D"/>
    <w:rPr>
      <w:rFonts w:ascii="Garamond" w:hAnsi="Garamond"/>
    </w:rPr>
  </w:style>
  <w:style w:type="table" w:styleId="Grilledutableau">
    <w:name w:val="Table Grid"/>
    <w:basedOn w:val="TableauNormal"/>
    <w:uiPriority w:val="39"/>
    <w:rsid w:val="00B550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AB0753"/>
    <w:rPr>
      <w:sz w:val="16"/>
      <w:szCs w:val="16"/>
    </w:rPr>
  </w:style>
  <w:style w:type="paragraph" w:styleId="Commentaire">
    <w:name w:val="annotation text"/>
    <w:basedOn w:val="Normal"/>
    <w:link w:val="CommentaireCar"/>
    <w:uiPriority w:val="99"/>
    <w:unhideWhenUsed/>
    <w:rsid w:val="00AB0753"/>
    <w:rPr>
      <w:szCs w:val="20"/>
    </w:rPr>
  </w:style>
  <w:style w:type="character" w:customStyle="1" w:styleId="CommentaireCar">
    <w:name w:val="Commentaire Car"/>
    <w:basedOn w:val="Policepardfaut"/>
    <w:link w:val="Commentaire"/>
    <w:uiPriority w:val="99"/>
    <w:rsid w:val="00AB0753"/>
    <w:rPr>
      <w:sz w:val="20"/>
      <w:szCs w:val="20"/>
    </w:rPr>
  </w:style>
  <w:style w:type="paragraph" w:styleId="Objetducommentaire">
    <w:name w:val="annotation subject"/>
    <w:basedOn w:val="Commentaire"/>
    <w:next w:val="Commentaire"/>
    <w:link w:val="ObjetducommentaireCar"/>
    <w:uiPriority w:val="99"/>
    <w:semiHidden/>
    <w:unhideWhenUsed/>
    <w:rsid w:val="00AB0753"/>
    <w:rPr>
      <w:b/>
      <w:bCs/>
    </w:rPr>
  </w:style>
  <w:style w:type="character" w:customStyle="1" w:styleId="ObjetducommentaireCar">
    <w:name w:val="Objet du commentaire Car"/>
    <w:basedOn w:val="CommentaireCar"/>
    <w:link w:val="Objetducommentaire"/>
    <w:uiPriority w:val="99"/>
    <w:semiHidden/>
    <w:rsid w:val="00AB0753"/>
    <w:rPr>
      <w:b/>
      <w:bCs/>
      <w:sz w:val="20"/>
      <w:szCs w:val="20"/>
    </w:rPr>
  </w:style>
  <w:style w:type="paragraph" w:styleId="NormalWeb">
    <w:name w:val="Normal (Web)"/>
    <w:basedOn w:val="Normal"/>
    <w:uiPriority w:val="99"/>
    <w:semiHidden/>
    <w:unhideWhenUsed/>
    <w:rsid w:val="00A40FAE"/>
  </w:style>
  <w:style w:type="paragraph" w:styleId="En-tte">
    <w:name w:val="header"/>
    <w:basedOn w:val="Normal"/>
    <w:link w:val="En-tteCar"/>
    <w:uiPriority w:val="99"/>
    <w:unhideWhenUsed/>
    <w:rsid w:val="00044B7D"/>
    <w:pPr>
      <w:tabs>
        <w:tab w:val="center" w:pos="4536"/>
        <w:tab w:val="right" w:pos="9072"/>
      </w:tabs>
    </w:pPr>
  </w:style>
  <w:style w:type="character" w:customStyle="1" w:styleId="En-tteCar">
    <w:name w:val="En-tête Car"/>
    <w:basedOn w:val="Policepardfaut"/>
    <w:link w:val="En-tte"/>
    <w:uiPriority w:val="99"/>
    <w:rsid w:val="00044B7D"/>
    <w:rPr>
      <w:rFonts w:ascii="Arial" w:hAnsi="Arial"/>
      <w:sz w:val="20"/>
    </w:rPr>
  </w:style>
  <w:style w:type="paragraph" w:styleId="En-ttedetabledesmatires">
    <w:name w:val="TOC Heading"/>
    <w:basedOn w:val="Titre1"/>
    <w:next w:val="Normal"/>
    <w:uiPriority w:val="39"/>
    <w:unhideWhenUsed/>
    <w:qFormat/>
    <w:rsid w:val="006555EE"/>
    <w:pPr>
      <w:spacing w:before="240" w:after="0" w:line="259" w:lineRule="auto"/>
      <w:jc w:val="left"/>
      <w:outlineLvl w:val="9"/>
    </w:pPr>
    <w:rPr>
      <w:rFonts w:asciiTheme="majorHAnsi" w:hAnsiTheme="majorHAnsi"/>
      <w:b w:val="0"/>
      <w:color w:val="0F4761" w:themeColor="accent1" w:themeShade="BF"/>
      <w:sz w:val="32"/>
      <w:szCs w:val="32"/>
    </w:rPr>
  </w:style>
  <w:style w:type="paragraph" w:styleId="TM2">
    <w:name w:val="toc 2"/>
    <w:basedOn w:val="Normal"/>
    <w:next w:val="Normal"/>
    <w:autoRedefine/>
    <w:uiPriority w:val="39"/>
    <w:unhideWhenUsed/>
    <w:rsid w:val="006555EE"/>
    <w:pPr>
      <w:spacing w:after="100"/>
      <w:ind w:left="200"/>
    </w:pPr>
  </w:style>
  <w:style w:type="paragraph" w:styleId="TM1">
    <w:name w:val="toc 1"/>
    <w:basedOn w:val="Normal"/>
    <w:next w:val="Normal"/>
    <w:autoRedefine/>
    <w:uiPriority w:val="39"/>
    <w:unhideWhenUsed/>
    <w:rsid w:val="006555EE"/>
    <w:pPr>
      <w:spacing w:after="100"/>
    </w:pPr>
  </w:style>
  <w:style w:type="paragraph" w:styleId="TM3">
    <w:name w:val="toc 3"/>
    <w:basedOn w:val="Normal"/>
    <w:next w:val="Normal"/>
    <w:autoRedefine/>
    <w:uiPriority w:val="39"/>
    <w:unhideWhenUsed/>
    <w:rsid w:val="006555EE"/>
    <w:pPr>
      <w:spacing w:after="100"/>
      <w:ind w:left="400"/>
    </w:pPr>
  </w:style>
  <w:style w:type="character" w:styleId="Lienhypertexte">
    <w:name w:val="Hyperlink"/>
    <w:basedOn w:val="Policepardfaut"/>
    <w:uiPriority w:val="99"/>
    <w:unhideWhenUsed/>
    <w:rsid w:val="006555EE"/>
    <w:rPr>
      <w:color w:val="467886" w:themeColor="hyperlink"/>
      <w:u w:val="single"/>
    </w:rPr>
  </w:style>
  <w:style w:type="character" w:styleId="Mentionnonrsolue">
    <w:name w:val="Unresolved Mention"/>
    <w:basedOn w:val="Policepardfaut"/>
    <w:uiPriority w:val="99"/>
    <w:semiHidden/>
    <w:unhideWhenUsed/>
    <w:rsid w:val="006E2C4F"/>
    <w:rPr>
      <w:color w:val="605E5C"/>
      <w:shd w:val="clear" w:color="auto" w:fill="E1DFDD"/>
    </w:rPr>
  </w:style>
  <w:style w:type="paragraph" w:styleId="TM4">
    <w:name w:val="toc 4"/>
    <w:basedOn w:val="Normal"/>
    <w:next w:val="Normal"/>
    <w:autoRedefine/>
    <w:uiPriority w:val="39"/>
    <w:unhideWhenUsed/>
    <w:rsid w:val="00B167A6"/>
    <w:pPr>
      <w:spacing w:after="100" w:line="278" w:lineRule="auto"/>
      <w:ind w:left="720"/>
    </w:pPr>
    <w:rPr>
      <w:rFonts w:asciiTheme="minorHAnsi" w:eastAsiaTheme="minorEastAsia" w:hAnsiTheme="minorHAnsi"/>
      <w:kern w:val="2"/>
      <w14:ligatures w14:val="standardContextual"/>
    </w:rPr>
  </w:style>
  <w:style w:type="paragraph" w:styleId="TM5">
    <w:name w:val="toc 5"/>
    <w:basedOn w:val="Normal"/>
    <w:next w:val="Normal"/>
    <w:autoRedefine/>
    <w:uiPriority w:val="39"/>
    <w:unhideWhenUsed/>
    <w:rsid w:val="00B167A6"/>
    <w:pPr>
      <w:spacing w:after="100" w:line="278" w:lineRule="auto"/>
      <w:ind w:left="960"/>
    </w:pPr>
    <w:rPr>
      <w:rFonts w:asciiTheme="minorHAnsi" w:eastAsiaTheme="minorEastAsia" w:hAnsiTheme="minorHAnsi"/>
      <w:kern w:val="2"/>
      <w14:ligatures w14:val="standardContextual"/>
    </w:rPr>
  </w:style>
  <w:style w:type="paragraph" w:styleId="TM6">
    <w:name w:val="toc 6"/>
    <w:basedOn w:val="Normal"/>
    <w:next w:val="Normal"/>
    <w:autoRedefine/>
    <w:uiPriority w:val="39"/>
    <w:unhideWhenUsed/>
    <w:rsid w:val="00B167A6"/>
    <w:pPr>
      <w:spacing w:after="100" w:line="278" w:lineRule="auto"/>
      <w:ind w:left="1200"/>
    </w:pPr>
    <w:rPr>
      <w:rFonts w:asciiTheme="minorHAnsi" w:eastAsiaTheme="minorEastAsia" w:hAnsiTheme="minorHAnsi"/>
      <w:kern w:val="2"/>
      <w14:ligatures w14:val="standardContextual"/>
    </w:rPr>
  </w:style>
  <w:style w:type="paragraph" w:styleId="TM7">
    <w:name w:val="toc 7"/>
    <w:basedOn w:val="Normal"/>
    <w:next w:val="Normal"/>
    <w:autoRedefine/>
    <w:uiPriority w:val="39"/>
    <w:unhideWhenUsed/>
    <w:rsid w:val="00B167A6"/>
    <w:pPr>
      <w:spacing w:after="100" w:line="278" w:lineRule="auto"/>
      <w:ind w:left="1440"/>
    </w:pPr>
    <w:rPr>
      <w:rFonts w:asciiTheme="minorHAnsi" w:eastAsiaTheme="minorEastAsia" w:hAnsiTheme="minorHAnsi"/>
      <w:kern w:val="2"/>
      <w14:ligatures w14:val="standardContextual"/>
    </w:rPr>
  </w:style>
  <w:style w:type="paragraph" w:styleId="TM8">
    <w:name w:val="toc 8"/>
    <w:basedOn w:val="Normal"/>
    <w:next w:val="Normal"/>
    <w:autoRedefine/>
    <w:uiPriority w:val="39"/>
    <w:unhideWhenUsed/>
    <w:rsid w:val="00B167A6"/>
    <w:pPr>
      <w:spacing w:after="100" w:line="278" w:lineRule="auto"/>
      <w:ind w:left="1680"/>
    </w:pPr>
    <w:rPr>
      <w:rFonts w:asciiTheme="minorHAnsi" w:eastAsiaTheme="minorEastAsia" w:hAnsiTheme="minorHAnsi"/>
      <w:kern w:val="2"/>
      <w14:ligatures w14:val="standardContextual"/>
    </w:rPr>
  </w:style>
  <w:style w:type="paragraph" w:styleId="TM9">
    <w:name w:val="toc 9"/>
    <w:basedOn w:val="Normal"/>
    <w:next w:val="Normal"/>
    <w:autoRedefine/>
    <w:uiPriority w:val="39"/>
    <w:unhideWhenUsed/>
    <w:rsid w:val="00B167A6"/>
    <w:pPr>
      <w:spacing w:after="100" w:line="278" w:lineRule="auto"/>
      <w:ind w:left="1920"/>
    </w:pPr>
    <w:rPr>
      <w:rFonts w:asciiTheme="minorHAnsi" w:eastAsiaTheme="minorEastAsia" w:hAnsiTheme="minorHAnsi"/>
      <w:kern w:val="2"/>
      <w14:ligatures w14:val="standardContextual"/>
    </w:rPr>
  </w:style>
  <w:style w:type="paragraph" w:customStyle="1" w:styleId="Default">
    <w:name w:val="Default"/>
    <w:rsid w:val="003C7E57"/>
    <w:pPr>
      <w:autoSpaceDE w:val="0"/>
      <w:autoSpaceDN w:val="0"/>
      <w:adjustRightInd w:val="0"/>
      <w:spacing w:before="100" w:beforeAutospacing="1" w:after="100" w:afterAutospacing="1" w:line="240" w:lineRule="auto"/>
      <w:jc w:val="both"/>
    </w:pPr>
    <w:rPr>
      <w:rFonts w:ascii="Calibri" w:eastAsia="Times New Roman" w:hAnsi="Calibri" w:cs="Calibri"/>
      <w:color w:val="000000"/>
      <w:sz w:val="24"/>
      <w:szCs w:val="24"/>
      <w:lang w:val="en-GB" w:eastAsia="fr-FR"/>
    </w:rPr>
  </w:style>
  <w:style w:type="character" w:customStyle="1" w:styleId="apple-converted-space">
    <w:name w:val="apple-converted-space"/>
    <w:basedOn w:val="Policepardfaut"/>
    <w:rsid w:val="00577411"/>
  </w:style>
  <w:style w:type="character" w:styleId="lev">
    <w:name w:val="Strong"/>
    <w:basedOn w:val="Policepardfaut"/>
    <w:uiPriority w:val="22"/>
    <w:qFormat/>
    <w:rsid w:val="00D253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075603">
      <w:bodyDiv w:val="1"/>
      <w:marLeft w:val="0"/>
      <w:marRight w:val="0"/>
      <w:marTop w:val="0"/>
      <w:marBottom w:val="0"/>
      <w:divBdr>
        <w:top w:val="none" w:sz="0" w:space="0" w:color="auto"/>
        <w:left w:val="none" w:sz="0" w:space="0" w:color="auto"/>
        <w:bottom w:val="none" w:sz="0" w:space="0" w:color="auto"/>
        <w:right w:val="none" w:sz="0" w:space="0" w:color="auto"/>
      </w:divBdr>
    </w:div>
    <w:div w:id="291180902">
      <w:bodyDiv w:val="1"/>
      <w:marLeft w:val="0"/>
      <w:marRight w:val="0"/>
      <w:marTop w:val="0"/>
      <w:marBottom w:val="0"/>
      <w:divBdr>
        <w:top w:val="none" w:sz="0" w:space="0" w:color="auto"/>
        <w:left w:val="none" w:sz="0" w:space="0" w:color="auto"/>
        <w:bottom w:val="none" w:sz="0" w:space="0" w:color="auto"/>
        <w:right w:val="none" w:sz="0" w:space="0" w:color="auto"/>
      </w:divBdr>
    </w:div>
    <w:div w:id="501506502">
      <w:bodyDiv w:val="1"/>
      <w:marLeft w:val="0"/>
      <w:marRight w:val="0"/>
      <w:marTop w:val="0"/>
      <w:marBottom w:val="0"/>
      <w:divBdr>
        <w:top w:val="none" w:sz="0" w:space="0" w:color="auto"/>
        <w:left w:val="none" w:sz="0" w:space="0" w:color="auto"/>
        <w:bottom w:val="none" w:sz="0" w:space="0" w:color="auto"/>
        <w:right w:val="none" w:sz="0" w:space="0" w:color="auto"/>
      </w:divBdr>
    </w:div>
    <w:div w:id="557128811">
      <w:bodyDiv w:val="1"/>
      <w:marLeft w:val="0"/>
      <w:marRight w:val="0"/>
      <w:marTop w:val="0"/>
      <w:marBottom w:val="0"/>
      <w:divBdr>
        <w:top w:val="none" w:sz="0" w:space="0" w:color="auto"/>
        <w:left w:val="none" w:sz="0" w:space="0" w:color="auto"/>
        <w:bottom w:val="none" w:sz="0" w:space="0" w:color="auto"/>
        <w:right w:val="none" w:sz="0" w:space="0" w:color="auto"/>
      </w:divBdr>
    </w:div>
    <w:div w:id="809791094">
      <w:bodyDiv w:val="1"/>
      <w:marLeft w:val="0"/>
      <w:marRight w:val="0"/>
      <w:marTop w:val="0"/>
      <w:marBottom w:val="0"/>
      <w:divBdr>
        <w:top w:val="none" w:sz="0" w:space="0" w:color="auto"/>
        <w:left w:val="none" w:sz="0" w:space="0" w:color="auto"/>
        <w:bottom w:val="none" w:sz="0" w:space="0" w:color="auto"/>
        <w:right w:val="none" w:sz="0" w:space="0" w:color="auto"/>
      </w:divBdr>
    </w:div>
    <w:div w:id="885068338">
      <w:bodyDiv w:val="1"/>
      <w:marLeft w:val="0"/>
      <w:marRight w:val="0"/>
      <w:marTop w:val="0"/>
      <w:marBottom w:val="0"/>
      <w:divBdr>
        <w:top w:val="none" w:sz="0" w:space="0" w:color="auto"/>
        <w:left w:val="none" w:sz="0" w:space="0" w:color="auto"/>
        <w:bottom w:val="none" w:sz="0" w:space="0" w:color="auto"/>
        <w:right w:val="none" w:sz="0" w:space="0" w:color="auto"/>
      </w:divBdr>
    </w:div>
    <w:div w:id="908736899">
      <w:bodyDiv w:val="1"/>
      <w:marLeft w:val="0"/>
      <w:marRight w:val="0"/>
      <w:marTop w:val="0"/>
      <w:marBottom w:val="0"/>
      <w:divBdr>
        <w:top w:val="none" w:sz="0" w:space="0" w:color="auto"/>
        <w:left w:val="none" w:sz="0" w:space="0" w:color="auto"/>
        <w:bottom w:val="none" w:sz="0" w:space="0" w:color="auto"/>
        <w:right w:val="none" w:sz="0" w:space="0" w:color="auto"/>
      </w:divBdr>
    </w:div>
    <w:div w:id="1240750362">
      <w:bodyDiv w:val="1"/>
      <w:marLeft w:val="0"/>
      <w:marRight w:val="0"/>
      <w:marTop w:val="0"/>
      <w:marBottom w:val="0"/>
      <w:divBdr>
        <w:top w:val="none" w:sz="0" w:space="0" w:color="auto"/>
        <w:left w:val="none" w:sz="0" w:space="0" w:color="auto"/>
        <w:bottom w:val="none" w:sz="0" w:space="0" w:color="auto"/>
        <w:right w:val="none" w:sz="0" w:space="0" w:color="auto"/>
      </w:divBdr>
    </w:div>
    <w:div w:id="1287859299">
      <w:bodyDiv w:val="1"/>
      <w:marLeft w:val="0"/>
      <w:marRight w:val="0"/>
      <w:marTop w:val="0"/>
      <w:marBottom w:val="0"/>
      <w:divBdr>
        <w:top w:val="none" w:sz="0" w:space="0" w:color="auto"/>
        <w:left w:val="none" w:sz="0" w:space="0" w:color="auto"/>
        <w:bottom w:val="none" w:sz="0" w:space="0" w:color="auto"/>
        <w:right w:val="none" w:sz="0" w:space="0" w:color="auto"/>
      </w:divBdr>
    </w:div>
    <w:div w:id="1489786709">
      <w:bodyDiv w:val="1"/>
      <w:marLeft w:val="0"/>
      <w:marRight w:val="0"/>
      <w:marTop w:val="0"/>
      <w:marBottom w:val="0"/>
      <w:divBdr>
        <w:top w:val="none" w:sz="0" w:space="0" w:color="auto"/>
        <w:left w:val="none" w:sz="0" w:space="0" w:color="auto"/>
        <w:bottom w:val="none" w:sz="0" w:space="0" w:color="auto"/>
        <w:right w:val="none" w:sz="0" w:space="0" w:color="auto"/>
      </w:divBdr>
    </w:div>
    <w:div w:id="1524785993">
      <w:bodyDiv w:val="1"/>
      <w:marLeft w:val="0"/>
      <w:marRight w:val="0"/>
      <w:marTop w:val="0"/>
      <w:marBottom w:val="0"/>
      <w:divBdr>
        <w:top w:val="none" w:sz="0" w:space="0" w:color="auto"/>
        <w:left w:val="none" w:sz="0" w:space="0" w:color="auto"/>
        <w:bottom w:val="none" w:sz="0" w:space="0" w:color="auto"/>
        <w:right w:val="none" w:sz="0" w:space="0" w:color="auto"/>
      </w:divBdr>
    </w:div>
    <w:div w:id="1547834401">
      <w:bodyDiv w:val="1"/>
      <w:marLeft w:val="0"/>
      <w:marRight w:val="0"/>
      <w:marTop w:val="0"/>
      <w:marBottom w:val="0"/>
      <w:divBdr>
        <w:top w:val="none" w:sz="0" w:space="0" w:color="auto"/>
        <w:left w:val="none" w:sz="0" w:space="0" w:color="auto"/>
        <w:bottom w:val="none" w:sz="0" w:space="0" w:color="auto"/>
        <w:right w:val="none" w:sz="0" w:space="0" w:color="auto"/>
      </w:divBdr>
    </w:div>
    <w:div w:id="1579512713">
      <w:bodyDiv w:val="1"/>
      <w:marLeft w:val="0"/>
      <w:marRight w:val="0"/>
      <w:marTop w:val="0"/>
      <w:marBottom w:val="0"/>
      <w:divBdr>
        <w:top w:val="none" w:sz="0" w:space="0" w:color="auto"/>
        <w:left w:val="none" w:sz="0" w:space="0" w:color="auto"/>
        <w:bottom w:val="none" w:sz="0" w:space="0" w:color="auto"/>
        <w:right w:val="none" w:sz="0" w:space="0" w:color="auto"/>
      </w:divBdr>
    </w:div>
    <w:div w:id="1582176011">
      <w:bodyDiv w:val="1"/>
      <w:marLeft w:val="0"/>
      <w:marRight w:val="0"/>
      <w:marTop w:val="0"/>
      <w:marBottom w:val="0"/>
      <w:divBdr>
        <w:top w:val="none" w:sz="0" w:space="0" w:color="auto"/>
        <w:left w:val="none" w:sz="0" w:space="0" w:color="auto"/>
        <w:bottom w:val="none" w:sz="0" w:space="0" w:color="auto"/>
        <w:right w:val="none" w:sz="0" w:space="0" w:color="auto"/>
      </w:divBdr>
    </w:div>
    <w:div w:id="1670399625">
      <w:bodyDiv w:val="1"/>
      <w:marLeft w:val="0"/>
      <w:marRight w:val="0"/>
      <w:marTop w:val="0"/>
      <w:marBottom w:val="0"/>
      <w:divBdr>
        <w:top w:val="none" w:sz="0" w:space="0" w:color="auto"/>
        <w:left w:val="none" w:sz="0" w:space="0" w:color="auto"/>
        <w:bottom w:val="none" w:sz="0" w:space="0" w:color="auto"/>
        <w:right w:val="none" w:sz="0" w:space="0" w:color="auto"/>
      </w:divBdr>
    </w:div>
    <w:div w:id="1739329680">
      <w:bodyDiv w:val="1"/>
      <w:marLeft w:val="0"/>
      <w:marRight w:val="0"/>
      <w:marTop w:val="0"/>
      <w:marBottom w:val="0"/>
      <w:divBdr>
        <w:top w:val="none" w:sz="0" w:space="0" w:color="auto"/>
        <w:left w:val="none" w:sz="0" w:space="0" w:color="auto"/>
        <w:bottom w:val="none" w:sz="0" w:space="0" w:color="auto"/>
        <w:right w:val="none" w:sz="0" w:space="0" w:color="auto"/>
      </w:divBdr>
      <w:divsChild>
        <w:div w:id="206413931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87439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4025133">
      <w:bodyDiv w:val="1"/>
      <w:marLeft w:val="0"/>
      <w:marRight w:val="0"/>
      <w:marTop w:val="0"/>
      <w:marBottom w:val="0"/>
      <w:divBdr>
        <w:top w:val="none" w:sz="0" w:space="0" w:color="auto"/>
        <w:left w:val="none" w:sz="0" w:space="0" w:color="auto"/>
        <w:bottom w:val="none" w:sz="0" w:space="0" w:color="auto"/>
        <w:right w:val="none" w:sz="0" w:space="0" w:color="auto"/>
      </w:divBdr>
    </w:div>
    <w:div w:id="2079746997">
      <w:bodyDiv w:val="1"/>
      <w:marLeft w:val="0"/>
      <w:marRight w:val="0"/>
      <w:marTop w:val="0"/>
      <w:marBottom w:val="0"/>
      <w:divBdr>
        <w:top w:val="none" w:sz="0" w:space="0" w:color="auto"/>
        <w:left w:val="none" w:sz="0" w:space="0" w:color="auto"/>
        <w:bottom w:val="none" w:sz="0" w:space="0" w:color="auto"/>
        <w:right w:val="none" w:sz="0" w:space="0" w:color="auto"/>
      </w:divBdr>
    </w:div>
    <w:div w:id="2083407841">
      <w:bodyDiv w:val="1"/>
      <w:marLeft w:val="0"/>
      <w:marRight w:val="0"/>
      <w:marTop w:val="0"/>
      <w:marBottom w:val="0"/>
      <w:divBdr>
        <w:top w:val="none" w:sz="0" w:space="0" w:color="auto"/>
        <w:left w:val="none" w:sz="0" w:space="0" w:color="auto"/>
        <w:bottom w:val="none" w:sz="0" w:space="0" w:color="auto"/>
        <w:right w:val="none" w:sz="0" w:space="0" w:color="auto"/>
      </w:divBdr>
    </w:div>
    <w:div w:id="212789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fad08d-aa1b-40a8-8b79-0864e38b950b" xsi:nil="true"/>
    <lcf76f155ced4ddcb4097134ff3c332f xmlns="e1a2d58a-365b-4ffb-9128-4971dc3aba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4EF7FD7AACA34438498E0D9BCDD3E2F" ma:contentTypeVersion="13" ma:contentTypeDescription="Crée un document." ma:contentTypeScope="" ma:versionID="9855e913d40eedae90cc7a8a39c00e23">
  <xsd:schema xmlns:xsd="http://www.w3.org/2001/XMLSchema" xmlns:xs="http://www.w3.org/2001/XMLSchema" xmlns:p="http://schemas.microsoft.com/office/2006/metadata/properties" xmlns:ns2="e1a2d58a-365b-4ffb-9128-4971dc3aba8e" xmlns:ns3="12fad08d-aa1b-40a8-8b79-0864e38b950b" targetNamespace="http://schemas.microsoft.com/office/2006/metadata/properties" ma:root="true" ma:fieldsID="92e787963332c17cf84daacec8b63077" ns2:_="" ns3:_="">
    <xsd:import namespace="e1a2d58a-365b-4ffb-9128-4971dc3aba8e"/>
    <xsd:import namespace="12fad08d-aa1b-40a8-8b79-0864e38b95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a2d58a-365b-4ffb-9128-4971dc3aba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213ae64b-c367-49ee-9b6b-38580ff0fbb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fad08d-aa1b-40a8-8b79-0864e38b95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3a2b84a-b3c3-4a30-b350-c5d07aa95ee2}" ma:internalName="TaxCatchAll" ma:showField="CatchAllData" ma:web="12fad08d-aa1b-40a8-8b79-0864e38b95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DA8EAF-C819-4734-805B-F4572C97306E}">
  <ds:schemaRefs>
    <ds:schemaRef ds:uri="http://schemas.microsoft.com/office/2006/metadata/properties"/>
    <ds:schemaRef ds:uri="http://schemas.microsoft.com/office/infopath/2007/PartnerControls"/>
    <ds:schemaRef ds:uri="12fad08d-aa1b-40a8-8b79-0864e38b950b"/>
    <ds:schemaRef ds:uri="e1a2d58a-365b-4ffb-9128-4971dc3aba8e"/>
  </ds:schemaRefs>
</ds:datastoreItem>
</file>

<file path=customXml/itemProps2.xml><?xml version="1.0" encoding="utf-8"?>
<ds:datastoreItem xmlns:ds="http://schemas.openxmlformats.org/officeDocument/2006/customXml" ds:itemID="{2722FD41-A006-40A9-99D4-EF5D7CF08E4D}">
  <ds:schemaRefs>
    <ds:schemaRef ds:uri="http://schemas.microsoft.com/sharepoint/v3/contenttype/forms"/>
  </ds:schemaRefs>
</ds:datastoreItem>
</file>

<file path=customXml/itemProps3.xml><?xml version="1.0" encoding="utf-8"?>
<ds:datastoreItem xmlns:ds="http://schemas.openxmlformats.org/officeDocument/2006/customXml" ds:itemID="{0D76561A-4D1D-4AB9-A831-A5973D979C6B}">
  <ds:schemaRefs>
    <ds:schemaRef ds:uri="http://schemas.openxmlformats.org/officeDocument/2006/bibliography"/>
  </ds:schemaRefs>
</ds:datastoreItem>
</file>

<file path=customXml/itemProps4.xml><?xml version="1.0" encoding="utf-8"?>
<ds:datastoreItem xmlns:ds="http://schemas.openxmlformats.org/officeDocument/2006/customXml" ds:itemID="{8EE2C60A-930A-4A0E-A307-A8AA81942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a2d58a-365b-4ffb-9128-4971dc3aba8e"/>
    <ds:schemaRef ds:uri="12fad08d-aa1b-40a8-8b79-0864e38b95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5162</Words>
  <Characters>28392</Characters>
  <Application>Microsoft Office Word</Application>
  <DocSecurity>0</DocSecurity>
  <Lines>236</Lines>
  <Paragraphs>66</Paragraphs>
  <ScaleCrop>false</ScaleCrop>
  <HeadingPairs>
    <vt:vector size="2" baseType="variant">
      <vt:variant>
        <vt:lpstr>Titre</vt:lpstr>
      </vt:variant>
      <vt:variant>
        <vt:i4>1</vt:i4>
      </vt:variant>
    </vt:vector>
  </HeadingPairs>
  <TitlesOfParts>
    <vt:vector size="1" baseType="lpstr">
      <vt:lpstr/>
    </vt:vector>
  </TitlesOfParts>
  <Manager/>
  <Company>CAPSTAN</Company>
  <LinksUpToDate>false</LinksUpToDate>
  <CharactersWithSpaces>33488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Arnaud CERUTTI</dc:creator>
  <cp:keywords/>
  <dc:description/>
  <cp:lastModifiedBy>Hélène MARTY</cp:lastModifiedBy>
  <cp:revision>2</cp:revision>
  <cp:lastPrinted>2025-10-27T17:45:00Z</cp:lastPrinted>
  <dcterms:created xsi:type="dcterms:W3CDTF">2026-01-12T08:33:00Z</dcterms:created>
  <dcterms:modified xsi:type="dcterms:W3CDTF">2026-01-12T08:33:00Z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0x01010044EF7FD7AACA34438498E0D9BCDD3E2F</vt:lpwstr>
  </property>
  <property fmtid="{D5CDD505-2E9C-101B-9397-08002B2CF9AE}" pid="4" name="MediaServiceImageTags">
    <vt:lpwstr/>
  </property>
</Properties>
</file>