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glossary/_rels/document.xml.rels" ContentType="application/vnd.openxmlformats-package.relationships+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tyles.xml" ContentType="application/vnd.openxmlformats-officedocument.wordprocessingml.styles+xml"/>
  <Override PartName="/word/glossary/settings.xml" ContentType="application/vnd.openxmlformats-officedocument.wordprocessingml.settings+xml"/>
  <Override PartName="/word/glossary/fontTable.xml" ContentType="application/vnd.openxmlformats-officedocument.wordprocessingml.fontTabl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sdt>
      <w:sdtPr>
        <w:docPartObj>
          <w:docPartGallery w:val="Cover Pages"/>
          <w:docPartUnique w:val="true"/>
        </w:docPartObj>
        <w:id w:val="-985475194"/>
      </w:sdtPr>
      <w:sdtContent>
        <w:p>
          <w:pPr>
            <w:pStyle w:val="NoSpacing"/>
            <w:spacing w:before="1540" w:after="240"/>
            <w:jc w:val="center"/>
            <w:rPr>
              <w:color w:themeColor="accent1" w:val="156082"/>
            </w:rPr>
          </w:pPr>
          <w:r>
            <w:rPr>
              <w:color w:themeColor="accent1" w:val="156082"/>
            </w:rPr>
            <w:drawing>
              <wp:anchor behindDoc="0" distT="0" distB="0" distL="0" distR="0" simplePos="0" locked="0" layoutInCell="0" allowOverlap="1" relativeHeight="18">
                <wp:simplePos x="0" y="0"/>
                <wp:positionH relativeFrom="margin">
                  <wp:align>center</wp:align>
                </wp:positionH>
                <wp:positionV relativeFrom="paragraph">
                  <wp:posOffset>367030</wp:posOffset>
                </wp:positionV>
                <wp:extent cx="2495550" cy="2495550"/>
                <wp:effectExtent l="0" t="0" r="0" b="0"/>
                <wp:wrapNone/>
                <wp:docPr id="1" name="Image 1" descr="Une image contenant Graphique,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Graphique, conception&#10;&#10;Le contenu généré par l’IA peut être incorrect."/>
                        <pic:cNvPicPr>
                          <a:picLocks noChangeAspect="1" noChangeArrowheads="1"/>
                        </pic:cNvPicPr>
                      </pic:nvPicPr>
                      <pic:blipFill>
                        <a:blip r:embed="rId2"/>
                        <a:stretch>
                          <a:fillRect/>
                        </a:stretch>
                      </pic:blipFill>
                      <pic:spPr bwMode="auto">
                        <a:xfrm>
                          <a:off x="0" y="0"/>
                          <a:ext cx="2495550" cy="2495550"/>
                        </a:xfrm>
                        <a:prstGeom prst="rect">
                          <a:avLst/>
                        </a:prstGeom>
                      </pic:spPr>
                    </pic:pic>
                  </a:graphicData>
                </a:graphic>
              </wp:anchor>
            </w:drawing>
          </w:r>
        </w:p>
        <w:p>
          <w:pPr>
            <w:pStyle w:val="NoSpacing"/>
            <w:spacing w:before="1540" w:after="240"/>
            <w:jc w:val="center"/>
            <w:rPr>
              <w:color w:themeColor="accent1" w:val="156082"/>
            </w:rPr>
          </w:pPr>
          <w:r>
            <w:rPr>
              <w:color w:themeColor="accent1" w:val="156082"/>
            </w:rPr>
          </w:r>
        </w:p>
        <w:p>
          <w:pPr>
            <w:pStyle w:val="NoSpacing"/>
            <w:spacing w:before="1540" w:after="240"/>
            <w:jc w:val="center"/>
            <w:rPr>
              <w:color w:themeColor="accent1" w:val="156082"/>
              <w:sz w:val="2"/>
              <w:szCs w:val="2"/>
            </w:rPr>
          </w:pPr>
          <w:r>
            <w:rPr>
              <w:color w:themeColor="accent1" w:val="156082"/>
              <w:sz w:val="2"/>
              <w:szCs w:val="2"/>
            </w:rPr>
          </w:r>
        </w:p>
        <w:p>
          <w:pPr>
            <w:pStyle w:val="NoSpacing"/>
            <w:spacing w:before="360" w:after="240"/>
            <w:jc w:val="center"/>
            <w:rPr>
              <w:color w:themeColor="accent1" w:val="156082"/>
              <w:sz w:val="2"/>
              <w:szCs w:val="2"/>
            </w:rPr>
          </w:pPr>
          <w:r>
            <w:rPr>
              <w:color w:themeColor="accent1" w:val="156082"/>
              <w:sz w:val="2"/>
              <w:szCs w:val="2"/>
            </w:rPr>
          </w:r>
        </w:p>
        <w:p>
          <w:pPr>
            <w:pStyle w:val="NoSpacing"/>
            <w:jc w:val="center"/>
            <w:rPr>
              <w:color w:themeColor="accent1" w:val="156082"/>
              <w:sz w:val="2"/>
              <w:szCs w:val="2"/>
            </w:rPr>
          </w:pPr>
          <w:r>
            <w:rPr>
              <w:color w:themeColor="accent1" w:val="156082"/>
              <w:sz w:val="2"/>
              <w:szCs w:val="2"/>
            </w:rPr>
          </w:r>
        </w:p>
        <w:p>
          <w:pPr>
            <w:pStyle w:val="NoSpacing"/>
            <w:pBdr>
              <w:top w:val="single" w:sz="6" w:space="6" w:color="156082" w:themeColor="accent1"/>
              <w:bottom w:val="single" w:sz="6" w:space="6" w:color="156082" w:themeColor="accent1"/>
            </w:pBdr>
            <w:spacing w:before="0" w:after="240"/>
            <w:jc w:val="center"/>
            <w:rPr>
              <w:rFonts w:ascii="Aptos Display" w:hAnsi="Aptos Display" w:eastAsia="" w:cs="" w:asciiTheme="majorHAnsi" w:cstheme="majorBidi" w:eastAsiaTheme="majorEastAsia" w:hAnsiTheme="majorHAnsi"/>
              <w:caps/>
              <w:color w:themeColor="accent1" w:val="156082"/>
              <w:sz w:val="80"/>
              <w:szCs w:val="80"/>
            </w:rPr>
          </w:pPr>
          <w:sdt>
            <w:sdtPr>
              <w:placeholder>
                <w:docPart w:val="0D5F739A03EB4394A6B1FA585DDE092C"/>
              </w:placeholder>
              <w:dataBinding w:prefixMappings="xmlns:ns0='http://purl.org/dc/elements/1.1/' xmlns:ns1='http://schemas.openxmlformats.org/package/2006/metadata/core-properties' " w:xpath="/ns1:coreProperties[1]/ns0:title[1]" w:storeItemID="{6C3C8BC8-F283-45AE-878A-BAB7291924A1}"/>
              <w:alias w:val="Titre"/>
              <w:id w:val="1735040861"/>
              <w:text/>
            </w:sdtPr>
            <w:sdtContent>
              <w:r>
                <w:rPr>
                  <w:rFonts w:eastAsia="" w:cs="" w:ascii="Aptos Display" w:hAnsi="Aptos Display" w:asciiTheme="majorHAnsi" w:cstheme="majorBidi" w:eastAsiaTheme="majorEastAsia" w:hAnsiTheme="majorHAnsi"/>
                  <w:caps/>
                  <w:color w:themeColor="accent1" w:val="156082"/>
                  <w:sz w:val="60"/>
                  <w:szCs w:val="72"/>
                </w:rPr>
              </w:r>
              <w:r>
                <w:rPr>
                  <w:rFonts w:eastAsia="" w:cs="" w:ascii="Aptos Display" w:hAnsi="Aptos Display" w:asciiTheme="majorHAnsi" w:cstheme="majorBidi" w:eastAsiaTheme="majorEastAsia" w:hAnsiTheme="majorHAnsi"/>
                  <w:caps/>
                  <w:color w:themeColor="accent1" w:val="156082"/>
                  <w:sz w:val="60"/>
                  <w:szCs w:val="72"/>
                </w:rPr>
                <w:t>PROTOCOLE D’ACCORD RELATIF A LA Négociation annuelle obligatoire 2025</w:t>
              </w:r>
            </w:sdtContent>
          </w:sdt>
        </w:p>
      </w:sdtContent>
    </w:sdt>
    <w:p>
      <w:pPr>
        <w:pStyle w:val="NoSpacing"/>
        <w:jc w:val="center"/>
        <w:rPr>
          <w:color w:themeColor="accent1" w:val="156082"/>
          <w:sz w:val="28"/>
          <w:szCs w:val="28"/>
        </w:rPr>
      </w:pPr>
      <w:sdt>
        <w:sdtPr>
          <w:placeholder>
            <w:docPart w:val="C38AD753A136406FB5E688E4A30CF43C"/>
          </w:placeholder>
          <w:dataBinding w:prefixMappings="xmlns:ns0='http://purl.org/dc/elements/1.1/' xmlns:ns1='http://schemas.openxmlformats.org/package/2006/metadata/core-properties' " w:xpath="/ns1:coreProperties[1]/ns0:subject[1]" w:storeItemID="{6C3C8BC8-F283-45AE-878A-BAB7291924A1}"/>
          <w:alias w:val="Sous-titre"/>
          <w:id w:val="328029620"/>
          <w:text/>
        </w:sdtPr>
        <w:sdtContent>
          <w:r>
            <w:rPr>
              <w:color w:themeColor="accent1" w:val="156082"/>
              <w:sz w:val="28"/>
              <w:szCs w:val="28"/>
            </w:rPr>
          </w:r>
          <w:r>
            <w:rPr>
              <w:color w:themeColor="accent1" w:val="156082"/>
              <w:sz w:val="28"/>
              <w:szCs w:val="28"/>
            </w:rPr>
            <w:t>NAO</w:t>
          </w:r>
        </w:sdtContent>
      </w:sdt>
    </w:p>
    <w:p>
      <w:pPr>
        <w:pStyle w:val="NoSpacing"/>
        <w:spacing w:before="480" w:after="0"/>
        <w:jc w:val="center"/>
        <w:rPr>
          <w:color w:themeColor="accent1" w:val="156082"/>
        </w:rPr>
      </w:pPr>
      <w:r>
        <w:rPr>
          <w:color w:themeColor="accent1" w:val="156082"/>
        </w:rPr>
        <mc:AlternateContent>
          <mc:Choice Requires="wps">
            <w:drawing>
              <wp:anchor behindDoc="0" distT="0" distB="12700" distL="0" distR="0" simplePos="0" locked="0" layoutInCell="0" allowOverlap="1" relativeHeight="16" wp14:anchorId="1494A7DD">
                <wp:simplePos x="0" y="0"/>
                <wp:positionH relativeFrom="margin">
                  <wp:align>center</wp:align>
                </wp:positionH>
                <wp:positionV relativeFrom="page">
                  <wp:posOffset>9088120</wp:posOffset>
                </wp:positionV>
                <wp:extent cx="5760085" cy="718820"/>
                <wp:effectExtent l="0" t="0" r="0" b="12700"/>
                <wp:wrapNone/>
                <wp:docPr id="2" name="Zone de texte 146"/>
                <a:graphic xmlns:a="http://schemas.openxmlformats.org/drawingml/2006/main">
                  <a:graphicData uri="http://schemas.microsoft.com/office/word/2010/wordprocessingShape">
                    <wps:wsp>
                      <wps:cNvSpPr/>
                      <wps:spPr>
                        <a:xfrm>
                          <a:off x="0" y="0"/>
                          <a:ext cx="5760000" cy="718920"/>
                        </a:xfrm>
                        <a:prstGeom prst="rect">
                          <a:avLst/>
                        </a:prstGeom>
                        <a:noFill/>
                        <a:ln w="6350">
                          <a:noFill/>
                        </a:ln>
                      </wps:spPr>
                      <wps:style>
                        <a:lnRef idx="0">
                          <a:schemeClr val="accent1"/>
                        </a:lnRef>
                        <a:fillRef idx="0">
                          <a:schemeClr val="accent1"/>
                        </a:fillRef>
                        <a:effectRef idx="0">
                          <a:schemeClr val="accent1"/>
                        </a:effectRef>
                        <a:fontRef idx="minor"/>
                      </wps:style>
                      <wps:txbx>
                        <w:txbxContent>
                          <w:p>
                            <w:pPr>
                              <w:pStyle w:val="NoSpacing"/>
                              <w:spacing w:before="0" w:after="40"/>
                              <w:jc w:val="center"/>
                              <w:rPr>
                                <w:caps/>
                                <w:color w:themeColor="accent1" w:val="156082"/>
                                <w:sz w:val="28"/>
                                <w:szCs w:val="28"/>
                              </w:rPr>
                            </w:pPr>
                            <w:sdt>
                              <w:sdtPr>
                                <w:date w:fullDate="17 DECEMBRE 2025T00:00:00Z">
                                  <w:dateFormat w:val="dd MMMM yyyy"/>
                                  <w:lid w:val="fr-FR"/>
                                  <w:storeMappedDataAs w:val="dateTime"/>
                                  <w:calendar w:val="gregorian"/>
                                </w:date>
                                <w:id w:val="197127006"/>
                                <w:dataBinding w:prefixMappings="xmlns:ns0='http://schemas.microsoft.com/office/2006/coverPageProps' " w:xpath="/ns0:CoverPageProperties[1]/ns0:PublishDate[1]" w:storeItemID="{55AF091B-3C7A-41E3-B477-F2FDAA23CFDA}"/>
                                <w:alias w:val="Date "/>
                              </w:sdtPr>
                              <w:sdtContent>
                                <w:r>
                                  <w:rPr>
                                    <w:caps/>
                                    <w:color w:themeColor="accent1" w:val="156082"/>
                                    <w:sz w:val="28"/>
                                    <w:szCs w:val="28"/>
                                  </w:rPr>
                                </w:r>
                                <w:r>
                                  <w:rPr>
                                    <w:caps/>
                                    <w:color w:themeColor="accent1" w:val="156082"/>
                                    <w:sz w:val="28"/>
                                    <w:szCs w:val="28"/>
                                  </w:rPr>
                                  <w:t>17 DECEMBRE 2025</w:t>
                                </w:r>
                                <w:r/>
                              </w:sdtContent>
                            </w:sdt>
                            <w:r>
                              <w:rPr>
                                <w:caps/>
                                <w:color w:themeColor="accent1" w:val="156082"/>
                                <w:sz w:val="28"/>
                                <w:szCs w:val="28"/>
                              </w:rPr>
                            </w:r>
                          </w:p>
                          <w:p>
                            <w:pPr>
                              <w:pStyle w:val="NoSpacing"/>
                              <w:jc w:val="center"/>
                              <w:rPr>
                                <w:color w:themeColor="accent1" w:val="156082"/>
                              </w:rPr>
                            </w:pPr>
                            <w:sdt>
                              <w:sdtPr>
                                <w:dataBinding w:prefixMappings="xmlns:ns0='http://schemas.openxmlformats.org/officeDocument/2006/extended-properties' " w:xpath="/ns0:Properties[1]/ns0:Company[1]" w:storeItemID="{6668398D-A668-4E3E-A5EB-62B293D839F1}"/>
                                <w:alias w:val="Société"/>
                                <w:id w:val="1390145197"/>
                                <w:text/>
                              </w:sdtPr>
                              <w:sdtContent>
                                <w:r>
                                  <w:rPr>
                                    <w:caps/>
                                    <w:color w:themeColor="accent1" w:val="156082"/>
                                  </w:rPr>
                                </w:r>
                                <w:r>
                                  <w:rPr>
                                    <w:caps/>
                                    <w:color w:themeColor="accent1" w:val="156082"/>
                                  </w:rPr>
                                  <w:t>APAJH17</w:t>
                                </w:r>
                              </w:sdtContent>
                            </w:sdt>
                          </w:p>
                          <w:p>
                            <w:pPr>
                              <w:pStyle w:val="NoSpacing"/>
                              <w:jc w:val="center"/>
                              <w:rPr>
                                <w:color w:themeColor="accent1" w:val="156082"/>
                              </w:rPr>
                            </w:pPr>
                            <w:r>
                              <w:rPr>
                                <w:color w:themeColor="accent1" w:val="156082"/>
                              </w:rPr>
                              <w:t>40 Boulevard Albert Einstein 17000 LA ROCHELLE</w:t>
                            </w:r>
                          </w:p>
                          <w:p>
                            <w:pPr>
                              <w:pStyle w:val="NoSpacing"/>
                              <w:jc w:val="center"/>
                              <w:rPr>
                                <w:color w:themeColor="accent1" w:val="156082"/>
                              </w:rPr>
                            </w:pPr>
                            <w:r>
                              <w:rPr>
                                <w:color w:themeColor="accent1" w:val="156082"/>
                              </w:rPr>
                              <w:t xml:space="preserve">05 46 45 29 19 </w:t>
                            </w:r>
                          </w:p>
                        </w:txbxContent>
                      </wps:txbx>
                      <wps:bodyPr lIns="0" rIns="0" tIns="0" bIns="0" anchor="b">
                        <a:prstTxWarp prst="textNoShape"/>
                        <a:spAutoFit/>
                      </wps:bodyPr>
                    </wps:wsp>
                  </a:graphicData>
                </a:graphic>
                <wp14:sizeRelH relativeFrom="margin">
                  <wp14:pctWidth>100000</wp14:pctWidth>
                </wp14:sizeRelH>
              </wp:anchor>
            </w:drawing>
          </mc:Choice>
          <mc:Fallback>
            <w:pict>
              <v:rect id="shape_0" ID="Zone de texte 146" path="m0,0l-2147483645,0l-2147483645,-2147483646l0,-2147483646xe" stroked="f" o:allowincell="f" style="position:absolute;margin-left:0pt;margin-top:715.6pt;width:453.5pt;height:56.55pt;mso-wrap-style:square;v-text-anchor:bottom;mso-position-horizontal:center;mso-position-horizontal-relative:margin;mso-position-vertical-relative:page" wp14:anchorId="1494A7DD">
                <v:fill o:detectmouseclick="t" on="false"/>
                <v:stroke color="#3465a4" weight="6480" joinstyle="round" endcap="flat"/>
                <v:textbox>
                  <w:txbxContent>
                    <w:p>
                      <w:pPr>
                        <w:pStyle w:val="NoSpacing"/>
                        <w:spacing w:before="0" w:after="40"/>
                        <w:jc w:val="center"/>
                        <w:rPr>
                          <w:caps/>
                          <w:color w:themeColor="accent1" w:val="156082"/>
                          <w:sz w:val="28"/>
                          <w:szCs w:val="28"/>
                        </w:rPr>
                      </w:pPr>
                      <w:sdt>
                        <w:sdtPr>
                          <w:date w:fullDate="17 DECEMBRE 2025T00:00:00Z">
                            <w:dateFormat w:val="dd MMMM yyyy"/>
                            <w:lid w:val="fr-FR"/>
                            <w:storeMappedDataAs w:val="dateTime"/>
                            <w:calendar w:val="gregorian"/>
                          </w:date>
                          <w:id w:val="197127006"/>
                          <w:dataBinding w:prefixMappings="xmlns:ns0='http://schemas.microsoft.com/office/2006/coverPageProps' " w:xpath="/ns0:CoverPageProperties[1]/ns0:PublishDate[1]" w:storeItemID="{55AF091B-3C7A-41E3-B477-F2FDAA23CFDA}"/>
                          <w:alias w:val="Date "/>
                        </w:sdtPr>
                        <w:sdtContent>
                          <w:r>
                            <w:rPr>
                              <w:caps/>
                              <w:color w:themeColor="accent1" w:val="156082"/>
                              <w:sz w:val="28"/>
                              <w:szCs w:val="28"/>
                            </w:rPr>
                          </w:r>
                          <w:r>
                            <w:rPr>
                              <w:caps/>
                              <w:color w:themeColor="accent1" w:val="156082"/>
                              <w:sz w:val="28"/>
                              <w:szCs w:val="28"/>
                            </w:rPr>
                            <w:t>17 DECEMBRE 2025</w:t>
                          </w:r>
                          <w:r/>
                        </w:sdtContent>
                      </w:sdt>
                      <w:r>
                        <w:rPr>
                          <w:caps/>
                          <w:color w:themeColor="accent1" w:val="156082"/>
                          <w:sz w:val="28"/>
                          <w:szCs w:val="28"/>
                        </w:rPr>
                      </w:r>
                    </w:p>
                    <w:p>
                      <w:pPr>
                        <w:pStyle w:val="NoSpacing"/>
                        <w:jc w:val="center"/>
                        <w:rPr>
                          <w:color w:themeColor="accent1" w:val="156082"/>
                        </w:rPr>
                      </w:pPr>
                      <w:sdt>
                        <w:sdtPr>
                          <w:dataBinding w:prefixMappings="xmlns:ns0='http://schemas.openxmlformats.org/officeDocument/2006/extended-properties' " w:xpath="/ns0:Properties[1]/ns0:Company[1]" w:storeItemID="{6668398D-A668-4E3E-A5EB-62B293D839F1}"/>
                          <w:alias w:val="Société"/>
                          <w:id w:val="1390145197"/>
                          <w:text/>
                        </w:sdtPr>
                        <w:sdtContent>
                          <w:r>
                            <w:rPr>
                              <w:caps/>
                              <w:color w:themeColor="accent1" w:val="156082"/>
                            </w:rPr>
                          </w:r>
                          <w:r>
                            <w:rPr>
                              <w:caps/>
                              <w:color w:themeColor="accent1" w:val="156082"/>
                            </w:rPr>
                            <w:t>APAJH17</w:t>
                          </w:r>
                        </w:sdtContent>
                      </w:sdt>
                    </w:p>
                    <w:p>
                      <w:pPr>
                        <w:pStyle w:val="NoSpacing"/>
                        <w:jc w:val="center"/>
                        <w:rPr>
                          <w:color w:themeColor="accent1" w:val="156082"/>
                        </w:rPr>
                      </w:pPr>
                      <w:r>
                        <w:rPr>
                          <w:color w:themeColor="accent1" w:val="156082"/>
                        </w:rPr>
                        <w:t>40 Boulevard Albert Einstein 17000 LA ROCHELLE</w:t>
                      </w:r>
                    </w:p>
                    <w:p>
                      <w:pPr>
                        <w:pStyle w:val="NoSpacing"/>
                        <w:jc w:val="center"/>
                        <w:rPr>
                          <w:color w:themeColor="accent1" w:val="156082"/>
                        </w:rPr>
                      </w:pPr>
                      <w:r>
                        <w:rPr>
                          <w:color w:themeColor="accent1" w:val="156082"/>
                        </w:rPr>
                        <w:t xml:space="preserve">05 46 45 29 19 </w:t>
                      </w:r>
                    </w:p>
                  </w:txbxContent>
                </v:textbox>
                <w10:wrap type="none"/>
              </v:rect>
            </w:pict>
          </mc:Fallback>
        </mc:AlternateContent>
      </w:r>
    </w:p>
    <w:p>
      <w:pPr>
        <w:pStyle w:val="Normal"/>
        <w:rPr/>
      </w:pPr>
      <w:r>
        <w:rPr/>
      </w:r>
      <w:r>
        <w:br w:type="page"/>
      </w:r>
    </w:p>
    <w:p>
      <w:pPr>
        <w:pStyle w:val="Normal"/>
        <w:spacing w:before="0" w:after="160"/>
        <w:rPr>
          <w:color w:themeColor="accent1" w:themeShade="bf" w:val="0F4761"/>
          <w:sz w:val="22"/>
          <w:szCs w:val="22"/>
        </w:rPr>
      </w:pPr>
      <w:r>
        <w:rPr>
          <w:color w:themeColor="accent1" w:themeShade="bf" w:val="0F4761"/>
          <w:sz w:val="22"/>
          <w:szCs w:val="22"/>
        </w:rPr>
        <w:t>ENTRE</w:t>
      </w:r>
    </w:p>
    <w:p>
      <w:pPr>
        <w:pStyle w:val="Normal"/>
        <w:spacing w:lineRule="auto" w:line="276" w:before="0" w:after="0"/>
        <w:rPr>
          <w:sz w:val="22"/>
          <w:szCs w:val="22"/>
        </w:rPr>
      </w:pPr>
      <w:r>
        <w:rPr>
          <w:sz w:val="22"/>
          <w:szCs w:val="22"/>
        </w:rPr>
        <w:t>L’Association APAJH17,</w:t>
      </w:r>
    </w:p>
    <w:p>
      <w:pPr>
        <w:pStyle w:val="Normal"/>
        <w:spacing w:lineRule="auto" w:line="276" w:before="0" w:after="0"/>
        <w:rPr>
          <w:sz w:val="22"/>
          <w:szCs w:val="22"/>
        </w:rPr>
      </w:pPr>
      <w:r>
        <w:rPr>
          <w:sz w:val="22"/>
          <w:szCs w:val="22"/>
        </w:rPr>
        <w:t>Située 40 avenue Albert Einstein – 17000 La Rochelle,</w:t>
      </w:r>
    </w:p>
    <w:p>
      <w:pPr>
        <w:pStyle w:val="Normal"/>
        <w:spacing w:lineRule="auto" w:line="276" w:before="0" w:after="0"/>
        <w:rPr>
          <w:sz w:val="22"/>
          <w:szCs w:val="22"/>
        </w:rPr>
      </w:pPr>
      <w:r>
        <w:rPr>
          <w:sz w:val="22"/>
          <w:szCs w:val="22"/>
        </w:rPr>
        <w:t xml:space="preserve">Représentée par , </w:t>
      </w:r>
    </w:p>
    <w:p>
      <w:pPr>
        <w:pStyle w:val="Normal"/>
        <w:spacing w:lineRule="auto" w:line="276" w:before="0" w:after="0"/>
        <w:rPr>
          <w:sz w:val="22"/>
          <w:szCs w:val="22"/>
        </w:rPr>
      </w:pPr>
      <w:r>
        <w:rPr>
          <w:sz w:val="22"/>
          <w:szCs w:val="22"/>
        </w:rPr>
        <w:t xml:space="preserve">Agissant en qualité de Directeur Général de l’association APAJH 17, </w:t>
      </w:r>
    </w:p>
    <w:p>
      <w:pPr>
        <w:pStyle w:val="Normal"/>
        <w:rPr>
          <w:sz w:val="22"/>
          <w:szCs w:val="22"/>
        </w:rPr>
      </w:pPr>
      <w:r>
        <w:rPr>
          <w:sz w:val="22"/>
          <w:szCs w:val="22"/>
        </w:rPr>
      </w:r>
    </w:p>
    <w:p>
      <w:pPr>
        <w:pStyle w:val="Normal"/>
        <w:rPr>
          <w:sz w:val="22"/>
          <w:szCs w:val="22"/>
        </w:rPr>
      </w:pPr>
      <w:r>
        <w:rPr>
          <w:color w:themeColor="accent1" w:themeShade="bf" w:val="0F4761"/>
          <w:sz w:val="22"/>
          <w:szCs w:val="22"/>
        </w:rPr>
        <w:t xml:space="preserve">ET </w:t>
      </w:r>
    </w:p>
    <w:p>
      <w:pPr>
        <w:pStyle w:val="Normal"/>
        <w:rPr>
          <w:sz w:val="22"/>
          <w:szCs w:val="22"/>
        </w:rPr>
      </w:pPr>
      <w:r>
        <w:rPr>
          <w:sz w:val="22"/>
          <w:szCs w:val="22"/>
        </w:rPr>
        <w:t xml:space="preserve">L’organisation syndicale SUD, représentée par  en sa qualité de Délégué Syndical APAJH 17, </w:t>
      </w:r>
    </w:p>
    <w:p>
      <w:pPr>
        <w:pStyle w:val="Normal"/>
        <w:rPr>
          <w:sz w:val="22"/>
          <w:szCs w:val="22"/>
        </w:rPr>
      </w:pPr>
      <w:r>
        <w:rPr>
          <w:sz w:val="22"/>
          <w:szCs w:val="22"/>
        </w:rPr>
      </w:r>
    </w:p>
    <w:p>
      <w:pPr>
        <w:pStyle w:val="Normal"/>
        <w:rPr>
          <w:color w:themeColor="accent1" w:themeShade="bf" w:val="0F4761"/>
          <w:sz w:val="22"/>
          <w:szCs w:val="22"/>
        </w:rPr>
      </w:pPr>
      <w:r>
        <w:rPr>
          <w:color w:themeColor="accent1" w:themeShade="bf" w:val="0F4761"/>
          <w:sz w:val="22"/>
          <w:szCs w:val="22"/>
        </w:rPr>
        <w:t xml:space="preserve">ET </w:t>
      </w:r>
    </w:p>
    <w:p>
      <w:pPr>
        <w:pStyle w:val="Normal"/>
        <w:rPr>
          <w:sz w:val="22"/>
          <w:szCs w:val="22"/>
        </w:rPr>
      </w:pPr>
      <w:r>
        <w:rPr>
          <w:sz w:val="22"/>
          <w:szCs w:val="22"/>
        </w:rPr>
        <w:t xml:space="preserve">L’organisation syndicale CGT, représentée par  en sa qualité de Déléguée Syndicale APAJH 17, </w:t>
      </w:r>
    </w:p>
    <w:p>
      <w:pPr>
        <w:pStyle w:val="Normal"/>
        <w:rPr>
          <w:sz w:val="22"/>
          <w:szCs w:val="22"/>
        </w:rPr>
      </w:pPr>
      <w:r>
        <w:rPr>
          <w:sz w:val="22"/>
          <w:szCs w:val="22"/>
        </w:rPr>
      </w:r>
    </w:p>
    <w:p>
      <w:pPr>
        <w:pStyle w:val="Normal"/>
        <w:rPr>
          <w:sz w:val="22"/>
          <w:szCs w:val="22"/>
        </w:rPr>
      </w:pPr>
      <w:r>
        <w:rPr>
          <w:sz w:val="22"/>
          <w:szCs w:val="22"/>
        </w:rPr>
        <w:t xml:space="preserve"> </w:t>
      </w:r>
      <w:r>
        <w:rPr>
          <w:sz w:val="22"/>
          <w:szCs w:val="22"/>
        </w:rPr>
        <w:t>IL A ETE CONVENU CE QUI SUIT,</w:t>
      </w:r>
    </w:p>
    <w:p>
      <w:pPr>
        <w:pStyle w:val="Normal"/>
        <w:rPr>
          <w:sz w:val="22"/>
          <w:szCs w:val="22"/>
        </w:rPr>
      </w:pPr>
      <w:r>
        <w:rPr>
          <w:sz w:val="22"/>
          <w:szCs w:val="22"/>
        </w:rPr>
      </w:r>
    </w:p>
    <w:p>
      <w:pPr>
        <w:pStyle w:val="Normal"/>
        <w:rPr>
          <w:sz w:val="22"/>
          <w:szCs w:val="22"/>
        </w:rPr>
      </w:pPr>
      <w:r>
        <w:rPr>
          <w:sz w:val="22"/>
          <w:szCs w:val="22"/>
        </w:rPr>
        <w:t xml:space="preserve">PREAMBULE ET RAPPEL : </w:t>
      </w:r>
    </w:p>
    <w:p>
      <w:pPr>
        <w:pStyle w:val="Normal"/>
        <w:rPr>
          <w:sz w:val="22"/>
          <w:szCs w:val="22"/>
        </w:rPr>
      </w:pPr>
      <w:r>
        <w:rPr>
          <w:sz w:val="22"/>
          <w:szCs w:val="22"/>
        </w:rPr>
      </w:r>
    </w:p>
    <w:p>
      <w:pPr>
        <w:pStyle w:val="Normal"/>
        <w:rPr>
          <w:sz w:val="22"/>
          <w:szCs w:val="22"/>
        </w:rPr>
      </w:pPr>
      <w:r>
        <w:rPr>
          <w:sz w:val="22"/>
          <w:szCs w:val="22"/>
        </w:rPr>
        <w:t>Les Négociations annuelles obligatoires 2025 portent sur les thématiques suivantes :</w:t>
      </w:r>
    </w:p>
    <w:p>
      <w:pPr>
        <w:pStyle w:val="ListParagraph"/>
        <w:numPr>
          <w:ilvl w:val="0"/>
          <w:numId w:val="3"/>
        </w:numPr>
        <w:rPr>
          <w:sz w:val="22"/>
          <w:szCs w:val="22"/>
        </w:rPr>
      </w:pPr>
      <w:r>
        <w:rPr>
          <w:sz w:val="22"/>
          <w:szCs w:val="22"/>
        </w:rPr>
        <w:t xml:space="preserve">L’égalité professionnelle entre les Femmes et les Hommes et la qualité de vie au travail (art. L.2242-8 du CT) </w:t>
      </w:r>
    </w:p>
    <w:p>
      <w:pPr>
        <w:pStyle w:val="ListParagraph"/>
        <w:numPr>
          <w:ilvl w:val="0"/>
          <w:numId w:val="3"/>
        </w:numPr>
        <w:rPr>
          <w:sz w:val="22"/>
          <w:szCs w:val="22"/>
        </w:rPr>
      </w:pPr>
      <w:r>
        <w:rPr>
          <w:sz w:val="22"/>
          <w:szCs w:val="22"/>
        </w:rPr>
        <w:t xml:space="preserve">La rémunération, le temps de travail et le partage de la valeur ajoutée dans l’association (art. L.2242-5 du CT) </w:t>
      </w:r>
    </w:p>
    <w:p>
      <w:pPr>
        <w:pStyle w:val="ListParagraph"/>
        <w:numPr>
          <w:ilvl w:val="0"/>
          <w:numId w:val="3"/>
        </w:numPr>
        <w:rPr>
          <w:sz w:val="22"/>
          <w:szCs w:val="22"/>
        </w:rPr>
      </w:pPr>
      <w:r>
        <w:rPr>
          <w:sz w:val="22"/>
          <w:szCs w:val="22"/>
        </w:rPr>
        <w:t>L’accès à la BDES</w:t>
      </w:r>
    </w:p>
    <w:p>
      <w:pPr>
        <w:pStyle w:val="Normal"/>
        <w:rPr>
          <w:sz w:val="22"/>
          <w:szCs w:val="22"/>
        </w:rPr>
      </w:pPr>
      <w:r>
        <w:rPr>
          <w:sz w:val="22"/>
          <w:szCs w:val="22"/>
        </w:rPr>
      </w:r>
    </w:p>
    <w:p>
      <w:pPr>
        <w:pStyle w:val="Normal"/>
        <w:rPr>
          <w:sz w:val="22"/>
          <w:szCs w:val="22"/>
        </w:rPr>
      </w:pPr>
      <w:r>
        <w:rPr>
          <w:sz w:val="22"/>
          <w:szCs w:val="22"/>
        </w:rPr>
        <w:t xml:space="preserve">A noter que les conditions des négociations annuelles obligatoires ont eu lieu conformément aux dispositions de : </w:t>
      </w:r>
    </w:p>
    <w:p>
      <w:pPr>
        <w:pStyle w:val="ListParagraph"/>
        <w:numPr>
          <w:ilvl w:val="0"/>
          <w:numId w:val="3"/>
        </w:numPr>
        <w:rPr>
          <w:sz w:val="22"/>
          <w:szCs w:val="22"/>
        </w:rPr>
      </w:pPr>
      <w:r>
        <w:rPr>
          <w:sz w:val="22"/>
          <w:szCs w:val="22"/>
        </w:rPr>
        <w:t xml:space="preserve">La loi du 13 novembre 1982, et des articles L.2242-1 et suivants du Code du Travail, </w:t>
      </w:r>
    </w:p>
    <w:p>
      <w:pPr>
        <w:pStyle w:val="ListParagraph"/>
        <w:numPr>
          <w:ilvl w:val="0"/>
          <w:numId w:val="3"/>
        </w:numPr>
        <w:rPr>
          <w:sz w:val="22"/>
          <w:szCs w:val="22"/>
        </w:rPr>
      </w:pPr>
      <w:r>
        <w:rPr>
          <w:sz w:val="22"/>
          <w:szCs w:val="22"/>
        </w:rPr>
        <w:t xml:space="preserve">La loi n°2008-789 du 20 août 2008 portant rénovation de la démocratie sociale et réforme du temps de travail, </w:t>
      </w:r>
    </w:p>
    <w:p>
      <w:pPr>
        <w:pStyle w:val="ListParagraph"/>
        <w:numPr>
          <w:ilvl w:val="0"/>
          <w:numId w:val="3"/>
        </w:numPr>
        <w:rPr>
          <w:sz w:val="22"/>
          <w:szCs w:val="22"/>
        </w:rPr>
      </w:pPr>
      <w:r>
        <w:rPr>
          <w:sz w:val="22"/>
          <w:szCs w:val="22"/>
        </w:rPr>
        <w:t>La loi n°2015-994 du 17 août 2015 relative au dialogue social et à l’emploi,</w:t>
      </w:r>
    </w:p>
    <w:p>
      <w:pPr>
        <w:pStyle w:val="ListParagraph"/>
        <w:numPr>
          <w:ilvl w:val="0"/>
          <w:numId w:val="3"/>
        </w:numPr>
        <w:rPr>
          <w:sz w:val="22"/>
          <w:szCs w:val="22"/>
        </w:rPr>
      </w:pPr>
      <w:r>
        <w:rPr>
          <w:sz w:val="22"/>
          <w:szCs w:val="22"/>
        </w:rPr>
        <w:t>Aux recommandations conventionnelles de la Convention Collective NEXEM de 1966.</w:t>
      </w:r>
    </w:p>
    <w:p>
      <w:pPr>
        <w:pStyle w:val="Normal"/>
        <w:rPr>
          <w:b/>
          <w:bCs/>
          <w:sz w:val="22"/>
          <w:szCs w:val="22"/>
        </w:rPr>
      </w:pPr>
      <w:r>
        <w:rPr>
          <w:b/>
          <w:bCs/>
          <w:sz w:val="22"/>
          <w:szCs w:val="22"/>
        </w:rPr>
      </w:r>
    </w:p>
    <w:p>
      <w:pPr>
        <w:pStyle w:val="Normal"/>
        <w:rPr>
          <w:b/>
          <w:bCs/>
          <w:sz w:val="22"/>
          <w:szCs w:val="22"/>
        </w:rPr>
      </w:pPr>
      <w:r>
        <w:rPr>
          <w:b/>
          <w:bCs/>
          <w:sz w:val="22"/>
          <w:szCs w:val="22"/>
        </w:rPr>
      </w:r>
      <w:r>
        <w:br w:type="page"/>
      </w:r>
    </w:p>
    <w:p>
      <w:pPr>
        <w:pStyle w:val="Normal"/>
        <w:spacing w:before="0" w:after="160"/>
        <w:rPr>
          <w:b/>
          <w:bCs/>
          <w:sz w:val="22"/>
          <w:szCs w:val="22"/>
        </w:rPr>
      </w:pPr>
      <w:r>
        <w:rPr>
          <w:b/>
          <w:bCs/>
          <w:sz w:val="22"/>
          <w:szCs w:val="22"/>
        </w:rPr>
        <w:t>REVENDICATIONS SYNDICALES</w:t>
      </w:r>
    </w:p>
    <w:p>
      <w:pPr>
        <w:pStyle w:val="Normal"/>
        <w:rPr>
          <w:b/>
          <w:bCs/>
          <w:sz w:val="22"/>
          <w:szCs w:val="22"/>
        </w:rPr>
      </w:pPr>
      <w:r>
        <w:rPr>
          <w:b/>
          <w:bCs/>
          <w:sz w:val="22"/>
          <w:szCs w:val="22"/>
        </w:rPr>
      </w:r>
    </w:p>
    <w:p>
      <w:pPr>
        <w:pStyle w:val="Normal"/>
        <w:rPr>
          <w:b/>
          <w:bCs/>
          <w:sz w:val="22"/>
          <w:szCs w:val="22"/>
        </w:rPr>
      </w:pPr>
      <w:r>
        <w:rPr>
          <w:b/>
          <w:bCs/>
          <w:sz w:val="22"/>
          <w:szCs w:val="22"/>
        </w:rPr>
        <w:t xml:space="preserve">SYNDICAT SUD : </w:t>
      </w:r>
    </w:p>
    <w:p>
      <w:pPr>
        <w:pStyle w:val="ListParagraph"/>
        <w:numPr>
          <w:ilvl w:val="0"/>
          <w:numId w:val="1"/>
        </w:numPr>
        <w:jc w:val="both"/>
        <w:rPr>
          <w:sz w:val="22"/>
          <w:szCs w:val="22"/>
        </w:rPr>
      </w:pPr>
      <w:r>
        <w:rPr>
          <w:sz w:val="22"/>
          <w:szCs w:val="22"/>
        </w:rPr>
        <w:t>La PPV pour tous avec des critères de modulation</w:t>
      </w:r>
    </w:p>
    <w:p>
      <w:pPr>
        <w:pStyle w:val="ListParagraph"/>
        <w:numPr>
          <w:ilvl w:val="0"/>
          <w:numId w:val="1"/>
        </w:numPr>
        <w:jc w:val="both"/>
        <w:rPr>
          <w:bCs/>
          <w:sz w:val="22"/>
          <w:szCs w:val="22"/>
        </w:rPr>
      </w:pPr>
      <w:r>
        <w:rPr>
          <w:bCs/>
          <w:sz w:val="22"/>
          <w:szCs w:val="22"/>
        </w:rPr>
        <w:t>Extension de la prime Ségur 2 à tous les professionnels (AMP/AES, AS)</w:t>
      </w:r>
    </w:p>
    <w:p>
      <w:pPr>
        <w:pStyle w:val="ListParagraph"/>
        <w:numPr>
          <w:ilvl w:val="0"/>
          <w:numId w:val="1"/>
        </w:numPr>
        <w:jc w:val="both"/>
        <w:rPr>
          <w:bCs/>
          <w:sz w:val="22"/>
          <w:szCs w:val="22"/>
        </w:rPr>
      </w:pPr>
      <w:r>
        <w:rPr>
          <w:bCs/>
          <w:sz w:val="22"/>
          <w:szCs w:val="22"/>
        </w:rPr>
        <w:t>Rémunération de tous les étudiants et travailleurs en formation</w:t>
      </w:r>
    </w:p>
    <w:p>
      <w:pPr>
        <w:pStyle w:val="ListParagraph"/>
        <w:numPr>
          <w:ilvl w:val="0"/>
          <w:numId w:val="1"/>
        </w:numPr>
        <w:jc w:val="both"/>
        <w:rPr>
          <w:bCs/>
          <w:sz w:val="22"/>
          <w:szCs w:val="22"/>
        </w:rPr>
      </w:pPr>
      <w:r>
        <w:rPr>
          <w:bCs/>
          <w:sz w:val="22"/>
          <w:szCs w:val="22"/>
        </w:rPr>
        <w:t>6 jours de congés trimestriels pour tous les salariés</w:t>
      </w:r>
    </w:p>
    <w:p>
      <w:pPr>
        <w:pStyle w:val="ListParagraph"/>
        <w:numPr>
          <w:ilvl w:val="0"/>
          <w:numId w:val="1"/>
        </w:numPr>
        <w:jc w:val="both"/>
        <w:rPr>
          <w:sz w:val="22"/>
          <w:szCs w:val="22"/>
        </w:rPr>
      </w:pPr>
      <w:r>
        <w:rPr>
          <w:sz w:val="22"/>
          <w:szCs w:val="22"/>
        </w:rPr>
        <w:t>Suppression du critère d’ancienneté d’un an pour être bénéficiaire du maintien de salaire et du droit pour enfant malade</w:t>
      </w:r>
    </w:p>
    <w:p>
      <w:pPr>
        <w:pStyle w:val="ListParagraph"/>
        <w:numPr>
          <w:ilvl w:val="0"/>
          <w:numId w:val="1"/>
        </w:numPr>
        <w:jc w:val="both"/>
        <w:rPr>
          <w:sz w:val="22"/>
          <w:szCs w:val="22"/>
        </w:rPr>
      </w:pPr>
      <w:r>
        <w:rPr>
          <w:sz w:val="22"/>
          <w:szCs w:val="22"/>
        </w:rPr>
        <w:t>Plan sénior : réflexion sur un aménagement du temps de travail/Adaptation de poste</w:t>
      </w:r>
    </w:p>
    <w:p>
      <w:pPr>
        <w:pStyle w:val="ListParagraph"/>
        <w:numPr>
          <w:ilvl w:val="0"/>
          <w:numId w:val="1"/>
        </w:numPr>
        <w:jc w:val="both"/>
        <w:rPr>
          <w:bCs/>
          <w:sz w:val="22"/>
          <w:szCs w:val="22"/>
        </w:rPr>
      </w:pPr>
      <w:r>
        <w:rPr>
          <w:bCs/>
          <w:sz w:val="22"/>
          <w:szCs w:val="22"/>
        </w:rPr>
        <w:t>Augmentation de la participation employeur CSE afin de contribuer à une amélioration de vie salarié(es)</w:t>
      </w:r>
    </w:p>
    <w:p>
      <w:pPr>
        <w:pStyle w:val="ListParagraph"/>
        <w:numPr>
          <w:ilvl w:val="0"/>
          <w:numId w:val="1"/>
        </w:numPr>
        <w:jc w:val="both"/>
        <w:rPr>
          <w:bCs/>
          <w:sz w:val="22"/>
          <w:szCs w:val="22"/>
        </w:rPr>
      </w:pPr>
      <w:r>
        <w:rPr>
          <w:bCs/>
          <w:sz w:val="22"/>
          <w:szCs w:val="22"/>
        </w:rPr>
        <w:t>Réinstauration de la subrogation</w:t>
      </w:r>
    </w:p>
    <w:p>
      <w:pPr>
        <w:pStyle w:val="ListParagraph"/>
        <w:numPr>
          <w:ilvl w:val="0"/>
          <w:numId w:val="1"/>
        </w:numPr>
        <w:jc w:val="both"/>
        <w:rPr>
          <w:bCs/>
          <w:sz w:val="22"/>
          <w:szCs w:val="22"/>
        </w:rPr>
      </w:pPr>
      <w:r>
        <w:rPr>
          <w:bCs/>
          <w:sz w:val="22"/>
          <w:szCs w:val="22"/>
        </w:rPr>
        <w:t>Calendrier pour accord égalité professionnelle entre les femmes et les hommes</w:t>
      </w:r>
    </w:p>
    <w:p>
      <w:pPr>
        <w:pStyle w:val="ListParagraph"/>
        <w:numPr>
          <w:ilvl w:val="0"/>
          <w:numId w:val="1"/>
        </w:numPr>
        <w:jc w:val="both"/>
        <w:rPr>
          <w:bCs/>
          <w:sz w:val="22"/>
          <w:szCs w:val="22"/>
        </w:rPr>
      </w:pPr>
      <w:r>
        <w:rPr>
          <w:bCs/>
          <w:sz w:val="22"/>
          <w:szCs w:val="22"/>
        </w:rPr>
        <w:t>Des moyens humains supplémentaires pour la prise en charge des personnes en situation de handicap</w:t>
      </w:r>
    </w:p>
    <w:p>
      <w:pPr>
        <w:pStyle w:val="Normal"/>
        <w:rPr>
          <w:sz w:val="22"/>
          <w:szCs w:val="22"/>
        </w:rPr>
      </w:pPr>
      <w:r>
        <w:rPr>
          <w:sz w:val="22"/>
          <w:szCs w:val="22"/>
        </w:rPr>
      </w:r>
    </w:p>
    <w:p>
      <w:pPr>
        <w:pStyle w:val="Normal"/>
        <w:rPr>
          <w:b/>
          <w:bCs/>
          <w:sz w:val="22"/>
          <w:szCs w:val="22"/>
        </w:rPr>
      </w:pPr>
      <w:r>
        <w:rPr>
          <w:b/>
          <w:bCs/>
          <w:sz w:val="22"/>
          <w:szCs w:val="22"/>
        </w:rPr>
        <w:t xml:space="preserve">SYNDICAT CGT : </w:t>
      </w:r>
    </w:p>
    <w:p>
      <w:pPr>
        <w:pStyle w:val="ListParagraph"/>
        <w:numPr>
          <w:ilvl w:val="0"/>
          <w:numId w:val="2"/>
        </w:numPr>
        <w:jc w:val="both"/>
        <w:rPr>
          <w:sz w:val="22"/>
          <w:szCs w:val="22"/>
        </w:rPr>
      </w:pPr>
      <w:r>
        <w:rPr>
          <w:sz w:val="22"/>
          <w:szCs w:val="22"/>
        </w:rPr>
        <w:t>Etat de l’égalité professionnelle entre les hommes et les femmes</w:t>
      </w:r>
    </w:p>
    <w:p>
      <w:pPr>
        <w:pStyle w:val="ListParagraph"/>
        <w:numPr>
          <w:ilvl w:val="0"/>
          <w:numId w:val="2"/>
        </w:numPr>
        <w:jc w:val="both"/>
        <w:rPr>
          <w:sz w:val="22"/>
          <w:szCs w:val="22"/>
        </w:rPr>
      </w:pPr>
      <w:r>
        <w:rPr>
          <w:sz w:val="22"/>
          <w:szCs w:val="22"/>
        </w:rPr>
        <w:t>Extension de la prime Ségur 2 à tous les professionnels (AMP/AES, AS)</w:t>
      </w:r>
    </w:p>
    <w:p>
      <w:pPr>
        <w:pStyle w:val="ListParagraph"/>
        <w:numPr>
          <w:ilvl w:val="0"/>
          <w:numId w:val="2"/>
        </w:numPr>
        <w:jc w:val="both"/>
        <w:rPr>
          <w:sz w:val="22"/>
          <w:szCs w:val="22"/>
        </w:rPr>
      </w:pPr>
      <w:r>
        <w:rPr>
          <w:sz w:val="22"/>
          <w:szCs w:val="22"/>
        </w:rPr>
        <w:t>Ouverture d’un Compte Epargne Temps pour tous les salariés</w:t>
      </w:r>
    </w:p>
    <w:p>
      <w:pPr>
        <w:pStyle w:val="ListParagraph"/>
        <w:numPr>
          <w:ilvl w:val="0"/>
          <w:numId w:val="2"/>
        </w:numPr>
        <w:jc w:val="both"/>
        <w:rPr>
          <w:sz w:val="22"/>
          <w:szCs w:val="22"/>
        </w:rPr>
      </w:pPr>
      <w:r>
        <w:rPr>
          <w:sz w:val="22"/>
          <w:szCs w:val="22"/>
        </w:rPr>
        <w:t>Aménagement des postes pour les salariés en situation de handicap</w:t>
      </w:r>
    </w:p>
    <w:p>
      <w:pPr>
        <w:pStyle w:val="ListParagraph"/>
        <w:numPr>
          <w:ilvl w:val="0"/>
          <w:numId w:val="2"/>
        </w:numPr>
        <w:jc w:val="both"/>
        <w:rPr>
          <w:sz w:val="22"/>
          <w:szCs w:val="22"/>
        </w:rPr>
      </w:pPr>
      <w:r>
        <w:rPr>
          <w:sz w:val="22"/>
          <w:szCs w:val="22"/>
        </w:rPr>
        <w:t>Augmenter les jours pour enfant malade pour ceux qui ont plus de deux enfants seraient un droit de 7 jours par enfant par an</w:t>
      </w:r>
    </w:p>
    <w:p>
      <w:pPr>
        <w:pStyle w:val="ListParagraph"/>
        <w:numPr>
          <w:ilvl w:val="0"/>
          <w:numId w:val="2"/>
        </w:numPr>
        <w:jc w:val="both"/>
        <w:rPr>
          <w:sz w:val="22"/>
          <w:szCs w:val="22"/>
        </w:rPr>
      </w:pPr>
      <w:r>
        <w:rPr>
          <w:sz w:val="22"/>
          <w:szCs w:val="22"/>
        </w:rPr>
        <w:t>Généraliser le droit aux congés trimestriels de 6 jours au lieu de trois pour certains métiers et établissement</w:t>
      </w:r>
    </w:p>
    <w:p>
      <w:pPr>
        <w:pStyle w:val="ListParagraph"/>
        <w:numPr>
          <w:ilvl w:val="0"/>
          <w:numId w:val="2"/>
        </w:numPr>
        <w:jc w:val="both"/>
        <w:rPr>
          <w:sz w:val="22"/>
          <w:szCs w:val="22"/>
        </w:rPr>
      </w:pPr>
      <w:r>
        <w:rPr>
          <w:sz w:val="22"/>
          <w:szCs w:val="22"/>
        </w:rPr>
        <w:t>Demande de droit à un congé exceptionnel en cas d’intempérie</w:t>
      </w:r>
    </w:p>
    <w:p>
      <w:pPr>
        <w:pStyle w:val="ListParagraph"/>
        <w:jc w:val="both"/>
        <w:rPr>
          <w:sz w:val="22"/>
          <w:szCs w:val="22"/>
        </w:rPr>
      </w:pPr>
      <w:r>
        <w:rPr>
          <w:sz w:val="22"/>
          <w:szCs w:val="22"/>
        </w:rPr>
      </w:r>
    </w:p>
    <w:p>
      <w:pPr>
        <w:pStyle w:val="Normal"/>
        <w:rPr>
          <w:b/>
          <w:bCs/>
          <w:sz w:val="22"/>
          <w:szCs w:val="22"/>
        </w:rPr>
      </w:pPr>
      <w:r>
        <w:rPr>
          <w:b/>
          <w:bCs/>
          <w:sz w:val="22"/>
          <w:szCs w:val="22"/>
        </w:rPr>
      </w:r>
      <w:r>
        <w:br w:type="page"/>
      </w:r>
    </w:p>
    <w:p>
      <w:pPr>
        <w:pStyle w:val="Normal"/>
        <w:spacing w:before="0" w:after="160"/>
        <w:jc w:val="both"/>
        <w:rPr>
          <w:b/>
          <w:bCs/>
          <w:sz w:val="22"/>
          <w:szCs w:val="22"/>
        </w:rPr>
      </w:pPr>
      <w:r>
        <w:rPr>
          <w:b/>
          <w:bCs/>
          <w:sz w:val="22"/>
          <w:szCs w:val="22"/>
        </w:rPr>
        <w:t>THEMATIQUE 1 – L’EGALITE PROFESSIONNELLE ENTRE LES FEMMES ET LES HOMMES ET LA QUALITE DE VIE AU TRAVAIL</w:t>
      </w:r>
    </w:p>
    <w:p>
      <w:pPr>
        <w:pStyle w:val="Normal"/>
        <w:rPr>
          <w:sz w:val="22"/>
          <w:szCs w:val="22"/>
        </w:rPr>
      </w:pPr>
      <w:r>
        <w:rPr>
          <w:sz w:val="22"/>
          <w:szCs w:val="22"/>
        </w:rPr>
      </w:r>
    </w:p>
    <w:p>
      <w:pPr>
        <w:pStyle w:val="ListParagraph"/>
        <w:numPr>
          <w:ilvl w:val="1"/>
          <w:numId w:val="4"/>
        </w:numPr>
        <w:jc w:val="both"/>
        <w:rPr>
          <w:b/>
          <w:sz w:val="22"/>
          <w:szCs w:val="22"/>
        </w:rPr>
      </w:pPr>
      <w:r>
        <w:rPr>
          <w:b/>
          <w:sz w:val="22"/>
          <w:szCs w:val="22"/>
        </w:rPr>
        <w:t>Etat de l’égalité professionnelle entre les hommes et les femmes</w:t>
      </w:r>
    </w:p>
    <w:p>
      <w:pPr>
        <w:pStyle w:val="ListParagraph"/>
        <w:jc w:val="both"/>
        <w:rPr>
          <w:b/>
          <w:sz w:val="22"/>
          <w:szCs w:val="22"/>
        </w:rPr>
      </w:pPr>
      <w:r>
        <w:rPr>
          <w:b/>
          <w:sz w:val="22"/>
          <w:szCs w:val="22"/>
        </w:rPr>
      </w:r>
    </w:p>
    <w:p>
      <w:pPr>
        <w:pStyle w:val="Normal"/>
        <w:jc w:val="both"/>
        <w:rPr>
          <w:bCs/>
          <w:sz w:val="22"/>
          <w:szCs w:val="22"/>
        </w:rPr>
      </w:pPr>
      <w:r>
        <w:rPr>
          <w:bCs/>
          <w:sz w:val="22"/>
          <w:szCs w:val="22"/>
        </w:rPr>
        <w:t>Il est rappelé que l’Association APAJH 17 confirme l’application stricte des coefficients de la Convention Collective Nationale 66 du Médico-Social de 1966. Les indicateurs pour l’égalité des rémunérations entre les Femmes et les Hommes 2024 abondent en ce sens. Sur l’index égalité hommes / femmes, l’APAJH 17 a obtenu la note de 94/100.</w:t>
      </w:r>
    </w:p>
    <w:p>
      <w:pPr>
        <w:pStyle w:val="Normal"/>
        <w:jc w:val="both"/>
        <w:rPr>
          <w:bCs/>
          <w:sz w:val="10"/>
          <w:szCs w:val="10"/>
        </w:rPr>
      </w:pPr>
      <w:r>
        <w:rPr>
          <w:bCs/>
          <w:sz w:val="10"/>
          <w:szCs w:val="10"/>
        </w:rPr>
      </w:r>
    </w:p>
    <w:p>
      <w:pPr>
        <w:pStyle w:val="Normal"/>
        <w:jc w:val="both"/>
        <w:rPr>
          <w:bCs/>
          <w:sz w:val="22"/>
          <w:szCs w:val="22"/>
        </w:rPr>
      </w:pPr>
      <w:r>
        <w:rPr>
          <w:bCs/>
          <w:sz w:val="22"/>
          <w:szCs w:val="22"/>
        </w:rPr>
        <w:t>L’accord d’entreprise égalité femme/homme a été prorogé jusqu’en septembre 2026, et est caduque depuis le 31 décembre 2024.  Un nouvel accord sera établi au cours de l’année 2026.</w:t>
      </w:r>
    </w:p>
    <w:p>
      <w:pPr>
        <w:pStyle w:val="Normal"/>
        <w:jc w:val="both"/>
        <w:rPr>
          <w:bCs/>
          <w:sz w:val="10"/>
          <w:szCs w:val="10"/>
        </w:rPr>
      </w:pPr>
      <w:r>
        <w:rPr>
          <w:bCs/>
          <w:sz w:val="10"/>
          <w:szCs w:val="10"/>
        </w:rPr>
      </w:r>
    </w:p>
    <w:p>
      <w:pPr>
        <w:pStyle w:val="Normal"/>
        <w:jc w:val="both"/>
        <w:rPr>
          <w:bCs/>
          <w:sz w:val="22"/>
          <w:szCs w:val="22"/>
        </w:rPr>
      </w:pPr>
      <w:r>
        <w:rPr>
          <w:bCs/>
          <w:sz w:val="22"/>
          <w:szCs w:val="22"/>
        </w:rPr>
        <w:t>Nombre de jours en 2025 par établissement d’absence pour enfant malade :</w:t>
      </w:r>
    </w:p>
    <w:tbl>
      <w:tblPr>
        <w:tblStyle w:val="Grilledutableau"/>
        <w:tblW w:w="552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829"/>
        <w:gridCol w:w="2694"/>
      </w:tblGrid>
      <w:tr>
        <w:trPr/>
        <w:tc>
          <w:tcPr>
            <w:tcW w:w="2829" w:type="dxa"/>
            <w:tcBorders/>
          </w:tcPr>
          <w:p>
            <w:pPr>
              <w:pStyle w:val="Normal"/>
              <w:widowControl/>
              <w:spacing w:lineRule="auto" w:line="240" w:before="0" w:after="0"/>
              <w:jc w:val="both"/>
              <w:rPr>
                <w:b/>
                <w:sz w:val="22"/>
                <w:szCs w:val="22"/>
              </w:rPr>
            </w:pPr>
            <w:r>
              <w:rPr>
                <w:rFonts w:eastAsia="Aptos" w:cs=""/>
                <w:b/>
                <w:kern w:val="2"/>
                <w:sz w:val="22"/>
                <w:szCs w:val="22"/>
                <w:lang w:val="fr-FR" w:eastAsia="en-US" w:bidi="ar-SA"/>
              </w:rPr>
              <w:t>ETABLISSEMENT</w:t>
            </w:r>
          </w:p>
        </w:tc>
        <w:tc>
          <w:tcPr>
            <w:tcW w:w="2694" w:type="dxa"/>
            <w:tcBorders/>
          </w:tcPr>
          <w:p>
            <w:pPr>
              <w:pStyle w:val="Normal"/>
              <w:widowControl/>
              <w:spacing w:lineRule="auto" w:line="240" w:before="0" w:after="0"/>
              <w:jc w:val="both"/>
              <w:rPr>
                <w:b/>
                <w:sz w:val="22"/>
                <w:szCs w:val="22"/>
              </w:rPr>
            </w:pPr>
            <w:r>
              <w:rPr>
                <w:rFonts w:eastAsia="Aptos" w:cs=""/>
                <w:b/>
                <w:kern w:val="2"/>
                <w:sz w:val="22"/>
                <w:szCs w:val="22"/>
                <w:lang w:val="fr-FR" w:eastAsia="en-US" w:bidi="ar-SA"/>
              </w:rPr>
              <w:t>Nombre de jours en 2025</w:t>
            </w:r>
          </w:p>
        </w:tc>
      </w:tr>
      <w:tr>
        <w:trPr/>
        <w:tc>
          <w:tcPr>
            <w:tcW w:w="2829" w:type="dxa"/>
            <w:tcBorders/>
          </w:tcPr>
          <w:p>
            <w:pPr>
              <w:pStyle w:val="Normal"/>
              <w:widowControl/>
              <w:spacing w:lineRule="auto" w:line="240" w:before="0" w:after="0"/>
              <w:jc w:val="both"/>
              <w:rPr>
                <w:bCs/>
                <w:sz w:val="22"/>
                <w:szCs w:val="22"/>
              </w:rPr>
            </w:pPr>
            <w:r>
              <w:rPr>
                <w:rFonts w:eastAsia="Aptos" w:cs=""/>
                <w:bCs/>
                <w:kern w:val="2"/>
                <w:sz w:val="22"/>
                <w:szCs w:val="22"/>
                <w:lang w:val="fr-FR" w:eastAsia="en-US" w:bidi="ar-SA"/>
              </w:rPr>
              <w:t>EEAP LES AIGUS MARINES</w:t>
            </w:r>
          </w:p>
        </w:tc>
        <w:tc>
          <w:tcPr>
            <w:tcW w:w="2694" w:type="dxa"/>
            <w:tcBorders/>
          </w:tcPr>
          <w:p>
            <w:pPr>
              <w:pStyle w:val="Normal"/>
              <w:widowControl/>
              <w:spacing w:lineRule="auto" w:line="240" w:before="0" w:after="0"/>
              <w:jc w:val="center"/>
              <w:rPr>
                <w:bCs/>
                <w:sz w:val="22"/>
                <w:szCs w:val="22"/>
              </w:rPr>
            </w:pPr>
            <w:r>
              <w:rPr>
                <w:rFonts w:eastAsia="Aptos" w:cs=""/>
                <w:bCs/>
                <w:kern w:val="2"/>
                <w:sz w:val="22"/>
                <w:szCs w:val="22"/>
                <w:lang w:val="fr-FR" w:eastAsia="en-US" w:bidi="ar-SA"/>
              </w:rPr>
              <w:t>5</w:t>
            </w:r>
          </w:p>
        </w:tc>
      </w:tr>
      <w:tr>
        <w:trPr/>
        <w:tc>
          <w:tcPr>
            <w:tcW w:w="2829" w:type="dxa"/>
            <w:tcBorders/>
          </w:tcPr>
          <w:p>
            <w:pPr>
              <w:pStyle w:val="Normal"/>
              <w:widowControl/>
              <w:spacing w:lineRule="auto" w:line="240" w:before="0" w:after="0"/>
              <w:jc w:val="both"/>
              <w:rPr>
                <w:bCs/>
                <w:sz w:val="22"/>
                <w:szCs w:val="22"/>
              </w:rPr>
            </w:pPr>
            <w:r>
              <w:rPr>
                <w:rFonts w:eastAsia="Aptos" w:cs=""/>
                <w:bCs/>
                <w:kern w:val="2"/>
                <w:sz w:val="22"/>
                <w:szCs w:val="22"/>
                <w:lang w:val="fr-FR" w:eastAsia="en-US" w:bidi="ar-SA"/>
              </w:rPr>
              <w:t>MAS LE PERTHUIS</w:t>
            </w:r>
          </w:p>
        </w:tc>
        <w:tc>
          <w:tcPr>
            <w:tcW w:w="2694" w:type="dxa"/>
            <w:tcBorders/>
          </w:tcPr>
          <w:p>
            <w:pPr>
              <w:pStyle w:val="Normal"/>
              <w:widowControl/>
              <w:spacing w:lineRule="auto" w:line="240" w:before="0" w:after="0"/>
              <w:jc w:val="center"/>
              <w:rPr>
                <w:bCs/>
                <w:sz w:val="22"/>
                <w:szCs w:val="22"/>
              </w:rPr>
            </w:pPr>
            <w:r>
              <w:rPr>
                <w:rFonts w:eastAsia="Aptos" w:cs=""/>
                <w:bCs/>
                <w:kern w:val="2"/>
                <w:sz w:val="22"/>
                <w:szCs w:val="22"/>
                <w:lang w:val="fr-FR" w:eastAsia="en-US" w:bidi="ar-SA"/>
              </w:rPr>
              <w:t>47</w:t>
            </w:r>
          </w:p>
        </w:tc>
      </w:tr>
      <w:tr>
        <w:trPr/>
        <w:tc>
          <w:tcPr>
            <w:tcW w:w="2829" w:type="dxa"/>
            <w:tcBorders/>
          </w:tcPr>
          <w:p>
            <w:pPr>
              <w:pStyle w:val="Normal"/>
              <w:widowControl/>
              <w:spacing w:lineRule="auto" w:line="240" w:before="0" w:after="0"/>
              <w:jc w:val="both"/>
              <w:rPr>
                <w:bCs/>
                <w:sz w:val="22"/>
                <w:szCs w:val="22"/>
              </w:rPr>
            </w:pPr>
            <w:r>
              <w:rPr>
                <w:rFonts w:eastAsia="Aptos" w:cs=""/>
                <w:bCs/>
                <w:kern w:val="2"/>
                <w:sz w:val="22"/>
                <w:szCs w:val="22"/>
                <w:lang w:val="fr-FR" w:eastAsia="en-US" w:bidi="ar-SA"/>
              </w:rPr>
              <w:t>APTAS</w:t>
            </w:r>
          </w:p>
        </w:tc>
        <w:tc>
          <w:tcPr>
            <w:tcW w:w="2694" w:type="dxa"/>
            <w:tcBorders/>
          </w:tcPr>
          <w:p>
            <w:pPr>
              <w:pStyle w:val="Normal"/>
              <w:widowControl/>
              <w:spacing w:lineRule="auto" w:line="240" w:before="0" w:after="0"/>
              <w:jc w:val="center"/>
              <w:rPr>
                <w:bCs/>
                <w:sz w:val="22"/>
                <w:szCs w:val="22"/>
              </w:rPr>
            </w:pPr>
            <w:r>
              <w:rPr>
                <w:rFonts w:eastAsia="Aptos" w:cs=""/>
                <w:bCs/>
                <w:kern w:val="2"/>
                <w:sz w:val="22"/>
                <w:szCs w:val="22"/>
                <w:lang w:val="fr-FR" w:eastAsia="en-US" w:bidi="ar-SA"/>
              </w:rPr>
              <w:t>21</w:t>
            </w:r>
          </w:p>
        </w:tc>
      </w:tr>
      <w:tr>
        <w:trPr/>
        <w:tc>
          <w:tcPr>
            <w:tcW w:w="2829" w:type="dxa"/>
            <w:tcBorders/>
          </w:tcPr>
          <w:p>
            <w:pPr>
              <w:pStyle w:val="Normal"/>
              <w:widowControl/>
              <w:spacing w:lineRule="auto" w:line="240" w:before="0" w:after="0"/>
              <w:jc w:val="both"/>
              <w:rPr>
                <w:bCs/>
                <w:sz w:val="22"/>
                <w:szCs w:val="22"/>
              </w:rPr>
            </w:pPr>
            <w:r>
              <w:rPr>
                <w:rFonts w:eastAsia="Aptos" w:cs=""/>
                <w:bCs/>
                <w:kern w:val="2"/>
                <w:sz w:val="22"/>
                <w:szCs w:val="22"/>
                <w:lang w:val="fr-FR" w:eastAsia="en-US" w:bidi="ar-SA"/>
              </w:rPr>
              <w:t>SAMSAH</w:t>
            </w:r>
          </w:p>
        </w:tc>
        <w:tc>
          <w:tcPr>
            <w:tcW w:w="2694" w:type="dxa"/>
            <w:tcBorders/>
          </w:tcPr>
          <w:p>
            <w:pPr>
              <w:pStyle w:val="Normal"/>
              <w:widowControl/>
              <w:spacing w:lineRule="auto" w:line="240" w:before="0" w:after="0"/>
              <w:jc w:val="center"/>
              <w:rPr>
                <w:bCs/>
                <w:sz w:val="22"/>
                <w:szCs w:val="22"/>
              </w:rPr>
            </w:pPr>
            <w:r>
              <w:rPr>
                <w:rFonts w:eastAsia="Aptos" w:cs=""/>
                <w:bCs/>
                <w:kern w:val="2"/>
                <w:sz w:val="22"/>
                <w:szCs w:val="22"/>
                <w:lang w:val="fr-FR" w:eastAsia="en-US" w:bidi="ar-SA"/>
              </w:rPr>
              <w:t>1</w:t>
            </w:r>
          </w:p>
        </w:tc>
      </w:tr>
      <w:tr>
        <w:trPr/>
        <w:tc>
          <w:tcPr>
            <w:tcW w:w="2829" w:type="dxa"/>
            <w:tcBorders/>
          </w:tcPr>
          <w:p>
            <w:pPr>
              <w:pStyle w:val="Normal"/>
              <w:widowControl/>
              <w:spacing w:lineRule="auto" w:line="240" w:before="0" w:after="0"/>
              <w:jc w:val="both"/>
              <w:rPr>
                <w:bCs/>
                <w:sz w:val="22"/>
                <w:szCs w:val="22"/>
              </w:rPr>
            </w:pPr>
            <w:r>
              <w:rPr>
                <w:rFonts w:eastAsia="Aptos" w:cs=""/>
                <w:bCs/>
                <w:kern w:val="2"/>
                <w:sz w:val="22"/>
                <w:szCs w:val="22"/>
                <w:lang w:val="fr-FR" w:eastAsia="en-US" w:bidi="ar-SA"/>
              </w:rPr>
              <w:t>SIEGE</w:t>
            </w:r>
          </w:p>
        </w:tc>
        <w:tc>
          <w:tcPr>
            <w:tcW w:w="2694" w:type="dxa"/>
            <w:tcBorders/>
          </w:tcPr>
          <w:p>
            <w:pPr>
              <w:pStyle w:val="Normal"/>
              <w:widowControl/>
              <w:spacing w:lineRule="auto" w:line="240" w:before="0" w:after="0"/>
              <w:jc w:val="center"/>
              <w:rPr>
                <w:bCs/>
                <w:sz w:val="22"/>
                <w:szCs w:val="22"/>
              </w:rPr>
            </w:pPr>
            <w:r>
              <w:rPr>
                <w:rFonts w:eastAsia="Aptos" w:cs=""/>
                <w:bCs/>
                <w:kern w:val="2"/>
                <w:sz w:val="22"/>
                <w:szCs w:val="22"/>
                <w:lang w:val="fr-FR" w:eastAsia="en-US" w:bidi="ar-SA"/>
              </w:rPr>
              <w:t>5</w:t>
            </w:r>
          </w:p>
        </w:tc>
      </w:tr>
      <w:tr>
        <w:trPr>
          <w:trHeight w:val="313" w:hRule="atLeast"/>
        </w:trPr>
        <w:tc>
          <w:tcPr>
            <w:tcW w:w="2829" w:type="dxa"/>
            <w:tcBorders/>
            <w:shd w:color="auto" w:fill="BFBFBF" w:themeFill="background1" w:themeFillShade="bf" w:val="clear"/>
          </w:tcPr>
          <w:p>
            <w:pPr>
              <w:pStyle w:val="Normal"/>
              <w:widowControl/>
              <w:spacing w:lineRule="auto" w:line="240" w:before="0" w:after="0"/>
              <w:jc w:val="left"/>
              <w:rPr>
                <w:b/>
                <w:bCs/>
                <w:sz w:val="22"/>
                <w:szCs w:val="22"/>
              </w:rPr>
            </w:pPr>
            <w:r>
              <w:rPr>
                <w:rFonts w:eastAsia="Aptos" w:cs=""/>
                <w:b/>
                <w:bCs/>
                <w:kern w:val="2"/>
                <w:sz w:val="22"/>
                <w:szCs w:val="22"/>
                <w:lang w:val="fr-FR" w:eastAsia="en-US" w:bidi="ar-SA"/>
              </w:rPr>
              <w:t>TOTAL</w:t>
            </w:r>
          </w:p>
        </w:tc>
        <w:tc>
          <w:tcPr>
            <w:tcW w:w="2694" w:type="dxa"/>
            <w:tcBorders/>
            <w:shd w:color="auto" w:fill="BFBFBF" w:themeFill="background1" w:themeFillShade="bf" w:val="clear"/>
          </w:tcPr>
          <w:p>
            <w:pPr>
              <w:pStyle w:val="Normal"/>
              <w:widowControl/>
              <w:spacing w:lineRule="auto" w:line="240" w:before="0" w:after="0"/>
              <w:jc w:val="center"/>
              <w:rPr>
                <w:b/>
                <w:bCs/>
                <w:sz w:val="22"/>
                <w:szCs w:val="22"/>
              </w:rPr>
            </w:pPr>
            <w:r>
              <w:rPr>
                <w:rFonts w:eastAsia="Aptos" w:cs=""/>
                <w:b/>
                <w:bCs/>
                <w:kern w:val="2"/>
                <w:sz w:val="22"/>
                <w:szCs w:val="22"/>
                <w:lang w:val="fr-FR" w:eastAsia="en-US" w:bidi="ar-SA"/>
              </w:rPr>
              <w:t>79</w:t>
            </w:r>
          </w:p>
        </w:tc>
      </w:tr>
    </w:tbl>
    <w:p>
      <w:pPr>
        <w:pStyle w:val="Normal"/>
        <w:jc w:val="both"/>
        <w:rPr>
          <w:bCs/>
          <w:sz w:val="22"/>
          <w:szCs w:val="22"/>
        </w:rPr>
      </w:pPr>
      <w:r>
        <w:rPr>
          <w:bCs/>
          <w:sz w:val="22"/>
          <w:szCs w:val="22"/>
        </w:rPr>
      </w:r>
    </w:p>
    <w:p>
      <w:pPr>
        <w:pStyle w:val="Normal"/>
        <w:tabs>
          <w:tab w:val="clear" w:pos="708"/>
          <w:tab w:val="left" w:pos="2020" w:leader="none"/>
        </w:tabs>
        <w:jc w:val="both"/>
        <w:rPr>
          <w:bCs/>
          <w:sz w:val="22"/>
          <w:szCs w:val="22"/>
        </w:rPr>
      </w:pPr>
      <w:r>
        <w:rPr>
          <w:bCs/>
          <w:sz w:val="22"/>
          <w:szCs w:val="22"/>
        </w:rPr>
        <w:t>Augmentation de la participation employeur pour les cotisations CSE.</w:t>
      </w:r>
    </w:p>
    <w:p>
      <w:pPr>
        <w:pStyle w:val="Normal"/>
        <w:tabs>
          <w:tab w:val="clear" w:pos="708"/>
          <w:tab w:val="left" w:pos="2020" w:leader="none"/>
        </w:tabs>
        <w:jc w:val="both"/>
        <w:rPr>
          <w:bCs/>
          <w:sz w:val="22"/>
          <w:szCs w:val="22"/>
        </w:rPr>
      </w:pPr>
      <w:r>
        <w:rPr>
          <w:bCs/>
          <w:sz w:val="22"/>
          <w:szCs w:val="22"/>
        </w:rPr>
        <w:t>La Direction est en réflexion, reste ouverte et réfléchit à une augmentation du pourcentage de la cotisation « œuvres sociales » du CSE, ou une enveloppe pour augmenter le budget des œuvres sociales.</w:t>
      </w:r>
    </w:p>
    <w:p>
      <w:pPr>
        <w:pStyle w:val="Normal"/>
        <w:jc w:val="both"/>
        <w:rPr>
          <w:bCs/>
          <w:sz w:val="10"/>
          <w:szCs w:val="10"/>
        </w:rPr>
      </w:pPr>
      <w:r>
        <w:rPr>
          <w:bCs/>
          <w:sz w:val="10"/>
          <w:szCs w:val="10"/>
        </w:rPr>
      </w:r>
    </w:p>
    <w:p>
      <w:pPr>
        <w:pStyle w:val="Normal"/>
        <w:jc w:val="both"/>
        <w:rPr>
          <w:bCs/>
          <w:sz w:val="22"/>
          <w:szCs w:val="22"/>
        </w:rPr>
      </w:pPr>
      <w:r>
        <w:rPr>
          <w:bCs/>
          <w:sz w:val="22"/>
          <w:szCs w:val="22"/>
        </w:rPr>
        <w:t xml:space="preserve">Les dépenses du groupe 2 2025 montrent d’ores et déjà un résultat prévisionnel déficitaire de l’ordre de -300 000 € à minima au 31/12/2025 qui sera à confirmer avec les derniers passages d’écritures comptables. Dans ces conditions l’APAJH 17 ne peut octroyer des postes supplémentaires mais réfléchit à ses leviers d’attractivité pour recruter et fidéliser ses professionnels. </w:t>
      </w:r>
    </w:p>
    <w:p>
      <w:pPr>
        <w:pStyle w:val="Normal"/>
        <w:jc w:val="both"/>
        <w:rPr>
          <w:bCs/>
          <w:sz w:val="10"/>
          <w:szCs w:val="10"/>
        </w:rPr>
      </w:pPr>
      <w:r>
        <w:rPr>
          <w:bCs/>
          <w:sz w:val="10"/>
          <w:szCs w:val="10"/>
        </w:rPr>
      </w:r>
    </w:p>
    <w:p>
      <w:pPr>
        <w:pStyle w:val="Normal"/>
        <w:jc w:val="both"/>
        <w:rPr>
          <w:bCs/>
          <w:sz w:val="22"/>
          <w:szCs w:val="22"/>
        </w:rPr>
      </w:pPr>
      <w:r>
        <w:rPr>
          <w:bCs/>
          <w:sz w:val="22"/>
          <w:szCs w:val="22"/>
        </w:rPr>
        <w:t xml:space="preserve">Travailleur présentant un handicap. </w:t>
      </w:r>
    </w:p>
    <w:p>
      <w:pPr>
        <w:pStyle w:val="Normal"/>
        <w:jc w:val="both"/>
        <w:rPr>
          <w:bCs/>
          <w:sz w:val="22"/>
          <w:szCs w:val="22"/>
        </w:rPr>
      </w:pPr>
      <w:r>
        <w:rPr>
          <w:bCs/>
          <w:sz w:val="22"/>
          <w:szCs w:val="22"/>
        </w:rPr>
        <w:t>Un suivi des salariés et des dossiers OETH ouverts, un rappel des droits ainsi qu’une nomination d’un référent.</w:t>
      </w:r>
    </w:p>
    <w:p>
      <w:pPr>
        <w:pStyle w:val="Normal"/>
        <w:jc w:val="both"/>
        <w:rPr>
          <w:bCs/>
          <w:sz w:val="10"/>
          <w:szCs w:val="10"/>
        </w:rPr>
      </w:pPr>
      <w:r>
        <w:rPr>
          <w:bCs/>
          <w:sz w:val="10"/>
          <w:szCs w:val="10"/>
        </w:rPr>
      </w:r>
    </w:p>
    <w:p>
      <w:pPr>
        <w:pStyle w:val="Normal"/>
        <w:jc w:val="both"/>
        <w:rPr>
          <w:bCs/>
          <w:sz w:val="22"/>
          <w:szCs w:val="22"/>
        </w:rPr>
      </w:pPr>
      <w:r>
        <w:rPr>
          <w:bCs/>
          <w:sz w:val="22"/>
          <w:szCs w:val="22"/>
        </w:rPr>
        <w:t>Plan sénior.</w:t>
      </w:r>
    </w:p>
    <w:p>
      <w:pPr>
        <w:pStyle w:val="Normal"/>
        <w:jc w:val="both"/>
        <w:rPr>
          <w:bCs/>
          <w:sz w:val="22"/>
          <w:szCs w:val="22"/>
        </w:rPr>
      </w:pPr>
      <w:r>
        <w:rPr>
          <w:bCs/>
          <w:sz w:val="22"/>
          <w:szCs w:val="22"/>
        </w:rPr>
        <w:t>Un calendrier de réunions de réflexion sera établi pour l’année 2026 avec les membres du CSE et les organisations syndicales.</w:t>
      </w:r>
    </w:p>
    <w:p>
      <w:pPr>
        <w:pStyle w:val="Normal"/>
        <w:jc w:val="both"/>
        <w:rPr>
          <w:sz w:val="22"/>
          <w:szCs w:val="22"/>
        </w:rPr>
      </w:pPr>
      <w:r>
        <w:rPr>
          <w:sz w:val="22"/>
          <w:szCs w:val="22"/>
        </w:rPr>
        <w:t xml:space="preserve"> </w:t>
      </w:r>
      <w:r>
        <w:rPr>
          <w:b/>
          <w:bCs/>
          <w:sz w:val="22"/>
          <w:szCs w:val="22"/>
        </w:rPr>
        <w:t>THEMATIQUE 2 – REMUNERATION, TEMPS DE TRAVAIL &amp; PARTAGE DE LA VALEUR AJOUTEE</w:t>
      </w:r>
      <w:r>
        <w:rPr>
          <w:sz w:val="22"/>
          <w:szCs w:val="22"/>
        </w:rPr>
        <w:t xml:space="preserve"> </w:t>
      </w:r>
    </w:p>
    <w:p>
      <w:pPr>
        <w:pStyle w:val="Normal"/>
        <w:jc w:val="both"/>
        <w:rPr>
          <w:b/>
          <w:sz w:val="22"/>
          <w:szCs w:val="22"/>
        </w:rPr>
      </w:pPr>
      <w:r>
        <w:rPr>
          <w:b/>
          <w:sz w:val="22"/>
          <w:szCs w:val="22"/>
        </w:rPr>
      </w:r>
    </w:p>
    <w:p>
      <w:pPr>
        <w:pStyle w:val="Normal"/>
        <w:jc w:val="both"/>
        <w:rPr>
          <w:b/>
          <w:sz w:val="22"/>
          <w:szCs w:val="22"/>
        </w:rPr>
      </w:pPr>
      <w:r>
        <w:rPr>
          <w:b/>
          <w:sz w:val="22"/>
          <w:szCs w:val="22"/>
        </w:rPr>
        <w:t>2.1 Salaire, prime</w:t>
      </w:r>
    </w:p>
    <w:p>
      <w:pPr>
        <w:pStyle w:val="Normal"/>
        <w:jc w:val="both"/>
        <w:rPr>
          <w:sz w:val="22"/>
          <w:szCs w:val="22"/>
        </w:rPr>
      </w:pPr>
      <w:r>
        <w:rPr>
          <w:sz w:val="22"/>
          <w:szCs w:val="22"/>
        </w:rPr>
        <w:t xml:space="preserve">L’APAJH 17 ne souhaite pas déroger aux règles conventionnelles en la matière et ne prendra pas de mesures d’extension de la prime SEGUR 2 qui ne soient pas financées ou agrées par un accord national. </w:t>
      </w:r>
    </w:p>
    <w:p>
      <w:pPr>
        <w:pStyle w:val="Normal"/>
        <w:jc w:val="both"/>
        <w:rPr>
          <w:sz w:val="22"/>
          <w:szCs w:val="22"/>
        </w:rPr>
      </w:pPr>
      <w:r>
        <w:rPr>
          <w:sz w:val="22"/>
          <w:szCs w:val="22"/>
        </w:rPr>
        <w:t>Pour rappel, la recommandation patronale instaurant la prime mensuelle SEGUR 2 concerne les salariés suivants : Aide-Soignant, Auxiliaire de puériculture, infirmier, puériculteur, cadre infirmier, masseurs kinésithérapeutes, orthophonistes, orthoptistes, ergothérapeutes, psychomotriciens dans les établissements susvisés par la recommandation patronale.</w:t>
      </w:r>
    </w:p>
    <w:p>
      <w:pPr>
        <w:pStyle w:val="Normal"/>
        <w:jc w:val="both"/>
        <w:rPr>
          <w:sz w:val="22"/>
          <w:szCs w:val="22"/>
        </w:rPr>
      </w:pPr>
      <w:r>
        <w:rPr>
          <w:sz w:val="22"/>
          <w:szCs w:val="22"/>
        </w:rPr>
        <w:t xml:space="preserve">Son montant s’élève à 38 € brut pour un ETP. En cas de temps partiel, elle est proratisée à hauteur du temps contractuel. </w:t>
      </w:r>
    </w:p>
    <w:p>
      <w:pPr>
        <w:pStyle w:val="Normal"/>
        <w:jc w:val="both"/>
        <w:rPr>
          <w:sz w:val="22"/>
          <w:szCs w:val="22"/>
        </w:rPr>
      </w:pPr>
      <w:r>
        <w:rPr>
          <w:sz w:val="22"/>
          <w:szCs w:val="22"/>
        </w:rPr>
        <w:t xml:space="preserve">Les négociations entre AXESS et les organisations syndicales sur la Convention Collective Unique du secteur sont en cours et n’ont pas abouti à ce jour. Elle prévoyait une nouvelle classification des métiers dans une grille de salaires devant apporter davantage de reconnaissance à nos métiers avec des renégociations à chaque revalorisation du SMIC pour éviter le tassement des grilles. L’APAJH 17 ne souhaite pas à ce jour entamer de nouvelles négociations par accord d’entreprise portant sur le salaire minimum sans connaissance de l’aboutissement des négociations nationales.  </w:t>
      </w:r>
    </w:p>
    <w:p>
      <w:pPr>
        <w:pStyle w:val="Normal"/>
        <w:jc w:val="both"/>
        <w:rPr>
          <w:sz w:val="22"/>
          <w:szCs w:val="22"/>
        </w:rPr>
      </w:pPr>
      <w:r>
        <w:rPr>
          <w:sz w:val="22"/>
          <w:szCs w:val="22"/>
        </w:rPr>
        <w:t xml:space="preserve">L’APAJH 17 a cependant acté une DUE pour une prime PPV de 150 € après information du CSE du 09 Décembre 2025. </w:t>
      </w:r>
    </w:p>
    <w:p>
      <w:pPr>
        <w:pStyle w:val="Normal"/>
        <w:jc w:val="both"/>
        <w:rPr>
          <w:sz w:val="22"/>
          <w:szCs w:val="22"/>
        </w:rPr>
      </w:pPr>
      <w:r>
        <w:rPr>
          <w:sz w:val="22"/>
          <w:szCs w:val="22"/>
        </w:rPr>
        <w:t xml:space="preserve">Pour rappel la DUE précise le versement de la prime PPV en ces termes : La prime de partage de la valeur sera versée aux salariés qui remplissent les conditions cumulatives suivantes : Bénéficier d’un contrat de travail à la date de versement de la prime soit le 23 décembre 2025 au versement de la paie.  </w:t>
      </w:r>
    </w:p>
    <w:p>
      <w:pPr>
        <w:pStyle w:val="Normal"/>
        <w:jc w:val="both"/>
        <w:rPr>
          <w:sz w:val="22"/>
          <w:szCs w:val="22"/>
        </w:rPr>
      </w:pPr>
      <w:r>
        <w:rPr>
          <w:sz w:val="22"/>
          <w:szCs w:val="22"/>
        </w:rPr>
        <w:t>Le montant de la prime est proratisé pour les salariés à temps partiel selon le calcul suivant : montant de la prime x (durée hebdomadaire contractuelle du salarié / 35h).</w:t>
      </w:r>
    </w:p>
    <w:p>
      <w:pPr>
        <w:pStyle w:val="Normal"/>
        <w:jc w:val="both"/>
        <w:rPr>
          <w:sz w:val="22"/>
          <w:szCs w:val="22"/>
        </w:rPr>
      </w:pPr>
      <w:r>
        <w:rPr>
          <w:sz w:val="22"/>
          <w:szCs w:val="22"/>
        </w:rPr>
        <w:t>La prime est de 150 € pour les salariés qui ont été présents des douze mois qui précèdent le versement de la prime.</w:t>
      </w:r>
    </w:p>
    <w:p>
      <w:pPr>
        <w:pStyle w:val="Normal"/>
        <w:jc w:val="both"/>
        <w:rPr>
          <w:sz w:val="22"/>
          <w:szCs w:val="22"/>
        </w:rPr>
      </w:pPr>
      <w:r>
        <w:rPr>
          <w:sz w:val="22"/>
          <w:szCs w:val="22"/>
        </w:rPr>
        <w:t>Sont considérés par la loi comme présents les salariés absents dans le cadre des congés suivants : le congé de maternité, le congé d’adoption, le congé de paternité, le congé parental d’éducation, qu'il soit à temps plein ou partiel, le congé pour enfant malade, le congé de présence parentale, le congé acquis par don de jours de repos pour enfant gravement malade.</w:t>
      </w:r>
    </w:p>
    <w:p>
      <w:pPr>
        <w:pStyle w:val="Normal"/>
        <w:jc w:val="both"/>
        <w:rPr>
          <w:sz w:val="22"/>
          <w:szCs w:val="22"/>
        </w:rPr>
      </w:pPr>
      <w:r>
        <w:rPr>
          <w:sz w:val="22"/>
          <w:szCs w:val="22"/>
        </w:rPr>
        <w:t>Le montant de la prime est réduit si le salarié a été embauché au cours des douze derniers mois, ou absent pour un autre motif que celui indiqué ci-dessus : la prime est alors calculée au prorata temporis.</w:t>
      </w:r>
    </w:p>
    <w:p>
      <w:pPr>
        <w:pStyle w:val="Normal"/>
        <w:jc w:val="both"/>
        <w:rPr>
          <w:sz w:val="22"/>
          <w:szCs w:val="22"/>
        </w:rPr>
      </w:pPr>
      <w:r>
        <w:rPr>
          <w:sz w:val="22"/>
          <w:szCs w:val="22"/>
        </w:rPr>
      </w:r>
    </w:p>
    <w:p>
      <w:pPr>
        <w:pStyle w:val="Normal"/>
        <w:jc w:val="both"/>
        <w:rPr>
          <w:sz w:val="22"/>
          <w:szCs w:val="22"/>
        </w:rPr>
      </w:pPr>
      <w:r>
        <w:rPr>
          <w:sz w:val="22"/>
          <w:szCs w:val="22"/>
        </w:rPr>
        <w:t>Supprimer le critère d’ancienneté d’un an pour bénéficier des journées enfant malade, un avenant à l’accord sera établi.</w:t>
      </w:r>
    </w:p>
    <w:p>
      <w:pPr>
        <w:pStyle w:val="Normal"/>
        <w:jc w:val="both"/>
        <w:rPr>
          <w:b/>
          <w:sz w:val="22"/>
          <w:szCs w:val="22"/>
        </w:rPr>
      </w:pPr>
      <w:r>
        <w:rPr>
          <w:b/>
          <w:sz w:val="22"/>
          <w:szCs w:val="22"/>
        </w:rPr>
        <w:t>2.2 Rémunération des étudiants et travailleurs en formation </w:t>
      </w:r>
    </w:p>
    <w:p>
      <w:pPr>
        <w:pStyle w:val="Normal"/>
        <w:jc w:val="both"/>
        <w:rPr>
          <w:sz w:val="22"/>
          <w:szCs w:val="22"/>
        </w:rPr>
      </w:pPr>
      <w:r>
        <w:rPr>
          <w:sz w:val="22"/>
          <w:szCs w:val="22"/>
        </w:rPr>
        <w:t xml:space="preserve">L’APAJH respecte les règles légales en la matière. Les salariés entrant dans un processus de contrat de professionnalisation et de qualification, bénéficient du maintien de salaire en fonction de leur planning. </w:t>
      </w:r>
    </w:p>
    <w:p>
      <w:pPr>
        <w:pStyle w:val="Normal"/>
        <w:jc w:val="both"/>
        <w:rPr>
          <w:sz w:val="22"/>
          <w:szCs w:val="22"/>
        </w:rPr>
      </w:pPr>
      <w:r>
        <w:rPr>
          <w:sz w:val="22"/>
          <w:szCs w:val="22"/>
        </w:rPr>
      </w:r>
    </w:p>
    <w:p>
      <w:pPr>
        <w:pStyle w:val="Normal"/>
        <w:jc w:val="both"/>
        <w:rPr>
          <w:b/>
          <w:sz w:val="22"/>
          <w:szCs w:val="22"/>
        </w:rPr>
      </w:pPr>
      <w:r>
        <w:rPr>
          <w:b/>
          <w:sz w:val="22"/>
          <w:szCs w:val="22"/>
        </w:rPr>
        <w:t xml:space="preserve">2.3 Congés trimestriels </w:t>
      </w:r>
    </w:p>
    <w:p>
      <w:pPr>
        <w:pStyle w:val="Normal"/>
        <w:jc w:val="both"/>
        <w:rPr>
          <w:sz w:val="22"/>
          <w:szCs w:val="22"/>
        </w:rPr>
      </w:pPr>
      <w:r>
        <w:rPr>
          <w:sz w:val="22"/>
          <w:szCs w:val="22"/>
        </w:rPr>
        <w:t xml:space="preserve">L’APAJH 17 ne souhaite pas déroger aux règles conventionnelles et à l’accord d’entreprise relatif aux congés associatifs. </w:t>
      </w:r>
    </w:p>
    <w:p>
      <w:pPr>
        <w:pStyle w:val="Normal"/>
        <w:jc w:val="both"/>
        <w:rPr>
          <w:sz w:val="22"/>
          <w:szCs w:val="22"/>
        </w:rPr>
      </w:pPr>
      <w:r>
        <w:rPr>
          <w:sz w:val="22"/>
          <w:szCs w:val="22"/>
        </w:rPr>
        <w:t xml:space="preserve"> </w:t>
      </w:r>
    </w:p>
    <w:p>
      <w:pPr>
        <w:pStyle w:val="Normal"/>
        <w:rPr>
          <w:b/>
          <w:sz w:val="22"/>
          <w:szCs w:val="22"/>
        </w:rPr>
      </w:pPr>
      <w:r>
        <w:rPr>
          <w:b/>
          <w:sz w:val="22"/>
          <w:szCs w:val="22"/>
        </w:rPr>
        <w:t>2.4 Ouverture d’un Compte Epargne Temps pour tous les salariés.</w:t>
      </w:r>
    </w:p>
    <w:p>
      <w:pPr>
        <w:pStyle w:val="Normal"/>
        <w:jc w:val="both"/>
        <w:rPr>
          <w:sz w:val="22"/>
          <w:szCs w:val="22"/>
        </w:rPr>
      </w:pPr>
      <w:r>
        <w:rPr>
          <w:sz w:val="22"/>
          <w:szCs w:val="22"/>
        </w:rPr>
        <w:t xml:space="preserve">Il n’est pas envisageable pour le moment d’ouvrir un compte épargne temps pour l’ensemble des salariés. Effectivement, cela demande une gestion trop conséquente actuellement. </w:t>
      </w:r>
    </w:p>
    <w:p>
      <w:pPr>
        <w:pStyle w:val="Normal"/>
        <w:jc w:val="both"/>
        <w:rPr>
          <w:sz w:val="22"/>
          <w:szCs w:val="22"/>
        </w:rPr>
      </w:pPr>
      <w:r>
        <w:rPr>
          <w:sz w:val="22"/>
          <w:szCs w:val="22"/>
        </w:rPr>
      </w:r>
    </w:p>
    <w:p>
      <w:pPr>
        <w:pStyle w:val="Normal"/>
        <w:rPr>
          <w:b/>
          <w:sz w:val="22"/>
          <w:szCs w:val="22"/>
        </w:rPr>
      </w:pPr>
      <w:r>
        <w:rPr>
          <w:b/>
          <w:sz w:val="22"/>
          <w:szCs w:val="22"/>
        </w:rPr>
        <w:t xml:space="preserve">2.5 Subrogation lors des arrêts de travail </w:t>
      </w:r>
    </w:p>
    <w:p>
      <w:pPr>
        <w:pStyle w:val="Normal"/>
        <w:jc w:val="both"/>
        <w:rPr>
          <w:sz w:val="22"/>
          <w:szCs w:val="22"/>
        </w:rPr>
      </w:pPr>
      <w:r>
        <w:rPr>
          <w:sz w:val="22"/>
          <w:szCs w:val="22"/>
        </w:rPr>
        <w:t>L’APAJH17 n’est pas favorable à subroger les salaires lors des arrêts maladie.</w:t>
      </w:r>
    </w:p>
    <w:p>
      <w:pPr>
        <w:pStyle w:val="Normal"/>
        <w:jc w:val="both"/>
        <w:rPr>
          <w:b/>
          <w:sz w:val="22"/>
          <w:szCs w:val="22"/>
        </w:rPr>
      </w:pPr>
      <w:r>
        <w:rPr>
          <w:b/>
          <w:sz w:val="22"/>
          <w:szCs w:val="22"/>
        </w:rPr>
      </w:r>
    </w:p>
    <w:p>
      <w:pPr>
        <w:pStyle w:val="Normal"/>
        <w:jc w:val="both"/>
        <w:rPr>
          <w:b/>
          <w:sz w:val="22"/>
          <w:szCs w:val="22"/>
        </w:rPr>
      </w:pPr>
      <w:r>
        <w:rPr>
          <w:b/>
          <w:sz w:val="22"/>
          <w:szCs w:val="22"/>
        </w:rPr>
      </w:r>
    </w:p>
    <w:p>
      <w:pPr>
        <w:pStyle w:val="Normal"/>
        <w:jc w:val="both"/>
        <w:rPr>
          <w:b/>
          <w:sz w:val="22"/>
          <w:szCs w:val="22"/>
        </w:rPr>
      </w:pPr>
      <w:r>
        <w:rPr>
          <w:b/>
          <w:sz w:val="22"/>
          <w:szCs w:val="22"/>
        </w:rPr>
      </w:r>
    </w:p>
    <w:p>
      <w:pPr>
        <w:pStyle w:val="Normal"/>
        <w:rPr>
          <w:b/>
          <w:bCs/>
          <w:sz w:val="22"/>
          <w:szCs w:val="22"/>
        </w:rPr>
      </w:pPr>
      <w:r>
        <w:rPr>
          <w:b/>
          <w:bCs/>
          <w:sz w:val="22"/>
          <w:szCs w:val="22"/>
        </w:rPr>
        <w:t>THEMATIQUE 3 – MISE EN PLACE DE LA BDESE</w:t>
      </w:r>
      <w:r>
        <w:rPr>
          <w:sz w:val="22"/>
          <w:szCs w:val="22"/>
        </w:rPr>
        <w:t xml:space="preserve"> </w:t>
      </w:r>
    </w:p>
    <w:p>
      <w:pPr>
        <w:pStyle w:val="Normal"/>
        <w:jc w:val="both"/>
        <w:rPr>
          <w:sz w:val="22"/>
          <w:szCs w:val="22"/>
        </w:rPr>
      </w:pPr>
      <w:r>
        <w:rPr>
          <w:sz w:val="22"/>
          <w:szCs w:val="22"/>
        </w:rPr>
      </w:r>
    </w:p>
    <w:p>
      <w:pPr>
        <w:pStyle w:val="Normal"/>
        <w:jc w:val="both"/>
        <w:rPr>
          <w:sz w:val="22"/>
          <w:szCs w:val="22"/>
        </w:rPr>
      </w:pPr>
      <w:r>
        <w:rPr>
          <w:sz w:val="22"/>
          <w:szCs w:val="22"/>
        </w:rPr>
        <w:t>La base de données économiques, sociales et environnementales (BDESE) rassemble l'ensemble des informations nécessaires aux consultations et informations récurrentes que l'employeur met à disposition du </w:t>
      </w:r>
      <w:hyperlink r:id="rId3">
        <w:r>
          <w:rPr>
            <w:rStyle w:val="ListLabel208"/>
            <w:sz w:val="22"/>
            <w:szCs w:val="22"/>
          </w:rPr>
          <w:t>comité social et économique</w:t>
        </w:r>
      </w:hyperlink>
      <w:r>
        <w:rPr>
          <w:sz w:val="22"/>
          <w:szCs w:val="22"/>
        </w:rPr>
        <w:t>.</w:t>
      </w:r>
    </w:p>
    <w:p>
      <w:pPr>
        <w:pStyle w:val="Normal"/>
        <w:jc w:val="both"/>
        <w:rPr>
          <w:bCs/>
          <w:sz w:val="22"/>
          <w:szCs w:val="22"/>
        </w:rPr>
      </w:pPr>
      <w:r>
        <w:rPr>
          <w:b/>
          <w:bCs/>
          <w:sz w:val="22"/>
          <w:szCs w:val="22"/>
        </w:rPr>
        <w:t>Entreprises de moins de 300 salariés -</w:t>
      </w:r>
      <w:r>
        <w:rPr>
          <w:sz w:val="22"/>
          <w:szCs w:val="22"/>
        </w:rPr>
        <w:t> Le code du travail définit l'ensemble des données que doit comprendre la BDESE dans les entreprises de moins de 300 salariés en l'absence d'accord (c. trav. </w:t>
      </w:r>
      <w:hyperlink r:id="rId4" w:tgtFrame="_blank">
        <w:r>
          <w:rPr>
            <w:rStyle w:val="ListLabel208"/>
            <w:sz w:val="22"/>
            <w:szCs w:val="22"/>
          </w:rPr>
          <w:t>art. R. 2312-8</w:t>
        </w:r>
      </w:hyperlink>
      <w:r>
        <w:rPr>
          <w:sz w:val="22"/>
          <w:szCs w:val="22"/>
        </w:rPr>
        <w:t xml:space="preserve">). </w:t>
      </w:r>
    </w:p>
    <w:p>
      <w:pPr>
        <w:pStyle w:val="Normal"/>
        <w:jc w:val="both"/>
        <w:rPr>
          <w:bCs/>
          <w:sz w:val="22"/>
          <w:szCs w:val="22"/>
        </w:rPr>
      </w:pPr>
      <w:r>
        <w:rPr>
          <w:bCs/>
          <w:sz w:val="22"/>
          <w:szCs w:val="22"/>
        </w:rPr>
        <w:t xml:space="preserve">La BDESE est disponible et est consultable par les délégués syndicaux et les membres du CSE sur Pyramid – CEGI avec des codes d’accès personnalisés. </w:t>
      </w:r>
    </w:p>
    <w:p>
      <w:pPr>
        <w:pStyle w:val="Normal"/>
        <w:jc w:val="both"/>
        <w:rPr>
          <w:bCs/>
          <w:sz w:val="22"/>
          <w:szCs w:val="22"/>
        </w:rPr>
      </w:pPr>
      <w:r>
        <w:rPr>
          <w:bCs/>
          <w:sz w:val="22"/>
          <w:szCs w:val="22"/>
        </w:rPr>
      </w:r>
    </w:p>
    <w:p>
      <w:pPr>
        <w:pStyle w:val="Normal"/>
        <w:jc w:val="both"/>
        <w:rPr>
          <w:bCs/>
          <w:sz w:val="22"/>
          <w:szCs w:val="22"/>
        </w:rPr>
      </w:pPr>
      <w:r>
        <w:rPr>
          <w:bCs/>
          <w:sz w:val="22"/>
          <w:szCs w:val="22"/>
        </w:rPr>
      </w:r>
    </w:p>
    <w:p>
      <w:pPr>
        <w:pStyle w:val="Normal"/>
        <w:jc w:val="both"/>
        <w:rPr>
          <w:b/>
          <w:bCs/>
          <w:sz w:val="22"/>
          <w:szCs w:val="22"/>
        </w:rPr>
      </w:pPr>
      <w:r>
        <w:rPr>
          <w:b/>
          <w:bCs/>
          <w:sz w:val="22"/>
          <w:szCs w:val="22"/>
        </w:rPr>
      </w:r>
    </w:p>
    <w:p>
      <w:pPr>
        <w:pStyle w:val="Normal"/>
        <w:jc w:val="both"/>
        <w:rPr>
          <w:b/>
          <w:bCs/>
          <w:sz w:val="22"/>
          <w:szCs w:val="22"/>
        </w:rPr>
      </w:pPr>
      <w:r>
        <w:rPr>
          <w:b/>
          <w:bCs/>
          <w:sz w:val="22"/>
          <w:szCs w:val="22"/>
        </w:rPr>
      </w:r>
    </w:p>
    <w:p>
      <w:pPr>
        <w:pStyle w:val="Normal"/>
        <w:rPr>
          <w:b/>
          <w:bCs/>
          <w:sz w:val="22"/>
          <w:szCs w:val="22"/>
        </w:rPr>
      </w:pPr>
      <w:r>
        <w:rPr>
          <w:b/>
          <w:bCs/>
          <w:sz w:val="22"/>
          <w:szCs w:val="22"/>
        </w:rPr>
      </w:r>
      <w:r>
        <w:br w:type="page"/>
      </w:r>
    </w:p>
    <w:p>
      <w:pPr>
        <w:pStyle w:val="Normal"/>
        <w:spacing w:before="0" w:after="160"/>
        <w:jc w:val="both"/>
        <w:rPr>
          <w:b/>
          <w:bCs/>
          <w:sz w:val="22"/>
          <w:szCs w:val="22"/>
        </w:rPr>
      </w:pPr>
      <w:r>
        <w:rPr>
          <w:b/>
          <w:bCs/>
          <w:sz w:val="22"/>
          <w:szCs w:val="22"/>
        </w:rPr>
        <w:t>PUBLICATION ET DEPOT DU PROTOCOLE D’ACCORD</w:t>
      </w:r>
    </w:p>
    <w:p>
      <w:pPr>
        <w:pStyle w:val="Normal"/>
        <w:jc w:val="both"/>
        <w:rPr>
          <w:bCs/>
          <w:sz w:val="22"/>
          <w:szCs w:val="22"/>
        </w:rPr>
      </w:pPr>
      <w:r>
        <w:rPr>
          <w:bCs/>
          <w:sz w:val="22"/>
          <w:szCs w:val="22"/>
        </w:rPr>
        <w:t>Le personnel de l’association sera informé de l’existence et du contenu du présent protocole d’accord concernant les négociations annuelles obligatoires par voie d’affichage sur l’ensemble des établissements.</w:t>
      </w:r>
    </w:p>
    <w:p>
      <w:pPr>
        <w:pStyle w:val="Normal"/>
        <w:jc w:val="both"/>
        <w:rPr>
          <w:bCs/>
          <w:sz w:val="22"/>
          <w:szCs w:val="22"/>
        </w:rPr>
      </w:pPr>
      <w:r>
        <w:rPr>
          <w:bCs/>
          <w:sz w:val="22"/>
          <w:szCs w:val="22"/>
        </w:rPr>
        <w:t>En vertu de la législation en vigueur le présent protocole d’accord est présenté à l’agrément dans les conditions fixées par l’article L. 314-6 du code de l’action sociale et des familles.</w:t>
      </w:r>
    </w:p>
    <w:p>
      <w:pPr>
        <w:pStyle w:val="Normal"/>
        <w:jc w:val="both"/>
        <w:rPr>
          <w:bCs/>
          <w:sz w:val="22"/>
          <w:szCs w:val="22"/>
        </w:rPr>
      </w:pPr>
      <w:r>
        <w:rPr>
          <w:bCs/>
          <w:sz w:val="22"/>
          <w:szCs w:val="22"/>
        </w:rPr>
        <w:t>Par ailleurs, un exemplaire signé des parties prenantes sera adressé à la DREETS via la plateforme des dépôts numériques.</w:t>
      </w:r>
    </w:p>
    <w:p>
      <w:pPr>
        <w:pStyle w:val="Normal"/>
        <w:jc w:val="both"/>
        <w:rPr>
          <w:bCs/>
          <w:sz w:val="22"/>
          <w:szCs w:val="22"/>
        </w:rPr>
      </w:pPr>
      <w:r>
        <w:rPr>
          <w:bCs/>
          <w:sz w:val="22"/>
          <w:szCs w:val="22"/>
        </w:rPr>
        <w:t>Un exemplaire sera déposé au Greffe du conseil des prud’hommes du lieu de la conclusion.</w:t>
      </w:r>
    </w:p>
    <w:p>
      <w:pPr>
        <w:pStyle w:val="Normal"/>
        <w:jc w:val="both"/>
        <w:rPr>
          <w:bCs/>
          <w:sz w:val="22"/>
          <w:szCs w:val="22"/>
        </w:rPr>
      </w:pPr>
      <w:r>
        <w:rPr>
          <w:bCs/>
          <w:sz w:val="22"/>
          <w:szCs w:val="22"/>
        </w:rPr>
        <w:t>En outre chaque partie signataire se verra remettre un exemplaire du protocole d’accord.</w:t>
      </w:r>
    </w:p>
    <w:p>
      <w:pPr>
        <w:pStyle w:val="Normal"/>
        <w:jc w:val="both"/>
        <w:rPr>
          <w:bCs/>
          <w:sz w:val="22"/>
          <w:szCs w:val="22"/>
        </w:rPr>
      </w:pPr>
      <w:r>
        <w:rPr>
          <w:bCs/>
          <w:sz w:val="22"/>
          <w:szCs w:val="22"/>
        </w:rPr>
        <w:t>Après avoir lu et paraphé les pages, les parties ont approuvé et signé le présent protocole d’accord concernant les négociations annuelles obligatoires 2025.</w:t>
      </w:r>
    </w:p>
    <w:p>
      <w:pPr>
        <w:pStyle w:val="Normal"/>
        <w:jc w:val="both"/>
        <w:rPr>
          <w:bCs/>
          <w:sz w:val="22"/>
          <w:szCs w:val="22"/>
        </w:rPr>
      </w:pPr>
      <w:r>
        <w:rPr>
          <w:bCs/>
          <w:sz w:val="22"/>
          <w:szCs w:val="22"/>
        </w:rPr>
      </w:r>
    </w:p>
    <w:p>
      <w:pPr>
        <w:pStyle w:val="Normal"/>
        <w:jc w:val="both"/>
        <w:rPr>
          <w:bCs/>
          <w:sz w:val="22"/>
          <w:szCs w:val="22"/>
        </w:rPr>
      </w:pPr>
      <w:r>
        <w:rPr>
          <w:bCs/>
          <w:sz w:val="22"/>
          <w:szCs w:val="22"/>
        </w:rPr>
        <w:t>Fait à La Rochelle le 17/12/2025.</w:t>
      </w:r>
    </w:p>
    <w:p>
      <w:pPr>
        <w:pStyle w:val="Normal"/>
        <w:jc w:val="both"/>
        <w:rPr>
          <w:bCs/>
          <w:sz w:val="22"/>
          <w:szCs w:val="22"/>
        </w:rPr>
      </w:pPr>
      <w:r>
        <w:rPr>
          <w:bCs/>
          <w:sz w:val="22"/>
          <w:szCs w:val="22"/>
        </w:rPr>
      </w:r>
    </w:p>
    <w:p>
      <w:pPr>
        <w:pStyle w:val="Normal"/>
        <w:jc w:val="both"/>
        <w:rPr>
          <w:bCs/>
          <w:sz w:val="22"/>
          <w:szCs w:val="22"/>
        </w:rPr>
      </w:pPr>
      <w:r>
        <w:rPr>
          <w:bCs/>
          <w:sz w:val="22"/>
          <w:szCs w:val="22"/>
        </w:rPr>
        <w:t>Pour la Direction,</w:t>
        <w:tab/>
        <w:tab/>
        <w:tab/>
        <w:t>Pour SUD,</w:t>
        <w:tab/>
        <w:tab/>
        <w:tab/>
        <w:t>Pour la CGT,</w:t>
      </w:r>
    </w:p>
    <w:p>
      <w:pPr>
        <w:pStyle w:val="Normal"/>
        <w:spacing w:before="0" w:after="0"/>
        <w:jc w:val="both"/>
        <w:rPr>
          <w:bCs/>
          <w:sz w:val="22"/>
          <w:szCs w:val="22"/>
        </w:rPr>
      </w:pPr>
      <w:r>
        <w:rPr/>
      </w:r>
    </w:p>
    <w:p>
      <w:pPr>
        <w:pStyle w:val="Normal"/>
        <w:jc w:val="both"/>
        <w:rPr>
          <w:bCs/>
          <w:sz w:val="22"/>
          <w:szCs w:val="22"/>
        </w:rPr>
      </w:pPr>
      <w:r>
        <w:rPr>
          <w:bCs/>
          <w:sz w:val="22"/>
          <w:szCs w:val="22"/>
        </w:rPr>
        <w:t>Directeur Général de l’APAJH 17</w:t>
        <w:tab/>
        <w:t>Délégué Syndical</w:t>
        <w:tab/>
        <w:tab/>
        <w:t>Déléguée Syndicale</w:t>
      </w:r>
    </w:p>
    <w:p>
      <w:pPr>
        <w:pStyle w:val="Normal"/>
        <w:jc w:val="both"/>
        <w:rPr>
          <w:bCs/>
          <w:sz w:val="22"/>
          <w:szCs w:val="22"/>
        </w:rPr>
      </w:pPr>
      <w:r>
        <w:rPr>
          <w:bCs/>
          <w:sz w:val="22"/>
          <w:szCs w:val="22"/>
        </w:rPr>
      </w:r>
    </w:p>
    <w:p>
      <w:pPr>
        <w:pStyle w:val="Normal"/>
        <w:jc w:val="both"/>
        <w:rPr>
          <w:bCs/>
          <w:sz w:val="22"/>
          <w:szCs w:val="22"/>
        </w:rPr>
      </w:pPr>
      <w:r>
        <w:rPr>
          <w:bCs/>
          <w:sz w:val="22"/>
          <w:szCs w:val="22"/>
        </w:rPr>
      </w:r>
    </w:p>
    <w:p>
      <w:pPr>
        <w:pStyle w:val="Normal"/>
        <w:spacing w:before="0" w:after="160"/>
        <w:jc w:val="both"/>
        <w:rPr>
          <w:bCs/>
          <w:sz w:val="22"/>
        </w:rPr>
      </w:pPr>
      <w:r>
        <w:rPr>
          <w:bCs/>
          <w:sz w:val="22"/>
        </w:rPr>
      </w:r>
    </w:p>
    <w:sectPr>
      <w:footerReference w:type="even" r:id="rId5"/>
      <w:footerReference w:type="default" r:id="rId6"/>
      <w:footerReference w:type="first" r:id="rId7"/>
      <w:type w:val="nextPage"/>
      <w:pgSz w:w="11906" w:h="16838"/>
      <w:pgMar w:left="1417" w:right="1417" w:gutter="0" w:header="0" w:top="851" w:footer="1099" w:bottom="1156"/>
      <w:pgNumType w:start="0"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1"/>
    <w:family w:val="auto"/>
    <w:pitch w:val="default"/>
  </w:font>
  <w:font w:name="Aptos Display">
    <w:charset w:val="01"/>
    <w:family w:val="auto"/>
    <w:pitch w:val="default"/>
  </w:font>
  <w:font w:name="Marianne">
    <w:charset w:val="01"/>
    <w:family w:val="auto"/>
    <w:pitch w:val="default"/>
  </w:font>
  <w:font w:name="Times New Roman">
    <w:charset w:val="01"/>
    <w:family w:val="auto"/>
    <w:pitch w:val="default"/>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mc:AlternateContent>
        <mc:Choice Requires="wpg">
          <w:drawing>
            <wp:anchor behindDoc="1" distT="9525" distB="0" distL="9525" distR="9525" simplePos="0" locked="0" layoutInCell="0" allowOverlap="1" relativeHeight="14" wp14:anchorId="06C68039">
              <wp:simplePos x="0" y="0"/>
              <wp:positionH relativeFrom="page">
                <wp:align>center</wp:align>
              </wp:positionH>
              <wp:positionV relativeFrom="bottomMargin">
                <wp:align>center</wp:align>
              </wp:positionV>
              <wp:extent cx="7753350" cy="190500"/>
              <wp:effectExtent l="635" t="5715" r="0" b="0"/>
              <wp:wrapNone/>
              <wp:docPr id="3" name="Groupe 2"/>
              <a:graphic xmlns:a="http://schemas.openxmlformats.org/drawingml/2006/main">
                <a:graphicData uri="http://schemas.microsoft.com/office/word/2010/wordprocessingGroup">
                  <wpg:wgp>
                    <wpg:cNvGrpSpPr/>
                    <wpg:grpSpPr>
                      <a:xfrm>
                        <a:off x="0" y="0"/>
                        <a:ext cx="7753320" cy="190440"/>
                        <a:chOff x="0" y="0"/>
                        <a:chExt cx="7753320" cy="190440"/>
                      </a:xfrm>
                    </wpg:grpSpPr>
                    <wps:wsp>
                      <wps:cNvPr id="4" name="Text Box 25"/>
                      <wps:cNvSpPr/>
                      <wps:spPr>
                        <a:xfrm>
                          <a:off x="6835320" y="8280"/>
                          <a:ext cx="416520" cy="182160"/>
                        </a:xfrm>
                        <a:prstGeom prst="rect">
                          <a:avLst/>
                        </a:prstGeom>
                        <a:noFill/>
                        <a:ln w="0">
                          <a:noFill/>
                        </a:ln>
                      </wps:spPr>
                      <wps:style>
                        <a:lnRef idx="0"/>
                        <a:fillRef idx="0"/>
                        <a:effectRef idx="0"/>
                        <a:fontRef idx="minor"/>
                      </wps:style>
                      <wps:txbx>
                        <w:txbxContent>
                          <w:sdt>
                            <w:sdtPr>
                              <w:docPartObj>
                                <w:docPartGallery w:val="Page Numbers (Bottom of Page)"/>
                                <w:docPartUnique w:val="true"/>
                              </w:docPartObj>
                              <w:id w:val="-869994596"/>
                            </w:sdtPr>
                            <w:sdtContent>
                              <w:p>
                                <w:pPr>
                                  <w:pStyle w:val="Normal"/>
                                  <w:spacing w:before="0" w:after="160"/>
                                  <w:jc w:val="center"/>
                                  <w:rPr>
                                    <w:b/>
                                    <w:bCs/>
                                    <w:color w:themeColor="accent3" w:val="196B24"/>
                                  </w:rPr>
                                </w:pPr>
                                <w:r>
                                  <w:rPr>
                                    <w:b/>
                                    <w:bCs/>
                                    <w:color w:themeColor="accent3" w:val="196B24"/>
                                  </w:rPr>
                                  <w:fldChar w:fldCharType="begin"/>
                                </w:r>
                                <w:r>
                                  <w:rPr>
                                    <w:b/>
                                    <w:bCs/>
                                    <w:color w:themeColor="accent3" w:val="196B24"/>
                                  </w:rPr>
                                  <w:instrText xml:space="preserve"> PAGE </w:instrText>
                                </w:r>
                                <w:r>
                                  <w:rPr>
                                    <w:b/>
                                    <w:bCs/>
                                    <w:color w:themeColor="accent3" w:val="196B24"/>
                                  </w:rPr>
                                  <w:fldChar w:fldCharType="separate"/>
                                </w:r>
                                <w:r>
                                  <w:rPr>
                                    <w:b/>
                                    <w:bCs/>
                                    <w:color w:themeColor="accent3" w:val="196B24"/>
                                  </w:rPr>
                                  <w:t>7</w:t>
                                </w:r>
                                <w:r>
                                  <w:rPr>
                                    <w:b/>
                                    <w:bCs/>
                                    <w:color w:themeColor="accent3" w:val="196B24"/>
                                  </w:rPr>
                                  <w:fldChar w:fldCharType="end"/>
                                </w:r>
                              </w:p>
                            </w:sdtContent>
                          </w:sdt>
                        </w:txbxContent>
                      </wps:txbx>
                      <wps:bodyPr lIns="0" rIns="0" tIns="0" bIns="0" anchor="t">
                        <a:noAutofit/>
                      </wps:bodyPr>
                    </wps:wsp>
                    <wpg:grpSp>
                      <wpg:cNvGrpSpPr/>
                      <wpg:grpSpPr>
                        <a:xfrm>
                          <a:off x="0" y="0"/>
                          <a:ext cx="7753320" cy="145440"/>
                        </a:xfrm>
                      </wpg:grpSpPr>
                      <wps:wsp>
                        <wps:cNvPr id="5" name="AutoShape 27"/>
                        <wps:cNvSpPr/>
                        <wps:spPr>
                          <a:xfrm flipH="1" flipV="1">
                            <a:off x="6957000" y="0"/>
                            <a:ext cx="796320" cy="145440"/>
                          </a:xfrm>
                          <a:prstGeom prst="bentConnector3">
                            <a:avLst>
                              <a:gd name="adj1" fmla="val 50000"/>
                            </a:avLst>
                          </a:prstGeom>
                          <a:noFill/>
                          <a:ln w="9525">
                            <a:solidFill>
                              <a:srgbClr val="a5a5a5"/>
                            </a:solidFill>
                            <a:miter/>
                          </a:ln>
                        </wps:spPr>
                        <wps:style>
                          <a:lnRef idx="0"/>
                          <a:fillRef idx="0"/>
                          <a:effectRef idx="0"/>
                          <a:fontRef idx="minor"/>
                        </wps:style>
                        <wps:bodyPr/>
                      </wps:wsp>
                      <wps:wsp>
                        <wps:cNvPr id="6" name="AutoShape 28"/>
                        <wps:cNvSpPr/>
                        <wps:spPr>
                          <a:xfrm flipH="1" rot="10800000">
                            <a:off x="0" y="0"/>
                            <a:ext cx="6956280" cy="145440"/>
                          </a:xfrm>
                          <a:prstGeom prst="bentConnector3">
                            <a:avLst>
                              <a:gd name="adj1" fmla="val 96778"/>
                            </a:avLst>
                          </a:prstGeom>
                          <a:noFill/>
                          <a:ln w="9525">
                            <a:solidFill>
                              <a:srgbClr val="a5a5a5"/>
                            </a:solidFill>
                            <a:miter/>
                          </a:ln>
                        </wps:spPr>
                        <wps:style>
                          <a:lnRef idx="0"/>
                          <a:fillRef idx="0"/>
                          <a:effectRef idx="0"/>
                          <a:fontRef idx="minor"/>
                        </wps:style>
                        <wps:bodyPr/>
                      </wps:wsp>
                    </wpg:grpSp>
                  </wpg:wgp>
                </a:graphicData>
              </a:graphic>
              <wp14:sizeRelH relativeFrom="page">
                <wp14:pctWidth>100000</wp14:pctWidth>
              </wp14:sizeRelH>
            </wp:anchor>
          </w:drawing>
        </mc:Choice>
        <mc:Fallback>
          <w:pict>
            <v:group id="shape_0" alt="Groupe 2" style="position:absolute;margin-left:-7.7pt;margin-top:26.9pt;width:610.55pt;height:15.05pt" coordorigin="-154,538" coordsize="12211,301">
              <v:rect id="shape_0" ID="Text Box 25" path="m0,0l-2147483645,0l-2147483645,-2147483646l0,-2147483646xe" stroked="f" o:allowincell="f" style="position:absolute;left:10612;top:552;width:655;height:286;mso-wrap-style:square;v-text-anchor:top;mso-position-horizontal:center;mso-position-horizontal-relative:page;mso-position-vertical:center">
                <v:fill o:detectmouseclick="t" on="false"/>
                <v:stroke color="#3465a4" joinstyle="round" endcap="flat"/>
                <v:textbox>
                  <w:txbxContent>
                    <w:sdt>
                      <w:sdtPr>
                        <w:docPartObj>
                          <w:docPartGallery w:val="Page Numbers (Bottom of Page)"/>
                          <w:docPartUnique w:val="true"/>
                        </w:docPartObj>
                        <w:id w:val="-869994596"/>
                      </w:sdtPr>
                      <w:sdtContent>
                        <w:p>
                          <w:pPr>
                            <w:pStyle w:val="Normal"/>
                            <w:spacing w:before="0" w:after="160"/>
                            <w:jc w:val="center"/>
                            <w:rPr>
                              <w:b/>
                              <w:bCs/>
                              <w:color w:themeColor="accent3" w:val="196B24"/>
                            </w:rPr>
                          </w:pPr>
                          <w:r>
                            <w:rPr>
                              <w:b/>
                              <w:bCs/>
                              <w:color w:themeColor="accent3" w:val="196B24"/>
                            </w:rPr>
                            <w:fldChar w:fldCharType="begin"/>
                          </w:r>
                          <w:r>
                            <w:rPr>
                              <w:b/>
                              <w:bCs/>
                              <w:color w:themeColor="accent3" w:val="196B24"/>
                            </w:rPr>
                            <w:instrText xml:space="preserve"> PAGE </w:instrText>
                          </w:r>
                          <w:r>
                            <w:rPr>
                              <w:b/>
                              <w:bCs/>
                              <w:color w:themeColor="accent3" w:val="196B24"/>
                            </w:rPr>
                            <w:fldChar w:fldCharType="separate"/>
                          </w:r>
                          <w:r>
                            <w:rPr>
                              <w:b/>
                              <w:bCs/>
                              <w:color w:themeColor="accent3" w:val="196B24"/>
                            </w:rPr>
                            <w:t>7</w:t>
                          </w:r>
                          <w:r>
                            <w:rPr>
                              <w:b/>
                              <w:bCs/>
                              <w:color w:themeColor="accent3" w:val="196B24"/>
                            </w:rPr>
                            <w:fldChar w:fldCharType="end"/>
                          </w:r>
                        </w:p>
                      </w:sdtContent>
                    </w:sdt>
                  </w:txbxContent>
                </v:textbox>
                <w10:wrap type="none"/>
              </v:rect>
              <v:group id="shape_0" style="position:absolute;left:-154;top:538;width:12211;height:229">
                <v:shapetype id="_x0000_t34" coordsize="21600,21600" o:spt="34" adj="10800" path="m,l@0,l@0,21600l21600,21600nfe">
                  <v:stroke joinstyle="miter"/>
                  <v:formulas>
                    <v:f eqn="val #0"/>
                  </v:formulas>
                  <v:path gradientshapeok="t" o:connecttype="rect" textboxrect="0,0,21600,21600"/>
                  <v:handles>
                    <v:h position="@0,10800"/>
                  </v:handles>
                </v:shapetype>
                <v:shape id="shape_0" ID="AutoShape 27" path="m0,0l-2147483647,0l-2147483647,-2147483644l-2147483645,-2147483644e" stroked="t" o:allowincell="f" style="position:absolute;left:10804;top:539;width:1253;height:228;flip:xy;mso-wrap-style:none;v-text-anchor:middle;mso-position-horizontal:center;mso-position-horizontal-relative:page;mso-position-vertical:center" type="_x0000_t34">
                  <v:fill o:detectmouseclick="t" on="false"/>
                  <v:stroke color="#a5a5a5" weight="9360" joinstyle="miter" endcap="flat"/>
                  <w10:wrap type="none"/>
                </v:shape>
                <v:shape id="shape_0" ID="AutoShape 28" path="m0,0l-2147483647,0l-2147483647,-2147483644l-2147483645,-2147483644e" stroked="t" o:allowincell="f" style="position:absolute;left:-152;top:539;width:10954;height:228;flip:x;mso-wrap-style:none;v-text-anchor:middle;rotation:180;mso-position-horizontal:center;mso-position-horizontal-relative:page;mso-position-vertical:center" type="_x0000_t34">
                  <v:fill o:detectmouseclick="t" on="false"/>
                  <v:stroke color="#a5a5a5" weight="9360" joinstyle="miter" endcap="flat"/>
                  <w10:wrap type="none"/>
                </v:shape>
              </v:group>
            </v:group>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4"/>
      <w:numFmt w:val="bullet"/>
      <w:lvlText w:val="-"/>
      <w:lvlJc w:val="left"/>
      <w:pPr>
        <w:tabs>
          <w:tab w:val="num" w:pos="0"/>
        </w:tabs>
        <w:ind w:left="720" w:hanging="360"/>
      </w:pPr>
      <w:rPr>
        <w:rFonts w:ascii="Aptos" w:hAnsi="Aptos" w:cs="Aptos" w:hint="default"/>
        <w:rFonts w:cstheme="minorBidi" w:eastAsiaTheme="minorHAnsi"/>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decimal"/>
      <w:lvlText w:val="%1."/>
      <w:lvlJc w:val="left"/>
      <w:pPr>
        <w:tabs>
          <w:tab w:val="num" w:pos="0"/>
        </w:tabs>
        <w:ind w:left="408" w:hanging="408"/>
      </w:pPr>
      <w:rPr/>
    </w:lvl>
    <w:lvl w:ilvl="1">
      <w:start w:val="1"/>
      <w:numFmt w:val="decimal"/>
      <w:lvlText w:val="%1.%2."/>
      <w:lvlJc w:val="left"/>
      <w:pPr>
        <w:tabs>
          <w:tab w:val="num" w:pos="0"/>
        </w:tabs>
        <w:ind w:left="720" w:hanging="72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1800" w:hanging="180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4"/>
        <w:szCs w:val="24"/>
        <w:lang w:val="fr-FR"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76" w:before="0" w:after="160"/>
      <w:jc w:val="left"/>
    </w:pPr>
    <w:rPr>
      <w:rFonts w:ascii="Aptos" w:hAnsi="Aptos" w:eastAsia="Aptos" w:cs="" w:asciiTheme="minorHAnsi" w:cstheme="minorBidi" w:eastAsiaTheme="minorHAnsi" w:hAnsiTheme="minorHAnsi"/>
      <w:color w:val="auto"/>
      <w:kern w:val="2"/>
      <w:sz w:val="24"/>
      <w:szCs w:val="24"/>
      <w:lang w:val="fr-FR" w:eastAsia="en-US" w:bidi="ar-SA"/>
      <w14:ligatures w14:val="standardContextual"/>
    </w:rPr>
  </w:style>
  <w:style w:type="paragraph" w:styleId="Heading1">
    <w:name w:val="Heading 1"/>
    <w:basedOn w:val="Normal"/>
    <w:next w:val="Normal"/>
    <w:link w:val="Titre1Car"/>
    <w:uiPriority w:val="9"/>
    <w:qFormat/>
    <w:rsid w:val="005a03fe"/>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paragraph" w:styleId="Heading2">
    <w:name w:val="Heading 2"/>
    <w:basedOn w:val="Normal"/>
    <w:next w:val="Normal"/>
    <w:link w:val="Titre2Car"/>
    <w:uiPriority w:val="9"/>
    <w:semiHidden/>
    <w:unhideWhenUsed/>
    <w:qFormat/>
    <w:rsid w:val="005a03fe"/>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Titre3Car"/>
    <w:uiPriority w:val="9"/>
    <w:semiHidden/>
    <w:unhideWhenUsed/>
    <w:qFormat/>
    <w:rsid w:val="005a03fe"/>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Normal"/>
    <w:link w:val="Titre4Car"/>
    <w:uiPriority w:val="9"/>
    <w:semiHidden/>
    <w:unhideWhenUsed/>
    <w:qFormat/>
    <w:rsid w:val="005a03fe"/>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Titre5Car"/>
    <w:uiPriority w:val="9"/>
    <w:semiHidden/>
    <w:unhideWhenUsed/>
    <w:qFormat/>
    <w:rsid w:val="005a03fe"/>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Titre6Car"/>
    <w:uiPriority w:val="9"/>
    <w:semiHidden/>
    <w:unhideWhenUsed/>
    <w:qFormat/>
    <w:rsid w:val="005a03fe"/>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Titre7Car"/>
    <w:uiPriority w:val="9"/>
    <w:semiHidden/>
    <w:unhideWhenUsed/>
    <w:qFormat/>
    <w:rsid w:val="005a03fe"/>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Titre8Car"/>
    <w:uiPriority w:val="9"/>
    <w:semiHidden/>
    <w:unhideWhenUsed/>
    <w:qFormat/>
    <w:rsid w:val="005a03fe"/>
    <w:pPr>
      <w:keepNext w:val="true"/>
      <w:keepLines/>
      <w:spacing w:before="0" w:after="0"/>
      <w:outlineLvl w:val="7"/>
    </w:pPr>
    <w:rPr>
      <w:rFonts w:eastAsia="" w:cs="" w:cstheme="majorBidi" w:eastAsiaTheme="majorEastAsia"/>
      <w:i/>
      <w:iCs/>
      <w:color w:themeColor="text1" w:themeTint="d8" w:val="272727"/>
    </w:rPr>
  </w:style>
  <w:style w:type="paragraph" w:styleId="Heading9">
    <w:name w:val="Heading 9"/>
    <w:basedOn w:val="Normal"/>
    <w:next w:val="Normal"/>
    <w:link w:val="Titre9Car"/>
    <w:uiPriority w:val="9"/>
    <w:semiHidden/>
    <w:unhideWhenUsed/>
    <w:qFormat/>
    <w:rsid w:val="005a03fe"/>
    <w:pPr>
      <w:keepNext w:val="true"/>
      <w:keepLines/>
      <w:spacing w:before="0" w:after="0"/>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Titre1Car" w:customStyle="1">
    <w:name w:val="Titre 1 Car"/>
    <w:basedOn w:val="DefaultParagraphFont"/>
    <w:uiPriority w:val="9"/>
    <w:qFormat/>
    <w:rsid w:val="005a03fe"/>
    <w:rPr>
      <w:rFonts w:ascii="Aptos Display" w:hAnsi="Aptos Display" w:eastAsia="" w:cs="" w:asciiTheme="majorHAnsi" w:cstheme="majorBidi" w:eastAsiaTheme="majorEastAsia" w:hAnsiTheme="majorHAnsi"/>
      <w:color w:themeColor="accent1" w:themeShade="bf" w:val="0F4761"/>
      <w:sz w:val="40"/>
      <w:szCs w:val="40"/>
    </w:rPr>
  </w:style>
  <w:style w:type="character" w:styleId="Titre2Car" w:customStyle="1">
    <w:name w:val="Titre 2 Car"/>
    <w:basedOn w:val="DefaultParagraphFont"/>
    <w:uiPriority w:val="9"/>
    <w:semiHidden/>
    <w:qFormat/>
    <w:rsid w:val="005a03fe"/>
    <w:rPr>
      <w:rFonts w:ascii="Aptos Display" w:hAnsi="Aptos Display" w:eastAsia="" w:cs="" w:asciiTheme="majorHAnsi" w:cstheme="majorBidi" w:eastAsiaTheme="majorEastAsia" w:hAnsiTheme="majorHAnsi"/>
      <w:color w:themeColor="accent1" w:themeShade="bf" w:val="0F4761"/>
      <w:sz w:val="32"/>
      <w:szCs w:val="32"/>
    </w:rPr>
  </w:style>
  <w:style w:type="character" w:styleId="Titre3Car" w:customStyle="1">
    <w:name w:val="Titre 3 Car"/>
    <w:basedOn w:val="DefaultParagraphFont"/>
    <w:uiPriority w:val="9"/>
    <w:semiHidden/>
    <w:qFormat/>
    <w:rsid w:val="005a03fe"/>
    <w:rPr>
      <w:rFonts w:eastAsia="" w:cs="" w:cstheme="majorBidi" w:eastAsiaTheme="majorEastAsia"/>
      <w:color w:themeColor="accent1" w:themeShade="bf" w:val="0F4761"/>
      <w:sz w:val="28"/>
      <w:szCs w:val="28"/>
    </w:rPr>
  </w:style>
  <w:style w:type="character" w:styleId="Titre4Car" w:customStyle="1">
    <w:name w:val="Titre 4 Car"/>
    <w:basedOn w:val="DefaultParagraphFont"/>
    <w:uiPriority w:val="9"/>
    <w:semiHidden/>
    <w:qFormat/>
    <w:rsid w:val="005a03fe"/>
    <w:rPr>
      <w:rFonts w:eastAsia="" w:cs="" w:cstheme="majorBidi" w:eastAsiaTheme="majorEastAsia"/>
      <w:i/>
      <w:iCs/>
      <w:color w:themeColor="accent1" w:themeShade="bf" w:val="0F4761"/>
    </w:rPr>
  </w:style>
  <w:style w:type="character" w:styleId="Titre5Car" w:customStyle="1">
    <w:name w:val="Titre 5 Car"/>
    <w:basedOn w:val="DefaultParagraphFont"/>
    <w:uiPriority w:val="9"/>
    <w:semiHidden/>
    <w:qFormat/>
    <w:rsid w:val="005a03fe"/>
    <w:rPr>
      <w:rFonts w:eastAsia="" w:cs="" w:cstheme="majorBidi" w:eastAsiaTheme="majorEastAsia"/>
      <w:color w:themeColor="accent1" w:themeShade="bf" w:val="0F4761"/>
    </w:rPr>
  </w:style>
  <w:style w:type="character" w:styleId="Titre6Car" w:customStyle="1">
    <w:name w:val="Titre 6 Car"/>
    <w:basedOn w:val="DefaultParagraphFont"/>
    <w:uiPriority w:val="9"/>
    <w:semiHidden/>
    <w:qFormat/>
    <w:rsid w:val="005a03fe"/>
    <w:rPr>
      <w:rFonts w:eastAsia="" w:cs="" w:cstheme="majorBidi" w:eastAsiaTheme="majorEastAsia"/>
      <w:i/>
      <w:iCs/>
      <w:color w:themeColor="text1" w:themeTint="a6" w:val="595959"/>
    </w:rPr>
  </w:style>
  <w:style w:type="character" w:styleId="Titre7Car" w:customStyle="1">
    <w:name w:val="Titre 7 Car"/>
    <w:basedOn w:val="DefaultParagraphFont"/>
    <w:uiPriority w:val="9"/>
    <w:semiHidden/>
    <w:qFormat/>
    <w:rsid w:val="005a03fe"/>
    <w:rPr>
      <w:rFonts w:eastAsia="" w:cs="" w:cstheme="majorBidi" w:eastAsiaTheme="majorEastAsia"/>
      <w:color w:themeColor="text1" w:themeTint="a6" w:val="595959"/>
    </w:rPr>
  </w:style>
  <w:style w:type="character" w:styleId="Titre8Car" w:customStyle="1">
    <w:name w:val="Titre 8 Car"/>
    <w:basedOn w:val="DefaultParagraphFont"/>
    <w:uiPriority w:val="9"/>
    <w:semiHidden/>
    <w:qFormat/>
    <w:rsid w:val="005a03fe"/>
    <w:rPr>
      <w:rFonts w:eastAsia="" w:cs="" w:cstheme="majorBidi" w:eastAsiaTheme="majorEastAsia"/>
      <w:i/>
      <w:iCs/>
      <w:color w:themeColor="text1" w:themeTint="d8" w:val="272727"/>
    </w:rPr>
  </w:style>
  <w:style w:type="character" w:styleId="Titre9Car" w:customStyle="1">
    <w:name w:val="Titre 9 Car"/>
    <w:basedOn w:val="DefaultParagraphFont"/>
    <w:uiPriority w:val="9"/>
    <w:semiHidden/>
    <w:qFormat/>
    <w:rsid w:val="005a03fe"/>
    <w:rPr>
      <w:rFonts w:eastAsia="" w:cs="" w:cstheme="majorBidi" w:eastAsiaTheme="majorEastAsia"/>
      <w:color w:themeColor="text1" w:themeTint="d8" w:val="272727"/>
    </w:rPr>
  </w:style>
  <w:style w:type="character" w:styleId="TitreCar" w:customStyle="1">
    <w:name w:val="Titre Car"/>
    <w:basedOn w:val="DefaultParagraphFont"/>
    <w:uiPriority w:val="10"/>
    <w:qFormat/>
    <w:rsid w:val="005a03fe"/>
    <w:rPr>
      <w:rFonts w:ascii="Aptos Display" w:hAnsi="Aptos Display" w:eastAsia="" w:cs="" w:asciiTheme="majorHAnsi" w:cstheme="majorBidi" w:eastAsiaTheme="majorEastAsia" w:hAnsiTheme="majorHAnsi"/>
      <w:spacing w:val="-10"/>
      <w:kern w:val="2"/>
      <w:sz w:val="56"/>
      <w:szCs w:val="56"/>
    </w:rPr>
  </w:style>
  <w:style w:type="character" w:styleId="Sous-titreCar" w:customStyle="1">
    <w:name w:val="Sous-titre Car"/>
    <w:basedOn w:val="DefaultParagraphFont"/>
    <w:uiPriority w:val="11"/>
    <w:qFormat/>
    <w:rsid w:val="005a03fe"/>
    <w:rPr>
      <w:rFonts w:eastAsia="" w:cs="" w:cstheme="majorBidi" w:eastAsiaTheme="majorEastAsia"/>
      <w:color w:themeColor="text1" w:themeTint="a6" w:val="595959"/>
      <w:spacing w:val="15"/>
      <w:sz w:val="28"/>
      <w:szCs w:val="28"/>
    </w:rPr>
  </w:style>
  <w:style w:type="character" w:styleId="CitationCar" w:customStyle="1">
    <w:name w:val="Citation Car"/>
    <w:basedOn w:val="DefaultParagraphFont"/>
    <w:link w:val="Quote"/>
    <w:uiPriority w:val="29"/>
    <w:qFormat/>
    <w:rsid w:val="005a03fe"/>
    <w:rPr>
      <w:i/>
      <w:iCs/>
      <w:color w:themeColor="text1" w:themeTint="bf" w:val="404040"/>
    </w:rPr>
  </w:style>
  <w:style w:type="character" w:styleId="IntenseEmphasis">
    <w:name w:val="Intense Emphasis"/>
    <w:basedOn w:val="DefaultParagraphFont"/>
    <w:uiPriority w:val="21"/>
    <w:qFormat/>
    <w:rsid w:val="005a03fe"/>
    <w:rPr>
      <w:i/>
      <w:iCs/>
      <w:color w:themeColor="accent1" w:themeShade="bf" w:val="0F4761"/>
    </w:rPr>
  </w:style>
  <w:style w:type="character" w:styleId="CitationintenseCar" w:customStyle="1">
    <w:name w:val="Citation intense Car"/>
    <w:basedOn w:val="DefaultParagraphFont"/>
    <w:link w:val="IntenseQuote"/>
    <w:uiPriority w:val="30"/>
    <w:qFormat/>
    <w:rsid w:val="005a03fe"/>
    <w:rPr>
      <w:i/>
      <w:iCs/>
      <w:color w:themeColor="accent1" w:themeShade="bf" w:val="0F4761"/>
    </w:rPr>
  </w:style>
  <w:style w:type="character" w:styleId="IntenseReference">
    <w:name w:val="Intense Reference"/>
    <w:basedOn w:val="DefaultParagraphFont"/>
    <w:uiPriority w:val="32"/>
    <w:qFormat/>
    <w:rsid w:val="005a03fe"/>
    <w:rPr>
      <w:b/>
      <w:bCs/>
      <w:smallCaps/>
      <w:color w:themeColor="accent1" w:themeShade="bf" w:val="0F4761"/>
      <w:spacing w:val="5"/>
    </w:rPr>
  </w:style>
  <w:style w:type="character" w:styleId="SansinterligneCar" w:customStyle="1">
    <w:name w:val="Sans interligne Car"/>
    <w:basedOn w:val="DefaultParagraphFont"/>
    <w:link w:val="NoSpacing"/>
    <w:uiPriority w:val="1"/>
    <w:qFormat/>
    <w:rsid w:val="005a03fe"/>
    <w:rPr>
      <w:rFonts w:eastAsia="" w:eastAsiaTheme="minorEastAsia"/>
      <w:kern w:val="0"/>
      <w:sz w:val="22"/>
      <w:szCs w:val="22"/>
      <w:lang w:eastAsia="fr-FR"/>
      <w14:ligatures w14:val="none"/>
    </w:rPr>
  </w:style>
  <w:style w:type="character" w:styleId="En-tteCar" w:customStyle="1">
    <w:name w:val="En-tête Car"/>
    <w:basedOn w:val="DefaultParagraphFont"/>
    <w:uiPriority w:val="99"/>
    <w:qFormat/>
    <w:rsid w:val="00477635"/>
    <w:rPr/>
  </w:style>
  <w:style w:type="character" w:styleId="PieddepageCar" w:customStyle="1">
    <w:name w:val="Pied de page Car"/>
    <w:basedOn w:val="DefaultParagraphFont"/>
    <w:uiPriority w:val="99"/>
    <w:qFormat/>
    <w:rsid w:val="00477635"/>
    <w:rPr/>
  </w:style>
  <w:style w:type="character" w:styleId="InternetLink">
    <w:name w:val="Internet Link"/>
    <w:basedOn w:val="DefaultParagraphFont"/>
    <w:uiPriority w:val="99"/>
    <w:unhideWhenUsed/>
    <w:qFormat/>
    <w:rsid w:val="00fb14d2"/>
    <w:rPr>
      <w:color w:themeColor="hyperlink" w:val="467886"/>
      <w:u w:val="single"/>
    </w:rPr>
  </w:style>
  <w:style w:type="character" w:styleId="Mentionnonrsolue1" w:customStyle="1">
    <w:name w:val="Mention non résolue1"/>
    <w:basedOn w:val="DefaultParagraphFont"/>
    <w:uiPriority w:val="99"/>
    <w:semiHidden/>
    <w:unhideWhenUsed/>
    <w:qFormat/>
    <w:rsid w:val="00fb14d2"/>
    <w:rPr>
      <w:color w:val="605E5C"/>
      <w:shd w:fill="E1DFDD" w:val="clear"/>
    </w:rPr>
  </w:style>
  <w:style w:type="character" w:styleId="Strong">
    <w:name w:val="Strong"/>
    <w:basedOn w:val="DefaultParagraphFont"/>
    <w:uiPriority w:val="22"/>
    <w:qFormat/>
    <w:rsid w:val="003970ff"/>
    <w:rPr>
      <w:b/>
      <w:bCs/>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arianne" w:hAnsi="Marianne" w:cs="Lucida Sans"/>
    </w:rPr>
  </w:style>
  <w:style w:type="paragraph" w:styleId="Caption">
    <w:name w:val="Caption"/>
    <w:basedOn w:val="Normal"/>
    <w:qFormat/>
    <w:pPr>
      <w:suppressLineNumbers/>
      <w:spacing w:before="120" w:after="120"/>
    </w:pPr>
    <w:rPr>
      <w:rFonts w:ascii="Marianne" w:hAnsi="Marianne" w:cs="Lucida Sans"/>
      <w:i/>
      <w:iCs/>
      <w:sz w:val="24"/>
      <w:szCs w:val="24"/>
    </w:rPr>
  </w:style>
  <w:style w:type="paragraph" w:styleId="Index">
    <w:name w:val="Index"/>
    <w:basedOn w:val="Normal"/>
    <w:qFormat/>
    <w:pPr>
      <w:suppressLineNumbers/>
    </w:pPr>
    <w:rPr>
      <w:rFonts w:ascii="Marianne" w:hAnsi="Marianne" w:cs="Lucida Sans"/>
    </w:rPr>
  </w:style>
  <w:style w:type="paragraph" w:styleId="Title">
    <w:name w:val="Title"/>
    <w:basedOn w:val="Normal"/>
    <w:next w:val="Normal"/>
    <w:link w:val="TitreCar"/>
    <w:uiPriority w:val="10"/>
    <w:qFormat/>
    <w:rsid w:val="005a03fe"/>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Sous-titreCar"/>
    <w:uiPriority w:val="11"/>
    <w:qFormat/>
    <w:rsid w:val="005a03fe"/>
    <w:pPr/>
    <w:rPr>
      <w:rFonts w:eastAsia="" w:cs="" w:cstheme="majorBidi" w:eastAsiaTheme="majorEastAsia"/>
      <w:color w:themeColor="text1" w:themeTint="a6" w:val="595959"/>
      <w:spacing w:val="15"/>
      <w:sz w:val="28"/>
      <w:szCs w:val="28"/>
    </w:rPr>
  </w:style>
  <w:style w:type="paragraph" w:styleId="Quote">
    <w:name w:val="Quote"/>
    <w:basedOn w:val="Normal"/>
    <w:next w:val="Normal"/>
    <w:link w:val="CitationCar"/>
    <w:uiPriority w:val="29"/>
    <w:qFormat/>
    <w:rsid w:val="005a03fe"/>
    <w:pPr>
      <w:spacing w:before="160" w:after="160"/>
      <w:jc w:val="center"/>
    </w:pPr>
    <w:rPr>
      <w:i/>
      <w:iCs/>
      <w:color w:themeColor="text1" w:themeTint="bf" w:val="404040"/>
    </w:rPr>
  </w:style>
  <w:style w:type="paragraph" w:styleId="ListParagraph">
    <w:name w:val="List Paragraph"/>
    <w:basedOn w:val="Normal"/>
    <w:uiPriority w:val="34"/>
    <w:qFormat/>
    <w:rsid w:val="005a03fe"/>
    <w:pPr>
      <w:spacing w:before="0" w:after="160"/>
      <w:ind w:left="720"/>
      <w:contextualSpacing/>
    </w:pPr>
    <w:rPr/>
  </w:style>
  <w:style w:type="paragraph" w:styleId="IntenseQuote">
    <w:name w:val="Intense Quote"/>
    <w:basedOn w:val="Normal"/>
    <w:next w:val="Normal"/>
    <w:link w:val="CitationintenseCar"/>
    <w:uiPriority w:val="30"/>
    <w:qFormat/>
    <w:rsid w:val="005a03fe"/>
    <w:pPr>
      <w:pBdr>
        <w:top w:val="single" w:sz="4" w:space="10" w:color="0F4761" w:themeColor="accent1" w:themeShade="bf"/>
        <w:bottom w:val="single" w:sz="4" w:space="10" w:color="0F4761" w:themeColor="accent1" w:themeShade="bf"/>
      </w:pBdr>
      <w:spacing w:before="360" w:after="360"/>
      <w:ind w:left="864" w:right="864"/>
      <w:jc w:val="center"/>
    </w:pPr>
    <w:rPr>
      <w:i/>
      <w:iCs/>
      <w:color w:themeColor="accent1" w:themeShade="bf" w:val="0F4761"/>
    </w:rPr>
  </w:style>
  <w:style w:type="paragraph" w:styleId="NoSpacing">
    <w:name w:val="No Spacing"/>
    <w:link w:val="SansinterligneCar"/>
    <w:uiPriority w:val="1"/>
    <w:qFormat/>
    <w:rsid w:val="005a03fe"/>
    <w:pPr>
      <w:widowControl/>
      <w:bidi w:val="0"/>
      <w:spacing w:lineRule="auto" w:line="240" w:before="0" w:after="0"/>
      <w:jc w:val="left"/>
    </w:pPr>
    <w:rPr>
      <w:rFonts w:eastAsia="" w:eastAsiaTheme="minorEastAsia" w:ascii="Aptos" w:hAnsi="Aptos" w:cs=""/>
      <w:color w:val="auto"/>
      <w:kern w:val="0"/>
      <w:sz w:val="22"/>
      <w:szCs w:val="22"/>
      <w:lang w:eastAsia="fr-FR" w:val="fr-FR" w:bidi="ar-SA"/>
      <w14:ligatures w14:val="none"/>
    </w:rPr>
  </w:style>
  <w:style w:type="paragraph" w:styleId="HeaderandFooter">
    <w:name w:val="Header and Footer"/>
    <w:basedOn w:val="Normal"/>
    <w:qFormat/>
    <w:pPr/>
    <w:rPr/>
  </w:style>
  <w:style w:type="paragraph" w:styleId="Header">
    <w:name w:val="Header"/>
    <w:basedOn w:val="Normal"/>
    <w:link w:val="En-tteCar"/>
    <w:uiPriority w:val="99"/>
    <w:unhideWhenUsed/>
    <w:rsid w:val="00477635"/>
    <w:pPr>
      <w:tabs>
        <w:tab w:val="clear" w:pos="708"/>
        <w:tab w:val="center" w:pos="4536" w:leader="none"/>
        <w:tab w:val="right" w:pos="9072" w:leader="none"/>
      </w:tabs>
      <w:spacing w:lineRule="auto" w:line="240" w:before="0" w:after="0"/>
    </w:pPr>
    <w:rPr/>
  </w:style>
  <w:style w:type="paragraph" w:styleId="Footer">
    <w:name w:val="Footer"/>
    <w:basedOn w:val="Normal"/>
    <w:link w:val="PieddepageCar"/>
    <w:uiPriority w:val="99"/>
    <w:unhideWhenUsed/>
    <w:rsid w:val="00477635"/>
    <w:pPr>
      <w:tabs>
        <w:tab w:val="clear" w:pos="708"/>
        <w:tab w:val="center" w:pos="4536" w:leader="none"/>
        <w:tab w:val="right" w:pos="9072" w:leader="none"/>
      </w:tabs>
      <w:spacing w:lineRule="auto" w:line="240" w:before="0" w:after="0"/>
    </w:pPr>
    <w:rPr/>
  </w:style>
  <w:style w:type="paragraph" w:styleId="NormalWeb">
    <w:name w:val="Normal (Web)"/>
    <w:basedOn w:val="Normal"/>
    <w:uiPriority w:val="99"/>
    <w:unhideWhenUsed/>
    <w:qFormat/>
    <w:rsid w:val="003970ff"/>
    <w:pPr>
      <w:spacing w:lineRule="auto" w:line="240" w:beforeAutospacing="1" w:afterAutospacing="1"/>
    </w:pPr>
    <w:rPr>
      <w:rFonts w:ascii="Times New Roman" w:hAnsi="Times New Roman" w:eastAsia="Times New Roman" w:cs="Times New Roman"/>
      <w:kern w:val="0"/>
      <w:lang w:eastAsia="fr-FR"/>
      <w14:ligatures w14:val="none"/>
    </w:rPr>
  </w:style>
  <w:style w:type="paragraph" w:styleId="Contenudecadre">
    <w:name w:val="Contenu de cadre"/>
    <w:basedOn w:val="Normal"/>
    <w:qFormat/>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39"/>
    <w:rsid w:val="003c4c2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rfsocial.grouperf.com/dictionnaire/social/20171107103426539.html" TargetMode="External"/><Relationship Id="rId4" Type="http://schemas.openxmlformats.org/officeDocument/2006/relationships/hyperlink" Target="https://rfsocial.grouperf.com/lien_spad/?base=LEGI&amp;orig=REVUE_RF_FH&amp;code=LEGITEXT000006072050&amp;numero=R2312-8&amp;idspad=LEGIARTI000049905537" TargetMode="Externa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glossaryDocument" Target="glossary/document.xml"/><Relationship Id="rId13" Type="http://schemas.openxmlformats.org/officeDocument/2006/relationships/customXml" Target="../customXml/item1.xml"/><Relationship Id="rId14" Type="http://schemas.openxmlformats.org/officeDocument/2006/relationships/customXml" Target="../customXml/item2.xml"/>
</Relationships>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D5F739A03EB4394A6B1FA585DDE092C"/>
        <w:category>
          <w:name w:val="Général"/>
          <w:gallery w:val="placeholder"/>
        </w:category>
        <w:types>
          <w:type w:val="bbPlcHdr"/>
        </w:types>
        <w:behaviors>
          <w:behavior w:val="content"/>
        </w:behaviors>
        <w:guid w:val="{C21A9BE1-4A34-4B5D-A54F-B2E74A82A3DB}"/>
      </w:docPartPr>
      <w:docPartBody>
        <w:p w:rsidR="00CE09F2" w:rsidRDefault="00CE09F2" w:rsidP="00CE09F2">
          <w:pPr>
            <w:pStyle w:val="0D5F739A03EB4394A6B1FA585DDE092C"/>
          </w:pPr>
          <w:r>
            <w:rPr>
              <w:rFonts w:asciiTheme="majorHAnsi" w:eastAsiaTheme="majorEastAsia" w:hAnsiTheme="majorHAnsi" w:cstheme="majorBidi"/>
              <w:caps/>
              <w:color w:val="156082" w:themeColor="accent1"/>
              <w:sz w:val="80"/>
              <w:szCs w:val="80"/>
            </w:rPr>
            <w:t>[Titre du document]</w:t>
          </w:r>
        </w:p>
      </w:docPartBody>
    </w:docPart>
    <w:docPart>
      <w:docPartPr>
        <w:name w:val="C38AD753A136406FB5E688E4A30CF43C"/>
        <w:category>
          <w:name w:val="Général"/>
          <w:gallery w:val="placeholder"/>
        </w:category>
        <w:types>
          <w:type w:val="bbPlcHdr"/>
        </w:types>
        <w:behaviors>
          <w:behavior w:val="content"/>
        </w:behaviors>
        <w:guid w:val="{36A5CF27-1B4B-40BB-A447-F07AF3DE27C9}"/>
      </w:docPartPr>
      <w:docPartBody>
        <w:p w:rsidR="00CE09F2" w:rsidRDefault="00CE09F2" w:rsidP="00CE09F2">
          <w:pPr>
            <w:pStyle w:val="C38AD753A136406FB5E688E4A30CF43C"/>
          </w:pPr>
          <w:r>
            <w:rPr>
              <w:color w:val="156082" w:themeColor="accent1"/>
              <w:sz w:val="28"/>
              <w:szCs w:val="28"/>
            </w:rPr>
            <w:t>[Sous-titre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9F2"/>
    <w:rsid w:val="00052C56"/>
    <w:rsid w:val="0009704F"/>
    <w:rsid w:val="00112BA9"/>
    <w:rsid w:val="0013171B"/>
    <w:rsid w:val="001C3311"/>
    <w:rsid w:val="00256D40"/>
    <w:rsid w:val="00276C21"/>
    <w:rsid w:val="003E2350"/>
    <w:rsid w:val="004B7ADB"/>
    <w:rsid w:val="00522633"/>
    <w:rsid w:val="00591D73"/>
    <w:rsid w:val="005D761D"/>
    <w:rsid w:val="00A97188"/>
    <w:rsid w:val="00C87110"/>
    <w:rsid w:val="00CE09F2"/>
    <w:rsid w:val="00CE2C17"/>
    <w:rsid w:val="00ED3E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0D5F739A03EB4394A6B1FA585DDE092C">
    <w:name w:val="0D5F739A03EB4394A6B1FA585DDE092C"/>
    <w:rsid w:val="00CE09F2"/>
  </w:style>
  <w:style w:type="paragraph" w:customStyle="1" w:styleId="C38AD753A136406FB5E688E4A30CF43C">
    <w:name w:val="C38AD753A136406FB5E688E4A30CF43C"/>
    <w:rsid w:val="00CE09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overPageProperties xmlns="http://schemas.microsoft.com/office/2006/coverPageProps">
  <PublishDate>17 DECEMBRE 2025</PublishDate>
  <Abstract/>
  <CompanyAddress>APAJ17</CompanyAddress>
  <CompanyPhone/>
  <CompanyFax/>
  <CompanyEmail/>
</CoverPageProperties>
</file>

<file path=customXml/itemProps1.xml><?xml version="1.0" encoding="utf-8"?>
<ds:datastoreItem xmlns:ds="http://schemas.openxmlformats.org/officeDocument/2006/customXml" ds:itemID="{68970731-B4E3-4A15-B88E-1778C9617B4C}">
  <ds:schemaRefs>
    <ds:schemaRef ds:uri="http://schemas.openxmlformats.org/officeDocument/2006/bibliography"/>
  </ds:schemaRefs>
</ds:datastoreItem>
</file>

<file path=customXml/itemProps2.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Application>LibreOffice/24.2.5.2$Windows_X86_64 LibreOffice_project/bffef4ea93e59bebbeaf7f431bb02b1a39ee8a59</Application>
  <AppVersion>15.0000</AppVersion>
  <Pages>8</Pages>
  <Words>1559</Words>
  <Characters>8256</Characters>
  <CharactersWithSpaces>9735</CharactersWithSpaces>
  <Paragraphs>109</Paragraphs>
  <Company>APAJH17</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2026-06-04T08:08:47Z</dcterms:created>
  <dc:creator/>
  <dc:description/>
  <dc:language>fr-FR</dc:language>
  <cp:lastModifiedBy/>
  <cp:revision>1</cp:revision>
  <dc:subject>NAO</dc:subject>
  <dc:title>PROTOCOLE D’ACCORD RELATIF A LA Négociation annuelle obligatoire 2025</dc:title>
</cp:coreProperties>
</file>

<file path=docProps/custom.xml><?xml version="1.0" encoding="utf-8"?>
<Properties xmlns="http://schemas.openxmlformats.org/officeDocument/2006/custom-properties" xmlns:vt="http://schemas.openxmlformats.org/officeDocument/2006/docPropsVTypes"/>
</file>