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jc w:val="both"/>
        <w:rPr>
          <w:rFonts w:ascii="Century" w:hAnsi="Century" w:eastAsia="Times New Roman" w:cs="Calibri" w:cstheme="minorHAnsi"/>
          <w:caps/>
          <w:color w:val="auto"/>
          <w:sz w:val="22"/>
          <w:szCs w:val="22"/>
          <w:lang w:eastAsia="fr-FR"/>
        </w:rPr>
      </w:pPr>
      <w:r>
        <w:rPr>
          <w:rFonts w:eastAsia="Times New Roman" w:cs="Calibri" w:cstheme="minorHAnsi" w:ascii="Century" w:hAnsi="Century"/>
          <w:caps/>
          <w:color w:val="auto"/>
          <w:sz w:val="22"/>
          <w:szCs w:val="22"/>
          <w:lang w:eastAsia="fr-FR"/>
        </w:rPr>
      </w:r>
    </w:p>
    <w:p>
      <w:pPr>
        <w:pStyle w:val="Default"/>
        <w:jc w:val="both"/>
        <w:rPr>
          <w:rFonts w:ascii="Century" w:hAnsi="Century" w:eastAsia="Times New Roman" w:cs="Calibri" w:cstheme="minorHAnsi"/>
          <w:caps/>
          <w:color w:val="auto"/>
          <w:sz w:val="22"/>
          <w:szCs w:val="22"/>
          <w:lang w:eastAsia="fr-FR"/>
        </w:rPr>
      </w:pPr>
      <w:r>
        <w:rPr>
          <w:rFonts w:eastAsia="Times New Roman" w:cs="Calibri" w:cstheme="minorHAnsi" w:ascii="Century" w:hAnsi="Century"/>
          <w:caps/>
          <w:color w:val="auto"/>
          <w:sz w:val="22"/>
          <w:szCs w:val="22"/>
          <w:lang w:eastAsia="fr-FR"/>
        </w:rPr>
      </w:r>
    </w:p>
    <w:p>
      <w:pPr>
        <w:pStyle w:val="Default"/>
        <w:pBdr>
          <w:top w:val="single" w:sz="4" w:space="1" w:color="000000"/>
          <w:left w:val="single" w:sz="4" w:space="4" w:color="000000"/>
          <w:bottom w:val="single" w:sz="4" w:space="1" w:color="000000"/>
          <w:right w:val="single" w:sz="4" w:space="4" w:color="000000"/>
        </w:pBdr>
        <w:jc w:val="center"/>
        <w:rPr>
          <w:rFonts w:ascii="Century" w:hAnsi="Century" w:eastAsia="Times New Roman" w:cs="Calibri" w:cstheme="minorHAnsi"/>
          <w:b/>
          <w:bCs/>
          <w:caps/>
          <w:color w:val="auto"/>
          <w:sz w:val="22"/>
          <w:szCs w:val="22"/>
          <w:lang w:eastAsia="fr-FR"/>
        </w:rPr>
      </w:pPr>
      <w:r>
        <w:rPr>
          <w:rFonts w:eastAsia="Times New Roman" w:cs="Calibri" w:ascii="Century" w:hAnsi="Century" w:cstheme="minorHAnsi"/>
          <w:b/>
          <w:bCs/>
          <w:caps/>
          <w:color w:val="auto"/>
          <w:sz w:val="22"/>
          <w:szCs w:val="22"/>
          <w:lang w:eastAsia="fr-FR"/>
        </w:rPr>
        <w:t>Avenant n°4</w:t>
      </w:r>
    </w:p>
    <w:p>
      <w:pPr>
        <w:pStyle w:val="Default"/>
        <w:pBdr>
          <w:top w:val="single" w:sz="4" w:space="1" w:color="000000"/>
          <w:left w:val="single" w:sz="4" w:space="4" w:color="000000"/>
          <w:bottom w:val="single" w:sz="4" w:space="1" w:color="000000"/>
          <w:right w:val="single" w:sz="4" w:space="4" w:color="000000"/>
        </w:pBdr>
        <w:jc w:val="center"/>
        <w:rPr>
          <w:rFonts w:ascii="Century" w:hAnsi="Century" w:eastAsia="Times New Roman" w:cs="Calibri" w:cstheme="minorHAnsi"/>
          <w:b/>
          <w:bCs/>
          <w:caps/>
          <w:color w:val="auto"/>
          <w:sz w:val="22"/>
          <w:szCs w:val="22"/>
          <w:lang w:eastAsia="fr-FR"/>
        </w:rPr>
      </w:pPr>
      <w:r>
        <w:rPr>
          <w:rFonts w:eastAsia="Times New Roman" w:cs="Calibri" w:ascii="Century" w:hAnsi="Century" w:cstheme="minorHAnsi"/>
          <w:b/>
          <w:bCs/>
          <w:caps/>
          <w:color w:val="auto"/>
          <w:sz w:val="22"/>
          <w:szCs w:val="22"/>
          <w:lang w:eastAsia="fr-FR"/>
        </w:rPr>
        <w:t>à l'accord du temps de travail,</w:t>
      </w:r>
    </w:p>
    <w:p>
      <w:pPr>
        <w:pStyle w:val="Default"/>
        <w:pBdr>
          <w:top w:val="single" w:sz="4" w:space="1" w:color="000000"/>
          <w:left w:val="single" w:sz="4" w:space="4" w:color="000000"/>
          <w:bottom w:val="single" w:sz="4" w:space="1" w:color="000000"/>
          <w:right w:val="single" w:sz="4" w:space="4" w:color="000000"/>
        </w:pBdr>
        <w:jc w:val="center"/>
        <w:rPr>
          <w:rFonts w:ascii="Century" w:hAnsi="Century" w:eastAsia="Times New Roman" w:cs="Calibri" w:cstheme="minorHAnsi"/>
          <w:b/>
          <w:bCs/>
          <w:caps/>
          <w:color w:val="auto"/>
          <w:sz w:val="22"/>
          <w:szCs w:val="22"/>
          <w:lang w:eastAsia="fr-FR"/>
        </w:rPr>
      </w:pPr>
      <w:r>
        <w:rPr>
          <w:rFonts w:eastAsia="Times New Roman" w:cs="Calibri" w:ascii="Century" w:hAnsi="Century" w:cstheme="minorHAnsi"/>
          <w:b/>
          <w:bCs/>
          <w:caps/>
          <w:color w:val="auto"/>
          <w:sz w:val="22"/>
          <w:szCs w:val="22"/>
          <w:lang w:eastAsia="fr-FR"/>
        </w:rPr>
        <w:t>sur la mise en place du travail du week-end</w:t>
      </w:r>
    </w:p>
    <w:p>
      <w:pPr>
        <w:pStyle w:val="Default"/>
        <w:jc w:val="both"/>
        <w:rPr>
          <w:rFonts w:ascii="Century" w:hAnsi="Century" w:cs="Calibri" w:cstheme="minorHAnsi"/>
        </w:rPr>
      </w:pPr>
      <w:r>
        <w:rPr>
          <w:rFonts w:cs="Calibri" w:cstheme="minorHAnsi" w:ascii="Century" w:hAnsi="Century"/>
        </w:rPr>
      </w:r>
    </w:p>
    <w:p>
      <w:pPr>
        <w:pStyle w:val="CM29"/>
        <w:jc w:val="both"/>
        <w:rPr>
          <w:rFonts w:ascii="Century" w:hAnsi="Century" w:cs="Calibri" w:cstheme="minorHAnsi"/>
        </w:rPr>
      </w:pPr>
      <w:r>
        <w:rPr>
          <w:rFonts w:cs="Calibri" w:cstheme="minorHAnsi" w:ascii="Century" w:hAnsi="Century"/>
        </w:rPr>
      </w:r>
    </w:p>
    <w:p>
      <w:pPr>
        <w:pStyle w:val="CM29"/>
        <w:jc w:val="both"/>
        <w:rPr>
          <w:rFonts w:ascii="Century" w:hAnsi="Century" w:cs="Calibri" w:cstheme="minorHAnsi"/>
        </w:rPr>
      </w:pPr>
      <w:r>
        <w:rPr>
          <w:rFonts w:cs="Calibri" w:ascii="Century" w:hAnsi="Century" w:cstheme="minorHAnsi"/>
          <w:b/>
          <w:bCs/>
        </w:rPr>
        <w:t>Entre :</w:t>
      </w:r>
    </w:p>
    <w:p>
      <w:pPr>
        <w:pStyle w:val="Default"/>
        <w:jc w:val="both"/>
        <w:rPr>
          <w:rFonts w:ascii="Century" w:hAnsi="Century" w:cs="Calibri" w:cstheme="minorHAnsi"/>
          <w:bCs/>
          <w:color w:val="424241"/>
        </w:rPr>
      </w:pPr>
      <w:r>
        <w:rPr>
          <w:rFonts w:cs="Calibri" w:ascii="Century" w:hAnsi="Century" w:cstheme="minorHAnsi"/>
          <w:bCs/>
          <w:iCs/>
          <w:color w:val="424241"/>
        </w:rPr>
        <w:t>La SAS SimAir, représentée</w:t>
      </w:r>
      <w:r>
        <w:rPr>
          <w:rFonts w:cs="Calibri" w:ascii="Century" w:hAnsi="Century" w:cstheme="minorHAnsi"/>
          <w:bCs/>
          <w:color w:val="424241"/>
        </w:rPr>
        <w:t xml:space="preserve"> par M, en sa qualité de Directeur de site,</w:t>
      </w:r>
    </w:p>
    <w:p>
      <w:pPr>
        <w:pStyle w:val="Default"/>
        <w:jc w:val="both"/>
        <w:rPr>
          <w:rFonts w:ascii="Century" w:hAnsi="Century" w:cs="Calibri" w:cstheme="minorHAnsi"/>
          <w:bCs/>
          <w:color w:val="424241"/>
        </w:rPr>
      </w:pPr>
      <w:r>
        <w:rPr>
          <w:rFonts w:cs="Calibri" w:ascii="Century" w:hAnsi="Century" w:cstheme="minorHAnsi"/>
          <w:bCs/>
          <w:color w:val="424241"/>
        </w:rPr>
        <w:t>d’une part,</w:t>
      </w:r>
    </w:p>
    <w:p>
      <w:pPr>
        <w:pStyle w:val="Default"/>
        <w:jc w:val="both"/>
        <w:rPr>
          <w:rFonts w:ascii="Century" w:hAnsi="Century" w:cs="Calibri" w:cstheme="minorHAnsi"/>
        </w:rPr>
      </w:pPr>
      <w:r>
        <w:rPr>
          <w:rFonts w:cs="Calibri" w:cstheme="minorHAnsi" w:ascii="Century" w:hAnsi="Century"/>
        </w:rPr>
      </w:r>
    </w:p>
    <w:p>
      <w:pPr>
        <w:pStyle w:val="CM32"/>
        <w:jc w:val="both"/>
        <w:rPr>
          <w:rFonts w:ascii="Century" w:hAnsi="Century" w:cs="Calibri" w:cstheme="minorHAnsi"/>
        </w:rPr>
      </w:pPr>
      <w:r>
        <w:rPr>
          <w:rFonts w:cs="Calibri" w:ascii="Century" w:hAnsi="Century" w:cstheme="minorHAnsi"/>
          <w:b/>
          <w:bCs/>
        </w:rPr>
        <w:t>Et</w:t>
      </w:r>
    </w:p>
    <w:p>
      <w:pPr>
        <w:pStyle w:val="Default"/>
        <w:jc w:val="both"/>
        <w:rPr>
          <w:rFonts w:ascii="Century" w:hAnsi="Century" w:cs="Calibri" w:cstheme="minorHAnsi"/>
          <w:bCs/>
          <w:color w:val="424241"/>
        </w:rPr>
      </w:pPr>
      <w:r>
        <w:rPr>
          <w:rFonts w:cs="Calibri" w:ascii="Century" w:hAnsi="Century" w:cstheme="minorHAnsi"/>
          <w:bCs/>
          <w:color w:val="424241"/>
        </w:rPr>
        <w:t>Les organisations syndicales signataires,</w:t>
      </w:r>
    </w:p>
    <w:p>
      <w:pPr>
        <w:pStyle w:val="Default"/>
        <w:jc w:val="both"/>
        <w:rPr>
          <w:rFonts w:ascii="Century" w:hAnsi="Century" w:cs="Calibri" w:cstheme="minorHAnsi"/>
          <w:bCs/>
          <w:color w:val="424241"/>
        </w:rPr>
      </w:pPr>
      <w:r>
        <w:rPr>
          <w:rFonts w:cs="Calibri" w:ascii="Century" w:hAnsi="Century" w:cstheme="minorHAnsi"/>
          <w:bCs/>
          <w:color w:val="424241"/>
        </w:rPr>
        <w:t>d’autre part,</w:t>
      </w:r>
    </w:p>
    <w:p>
      <w:pPr>
        <w:pStyle w:val="Default"/>
        <w:jc w:val="both"/>
        <w:rPr>
          <w:rFonts w:ascii="Century" w:hAnsi="Century" w:cs="Calibri" w:cstheme="minorHAnsi"/>
        </w:rPr>
      </w:pPr>
      <w:r>
        <w:rPr>
          <w:rFonts w:cs="Calibri" w:cstheme="minorHAnsi" w:ascii="Century" w:hAnsi="Century"/>
        </w:rPr>
      </w:r>
    </w:p>
    <w:p>
      <w:pPr>
        <w:pStyle w:val="Default"/>
        <w:jc w:val="both"/>
        <w:rPr>
          <w:rFonts w:ascii="Century" w:hAnsi="Century" w:cs="Calibri" w:cstheme="minorHAnsi"/>
        </w:rPr>
      </w:pPr>
      <w:r>
        <w:rPr>
          <w:rFonts w:cs="Calibri" w:cstheme="minorHAnsi" w:ascii="Century" w:hAnsi="Century"/>
        </w:rPr>
      </w:r>
    </w:p>
    <w:p>
      <w:pPr>
        <w:pStyle w:val="CM19"/>
        <w:jc w:val="both"/>
        <w:rPr>
          <w:rFonts w:ascii="Century" w:hAnsi="Century" w:cs="Calibri" w:cstheme="minorHAnsi"/>
        </w:rPr>
      </w:pPr>
      <w:r>
        <w:rPr>
          <w:rFonts w:cs="Calibri" w:ascii="Century" w:hAnsi="Century" w:cstheme="minorHAnsi"/>
          <w:b/>
          <w:bCs/>
        </w:rPr>
        <w:t xml:space="preserve">Il est convenu ce qui suit : </w:t>
      </w:r>
    </w:p>
    <w:p>
      <w:pPr>
        <w:pStyle w:val="Heading1"/>
        <w:spacing w:before="0" w:after="0"/>
        <w:jc w:val="both"/>
        <w:rPr>
          <w:rFonts w:ascii="Century" w:hAnsi="Century" w:cs="Calibri" w:cstheme="minorHAnsi"/>
          <w:b/>
          <w:bCs/>
          <w:color w:themeColor="text1" w:val="000000"/>
          <w:sz w:val="24"/>
          <w:szCs w:val="24"/>
        </w:rPr>
      </w:pPr>
      <w:r>
        <w:rPr>
          <w:rFonts w:cs="Calibri" w:cstheme="minorHAnsi" w:ascii="Century" w:hAnsi="Century"/>
          <w:b/>
          <w:bCs/>
          <w:color w:themeColor="text1" w:val="000000"/>
          <w:sz w:val="24"/>
          <w:szCs w:val="24"/>
        </w:rPr>
      </w:r>
    </w:p>
    <w:p>
      <w:pPr>
        <w:pStyle w:val="Normal"/>
        <w:jc w:val="both"/>
        <w:rPr/>
      </w:pPr>
      <w:r>
        <w:rPr/>
      </w:r>
    </w:p>
    <w:p>
      <w:pPr>
        <w:pStyle w:val="Heading1"/>
        <w:spacing w:before="0" w:after="0"/>
        <w:jc w:val="both"/>
        <w:rPr>
          <w:rFonts w:ascii="Century" w:hAnsi="Century" w:cs="Calibri" w:cstheme="minorHAnsi"/>
          <w:b/>
          <w:bCs/>
          <w:color w:themeColor="text1" w:val="000000"/>
          <w:sz w:val="24"/>
          <w:szCs w:val="24"/>
          <w:u w:val="single"/>
        </w:rPr>
      </w:pPr>
      <w:r>
        <w:rPr>
          <w:rFonts w:cs="Calibri" w:ascii="Century" w:hAnsi="Century" w:cstheme="minorHAnsi"/>
          <w:b/>
          <w:bCs/>
          <w:color w:themeColor="text1" w:val="000000"/>
          <w:sz w:val="24"/>
          <w:szCs w:val="24"/>
          <w:u w:val="single"/>
        </w:rPr>
        <w:t>PRÉAMBULE</w:t>
      </w:r>
    </w:p>
    <w:p>
      <w:pPr>
        <w:pStyle w:val="Normal"/>
        <w:rPr/>
      </w:pPr>
      <w:r>
        <w:rPr/>
      </w:r>
    </w:p>
    <w:p>
      <w:pPr>
        <w:pStyle w:val="Normal"/>
        <w:jc w:val="both"/>
        <w:rPr>
          <w:rFonts w:ascii="Century" w:hAnsi="Century" w:cs="Calibri" w:cstheme="minorHAnsi"/>
        </w:rPr>
      </w:pPr>
      <w:r>
        <w:rPr>
          <w:rFonts w:cs="Calibri" w:ascii="Century" w:hAnsi="Century" w:cstheme="minorHAnsi"/>
        </w:rPr>
        <w:t>Le site de SimAir Rochefort a subi le 25 décembre 2025 une avarie sur sa presse 3500 Tonnes, le contraignant à une mise à l’arrêt de cette machine pour plusieurs mois.</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Afin de permettre au site de continuer d’assurer la production et de rattraper le retard lié à cette avarie en utilisant une autre machine le temps de remplacement, l’entreprise a souhaité mettre en place des équipes de production, qui travailleront en horaire de week-end.</w:t>
      </w:r>
    </w:p>
    <w:p>
      <w:pPr>
        <w:pStyle w:val="Normal"/>
        <w:jc w:val="both"/>
        <w:rPr>
          <w:rFonts w:ascii="Century" w:hAnsi="Century" w:cs="Calibri" w:cstheme="minorHAnsi"/>
        </w:rPr>
      </w:pPr>
      <w:r>
        <w:rPr>
          <w:rFonts w:cs="Calibri" w:ascii="Century" w:hAnsi="Century" w:cstheme="minorHAnsi"/>
        </w:rPr>
        <w:t>Les négociations engagées ont permis de définir une organisation du travail qui vise à trouver la meilleure convergence entre les intérêts des salariés et le contexte économique et commercial de SimAir Rochefort.</w:t>
      </w:r>
    </w:p>
    <w:p>
      <w:pPr>
        <w:pStyle w:val="Normal"/>
        <w:jc w:val="both"/>
        <w:rPr>
          <w:rFonts w:ascii="Century" w:hAnsi="Century" w:cs="Calibri" w:cstheme="minorHAnsi"/>
        </w:rPr>
      </w:pPr>
      <w:r>
        <w:rPr>
          <w:rFonts w:cs="Calibri" w:ascii="Century" w:hAnsi="Century" w:cstheme="minorHAnsi"/>
        </w:rPr>
        <w:t>Dans le respect des dispositions légales, les négociations engagées sur le site de SimAir Rochefort ont pour objet de fixer les principaux régimes de travail applicables et les horaires de travail les plus adaptés. Les conditions sont calquées sur les accords précédents.</w:t>
      </w:r>
    </w:p>
    <w:p>
      <w:pPr>
        <w:pStyle w:val="Normal"/>
        <w:jc w:val="both"/>
        <w:rPr>
          <w:rFonts w:ascii="Century" w:hAnsi="Century" w:cs="Calibri" w:cstheme="minorHAnsi"/>
        </w:rPr>
      </w:pPr>
      <w:r>
        <w:rPr>
          <w:rFonts w:cs="Calibri" w:ascii="Century" w:hAnsi="Century" w:cstheme="minorHAnsi"/>
        </w:rPr>
        <w:t xml:space="preserve">Les salariés volontaires percevront donc ce qu’ils auraient perçu lors des équipes hors samedis-dimanches et une rémunération basée sur les 40 heures de travail hebdomadaire, avec toutes les dispositions de l’AOT en vigueur au sein de l’entreprise. </w:t>
      </w:r>
    </w:p>
    <w:p>
      <w:pPr>
        <w:pStyle w:val="Normal"/>
        <w:jc w:val="both"/>
        <w:rPr>
          <w:rFonts w:ascii="Century" w:hAnsi="Century" w:cs="Calibri" w:cstheme="minorHAnsi"/>
        </w:rPr>
      </w:pPr>
      <w:r>
        <w:rPr>
          <w:rFonts w:cs="Calibri" w:ascii="Century" w:hAnsi="Century" w:cstheme="minorHAnsi"/>
        </w:rPr>
        <w:t>Cet accord est basé sur le volontariat ; une liste du personnel concerné sera établie afin d’identifier les personnes, liste qui sera portée à la connaissance du service HSE.</w:t>
      </w:r>
    </w:p>
    <w:p>
      <w:pPr>
        <w:pStyle w:val="Normal"/>
        <w:jc w:val="both"/>
        <w:rPr>
          <w:rFonts w:ascii="Century" w:hAnsi="Century" w:cs="Calibri" w:cstheme="minorHAnsi"/>
        </w:rPr>
      </w:pPr>
      <w:r>
        <w:rPr>
          <w:rFonts w:cs="Calibri" w:ascii="Century" w:hAnsi="Century" w:cstheme="minorHAnsi"/>
        </w:rPr>
        <w:t>L’entreprise s’assurera de la présence de personnes formées « SST » pendant l’équipe de week-end.</w:t>
      </w:r>
    </w:p>
    <w:p>
      <w:pPr>
        <w:pStyle w:val="Normal"/>
        <w:widowControl/>
        <w:suppressAutoHyphens w:val="false"/>
        <w:spacing w:lineRule="auto" w:line="259" w:before="0" w:after="160"/>
        <w:jc w:val="both"/>
        <w:rPr>
          <w:rFonts w:ascii="Century" w:hAnsi="Century" w:cs="Calibri" w:cstheme="minorHAnsi"/>
        </w:rPr>
      </w:pPr>
      <w:r>
        <w:rPr>
          <w:rFonts w:cs="Calibri" w:cstheme="minorHAnsi" w:ascii="Century" w:hAnsi="Century"/>
        </w:rPr>
      </w:r>
      <w:r>
        <w:br w:type="page"/>
      </w:r>
    </w:p>
    <w:p>
      <w:pPr>
        <w:pStyle w:val="Normal"/>
        <w:spacing w:before="0" w:after="0"/>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cstheme="minorHAnsi" w:ascii="Century" w:hAnsi="Century"/>
        </w:rPr>
      </w:r>
    </w:p>
    <w:p>
      <w:pPr>
        <w:pStyle w:val="Default"/>
        <w:jc w:val="both"/>
        <w:rPr>
          <w:rFonts w:ascii="Century" w:hAnsi="Century" w:cs="Calibri" w:cstheme="minorHAnsi"/>
          <w:bCs/>
          <w:color w:val="424241"/>
        </w:rPr>
      </w:pPr>
      <w:r>
        <w:rPr>
          <w:rFonts w:cs="Calibri" w:cstheme="minorHAnsi" w:ascii="Century" w:hAnsi="Century"/>
          <w:bCs/>
          <w:color w:val="424241"/>
        </w:rPr>
      </w:r>
    </w:p>
    <w:p>
      <w:pPr>
        <w:pStyle w:val="Heading1"/>
        <w:spacing w:before="0" w:after="0"/>
        <w:jc w:val="both"/>
        <w:rPr>
          <w:rFonts w:ascii="Century" w:hAnsi="Century" w:cs="Calibri" w:cstheme="minorHAnsi"/>
          <w:b/>
          <w:bCs/>
          <w:color w:themeColor="text1" w:val="000000"/>
          <w:sz w:val="24"/>
          <w:szCs w:val="24"/>
          <w:u w:val="single"/>
        </w:rPr>
      </w:pPr>
      <w:bookmarkStart w:id="0" w:name="_Toc479079566"/>
      <w:r>
        <w:rPr>
          <w:rFonts w:cs="Calibri" w:ascii="Century" w:hAnsi="Century" w:cstheme="minorHAnsi"/>
          <w:b/>
          <w:bCs/>
          <w:color w:themeColor="text1" w:val="000000"/>
          <w:sz w:val="24"/>
          <w:szCs w:val="24"/>
          <w:u w:val="single"/>
        </w:rPr>
        <w:t>Article 1 - Champ d’application</w:t>
      </w:r>
      <w:bookmarkEnd w:id="0"/>
    </w:p>
    <w:p>
      <w:pPr>
        <w:pStyle w:val="Normal"/>
        <w:rPr/>
      </w:pPr>
      <w:r>
        <w:rPr/>
      </w:r>
    </w:p>
    <w:p>
      <w:pPr>
        <w:pStyle w:val="BodyText"/>
        <w:spacing w:before="0" w:after="0"/>
        <w:ind w:right="293"/>
        <w:jc w:val="both"/>
        <w:rPr>
          <w:rFonts w:ascii="Century" w:hAnsi="Century" w:cs="Calibri" w:cstheme="minorHAnsi"/>
          <w:szCs w:val="24"/>
        </w:rPr>
      </w:pPr>
      <w:r>
        <w:rPr>
          <w:rFonts w:cs="Calibri" w:ascii="Century" w:hAnsi="Century" w:cstheme="minorHAnsi"/>
          <w:szCs w:val="24"/>
        </w:rPr>
        <w:t>Le présent avenant sera effectif à compter du 31/01/2026 et concernera le secteur d’activité de la tôlerie : détourage, traitement thermique et presse.</w:t>
      </w:r>
    </w:p>
    <w:p>
      <w:pPr>
        <w:pStyle w:val="BodyText"/>
        <w:spacing w:before="0" w:after="0"/>
        <w:ind w:right="293"/>
        <w:jc w:val="both"/>
        <w:rPr>
          <w:rFonts w:ascii="Century" w:hAnsi="Century" w:cs="Calibri" w:cstheme="minorHAnsi"/>
          <w:szCs w:val="24"/>
        </w:rPr>
      </w:pPr>
      <w:r>
        <w:rPr>
          <w:rFonts w:cs="Calibri" w:cstheme="minorHAnsi" w:ascii="Century" w:hAnsi="Century"/>
          <w:szCs w:val="24"/>
        </w:rPr>
      </w:r>
    </w:p>
    <w:p>
      <w:pPr>
        <w:pStyle w:val="Normal"/>
        <w:jc w:val="both"/>
        <w:rPr>
          <w:rFonts w:ascii="Century" w:hAnsi="Century" w:cs="Calibri" w:cstheme="minorHAnsi"/>
          <w:u w:val="single"/>
        </w:rPr>
      </w:pPr>
      <w:r>
        <w:rPr>
          <w:rFonts w:cs="Calibri" w:ascii="Century" w:hAnsi="Century" w:cstheme="minorHAnsi"/>
          <w:u w:val="single"/>
        </w:rPr>
        <w:t>Plages du temps de travail le week-end, horaires et jours travaillés</w:t>
      </w:r>
    </w:p>
    <w:p>
      <w:pPr>
        <w:pStyle w:val="ListParagraph"/>
        <w:numPr>
          <w:ilvl w:val="0"/>
          <w:numId w:val="4"/>
        </w:numPr>
        <w:jc w:val="both"/>
        <w:rPr>
          <w:rFonts w:ascii="Century" w:hAnsi="Century" w:cs="Calibri" w:cstheme="minorHAnsi"/>
          <w:sz w:val="24"/>
          <w:szCs w:val="24"/>
          <w:lang w:val="en-US"/>
        </w:rPr>
      </w:pPr>
      <w:r>
        <w:rPr>
          <w:rFonts w:cs="Calibri" w:ascii="Century" w:hAnsi="Century" w:cstheme="minorHAnsi"/>
          <w:sz w:val="24"/>
          <w:szCs w:val="24"/>
          <w:lang w:val="en-US"/>
        </w:rPr>
        <w:t>Samedi 9h00 – 21h00</w:t>
      </w:r>
    </w:p>
    <w:p>
      <w:pPr>
        <w:pStyle w:val="ListParagraph"/>
        <w:numPr>
          <w:ilvl w:val="0"/>
          <w:numId w:val="4"/>
        </w:numPr>
        <w:jc w:val="both"/>
        <w:rPr>
          <w:rFonts w:ascii="Century" w:hAnsi="Century" w:cs="Calibri" w:cstheme="minorHAnsi"/>
          <w:sz w:val="24"/>
          <w:szCs w:val="24"/>
          <w:lang w:val="en-US"/>
        </w:rPr>
      </w:pPr>
      <w:r>
        <w:rPr>
          <w:rFonts w:cs="Calibri" w:ascii="Century" w:hAnsi="Century" w:cstheme="minorHAnsi"/>
          <w:sz w:val="24"/>
          <w:szCs w:val="24"/>
          <w:lang w:val="en-US"/>
        </w:rPr>
        <w:t>Dimanche 9h00 – 21h00</w:t>
      </w:r>
    </w:p>
    <w:p>
      <w:pPr>
        <w:pStyle w:val="Normal"/>
        <w:jc w:val="both"/>
        <w:rPr>
          <w:rFonts w:ascii="Century" w:hAnsi="Century" w:cs="Calibri" w:cstheme="minorHAnsi"/>
          <w:lang w:val="en-US"/>
        </w:rPr>
      </w:pPr>
      <w:r>
        <w:rPr>
          <w:rFonts w:cs="Calibri" w:cstheme="minorHAnsi" w:ascii="Century" w:hAnsi="Century"/>
          <w:lang w:val="en-US"/>
        </w:rPr>
      </w:r>
    </w:p>
    <w:p>
      <w:pPr>
        <w:pStyle w:val="Normal"/>
        <w:jc w:val="both"/>
        <w:rPr>
          <w:rFonts w:ascii="Century" w:hAnsi="Century" w:cs="Calibri" w:cstheme="minorHAnsi"/>
        </w:rPr>
      </w:pPr>
      <w:r>
        <w:rPr>
          <w:rFonts w:cs="Calibri" w:ascii="Century" w:hAnsi="Century" w:cstheme="minorHAnsi"/>
        </w:rPr>
        <w:t>Le planning sera constitué d’une équipe qui travaillera 2 x 12 heures, soit 24 heures par week-end, avec obligation de repos quotidien comme le prévoit le code du travail.</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Il est rappelé que cette organisation en week-end est proposée aux salariés et que seuls les volontaires y seront rattachés.</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L’adhésion aux équipes de week-end se fera par la signature d’un avenant au contrat de travail, pour une durée de trois mois, renouvelable six mois. Cet avenant précisera :</w:t>
      </w:r>
    </w:p>
    <w:p>
      <w:pPr>
        <w:pStyle w:val="ListParagraph"/>
        <w:numPr>
          <w:ilvl w:val="0"/>
          <w:numId w:val="3"/>
        </w:numPr>
        <w:ind w:hanging="284" w:left="284"/>
        <w:jc w:val="both"/>
        <w:rPr>
          <w:rFonts w:ascii="Century" w:hAnsi="Century" w:cs="Calibri" w:cstheme="minorHAnsi"/>
          <w:sz w:val="24"/>
          <w:szCs w:val="24"/>
        </w:rPr>
      </w:pPr>
      <w:r>
        <w:rPr>
          <w:rFonts w:cs="Calibri" w:ascii="Century" w:hAnsi="Century" w:cstheme="minorHAnsi"/>
          <w:sz w:val="24"/>
          <w:szCs w:val="24"/>
        </w:rPr>
        <w:t>Le poste occupé,</w:t>
      </w:r>
    </w:p>
    <w:p>
      <w:pPr>
        <w:pStyle w:val="ListParagraph"/>
        <w:numPr>
          <w:ilvl w:val="0"/>
          <w:numId w:val="3"/>
        </w:numPr>
        <w:ind w:hanging="284" w:left="284"/>
        <w:jc w:val="both"/>
        <w:rPr>
          <w:rFonts w:ascii="Century" w:hAnsi="Century" w:cs="Calibri" w:cstheme="minorHAnsi"/>
          <w:sz w:val="24"/>
          <w:szCs w:val="24"/>
        </w:rPr>
      </w:pPr>
      <w:r>
        <w:rPr>
          <w:rFonts w:cs="Calibri" w:ascii="Century" w:hAnsi="Century" w:cstheme="minorHAnsi"/>
          <w:sz w:val="24"/>
          <w:szCs w:val="24"/>
        </w:rPr>
        <w:t>Les jours de travail,</w:t>
      </w:r>
    </w:p>
    <w:p>
      <w:pPr>
        <w:pStyle w:val="ListParagraph"/>
        <w:numPr>
          <w:ilvl w:val="0"/>
          <w:numId w:val="3"/>
        </w:numPr>
        <w:ind w:hanging="284" w:left="284"/>
        <w:jc w:val="both"/>
        <w:rPr>
          <w:rFonts w:ascii="Century" w:hAnsi="Century" w:cs="Calibri" w:cstheme="minorHAnsi"/>
          <w:sz w:val="24"/>
          <w:szCs w:val="24"/>
        </w:rPr>
      </w:pPr>
      <w:r>
        <w:rPr>
          <w:rFonts w:cs="Calibri" w:ascii="Century" w:hAnsi="Century" w:cstheme="minorHAnsi"/>
          <w:sz w:val="24"/>
          <w:szCs w:val="24"/>
        </w:rPr>
        <w:t>Les horaires de travail</w:t>
      </w:r>
    </w:p>
    <w:p>
      <w:pPr>
        <w:pStyle w:val="ListParagraph"/>
        <w:numPr>
          <w:ilvl w:val="0"/>
          <w:numId w:val="3"/>
        </w:numPr>
        <w:ind w:hanging="284" w:left="284"/>
        <w:jc w:val="both"/>
        <w:rPr>
          <w:rFonts w:ascii="Century" w:hAnsi="Century" w:cs="Calibri" w:cstheme="minorHAnsi"/>
          <w:sz w:val="24"/>
          <w:szCs w:val="24"/>
        </w:rPr>
      </w:pPr>
      <w:r>
        <w:rPr>
          <w:rFonts w:cs="Calibri" w:ascii="Century" w:hAnsi="Century" w:cstheme="minorHAnsi"/>
          <w:sz w:val="24"/>
          <w:szCs w:val="24"/>
        </w:rPr>
        <w:t>Les horaires de pauses</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Chaque salarié sera informé du programme de ses jours et temps de travail au moins 15 jours calendaires avant la date de sa mise en application.</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L’information se fera selon la modalité suivante : affichage d’un planning au bureau de l’unité de production, comme cela se pratique aujourd’hui pour les horaires.</w:t>
      </w:r>
    </w:p>
    <w:p>
      <w:pPr>
        <w:pStyle w:val="Normal"/>
        <w:jc w:val="both"/>
        <w:rPr>
          <w:rFonts w:ascii="Century" w:hAnsi="Century" w:cs="Calibri" w:cstheme="minorHAnsi"/>
        </w:rPr>
      </w:pPr>
      <w:r>
        <w:rPr>
          <w:rFonts w:cs="Calibri" w:cstheme="minorHAnsi" w:ascii="Century" w:hAnsi="Century"/>
        </w:rPr>
      </w:r>
    </w:p>
    <w:p>
      <w:pPr>
        <w:pStyle w:val="Heading1"/>
        <w:spacing w:before="0" w:after="0"/>
        <w:jc w:val="both"/>
        <w:rPr>
          <w:rFonts w:ascii="Century" w:hAnsi="Century" w:cs="Calibri" w:cstheme="minorHAnsi"/>
          <w:b/>
          <w:bCs/>
          <w:color w:themeColor="text1" w:val="000000"/>
          <w:sz w:val="24"/>
          <w:szCs w:val="24"/>
          <w:u w:val="single"/>
        </w:rPr>
      </w:pPr>
      <w:bookmarkStart w:id="1" w:name="_Toc479079581"/>
      <w:bookmarkStart w:id="2" w:name="_Toc467246916"/>
      <w:bookmarkStart w:id="3" w:name="_Toc467246915"/>
      <w:bookmarkStart w:id="4" w:name="_Toc467246914"/>
      <w:bookmarkStart w:id="5" w:name="_Toc467246913"/>
      <w:bookmarkStart w:id="6" w:name="_Toc467246912"/>
      <w:bookmarkStart w:id="7" w:name="_Toc467246911"/>
      <w:bookmarkEnd w:id="2"/>
      <w:bookmarkEnd w:id="3"/>
      <w:bookmarkEnd w:id="4"/>
      <w:bookmarkEnd w:id="5"/>
      <w:bookmarkEnd w:id="6"/>
      <w:bookmarkEnd w:id="7"/>
      <w:r>
        <w:rPr>
          <w:rFonts w:cs="Calibri" w:ascii="Century" w:hAnsi="Century" w:cstheme="minorHAnsi"/>
          <w:b/>
          <w:bCs/>
          <w:color w:themeColor="text1" w:val="000000"/>
          <w:sz w:val="24"/>
          <w:szCs w:val="24"/>
          <w:u w:val="single"/>
        </w:rPr>
        <w:t>Article 2 - Durée et entrée en vigueur de l’accord</w:t>
      </w:r>
    </w:p>
    <w:p>
      <w:pPr>
        <w:pStyle w:val="Normal"/>
        <w:rPr/>
      </w:pPr>
      <w:r>
        <w:rPr/>
      </w:r>
    </w:p>
    <w:p>
      <w:pPr>
        <w:pStyle w:val="Normal"/>
        <w:jc w:val="both"/>
        <w:rPr>
          <w:rFonts w:ascii="Century" w:hAnsi="Century" w:cs="Calibri" w:cstheme="minorHAnsi"/>
        </w:rPr>
      </w:pPr>
      <w:r>
        <w:rPr>
          <w:rFonts w:cs="Calibri" w:ascii="Century" w:hAnsi="Century" w:cstheme="minorHAnsi"/>
        </w:rPr>
        <w:t>Le présent avenant est convenu pour une durée limitée de six mois, soit jusqu’au 31/07/2026, reconductible six mois, soit jusqu’au 31/01/2027.</w:t>
      </w:r>
    </w:p>
    <w:p>
      <w:pPr>
        <w:pStyle w:val="Heading1"/>
        <w:spacing w:before="0" w:after="0"/>
        <w:jc w:val="both"/>
        <w:rPr>
          <w:rFonts w:ascii="Century" w:hAnsi="Century" w:cs="Calibri" w:cstheme="minorHAnsi"/>
          <w:b/>
          <w:bCs/>
          <w:color w:themeColor="text1" w:val="000000"/>
          <w:sz w:val="24"/>
          <w:szCs w:val="24"/>
          <w:u w:val="single"/>
        </w:rPr>
      </w:pPr>
      <w:r>
        <w:rPr>
          <w:rFonts w:cs="Calibri" w:cstheme="minorHAnsi" w:ascii="Century" w:hAnsi="Century"/>
          <w:b/>
          <w:bCs/>
          <w:color w:themeColor="text1" w:val="000000"/>
          <w:sz w:val="24"/>
          <w:szCs w:val="24"/>
          <w:u w:val="single"/>
        </w:rPr>
      </w:r>
    </w:p>
    <w:p>
      <w:pPr>
        <w:pStyle w:val="Heading1"/>
        <w:spacing w:before="0" w:after="0"/>
        <w:jc w:val="both"/>
        <w:rPr>
          <w:rFonts w:ascii="Century" w:hAnsi="Century" w:cs="Calibri" w:cstheme="minorHAnsi"/>
          <w:b/>
          <w:bCs/>
          <w:color w:themeColor="text1" w:val="000000"/>
          <w:sz w:val="24"/>
          <w:szCs w:val="24"/>
          <w:u w:val="single"/>
        </w:rPr>
      </w:pPr>
      <w:bookmarkStart w:id="8" w:name="_Toc479079581"/>
      <w:r>
        <w:rPr>
          <w:rFonts w:cs="Calibri" w:ascii="Century" w:hAnsi="Century" w:cstheme="minorHAnsi"/>
          <w:b/>
          <w:bCs/>
          <w:color w:themeColor="text1" w:val="000000"/>
          <w:sz w:val="24"/>
          <w:szCs w:val="24"/>
          <w:u w:val="single"/>
        </w:rPr>
        <w:t>Article 3 - Suivi de l’accord</w:t>
      </w:r>
      <w:bookmarkEnd w:id="8"/>
    </w:p>
    <w:p>
      <w:pPr>
        <w:pStyle w:val="Normal"/>
        <w:rPr/>
      </w:pPr>
      <w:r>
        <w:rPr/>
      </w:r>
    </w:p>
    <w:p>
      <w:pPr>
        <w:pStyle w:val="Normal"/>
        <w:jc w:val="both"/>
        <w:rPr>
          <w:rFonts w:ascii="Century" w:hAnsi="Century" w:cs="Calibri" w:cstheme="minorHAnsi"/>
        </w:rPr>
      </w:pPr>
      <w:bookmarkStart w:id="9" w:name="_Toc479079582"/>
      <w:bookmarkEnd w:id="9"/>
      <w:r>
        <w:rPr>
          <w:rFonts w:cs="Calibri" w:ascii="Century" w:hAnsi="Century" w:cstheme="minorHAnsi"/>
        </w:rPr>
        <w:t>Les parties conviennent de se voir avant le 31/07/2026, afin de mesurer la nécessité ou non de reconduire six mois supplémentaires.</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En cas de litige sur l’application du présent avenant, les parties s’engagent à se rencontrer dans les meilleurs délais afin d’en résoudre les causes.</w:t>
      </w:r>
    </w:p>
    <w:p>
      <w:pPr>
        <w:pStyle w:val="Normal"/>
        <w:widowControl/>
        <w:suppressAutoHyphens w:val="false"/>
        <w:spacing w:lineRule="auto" w:line="259" w:before="0" w:after="160"/>
        <w:jc w:val="both"/>
        <w:rPr>
          <w:rFonts w:ascii="Century" w:hAnsi="Century" w:cs="Calibri" w:cstheme="minorHAnsi"/>
        </w:rPr>
      </w:pPr>
      <w:r>
        <w:rPr>
          <w:rFonts w:cs="Calibri" w:cstheme="minorHAnsi" w:ascii="Century" w:hAnsi="Century"/>
        </w:rPr>
      </w:r>
      <w:r>
        <w:br w:type="page"/>
      </w:r>
    </w:p>
    <w:p>
      <w:pPr>
        <w:pStyle w:val="Normal"/>
        <w:spacing w:before="0" w:after="0"/>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cstheme="minorHAnsi" w:ascii="Century" w:hAnsi="Century"/>
        </w:rPr>
      </w:r>
      <w:bookmarkStart w:id="10" w:name="_Toc479079582"/>
      <w:bookmarkStart w:id="11" w:name="_Toc479079582"/>
      <w:bookmarkEnd w:id="11"/>
    </w:p>
    <w:p>
      <w:pPr>
        <w:pStyle w:val="Normal"/>
        <w:jc w:val="both"/>
        <w:rPr>
          <w:rFonts w:ascii="Century" w:hAnsi="Century" w:cs="Calibri" w:cstheme="minorHAnsi"/>
        </w:rPr>
      </w:pPr>
      <w:r>
        <w:rPr>
          <w:rFonts w:cs="Calibri" w:cstheme="minorHAnsi" w:ascii="Century" w:hAnsi="Century"/>
        </w:rPr>
      </w:r>
    </w:p>
    <w:p>
      <w:pPr>
        <w:pStyle w:val="Heading1"/>
        <w:spacing w:before="0" w:after="0"/>
        <w:jc w:val="both"/>
        <w:rPr>
          <w:rFonts w:ascii="Century" w:hAnsi="Century" w:cs="Calibri" w:cstheme="minorHAnsi"/>
          <w:b/>
          <w:bCs/>
          <w:color w:themeColor="text1" w:val="000000"/>
          <w:sz w:val="24"/>
          <w:szCs w:val="24"/>
          <w:u w:val="single"/>
        </w:rPr>
      </w:pPr>
      <w:bookmarkStart w:id="12" w:name="_Toc479079586"/>
      <w:r>
        <w:rPr>
          <w:rFonts w:cs="Calibri" w:ascii="Century" w:hAnsi="Century" w:cstheme="minorHAnsi"/>
          <w:b/>
          <w:bCs/>
          <w:color w:themeColor="text1" w:val="000000"/>
          <w:sz w:val="24"/>
          <w:szCs w:val="24"/>
          <w:u w:val="single"/>
        </w:rPr>
        <w:t>Article 4 - Formalités de publicité et de dépôt</w:t>
      </w:r>
      <w:bookmarkEnd w:id="12"/>
      <w:r>
        <w:rPr>
          <w:rFonts w:cs="Calibri" w:ascii="Century" w:hAnsi="Century" w:cstheme="minorHAnsi"/>
          <w:b/>
          <w:bCs/>
          <w:color w:themeColor="text1" w:val="000000"/>
          <w:sz w:val="24"/>
          <w:szCs w:val="24"/>
          <w:u w:val="single"/>
        </w:rPr>
        <w:t xml:space="preserve"> </w:t>
      </w:r>
    </w:p>
    <w:p>
      <w:pPr>
        <w:pStyle w:val="Normal"/>
        <w:rPr/>
      </w:pPr>
      <w:r>
        <w:rPr/>
      </w:r>
    </w:p>
    <w:p>
      <w:pPr>
        <w:pStyle w:val="Normal"/>
        <w:jc w:val="both"/>
        <w:rPr>
          <w:rFonts w:ascii="Century" w:hAnsi="Century" w:cs="Calibri" w:cstheme="minorHAnsi"/>
        </w:rPr>
      </w:pPr>
      <w:r>
        <w:rPr>
          <w:rFonts w:cs="Calibri" w:ascii="Century" w:hAnsi="Century" w:cstheme="minorHAnsi"/>
        </w:rPr>
        <w:t>Le présent accord donnera lieu à dépôt dans les conditions prévues aux articles L.2231-6 et D. 2231-2 et suivants du code du travail. Il sera déposé :</w:t>
      </w:r>
      <w:r>
        <w:rPr>
          <w:rFonts w:cs="Times New Roman"/>
        </w:rPr>
        <w:t> </w:t>
      </w:r>
      <w:r>
        <w:rPr>
          <w:rFonts w:cs="Century" w:ascii="Century" w:hAnsi="Century"/>
        </w:rPr>
        <w:t> </w:t>
      </w:r>
    </w:p>
    <w:p>
      <w:pPr>
        <w:pStyle w:val="ListParagraph"/>
        <w:numPr>
          <w:ilvl w:val="0"/>
          <w:numId w:val="2"/>
        </w:numPr>
        <w:ind w:hanging="284" w:left="284"/>
        <w:jc w:val="both"/>
        <w:rPr>
          <w:rFonts w:ascii="Century" w:hAnsi="Century" w:cs="Calibri" w:cstheme="minorHAnsi"/>
          <w:sz w:val="24"/>
          <w:szCs w:val="24"/>
        </w:rPr>
      </w:pPr>
      <w:r>
        <w:rPr>
          <w:rFonts w:cs="Calibri" w:ascii="Century" w:hAnsi="Century" w:cstheme="minorHAnsi"/>
          <w:sz w:val="24"/>
          <w:szCs w:val="24"/>
        </w:rPr>
        <w:t>sur la plateforme de téléprocédure dénommée « TéléAccords », accompagné des pièces prévues aux articles D. 2231-6 et D. 2231-7 du code du travail ;</w:t>
      </w:r>
      <w:r>
        <w:rPr>
          <w:sz w:val="24"/>
          <w:szCs w:val="24"/>
        </w:rPr>
        <w:t> </w:t>
      </w:r>
      <w:r>
        <w:rPr>
          <w:rFonts w:cs="Century" w:ascii="Century" w:hAnsi="Century"/>
          <w:sz w:val="24"/>
          <w:szCs w:val="24"/>
        </w:rPr>
        <w:t> </w:t>
      </w:r>
    </w:p>
    <w:p>
      <w:pPr>
        <w:pStyle w:val="ListParagraph"/>
        <w:numPr>
          <w:ilvl w:val="0"/>
          <w:numId w:val="2"/>
        </w:numPr>
        <w:ind w:hanging="284" w:left="284"/>
        <w:jc w:val="both"/>
        <w:rPr>
          <w:rFonts w:ascii="Century" w:hAnsi="Century" w:cs="Calibri" w:cstheme="minorHAnsi"/>
          <w:sz w:val="24"/>
          <w:szCs w:val="24"/>
        </w:rPr>
      </w:pPr>
      <w:r>
        <w:rPr>
          <w:rFonts w:cs="Calibri" w:ascii="Century" w:hAnsi="Century" w:cstheme="minorHAnsi"/>
          <w:sz w:val="24"/>
          <w:szCs w:val="24"/>
        </w:rPr>
        <w:t>et en un exemplaire auprès du greffe du conseil de prud'hommes de Rochefort.</w:t>
      </w:r>
      <w:r>
        <w:rPr>
          <w:sz w:val="24"/>
          <w:szCs w:val="24"/>
        </w:rPr>
        <w:t> </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ascii="Century" w:hAnsi="Century" w:cstheme="minorHAnsi"/>
        </w:rPr>
        <w:t>Fait à Rochefort, le 8 janvier 2026</w:t>
      </w:r>
    </w:p>
    <w:p>
      <w:pPr>
        <w:pStyle w:val="Normal"/>
        <w:jc w:val="both"/>
        <w:rPr>
          <w:rFonts w:ascii="Century" w:hAnsi="Century" w:cs="Calibri" w:cstheme="minorHAnsi"/>
        </w:rPr>
      </w:pPr>
      <w:r>
        <w:rPr>
          <w:rFonts w:cs="Calibri" w:cstheme="minorHAnsi" w:ascii="Century" w:hAnsi="Century"/>
        </w:rPr>
      </w:r>
    </w:p>
    <w:p>
      <w:pPr>
        <w:pStyle w:val="Normal"/>
        <w:jc w:val="both"/>
        <w:rPr>
          <w:rFonts w:ascii="Century" w:hAnsi="Century" w:cs="Calibri" w:cstheme="minorHAnsi"/>
        </w:rPr>
      </w:pPr>
      <w:r>
        <w:rPr>
          <w:rFonts w:cs="Calibri" w:cstheme="minorHAnsi" w:ascii="Century" w:hAnsi="Century"/>
        </w:rPr>
      </w:r>
    </w:p>
    <w:p>
      <w:pPr>
        <w:pStyle w:val="Normal"/>
        <w:tabs>
          <w:tab w:val="clear" w:pos="708"/>
          <w:tab w:val="left" w:pos="4678" w:leader="none"/>
        </w:tabs>
        <w:jc w:val="both"/>
        <w:rPr>
          <w:rFonts w:ascii="Century" w:hAnsi="Century" w:cs="Calibri" w:cstheme="minorHAnsi"/>
          <w:b/>
          <w:bCs/>
        </w:rPr>
      </w:pPr>
      <w:r>
        <w:rPr>
          <w:rFonts w:cs="Calibri" w:ascii="Century" w:hAnsi="Century" w:cstheme="minorHAnsi"/>
          <w:b/>
          <w:bCs/>
        </w:rPr>
        <w:t xml:space="preserve">Monsieur </w:t>
        <w:tab/>
        <w:t xml:space="preserve">Monsieur </w:t>
      </w:r>
    </w:p>
    <w:p>
      <w:pPr>
        <w:pStyle w:val="Normal"/>
        <w:tabs>
          <w:tab w:val="clear" w:pos="708"/>
          <w:tab w:val="left" w:pos="4678" w:leader="none"/>
        </w:tabs>
        <w:jc w:val="both"/>
        <w:rPr>
          <w:rFonts w:ascii="Century" w:hAnsi="Century" w:cs="Calibri" w:cstheme="minorHAnsi"/>
        </w:rPr>
      </w:pPr>
      <w:r>
        <w:rPr>
          <w:rFonts w:cs="Calibri" w:ascii="Century" w:hAnsi="Century" w:cstheme="minorHAnsi"/>
        </w:rPr>
        <w:t>Directeur de site</w:t>
        <w:tab/>
        <w:t>Délégué Syndical CGT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Calibri Light">
    <w:charset w:val="01"/>
    <w:family w:val="auto"/>
    <w:pitch w:val="default"/>
  </w:font>
  <w:font w:name="Segoe UI">
    <w:charset w:val="01"/>
    <w:family w:val="auto"/>
    <w:pitch w:val="default"/>
  </w:font>
  <w:font w:name="Marianne">
    <w:charset w:val="01"/>
    <w:family w:val="auto"/>
    <w:pitch w:val="default"/>
  </w:font>
  <w:font w:name="Arial">
    <w:charset w:val="01"/>
    <w:family w:val="auto"/>
    <w:pitch w:val="default"/>
  </w:font>
  <w:font w:name="YBZFD E+ Helvetica">
    <w:charset w:val="01"/>
    <w:family w:val="auto"/>
    <w:pitch w:val="default"/>
  </w:font>
  <w:font w:name="Century">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cs="Calibri"/>
        <w:color w:val="666666"/>
        <w:sz w:val="18"/>
        <w:szCs w:val="18"/>
      </w:rPr>
    </w:pPr>
    <w:r>
      <w:rPr>
        <w:rFonts w:cs="Calibri" w:ascii="Calibri" w:hAnsi="Calibri"/>
        <w:color w:val="666666"/>
        <w:sz w:val="18"/>
        <w:szCs w:val="18"/>
      </w:rPr>
      <w:t>SimAir - 17 Av. André Dulin - B.P. 90170 - 17308 Rochefort s/Mer Cedex France - Tél +33 (0)5 46 99 71 49 - Fax +33 (0)5 46 87 40 12</w:t>
    </w:r>
  </w:p>
  <w:p>
    <w:pPr>
      <w:pStyle w:val="Footer"/>
      <w:jc w:val="center"/>
      <w:rPr/>
    </w:pPr>
    <w:r>
      <w:rPr>
        <w:rFonts w:cs="Calibri" w:ascii="Calibri" w:hAnsi="Calibri"/>
        <w:color w:val="666666"/>
        <w:sz w:val="18"/>
        <w:szCs w:val="18"/>
      </w:rPr>
      <w:t>S.A.S. au capital de 100 011,66 € - R.C. Rochefort 79 A 42 – SIRET 316 883 180 000 36</w:t>
      <w:br/>
      <w:t xml:space="preserve">www.bt2igroup.com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cs="Calibri"/>
        <w:color w:val="666666"/>
        <w:sz w:val="18"/>
        <w:szCs w:val="18"/>
      </w:rPr>
    </w:pPr>
    <w:r>
      <w:rPr>
        <w:rFonts w:cs="Calibri" w:ascii="Calibri" w:hAnsi="Calibri"/>
        <w:color w:val="666666"/>
        <w:sz w:val="18"/>
        <w:szCs w:val="18"/>
      </w:rPr>
      <w:t>SimAir - 17 Av. André Dulin - B.P. 90170 - 17308 Rochefort s/Mer Cedex France - Tél +33 (0)5 46 99 71 49 - Fax +33 (0)5 46 87 40 12</w:t>
    </w:r>
  </w:p>
  <w:p>
    <w:pPr>
      <w:pStyle w:val="Footer"/>
      <w:jc w:val="center"/>
      <w:rPr/>
    </w:pPr>
    <w:r>
      <w:rPr>
        <w:rFonts w:cs="Calibri" w:ascii="Calibri" w:hAnsi="Calibri"/>
        <w:color w:val="666666"/>
        <w:sz w:val="18"/>
        <w:szCs w:val="18"/>
      </w:rPr>
      <w:t>S.A.S. au capital de 100 011,66 € - R.C. Rochefort 79 A 42 – SIRET 316 883 180 000 36</w:t>
      <w:br/>
      <w:t xml:space="preserve">www.bt2igroup.com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4">
          <wp:simplePos x="0" y="0"/>
          <wp:positionH relativeFrom="column">
            <wp:posOffset>-752475</wp:posOffset>
          </wp:positionH>
          <wp:positionV relativeFrom="paragraph">
            <wp:posOffset>-562610</wp:posOffset>
          </wp:positionV>
          <wp:extent cx="1511300" cy="1511300"/>
          <wp:effectExtent l="0" t="0" r="0" b="0"/>
          <wp:wrapNone/>
          <wp:docPr id="1" name="Image 5" descr="SIMAIR-couleur(modi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 descr="SIMAIR-couleur(modif LOGO)"/>
                  <pic:cNvPicPr>
                    <a:picLocks noChangeAspect="1" noChangeArrowheads="1"/>
                  </pic:cNvPicPr>
                </pic:nvPicPr>
                <pic:blipFill>
                  <a:blip r:embed="rId1"/>
                  <a:stretch>
                    <a:fillRect/>
                  </a:stretch>
                </pic:blipFill>
                <pic:spPr bwMode="auto">
                  <a:xfrm>
                    <a:off x="0" y="0"/>
                    <a:ext cx="1511300" cy="151130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4">
          <wp:simplePos x="0" y="0"/>
          <wp:positionH relativeFrom="column">
            <wp:posOffset>-752475</wp:posOffset>
          </wp:positionH>
          <wp:positionV relativeFrom="paragraph">
            <wp:posOffset>-562610</wp:posOffset>
          </wp:positionV>
          <wp:extent cx="1511300" cy="1511300"/>
          <wp:effectExtent l="0" t="0" r="0" b="0"/>
          <wp:wrapNone/>
          <wp:docPr id="2" name="Image 5" descr="SIMAIR-couleur(modi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descr="SIMAIR-couleur(modif LOGO)"/>
                  <pic:cNvPicPr>
                    <a:picLocks noChangeAspect="1" noChangeArrowheads="1"/>
                  </pic:cNvPicPr>
                </pic:nvPicPr>
                <pic:blipFill>
                  <a:blip r:embed="rId1"/>
                  <a:stretch>
                    <a:fillRect/>
                  </a:stretch>
                </pic:blipFill>
                <pic:spPr bwMode="auto">
                  <a:xfrm>
                    <a:off x="0" y="0"/>
                    <a:ext cx="1511300" cy="151130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Article %1 -"/>
      <w:lvlJc w:val="left"/>
      <w:pPr>
        <w:tabs>
          <w:tab w:val="num" w:pos="0"/>
        </w:tabs>
        <w:ind w:left="2061" w:hanging="360"/>
      </w:pPr>
      <w:rPr/>
    </w:lvl>
    <w:lvl w:ilvl="1">
      <w:start w:val="1"/>
      <w:numFmt w:val="decimal"/>
      <w:lvlText w:val="%1.%2 -"/>
      <w:lvlJc w:val="left"/>
      <w:pPr>
        <w:tabs>
          <w:tab w:val="num" w:pos="0"/>
        </w:tabs>
        <w:ind w:left="9999"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2">
    <w:lvl w:ilvl="0">
      <w:numFmt w:val="bullet"/>
      <w:lvlText w:val="-"/>
      <w:lvlJc w:val="left"/>
      <w:pPr>
        <w:tabs>
          <w:tab w:val="num" w:pos="0"/>
        </w:tabs>
        <w:ind w:left="708" w:hanging="708"/>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lvl w:ilvl="0">
      <w:numFmt w:val="bullet"/>
      <w:lvlText w:val="-"/>
      <w:lvlJc w:val="left"/>
      <w:pPr>
        <w:tabs>
          <w:tab w:val="num" w:pos="0"/>
        </w:tabs>
        <w:ind w:left="708" w:hanging="708"/>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23599"/>
    <w:pPr>
      <w:widowControl w:val="false"/>
      <w:suppressAutoHyphens w:val="true"/>
      <w:bidi w:val="0"/>
      <w:spacing w:lineRule="auto" w:line="240" w:before="0" w:after="0"/>
      <w:jc w:val="left"/>
    </w:pPr>
    <w:rPr>
      <w:rFonts w:ascii="Times New Roman" w:hAnsi="Times New Roman" w:eastAsia="SimSun" w:cs="Lucida Sans"/>
      <w:color w:val="auto"/>
      <w:kern w:val="2"/>
      <w:sz w:val="24"/>
      <w:szCs w:val="24"/>
      <w:lang w:eastAsia="hi-IN" w:bidi="hi-IN" w:val="fr-FR"/>
    </w:rPr>
  </w:style>
  <w:style w:type="paragraph" w:styleId="Heading1">
    <w:name w:val="Heading 1"/>
    <w:basedOn w:val="Normal"/>
    <w:next w:val="Normal"/>
    <w:link w:val="Titre1Car"/>
    <w:uiPriority w:val="9"/>
    <w:qFormat/>
    <w:rsid w:val="00985072"/>
    <w:pPr>
      <w:keepNext w:val="true"/>
      <w:keepLines/>
      <w:spacing w:before="240" w:after="0"/>
      <w:outlineLvl w:val="0"/>
    </w:pPr>
    <w:rPr>
      <w:rFonts w:ascii="Calibri Light" w:hAnsi="Calibri Light" w:eastAsia="" w:cs="Mangal" w:asciiTheme="majorHAnsi" w:eastAsiaTheme="majorEastAsia" w:hAnsiTheme="majorHAnsi"/>
      <w:color w:themeColor="accent1" w:themeShade="bf" w:val="2E74B5"/>
      <w:sz w:val="32"/>
      <w:szCs w:val="29"/>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a23599"/>
    <w:rPr>
      <w:rFonts w:ascii="Times New Roman" w:hAnsi="Times New Roman" w:eastAsia="SimSun" w:cs="Mangal"/>
      <w:kern w:val="2"/>
      <w:sz w:val="24"/>
      <w:szCs w:val="21"/>
      <w:lang w:eastAsia="hi-IN" w:bidi="hi-IN"/>
    </w:rPr>
  </w:style>
  <w:style w:type="character" w:styleId="PieddepageCar" w:customStyle="1">
    <w:name w:val="Pied de page Car"/>
    <w:basedOn w:val="DefaultParagraphFont"/>
    <w:uiPriority w:val="99"/>
    <w:qFormat/>
    <w:rsid w:val="00a23599"/>
    <w:rPr>
      <w:rFonts w:ascii="Times New Roman" w:hAnsi="Times New Roman" w:eastAsia="SimSun" w:cs="Mangal"/>
      <w:kern w:val="2"/>
      <w:sz w:val="24"/>
      <w:szCs w:val="21"/>
      <w:lang w:eastAsia="hi-IN" w:bidi="hi-IN"/>
    </w:rPr>
  </w:style>
  <w:style w:type="character" w:styleId="TextedebullesCar" w:customStyle="1">
    <w:name w:val="Texte de bulles Car"/>
    <w:basedOn w:val="DefaultParagraphFont"/>
    <w:link w:val="BalloonText"/>
    <w:uiPriority w:val="99"/>
    <w:semiHidden/>
    <w:qFormat/>
    <w:rsid w:val="000e76a4"/>
    <w:rPr>
      <w:rFonts w:ascii="Segoe UI" w:hAnsi="Segoe UI" w:eastAsia="SimSun" w:cs="Mangal"/>
      <w:kern w:val="2"/>
      <w:sz w:val="18"/>
      <w:szCs w:val="16"/>
      <w:lang w:eastAsia="hi-IN" w:bidi="hi-IN"/>
    </w:rPr>
  </w:style>
  <w:style w:type="character" w:styleId="InternetLink">
    <w:name w:val="Internet Link"/>
    <w:basedOn w:val="DefaultParagraphFont"/>
    <w:uiPriority w:val="99"/>
    <w:unhideWhenUsed/>
    <w:qFormat/>
    <w:rsid w:val="006769aa"/>
    <w:rPr>
      <w:color w:themeColor="hyperlink" w:val="0563C1"/>
      <w:u w:val="single"/>
    </w:rPr>
  </w:style>
  <w:style w:type="character" w:styleId="UnresolvedMention">
    <w:name w:val="Unresolved Mention"/>
    <w:basedOn w:val="DefaultParagraphFont"/>
    <w:uiPriority w:val="99"/>
    <w:semiHidden/>
    <w:unhideWhenUsed/>
    <w:qFormat/>
    <w:rsid w:val="006769aa"/>
    <w:rPr>
      <w:color w:val="605E5C"/>
      <w:shd w:fill="E1DFDD" w:val="clear"/>
    </w:rPr>
  </w:style>
  <w:style w:type="character" w:styleId="EFLvariable" w:customStyle="1">
    <w:name w:val="EFLvariable"/>
    <w:basedOn w:val="DefaultParagraphFont"/>
    <w:qFormat/>
    <w:rsid w:val="00a32861"/>
    <w:rPr>
      <w:i/>
      <w:iCs/>
      <w:color w:val="0070C0"/>
    </w:rPr>
  </w:style>
  <w:style w:type="character" w:styleId="Corpsdetexte2Car" w:customStyle="1">
    <w:name w:val="Corps de texte 2 Car"/>
    <w:basedOn w:val="DefaultParagraphFont"/>
    <w:link w:val="BodyText2"/>
    <w:qFormat/>
    <w:rsid w:val="00b113dc"/>
    <w:rPr>
      <w:rFonts w:ascii="Times New Roman" w:hAnsi="Times New Roman" w:eastAsia="Times New Roman" w:cs="Times New Roman"/>
      <w:sz w:val="20"/>
      <w:szCs w:val="20"/>
      <w:lang w:val="fr-CH"/>
    </w:rPr>
  </w:style>
  <w:style w:type="character" w:styleId="Titre1Car" w:customStyle="1">
    <w:name w:val="Titre 1 Car"/>
    <w:basedOn w:val="DefaultParagraphFont"/>
    <w:uiPriority w:val="9"/>
    <w:qFormat/>
    <w:rsid w:val="00985072"/>
    <w:rPr>
      <w:rFonts w:ascii="Calibri Light" w:hAnsi="Calibri Light" w:eastAsia="" w:cs="Mangal" w:asciiTheme="majorHAnsi" w:eastAsiaTheme="majorEastAsia" w:hAnsiTheme="majorHAnsi"/>
      <w:color w:themeColor="accent1" w:themeShade="bf" w:val="2E74B5"/>
      <w:kern w:val="2"/>
      <w:sz w:val="32"/>
      <w:szCs w:val="29"/>
      <w:lang w:eastAsia="hi-IN" w:bidi="hi-IN"/>
    </w:rPr>
  </w:style>
  <w:style w:type="character" w:styleId="normaltextrun" w:customStyle="1">
    <w:name w:val="normaltextrun"/>
    <w:basedOn w:val="DefaultParagraphFont"/>
    <w:qFormat/>
    <w:rsid w:val="00d87fa4"/>
    <w:rPr/>
  </w:style>
  <w:style w:type="character" w:styleId="eop" w:customStyle="1">
    <w:name w:val="eop"/>
    <w:basedOn w:val="DefaultParagraphFont"/>
    <w:qFormat/>
    <w:rsid w:val="00d87fa4"/>
    <w:rPr/>
  </w:style>
  <w:style w:type="character" w:styleId="tabchar" w:customStyle="1">
    <w:name w:val="tabchar"/>
    <w:basedOn w:val="DefaultParagraphFont"/>
    <w:qFormat/>
    <w:rsid w:val="00d87fa4"/>
    <w:rPr/>
  </w:style>
  <w:style w:type="character" w:styleId="CorpsdetexteCar" w:customStyle="1">
    <w:name w:val="Corps de texte Car"/>
    <w:basedOn w:val="DefaultParagraphFont"/>
    <w:uiPriority w:val="99"/>
    <w:semiHidden/>
    <w:qFormat/>
    <w:rsid w:val="00fa5cec"/>
    <w:rPr>
      <w:rFonts w:ascii="Times New Roman" w:hAnsi="Times New Roman" w:eastAsia="SimSun" w:cs="Mangal"/>
      <w:kern w:val="2"/>
      <w:sz w:val="24"/>
      <w:szCs w:val="21"/>
      <w:lang w:eastAsia="hi-IN" w:bidi="hi-IN"/>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uiPriority w:val="99"/>
    <w:semiHidden/>
    <w:unhideWhenUsed/>
    <w:rsid w:val="00fa5cec"/>
    <w:pPr>
      <w:spacing w:before="0" w:after="120"/>
    </w:pPr>
    <w:rPr>
      <w:rFonts w:cs="Mangal"/>
      <w:szCs w:val="21"/>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HeaderandFooter">
    <w:name w:val="Header and Footer"/>
    <w:basedOn w:val="Normal"/>
    <w:qFormat/>
    <w:pPr/>
    <w:rPr/>
  </w:style>
  <w:style w:type="paragraph" w:styleId="Header">
    <w:name w:val="Header"/>
    <w:basedOn w:val="Normal"/>
    <w:link w:val="En-tteCar"/>
    <w:unhideWhenUsed/>
    <w:rsid w:val="00a23599"/>
    <w:pPr>
      <w:tabs>
        <w:tab w:val="clear" w:pos="708"/>
        <w:tab w:val="center" w:pos="4536" w:leader="none"/>
        <w:tab w:val="right" w:pos="9072" w:leader="none"/>
      </w:tabs>
    </w:pPr>
    <w:rPr>
      <w:rFonts w:cs="Mangal"/>
      <w:szCs w:val="21"/>
    </w:rPr>
  </w:style>
  <w:style w:type="paragraph" w:styleId="Footer">
    <w:name w:val="Footer"/>
    <w:basedOn w:val="Normal"/>
    <w:link w:val="PieddepageCar"/>
    <w:unhideWhenUsed/>
    <w:rsid w:val="00a23599"/>
    <w:pPr>
      <w:tabs>
        <w:tab w:val="clear" w:pos="708"/>
        <w:tab w:val="center" w:pos="4536" w:leader="none"/>
        <w:tab w:val="right" w:pos="9072" w:leader="none"/>
      </w:tabs>
    </w:pPr>
    <w:rPr>
      <w:rFonts w:cs="Mangal"/>
      <w:szCs w:val="21"/>
    </w:rPr>
  </w:style>
  <w:style w:type="paragraph" w:styleId="BalloonText">
    <w:name w:val="Balloon Text"/>
    <w:basedOn w:val="Normal"/>
    <w:link w:val="TextedebullesCar"/>
    <w:uiPriority w:val="99"/>
    <w:semiHidden/>
    <w:unhideWhenUsed/>
    <w:qFormat/>
    <w:rsid w:val="000e76a4"/>
    <w:pPr/>
    <w:rPr>
      <w:rFonts w:ascii="Segoe UI" w:hAnsi="Segoe UI" w:cs="Mangal"/>
      <w:sz w:val="18"/>
      <w:szCs w:val="16"/>
    </w:rPr>
  </w:style>
  <w:style w:type="paragraph" w:styleId="Default" w:customStyle="1">
    <w:name w:val="Default"/>
    <w:qFormat/>
    <w:rsid w:val="00ce312b"/>
    <w:pPr>
      <w:widowControl/>
      <w:bidi w:val="0"/>
      <w:spacing w:lineRule="auto" w:line="240" w:before="0" w:after="0"/>
      <w:jc w:val="left"/>
    </w:pPr>
    <w:rPr>
      <w:rFonts w:ascii="Times New Roman" w:hAnsi="Times New Roman" w:cs="Times New Roman" w:eastAsia="Calibri"/>
      <w:color w:val="000000"/>
      <w:kern w:val="0"/>
      <w:sz w:val="24"/>
      <w:szCs w:val="24"/>
      <w:lang w:val="fr-FR" w:eastAsia="en-US" w:bidi="ar-SA"/>
    </w:rPr>
  </w:style>
  <w:style w:type="paragraph" w:styleId="ListParagraph">
    <w:name w:val="List Paragraph"/>
    <w:basedOn w:val="Normal"/>
    <w:uiPriority w:val="34"/>
    <w:qFormat/>
    <w:rsid w:val="006769aa"/>
    <w:pPr>
      <w:widowControl/>
      <w:suppressAutoHyphens w:val="false"/>
      <w:spacing w:before="0" w:after="0"/>
      <w:ind w:left="720"/>
      <w:contextualSpacing/>
    </w:pPr>
    <w:rPr>
      <w:rFonts w:eastAsia="Times New Roman" w:cs="Times New Roman"/>
      <w:kern w:val="0"/>
      <w:sz w:val="20"/>
      <w:szCs w:val="20"/>
      <w:lang w:eastAsia="fr-FR" w:bidi="ar-SA"/>
    </w:rPr>
  </w:style>
  <w:style w:type="paragraph" w:styleId="EFLsignatureunique" w:customStyle="1">
    <w:name w:val="EFLsignatureunique"/>
    <w:basedOn w:val="Normal"/>
    <w:qFormat/>
    <w:rsid w:val="006769aa"/>
    <w:pPr>
      <w:keepNext w:val="true"/>
      <w:widowControl/>
      <w:suppressAutoHyphens w:val="false"/>
      <w:spacing w:lineRule="exact" w:line="260" w:before="240" w:after="0"/>
      <w:jc w:val="right"/>
    </w:pPr>
    <w:rPr>
      <w:rFonts w:eastAsia="Times New Roman" w:cs="Times New Roman"/>
      <w:color w:val="000000"/>
      <w:kern w:val="0"/>
      <w:sz w:val="22"/>
      <w:szCs w:val="22"/>
      <w:lang w:eastAsia="fr-FR" w:bidi="ar-SA"/>
    </w:rPr>
  </w:style>
  <w:style w:type="paragraph" w:styleId="BodyText2">
    <w:name w:val="Body Text 2"/>
    <w:basedOn w:val="Normal"/>
    <w:link w:val="Corpsdetexte2Car"/>
    <w:qFormat/>
    <w:rsid w:val="00b113dc"/>
    <w:pPr>
      <w:widowControl/>
      <w:tabs>
        <w:tab w:val="clear" w:pos="708"/>
        <w:tab w:val="right" w:pos="8869" w:leader="none"/>
      </w:tabs>
      <w:suppressAutoHyphens w:val="false"/>
      <w:jc w:val="both"/>
    </w:pPr>
    <w:rPr>
      <w:rFonts w:eastAsia="Times New Roman" w:cs="Times New Roman"/>
      <w:kern w:val="0"/>
      <w:sz w:val="20"/>
      <w:szCs w:val="20"/>
      <w:lang w:val="fr-CH" w:eastAsia="en-US" w:bidi="ar-SA"/>
    </w:rPr>
  </w:style>
  <w:style w:type="paragraph" w:styleId="Titredudocument" w:customStyle="1">
    <w:name w:val="Titre du document"/>
    <w:basedOn w:val="Normal"/>
    <w:qFormat/>
    <w:rsid w:val="00985072"/>
    <w:pPr>
      <w:widowControl/>
      <w:suppressAutoHyphens w:val="false"/>
      <w:spacing w:before="240" w:after="120"/>
    </w:pPr>
    <w:rPr>
      <w:rFonts w:ascii="Arial" w:hAnsi="Arial" w:eastAsia="Times New Roman" w:cs="Times New Roman"/>
      <w:b/>
      <w:bCs/>
      <w:caps/>
      <w:color w:val="E2051B"/>
      <w:kern w:val="0"/>
      <w:sz w:val="56"/>
      <w:szCs w:val="20"/>
      <w:lang w:eastAsia="fr-FR" w:bidi="ar-SA"/>
    </w:rPr>
  </w:style>
  <w:style w:type="paragraph" w:styleId="Sous-titre2dudocument" w:customStyle="1">
    <w:name w:val="Sous-titre 2 du document"/>
    <w:basedOn w:val="Heading1"/>
    <w:qFormat/>
    <w:rsid w:val="00985072"/>
    <w:pPr>
      <w:keepLines w:val="false"/>
      <w:numPr>
        <w:ilvl w:val="0"/>
        <w:numId w:val="1"/>
      </w:numPr>
      <w:tabs>
        <w:tab w:val="clear" w:pos="708"/>
        <w:tab w:val="left" w:pos="1418" w:leader="none"/>
        <w:tab w:val="left" w:pos="1560" w:leader="none"/>
      </w:tabs>
      <w:suppressAutoHyphens w:val="false"/>
      <w:spacing w:lineRule="atLeast" w:line="253" w:before="240" w:after="240"/>
      <w:jc w:val="both"/>
    </w:pPr>
    <w:rPr>
      <w:rFonts w:cs="" w:cstheme="majorBidi"/>
      <w:b/>
      <w:kern w:val="0"/>
      <w:sz w:val="28"/>
      <w:szCs w:val="28"/>
      <w:lang w:eastAsia="fr-FR" w:bidi="ar-SA"/>
    </w:rPr>
  </w:style>
  <w:style w:type="paragraph" w:styleId="CM29" w:customStyle="1">
    <w:name w:val="CM29"/>
    <w:basedOn w:val="Normal"/>
    <w:next w:val="Normal"/>
    <w:uiPriority w:val="99"/>
    <w:qFormat/>
    <w:rsid w:val="00985072"/>
    <w:pPr>
      <w:suppressAutoHyphens w:val="false"/>
    </w:pPr>
    <w:rPr>
      <w:rFonts w:ascii="YBZFD E+ Helvetica" w:hAnsi="YBZFD E+ Helvetica" w:eastAsia="Times New Roman" w:cs="Times New Roman"/>
      <w:kern w:val="0"/>
      <w:lang w:eastAsia="fr-FR" w:bidi="ar-SA"/>
    </w:rPr>
  </w:style>
  <w:style w:type="paragraph" w:styleId="CM26" w:customStyle="1">
    <w:name w:val="CM26"/>
    <w:basedOn w:val="Normal"/>
    <w:next w:val="Normal"/>
    <w:uiPriority w:val="99"/>
    <w:qFormat/>
    <w:rsid w:val="00985072"/>
    <w:pPr>
      <w:suppressAutoHyphens w:val="false"/>
    </w:pPr>
    <w:rPr>
      <w:rFonts w:ascii="YBZFD E+ Helvetica" w:hAnsi="YBZFD E+ Helvetica" w:eastAsia="Times New Roman" w:cs="Times New Roman"/>
      <w:kern w:val="0"/>
      <w:lang w:eastAsia="fr-FR" w:bidi="ar-SA"/>
    </w:rPr>
  </w:style>
  <w:style w:type="paragraph" w:styleId="CM32" w:customStyle="1">
    <w:name w:val="CM32"/>
    <w:basedOn w:val="Default"/>
    <w:next w:val="Default"/>
    <w:uiPriority w:val="99"/>
    <w:qFormat/>
    <w:rsid w:val="00985072"/>
    <w:pPr>
      <w:widowControl w:val="false"/>
    </w:pPr>
    <w:rPr>
      <w:rFonts w:ascii="YBZFD E+ Helvetica" w:hAnsi="YBZFD E+ Helvetica" w:eastAsia="Times New Roman"/>
      <w:color w:val="auto"/>
      <w:lang w:eastAsia="fr-FR"/>
    </w:rPr>
  </w:style>
  <w:style w:type="paragraph" w:styleId="CM19" w:customStyle="1">
    <w:name w:val="CM19"/>
    <w:basedOn w:val="Default"/>
    <w:next w:val="Default"/>
    <w:uiPriority w:val="99"/>
    <w:qFormat/>
    <w:rsid w:val="00985072"/>
    <w:pPr>
      <w:widowControl w:val="false"/>
    </w:pPr>
    <w:rPr>
      <w:rFonts w:ascii="YBZFD E+ Helvetica" w:hAnsi="YBZFD E+ Helvetica" w:eastAsia="Times New Roman"/>
      <w:color w:val="auto"/>
      <w:lang w:eastAsia="fr-FR"/>
    </w:rPr>
  </w:style>
  <w:style w:type="paragraph" w:styleId="Sous-titre3" w:customStyle="1">
    <w:name w:val="Sous-titre 3"/>
    <w:basedOn w:val="Sous-titre2dudocument"/>
    <w:qFormat/>
    <w:rsid w:val="00985072"/>
    <w:pPr>
      <w:tabs>
        <w:tab w:val="clear" w:pos="1560"/>
        <w:tab w:val="left" w:pos="360" w:leader="none"/>
        <w:tab w:val="left" w:pos="1134" w:leader="none"/>
        <w:tab w:val="left" w:pos="1418" w:leader="none"/>
      </w:tabs>
      <w:ind w:hanging="76" w:left="567"/>
    </w:pPr>
    <w:rPr>
      <w:b w:val="false"/>
      <w:sz w:val="26"/>
      <w:szCs w:val="26"/>
    </w:rPr>
  </w:style>
  <w:style w:type="paragraph" w:styleId="paragraph" w:customStyle="1">
    <w:name w:val="paragraph"/>
    <w:basedOn w:val="Normal"/>
    <w:qFormat/>
    <w:rsid w:val="00d87fa4"/>
    <w:pPr>
      <w:widowControl/>
      <w:suppressAutoHyphens w:val="false"/>
      <w:spacing w:beforeAutospacing="1" w:afterAutospacing="1"/>
    </w:pPr>
    <w:rPr>
      <w:rFonts w:eastAsia="Times New Roman" w:cs="Times New Roman"/>
      <w:kern w:val="0"/>
      <w:lang w:eastAsia="fr-FR"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FBE169976B7488A737FC9F518EC89" ma:contentTypeVersion="17" ma:contentTypeDescription="Crée un document." ma:contentTypeScope="" ma:versionID="ecad13e509cf50d1789ee359afe5ce2a">
  <xsd:schema xmlns:xsd="http://www.w3.org/2001/XMLSchema" xmlns:xs="http://www.w3.org/2001/XMLSchema" xmlns:p="http://schemas.microsoft.com/office/2006/metadata/properties" xmlns:ns2="f8cee025-2e76-40ab-9761-5dabdd95708f" xmlns:ns3="ec3852ed-fd1b-4478-b7eb-34c986b85dbf" targetNamespace="http://schemas.microsoft.com/office/2006/metadata/properties" ma:root="true" ma:fieldsID="b5445ccbb7fc1f3aedb7a5c54a6bfa8f" ns2:_="" ns3:_="">
    <xsd:import namespace="f8cee025-2e76-40ab-9761-5dabdd95708f"/>
    <xsd:import namespace="ec3852ed-fd1b-4478-b7eb-34c986b85db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ee025-2e76-40ab-9761-5dabdd95708f"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7c611efb-1eb5-4d13-a899-6d031058ab70}" ma:internalName="TaxCatchAll" ma:showField="CatchAllData" ma:web="f8cee025-2e76-40ab-9761-5dabdd9570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3852ed-fd1b-4478-b7eb-34c986b85db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1ad946b-4283-4477-96f2-6f1cafe25a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B327C6-6270-4255-B4A4-BE2433C0B047}">
  <ds:schemaRefs>
    <ds:schemaRef ds:uri="http://schemas.microsoft.com/sharepoint/v3/contenttype/forms"/>
  </ds:schemaRefs>
</ds:datastoreItem>
</file>

<file path=customXml/itemProps2.xml><?xml version="1.0" encoding="utf-8"?>
<ds:datastoreItem xmlns:ds="http://schemas.openxmlformats.org/officeDocument/2006/customXml" ds:itemID="{6E498649-30FB-4B70-9226-CF65FB0DE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ee025-2e76-40ab-9761-5dabdd95708f"/>
    <ds:schemaRef ds:uri="ec3852ed-fd1b-4478-b7eb-34c986b85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3</Pages>
  <Words>698</Words>
  <Characters>3461</Characters>
  <CharactersWithSpaces>4119</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2026-02-05T10:25:03Z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