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shadow="1"/>
          <w:left w:val="single" w:sz="4" w:space="4" w:color="000000" w:shadow="1"/>
          <w:bottom w:val="single" w:sz="4" w:space="1" w:color="000000" w:shadow="1"/>
          <w:right w:val="single" w:sz="4" w:space="4" w:color="000000" w:shadow="1"/>
        </w:pBdr>
        <w:shd w:val="clear" w:color="auto" w:fill="BFBFBF" w:themeFill="background1" w:themeFillShade="bf"/>
        <w:spacing w:lineRule="auto" w:line="240"/>
        <w:jc w:val="center"/>
        <w:rPr>
          <w:rFonts w:cs="Calibri" w:cstheme="minorHAnsi"/>
          <w:b/>
          <w:sz w:val="28"/>
        </w:rPr>
      </w:pPr>
      <w:r>
        <w:rPr>
          <w:rFonts w:cs="Calibri" w:cstheme="minorHAnsi"/>
          <w:b/>
          <w:sz w:val="28"/>
        </w:rPr>
        <w:t>Accord d’établissement relatif à l’égalité professionnelle entre les femmes et les hommes, la qualité de vie au travail</w:t>
        <w:br/>
        <w:t>PAPREC CRV LE RHEU</w:t>
      </w:r>
    </w:p>
    <w:p>
      <w:pPr>
        <w:pStyle w:val="Normal"/>
        <w:spacing w:lineRule="auto" w:line="240"/>
        <w:rPr>
          <w:rFonts w:cs="Calibri" w:cstheme="minorHAnsi"/>
          <w:sz w:val="24"/>
        </w:rPr>
      </w:pPr>
      <w:r>
        <w:rPr>
          <w:rFonts w:cs="Calibri" w:cstheme="minorHAnsi"/>
          <w:sz w:val="24"/>
        </w:rPr>
      </w:r>
    </w:p>
    <w:p>
      <w:pPr>
        <w:pStyle w:val="Normal"/>
        <w:tabs>
          <w:tab w:val="clear" w:pos="708"/>
          <w:tab w:val="left" w:pos="2235" w:leader="none"/>
        </w:tabs>
        <w:spacing w:lineRule="auto" w:line="240"/>
        <w:rPr>
          <w:rFonts w:cs="Calibri" w:cstheme="minorHAnsi"/>
          <w:sz w:val="20"/>
        </w:rPr>
      </w:pPr>
      <w:r>
        <w:rPr>
          <w:rFonts w:cs="Calibri" w:cstheme="minorHAnsi"/>
          <w:sz w:val="28"/>
        </w:rPr>
        <w:tab/>
      </w:r>
    </w:p>
    <w:p>
      <w:pPr>
        <w:pStyle w:val="Normal"/>
        <w:spacing w:lineRule="auto" w:line="240"/>
        <w:rPr>
          <w:rFonts w:cs="Calibri" w:cstheme="minorHAnsi"/>
          <w:u w:val="single"/>
        </w:rPr>
      </w:pPr>
      <w:r>
        <w:rPr>
          <w:rFonts w:cs="Calibri" w:cstheme="minorHAnsi"/>
          <w:u w:val="single"/>
        </w:rPr>
        <w:t>Entre :</w:t>
      </w:r>
    </w:p>
    <w:p>
      <w:pPr>
        <w:pStyle w:val="Normal"/>
        <w:spacing w:lineRule="auto" w:line="240"/>
        <w:rPr>
          <w:rFonts w:cs="Calibri" w:cstheme="minorHAnsi"/>
          <w:u w:val="single"/>
        </w:rPr>
      </w:pPr>
      <w:r>
        <w:rPr>
          <w:rFonts w:cs="Calibri" w:cstheme="minorHAnsi"/>
          <w:u w:val="single"/>
        </w:rPr>
      </w:r>
    </w:p>
    <w:p>
      <w:pPr>
        <w:pStyle w:val="Normal"/>
        <w:spacing w:lineRule="auto" w:line="240"/>
        <w:rPr>
          <w:rFonts w:cs="Calibri" w:cstheme="minorHAnsi"/>
        </w:rPr>
      </w:pPr>
      <w:r>
        <w:rPr>
          <w:rFonts w:cs="Calibri" w:cstheme="minorHAnsi"/>
        </w:rPr>
        <w:t xml:space="preserve">L’Etablissement </w:t>
      </w:r>
      <w:r>
        <w:rPr>
          <w:rFonts w:cs="Calibri" w:cstheme="minorHAnsi"/>
          <w:b/>
          <w:bCs/>
        </w:rPr>
        <w:t>PAPREC CRV LE RHEU</w:t>
      </w:r>
      <w:r>
        <w:rPr>
          <w:rFonts w:cs="Calibri" w:cstheme="minorHAnsi"/>
          <w:i/>
        </w:rPr>
        <w:t>,</w:t>
      </w:r>
      <w:r>
        <w:rPr>
          <w:rFonts w:cs="Calibri" w:cstheme="minorHAnsi"/>
        </w:rPr>
        <w:t xml:space="preserve"> situé au 89 route nationale 35650 LE RHEU et représenté par </w:t>
      </w:r>
      <w:r>
        <w:rPr>
          <w:rFonts w:cs="Calibri" w:cstheme="minorHAnsi"/>
          <w:b/>
          <w:bCs/>
        </w:rPr>
        <w:t>Monsieur xxxxxxxxxxxxxxx</w:t>
      </w:r>
      <w:r>
        <w:rPr>
          <w:rFonts w:cs="Calibri" w:cstheme="minorHAnsi"/>
        </w:rPr>
        <w:t>, Directeur d’Agence,</w:t>
      </w:r>
    </w:p>
    <w:p>
      <w:pPr>
        <w:pStyle w:val="Normal"/>
        <w:spacing w:lineRule="auto" w:line="240"/>
        <w:rPr>
          <w:rFonts w:cs="Calibri" w:cstheme="minorHAnsi"/>
          <w:u w:val="single"/>
        </w:rPr>
      </w:pPr>
      <w:r>
        <w:rPr>
          <w:rFonts w:cs="Calibri" w:cstheme="minorHAnsi"/>
          <w:u w:val="single"/>
        </w:rPr>
        <w:t>Et :</w:t>
      </w:r>
    </w:p>
    <w:p>
      <w:pPr>
        <w:pStyle w:val="Normal"/>
        <w:spacing w:lineRule="auto" w:line="240"/>
        <w:rPr>
          <w:rFonts w:cs="Calibri" w:cstheme="minorHAnsi"/>
          <w:i/>
        </w:rPr>
      </w:pPr>
      <w:r>
        <w:rPr>
          <w:rFonts w:cs="Calibri" w:cstheme="minorHAnsi"/>
          <w:i/>
        </w:rPr>
      </w:r>
    </w:p>
    <w:p>
      <w:pPr>
        <w:pStyle w:val="Normal"/>
        <w:spacing w:lineRule="auto" w:line="240"/>
        <w:rPr>
          <w:rFonts w:cs="Calibri" w:cstheme="minorHAnsi"/>
        </w:rPr>
      </w:pPr>
      <w:r>
        <w:rPr>
          <w:rFonts w:cs="Calibri" w:cstheme="minorHAnsi"/>
        </w:rPr>
        <w:t xml:space="preserve">Les Organisation syndicales représentatives au sein de l’Etablissement PAPREC CRV LE RHEU: </w:t>
      </w:r>
    </w:p>
    <w:p>
      <w:pPr>
        <w:pStyle w:val="ListParagraph"/>
        <w:numPr>
          <w:ilvl w:val="0"/>
          <w:numId w:val="1"/>
        </w:numPr>
        <w:spacing w:lineRule="auto" w:line="240" w:before="120" w:after="0"/>
        <w:ind w:hanging="357" w:start="714"/>
        <w:contextualSpacing w:val="false"/>
        <w:rPr>
          <w:rFonts w:cs="Calibri" w:cstheme="minorHAnsi"/>
        </w:rPr>
      </w:pPr>
      <w:r>
        <w:rPr>
          <w:rFonts w:cs="Calibri" w:cstheme="minorHAnsi"/>
        </w:rPr>
        <w:t xml:space="preserve">Le syndicat </w:t>
      </w:r>
      <w:r>
        <w:rPr>
          <w:rFonts w:cs="Calibri" w:cstheme="minorHAnsi"/>
          <w:b/>
          <w:bCs/>
        </w:rPr>
        <w:t>UNSA</w:t>
      </w:r>
      <w:r>
        <w:rPr>
          <w:rFonts w:cs="Calibri" w:cstheme="minorHAnsi"/>
        </w:rPr>
        <w:t xml:space="preserve">, représenté par </w:t>
      </w:r>
      <w:r>
        <w:rPr>
          <w:rFonts w:cs="Calibri" w:cstheme="minorHAnsi"/>
          <w:b/>
          <w:bCs/>
        </w:rPr>
        <w:t>Monsieur xxxxxxxxxxxxxxx</w:t>
      </w:r>
      <w:r>
        <w:rPr>
          <w:rFonts w:cs="Calibri" w:cstheme="minorHAnsi"/>
        </w:rPr>
        <w:t>, délégué syndical</w:t>
      </w:r>
    </w:p>
    <w:p>
      <w:pPr>
        <w:pStyle w:val="Normal"/>
        <w:spacing w:lineRule="auto" w:line="240"/>
        <w:rPr>
          <w:rFonts w:cs="Calibri" w:cstheme="minorHAnsi"/>
          <w:i/>
        </w:rPr>
      </w:pPr>
      <w:r>
        <w:rPr>
          <w:rFonts w:cs="Calibri" w:cstheme="minorHAnsi"/>
          <w: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Ci-après désignées les parties, il a été décidé et arrêté ce qui suit : </w:t>
      </w:r>
    </w:p>
    <w:p>
      <w:pPr>
        <w:pStyle w:val="Normal"/>
        <w:spacing w:lineRule="auto" w:line="240"/>
        <w:rPr>
          <w:rFonts w:cs="Calibri" w:cstheme="minorHAnsi"/>
        </w:rPr>
      </w:pPr>
      <w:r>
        <w:rPr>
          <w:rFonts w:cs="Calibri" w:cstheme="minorHAnsi"/>
        </w:rPr>
      </w:r>
    </w:p>
    <w:sdt>
      <w:sdtPr>
        <w:docPartObj>
          <w:docPartGallery w:val="Table of Contents"/>
          <w:docPartUnique w:val="true"/>
        </w:docPartObj>
      </w:sdtPr>
      <w:sdtContent>
        <w:p>
          <w:pPr>
            <w:pStyle w:val="TOCHeading"/>
            <w:spacing w:lineRule="auto" w:line="240" w:before="0" w:after="0"/>
            <w:jc w:val="center"/>
            <w:rPr>
              <w:b/>
              <w:color w:val="auto"/>
              <w:sz w:val="22"/>
              <w:szCs w:val="22"/>
              <w:u w:val="single"/>
            </w:rPr>
          </w:pPr>
          <w:r>
            <w:rPr>
              <w:b/>
              <w:color w:val="auto"/>
              <w:sz w:val="22"/>
              <w:szCs w:val="22"/>
              <w:u w:val="single"/>
            </w:rPr>
            <w:t>SOMMAIRE</w:t>
          </w:r>
        </w:p>
        <w:p>
          <w:pPr>
            <w:pStyle w:val="TOC1"/>
            <w:spacing w:lineRule="auto" w:line="240" w:before="0" w:after="0"/>
            <w:rPr>
              <w:rFonts w:eastAsia="" w:cs="" w:cstheme="minorBidi" w:eastAsiaTheme="minorEastAsia"/>
              <w:sz w:val="18"/>
              <w:lang w:eastAsia="fr-FR"/>
            </w:rPr>
          </w:pPr>
          <w:r>
            <w:fldChar w:fldCharType="begin"/>
          </w:r>
          <w:r>
            <w:rPr>
              <w:rStyle w:val="Sautdindex"/>
              <w:webHidden/>
              <w:color w:val="auto"/>
              <w:sz w:val="18"/>
            </w:rPr>
            <w:instrText xml:space="preserve"> TOC \z \o "1-3" \u \h</w:instrText>
          </w:r>
          <w:r>
            <w:rPr>
              <w:rStyle w:val="Sautdindex"/>
              <w:webHidden/>
              <w:color w:val="auto"/>
              <w:sz w:val="18"/>
            </w:rPr>
            <w:fldChar w:fldCharType="separate"/>
          </w:r>
          <w:hyperlink w:anchor="_Toc27482515">
            <w:r>
              <w:rPr>
                <w:rStyle w:val="Sautdindex"/>
                <w:webHidden/>
                <w:color w:val="auto"/>
                <w:sz w:val="18"/>
              </w:rPr>
              <w:t>Préambule</w:t>
            </w:r>
            <w:r>
              <w:rPr>
                <w:webHidden/>
              </w:rPr>
              <w:fldChar w:fldCharType="begin"/>
            </w:r>
            <w:r>
              <w:rPr>
                <w:webHidden/>
              </w:rPr>
              <w:instrText xml:space="preserve">PAGEREF _Toc27482515 \h</w:instrText>
            </w:r>
            <w:r>
              <w:rPr>
                <w:webHidden/>
              </w:rPr>
              <w:fldChar w:fldCharType="separate"/>
            </w:r>
            <w:r>
              <w:rPr>
                <w:rStyle w:val="Sautdindex"/>
                <w:vanish w:val="false"/>
                <w:sz w:val="18"/>
              </w:rPr>
              <w:tab/>
              <w:t>2</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16">
            <w:r>
              <w:rPr>
                <w:rStyle w:val="Sautdindex"/>
                <w:webHidden/>
                <w:color w:val="auto"/>
                <w:sz w:val="18"/>
              </w:rPr>
              <w:t>Article 1 – Champ d’application</w:t>
            </w:r>
            <w:r>
              <w:rPr>
                <w:webHidden/>
              </w:rPr>
              <w:fldChar w:fldCharType="begin"/>
            </w:r>
            <w:r>
              <w:rPr>
                <w:webHidden/>
              </w:rPr>
              <w:instrText xml:space="preserve">PAGEREF _Toc27482516 \h</w:instrText>
            </w:r>
            <w:r>
              <w:rPr>
                <w:webHidden/>
              </w:rPr>
              <w:fldChar w:fldCharType="separate"/>
            </w:r>
            <w:r>
              <w:rPr>
                <w:rStyle w:val="Sautdindex"/>
                <w:vanish w:val="false"/>
                <w:sz w:val="18"/>
              </w:rPr>
              <w:tab/>
              <w:t>2</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17">
            <w:r>
              <w:rPr>
                <w:rStyle w:val="Sautdindex"/>
                <w:webHidden/>
                <w:color w:val="auto"/>
                <w:sz w:val="18"/>
              </w:rPr>
              <w:t>Article 2 –  Principe de non-discrimination, d’égalité de traitement et Charte de la laïcité et de la diversité</w:t>
            </w:r>
            <w:r>
              <w:rPr>
                <w:webHidden/>
              </w:rPr>
              <w:fldChar w:fldCharType="begin"/>
            </w:r>
            <w:r>
              <w:rPr>
                <w:webHidden/>
              </w:rPr>
              <w:instrText xml:space="preserve">PAGEREF _Toc27482517 \h</w:instrText>
            </w:r>
            <w:r>
              <w:rPr>
                <w:webHidden/>
              </w:rPr>
              <w:fldChar w:fldCharType="separate"/>
            </w:r>
            <w:r>
              <w:rPr>
                <w:rStyle w:val="Sautdindex"/>
                <w:vanish w:val="false"/>
                <w:sz w:val="18"/>
              </w:rPr>
              <w:tab/>
              <w:t>2</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18">
            <w:r>
              <w:rPr>
                <w:rStyle w:val="Sautdindex"/>
                <w:webHidden/>
                <w:color w:val="auto"/>
                <w:sz w:val="18"/>
              </w:rPr>
              <w:t>Article 3 – Domaine d’action n°1 : la rémunération effective des femmes et des hommes</w:t>
            </w:r>
            <w:r>
              <w:rPr>
                <w:webHidden/>
              </w:rPr>
              <w:fldChar w:fldCharType="begin"/>
            </w:r>
            <w:r>
              <w:rPr>
                <w:webHidden/>
              </w:rPr>
              <w:instrText xml:space="preserve">PAGEREF _Toc27482518 \h</w:instrText>
            </w:r>
            <w:r>
              <w:rPr>
                <w:webHidden/>
              </w:rPr>
              <w:fldChar w:fldCharType="separate"/>
            </w:r>
            <w:r>
              <w:rPr>
                <w:rStyle w:val="Sautdindex"/>
                <w:vanish w:val="false"/>
                <w:sz w:val="18"/>
              </w:rPr>
              <w:tab/>
              <w:t>3</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20">
            <w:r>
              <w:rPr>
                <w:rStyle w:val="Sautdindex"/>
                <w:webHidden/>
                <w:color w:val="auto"/>
                <w:sz w:val="18"/>
              </w:rPr>
              <w:t>Article 4 – Domaine d’action n°2 : la formation professionnelle</w:t>
            </w:r>
            <w:r>
              <w:rPr>
                <w:webHidden/>
              </w:rPr>
              <w:fldChar w:fldCharType="begin"/>
            </w:r>
            <w:r>
              <w:rPr>
                <w:webHidden/>
              </w:rPr>
              <w:instrText xml:space="preserve">PAGEREF _Toc27482520 \h</w:instrText>
            </w:r>
            <w:r>
              <w:rPr>
                <w:webHidden/>
              </w:rPr>
              <w:fldChar w:fldCharType="separate"/>
            </w:r>
            <w:r>
              <w:rPr>
                <w:rStyle w:val="Sautdindex"/>
                <w:vanish w:val="false"/>
                <w:sz w:val="18"/>
              </w:rPr>
              <w:tab/>
              <w:t>4</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20">
            <w:r>
              <w:rPr>
                <w:rStyle w:val="Sautdindex"/>
                <w:webHidden/>
                <w:color w:val="auto"/>
                <w:sz w:val="18"/>
              </w:rPr>
              <w:t>Article 5 – Domaine d’action n°3 : la promotion professionnelle</w:t>
            </w:r>
            <w:r>
              <w:rPr>
                <w:webHidden/>
              </w:rPr>
              <w:fldChar w:fldCharType="begin"/>
            </w:r>
            <w:r>
              <w:rPr>
                <w:webHidden/>
              </w:rPr>
              <w:instrText xml:space="preserve">PAGEREF _Toc27482520 \h</w:instrText>
            </w:r>
            <w:r>
              <w:rPr>
                <w:webHidden/>
              </w:rPr>
              <w:fldChar w:fldCharType="separate"/>
            </w:r>
            <w:r>
              <w:rPr>
                <w:rStyle w:val="Sautdindex"/>
                <w:vanish w:val="false"/>
                <w:sz w:val="18"/>
              </w:rPr>
              <w:tab/>
              <w:t>4</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22">
            <w:r>
              <w:rPr>
                <w:rStyle w:val="Sautdindex"/>
                <w:webHidden/>
                <w:color w:val="auto"/>
                <w:sz w:val="18"/>
              </w:rPr>
              <w:t>Article 6 – Articulation vie personnelle et familiale et vie professionnelle</w:t>
            </w:r>
            <w:r>
              <w:rPr>
                <w:webHidden/>
              </w:rPr>
              <w:fldChar w:fldCharType="begin"/>
            </w:r>
            <w:r>
              <w:rPr>
                <w:webHidden/>
              </w:rPr>
              <w:instrText xml:space="preserve">PAGEREF _Toc27482522 \h</w:instrText>
            </w:r>
            <w:r>
              <w:rPr>
                <w:webHidden/>
              </w:rPr>
              <w:fldChar w:fldCharType="separate"/>
            </w:r>
            <w:r>
              <w:rPr>
                <w:rStyle w:val="Sautdindex"/>
                <w:vanish w:val="false"/>
                <w:sz w:val="18"/>
              </w:rPr>
              <w:tab/>
              <w:t>4</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23">
            <w:r>
              <w:rPr>
                <w:rStyle w:val="Sautdindex"/>
                <w:webHidden/>
                <w:color w:val="auto"/>
                <w:sz w:val="18"/>
              </w:rPr>
              <w:t>Article 7 – L’insertion professionnelle et maintien dans l’emploi des travailleurs handicapés</w:t>
            </w:r>
            <w:r>
              <w:rPr>
                <w:webHidden/>
              </w:rPr>
              <w:fldChar w:fldCharType="begin"/>
            </w:r>
            <w:r>
              <w:rPr>
                <w:webHidden/>
              </w:rPr>
              <w:instrText xml:space="preserve">PAGEREF _Toc27482523 \h</w:instrText>
            </w:r>
            <w:r>
              <w:rPr>
                <w:webHidden/>
              </w:rPr>
              <w:fldChar w:fldCharType="separate"/>
            </w:r>
            <w:r>
              <w:rPr>
                <w:rStyle w:val="Sautdindex"/>
                <w:vanish w:val="false"/>
                <w:sz w:val="18"/>
              </w:rPr>
              <w:tab/>
              <w:t>5</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30">
            <w:r>
              <w:rPr>
                <w:rStyle w:val="Sautdindex"/>
                <w:webHidden/>
                <w:color w:val="auto"/>
                <w:sz w:val="18"/>
              </w:rPr>
              <w:t>Article 8 – Modalités de suivi de l’accord</w:t>
            </w:r>
            <w:r>
              <w:rPr>
                <w:webHidden/>
              </w:rPr>
              <w:fldChar w:fldCharType="begin"/>
            </w:r>
            <w:r>
              <w:rPr>
                <w:webHidden/>
              </w:rPr>
              <w:instrText xml:space="preserve">PAGEREF _Toc27482530 \h</w:instrText>
            </w:r>
            <w:r>
              <w:rPr>
                <w:webHidden/>
              </w:rPr>
              <w:fldChar w:fldCharType="separate"/>
            </w:r>
            <w:r>
              <w:rPr>
                <w:rStyle w:val="Sautdindex"/>
                <w:vanish w:val="false"/>
                <w:sz w:val="18"/>
              </w:rPr>
              <w:tab/>
              <w:t>5</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31">
            <w:r>
              <w:rPr>
                <w:rStyle w:val="Sautdindex"/>
                <w:webHidden/>
                <w:color w:val="auto"/>
                <w:sz w:val="18"/>
              </w:rPr>
              <w:t>Article 9 – Révision et dénonciation de l’accord</w:t>
            </w:r>
            <w:r>
              <w:rPr>
                <w:webHidden/>
              </w:rPr>
              <w:fldChar w:fldCharType="begin"/>
            </w:r>
            <w:r>
              <w:rPr>
                <w:webHidden/>
              </w:rPr>
              <w:instrText xml:space="preserve">PAGEREF _Toc27482531 \h</w:instrText>
            </w:r>
            <w:r>
              <w:rPr>
                <w:webHidden/>
              </w:rPr>
              <w:fldChar w:fldCharType="separate"/>
            </w:r>
            <w:r>
              <w:rPr>
                <w:rStyle w:val="Sautdindex"/>
                <w:vanish w:val="false"/>
                <w:sz w:val="18"/>
              </w:rPr>
              <w:tab/>
              <w:t>5</w:t>
            </w:r>
            <w:r>
              <w:rPr>
                <w:webHidden/>
              </w:rPr>
              <w:fldChar w:fldCharType="end"/>
            </w:r>
          </w:hyperlink>
        </w:p>
        <w:p>
          <w:pPr>
            <w:pStyle w:val="TOC1"/>
            <w:spacing w:lineRule="auto" w:line="240" w:before="0" w:after="0"/>
            <w:rPr>
              <w:rFonts w:eastAsia="" w:cs="" w:cstheme="minorBidi" w:eastAsiaTheme="minorEastAsia"/>
              <w:sz w:val="18"/>
              <w:lang w:eastAsia="fr-FR"/>
            </w:rPr>
          </w:pPr>
          <w:hyperlink w:anchor="_Toc27482532">
            <w:r>
              <w:rPr>
                <w:rStyle w:val="Sautdindex"/>
                <w:webHidden/>
                <w:color w:val="auto"/>
                <w:sz w:val="18"/>
              </w:rPr>
              <w:t>Article 11 – Entrée en vigueur et durée de l’accord</w:t>
            </w:r>
            <w:r>
              <w:rPr>
                <w:webHidden/>
              </w:rPr>
              <w:fldChar w:fldCharType="begin"/>
            </w:r>
            <w:r>
              <w:rPr>
                <w:webHidden/>
              </w:rPr>
              <w:instrText xml:space="preserve">PAGEREF _Toc27482532 \h</w:instrText>
            </w:r>
            <w:r>
              <w:rPr>
                <w:webHidden/>
              </w:rPr>
              <w:fldChar w:fldCharType="separate"/>
            </w:r>
            <w:r>
              <w:rPr>
                <w:rStyle w:val="Sautdindex"/>
                <w:vanish w:val="false"/>
                <w:sz w:val="18"/>
              </w:rPr>
              <w:tab/>
              <w:t>6</w:t>
            </w:r>
            <w:r>
              <w:rPr>
                <w:webHidden/>
              </w:rPr>
              <w:fldChar w:fldCharType="end"/>
            </w:r>
          </w:hyperlink>
        </w:p>
        <w:p>
          <w:pPr>
            <w:pStyle w:val="TOC1"/>
            <w:spacing w:lineRule="auto" w:line="240" w:before="0" w:after="0"/>
            <w:rPr>
              <w:rFonts w:eastAsia="" w:cs="" w:cstheme="minorBidi" w:eastAsiaTheme="minorEastAsia"/>
              <w:lang w:eastAsia="fr-FR"/>
            </w:rPr>
          </w:pPr>
          <w:hyperlink w:anchor="_Toc27482533">
            <w:r>
              <w:rPr>
                <w:rStyle w:val="Sautdindex"/>
                <w:webHidden/>
                <w:color w:val="auto"/>
                <w:sz w:val="18"/>
              </w:rPr>
              <w:t>Article 12 – Formalités de dépôt et publicité de l’accord</w:t>
            </w:r>
            <w:r>
              <w:rPr>
                <w:webHidden/>
              </w:rPr>
              <w:fldChar w:fldCharType="begin"/>
            </w:r>
            <w:r>
              <w:rPr>
                <w:webHidden/>
              </w:rPr>
              <w:instrText xml:space="preserve">PAGEREF _Toc27482533 \h</w:instrText>
            </w:r>
            <w:r>
              <w:rPr>
                <w:webHidden/>
              </w:rPr>
              <w:fldChar w:fldCharType="separate"/>
            </w:r>
            <w:r>
              <w:rPr>
                <w:rStyle w:val="Sautdindex"/>
                <w:vanish w:val="false"/>
                <w:sz w:val="18"/>
              </w:rPr>
              <w:tab/>
              <w:t>6</w:t>
            </w:r>
            <w:r>
              <w:rPr>
                <w:webHidden/>
              </w:rPr>
              <w:fldChar w:fldCharType="end"/>
            </w:r>
          </w:hyperlink>
        </w:p>
        <w:p>
          <w:pPr>
            <w:pStyle w:val="Normal"/>
            <w:spacing w:lineRule="auto" w:line="240"/>
            <w:rPr>
              <w:sz w:val="18"/>
              <w:szCs w:val="18"/>
            </w:rPr>
          </w:pPr>
          <w:r>
            <w:rPr>
              <w:sz w:val="18"/>
              <w:szCs w:val="18"/>
            </w:rPr>
          </w:r>
          <w:r>
            <w:rPr>
              <w:sz w:val="18"/>
              <w:szCs w:val="18"/>
            </w:rPr>
            <w:fldChar w:fldCharType="end"/>
          </w:r>
        </w:p>
      </w:sdtContent>
    </w:sdt>
    <w:p>
      <w:pPr>
        <w:pStyle w:val="Heading1"/>
        <w:jc w:val="center"/>
        <w:rPr>
          <w:rFonts w:ascii="Calibri" w:hAnsi="Calibri" w:cs="Calibri" w:asciiTheme="minorHAnsi" w:cstheme="minorHAnsi" w:hAnsiTheme="minorHAnsi"/>
          <w:b/>
          <w:color w:val="auto"/>
          <w:sz w:val="28"/>
          <w:u w:val="single"/>
        </w:rPr>
      </w:pPr>
      <w:r>
        <w:rPr>
          <w:rFonts w:cs="Calibri" w:cstheme="minorHAnsi" w:ascii="Calibri" w:hAnsi="Calibri"/>
          <w:b/>
          <w:color w:val="auto"/>
          <w:sz w:val="28"/>
          <w:u w:val="single"/>
        </w:rPr>
      </w:r>
      <w:bookmarkStart w:id="0" w:name="_Toc27482515"/>
      <w:bookmarkStart w:id="1" w:name="_Toc26951683"/>
      <w:bookmarkStart w:id="2" w:name="_Toc27482515"/>
      <w:bookmarkStart w:id="3" w:name="_Toc26951683"/>
    </w:p>
    <w:p>
      <w:pPr>
        <w:pStyle w:val="Normal"/>
        <w:rPr>
          <w:rFonts w:eastAsia="" w:cs="Calibri" w:cstheme="minorHAnsi" w:eastAsiaTheme="majorEastAsia"/>
          <w:b/>
          <w:sz w:val="28"/>
          <w:szCs w:val="32"/>
          <w:u w:val="single"/>
        </w:rPr>
      </w:pPr>
      <w:r>
        <w:rPr>
          <w:rFonts w:eastAsia="" w:cs="Calibri" w:cstheme="minorHAnsi" w:eastAsiaTheme="majorEastAsia"/>
          <w:b/>
          <w:sz w:val="28"/>
          <w:szCs w:val="32"/>
          <w:u w:val="single"/>
        </w:rPr>
      </w:r>
      <w:r>
        <w:br w:type="page"/>
      </w:r>
    </w:p>
    <w:p>
      <w:pPr>
        <w:pStyle w:val="Heading1"/>
        <w:spacing w:lineRule="auto" w:line="240" w:before="0" w:after="0"/>
        <w:jc w:val="center"/>
        <w:rPr>
          <w:rFonts w:ascii="Calibri" w:hAnsi="Calibri" w:cs="Calibri" w:asciiTheme="minorHAnsi" w:cstheme="minorHAnsi" w:hAnsiTheme="minorHAnsi"/>
          <w:b/>
          <w:color w:val="auto"/>
          <w:sz w:val="28"/>
          <w:u w:val="single"/>
        </w:rPr>
      </w:pPr>
      <w:bookmarkStart w:id="4" w:name="_Toc27482515"/>
      <w:bookmarkStart w:id="5" w:name="_Toc26951683"/>
      <w:r>
        <w:rPr>
          <w:rFonts w:cs="Calibri" w:ascii="Calibri" w:hAnsi="Calibri" w:asciiTheme="minorHAnsi" w:cstheme="minorHAnsi" w:hAnsiTheme="minorHAnsi"/>
          <w:b/>
          <w:color w:val="auto"/>
          <w:sz w:val="28"/>
          <w:u w:val="single"/>
        </w:rPr>
        <w:t>Préambule</w:t>
      </w:r>
      <w:bookmarkEnd w:id="4"/>
      <w:bookmarkEnd w:id="5"/>
    </w:p>
    <w:p>
      <w:pPr>
        <w:pStyle w:val="NoSpacing"/>
        <w:jc w:val="both"/>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Les parties rappellent leur attachement au principe d’égalité de traitement entre les femmes et les hommes tout au long de la vie professionnelle mais également à la lutte contre toutes les discriminations. L’entreprise s’inscrit en ce sens dans le cadre des valeurs portées par le Groupe encourageant notamment la diversité.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Quant à la qualité de vie au travail, elle est un facteur de développement du bien-être individuel et collectif des collaborateurs, au service de la performance globale et durable de l’entreprise et de la satisfaction de sa clientèle.</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L’ensemble des valeurs de l’entreprise concourent à améliorer la motivation des collaborateurs ainsi que l’attractivité des métiers.</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 présent accord marque la volonté commune des parties de formaliser une véritable politique d’entreprise en matière d’égalité professionnelle et de qualité de vie au travail, dès l’embauche mais aussi à tous les stades de la vie professionnelle.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Dans ce contexte, les parties se sont réunies le 28 janvier 2026 pour :</w:t>
      </w:r>
    </w:p>
    <w:p>
      <w:pPr>
        <w:pStyle w:val="ListParagraph"/>
        <w:numPr>
          <w:ilvl w:val="0"/>
          <w:numId w:val="2"/>
        </w:numPr>
        <w:spacing w:lineRule="auto" w:line="240"/>
        <w:rPr>
          <w:rFonts w:cs="Calibri" w:cstheme="minorHAnsi"/>
        </w:rPr>
      </w:pPr>
      <w:r>
        <w:rPr>
          <w:rFonts w:cs="Calibri" w:cstheme="minorHAnsi"/>
        </w:rPr>
        <w:t>Etudier la situation au moyen d’un diagnostic partagé ;</w:t>
      </w:r>
    </w:p>
    <w:p>
      <w:pPr>
        <w:pStyle w:val="ListParagraph"/>
        <w:numPr>
          <w:ilvl w:val="0"/>
          <w:numId w:val="2"/>
        </w:numPr>
        <w:spacing w:lineRule="auto" w:line="240"/>
        <w:rPr>
          <w:rFonts w:cs="Calibri" w:cstheme="minorHAnsi"/>
        </w:rPr>
      </w:pPr>
      <w:r>
        <w:rPr>
          <w:rFonts w:cs="Calibri" w:cstheme="minorHAnsi"/>
        </w:rPr>
        <w:t>Elaborer une analyse et identifier les écarts à corriger ;</w:t>
      </w:r>
    </w:p>
    <w:p>
      <w:pPr>
        <w:pStyle w:val="ListParagraph"/>
        <w:numPr>
          <w:ilvl w:val="0"/>
          <w:numId w:val="2"/>
        </w:numPr>
        <w:spacing w:lineRule="auto" w:line="240"/>
        <w:rPr>
          <w:rFonts w:cs="Calibri" w:cstheme="minorHAnsi"/>
        </w:rPr>
      </w:pPr>
      <w:r>
        <w:rPr>
          <w:rFonts w:cs="Calibri" w:cstheme="minorHAnsi"/>
        </w:rPr>
        <w:t>Définir les domaines d’actions retenus, les actions à mener et les indicateurs de suivi ;</w:t>
      </w:r>
    </w:p>
    <w:p>
      <w:pPr>
        <w:pStyle w:val="ListParagraph"/>
        <w:numPr>
          <w:ilvl w:val="0"/>
          <w:numId w:val="2"/>
        </w:numPr>
        <w:spacing w:lineRule="auto" w:line="240"/>
        <w:rPr>
          <w:rFonts w:cs="Calibri" w:cstheme="minorHAnsi"/>
        </w:rPr>
      </w:pPr>
      <w:r>
        <w:rPr>
          <w:rFonts w:cs="Calibri" w:cstheme="minorHAnsi"/>
        </w:rPr>
        <w:t>Construire le présent accord.</w:t>
      </w:r>
    </w:p>
    <w:p>
      <w:pPr>
        <w:pStyle w:val="Normal"/>
        <w:spacing w:lineRule="auto" w:line="240"/>
        <w:rPr>
          <w:rFonts w:cs="Calibri" w:cstheme="minorHAnsi"/>
        </w:rPr>
      </w:pPr>
      <w:r>
        <w:rPr>
          <w:rFonts w:cs="Calibri" w:cstheme="minorHAnsi"/>
        </w:rPr>
        <w:t>Les domaines d’action retenus, visant à pérenniser et poursuivre la politique de l’entreprise en matière d’égalité de traitement entre les femmes et les hommes, et de qualité de vie au travail sont :</w:t>
      </w:r>
    </w:p>
    <w:p>
      <w:pPr>
        <w:pStyle w:val="ListParagraph"/>
        <w:numPr>
          <w:ilvl w:val="0"/>
          <w:numId w:val="3"/>
        </w:numPr>
        <w:spacing w:lineRule="auto" w:line="240"/>
        <w:rPr>
          <w:rFonts w:cs="Calibri" w:cstheme="minorHAnsi"/>
        </w:rPr>
      </w:pPr>
      <w:r>
        <w:rPr>
          <w:rFonts w:cs="Calibri" w:cstheme="minorHAnsi"/>
        </w:rPr>
        <w:t>La rémunération </w:t>
      </w:r>
    </w:p>
    <w:p>
      <w:pPr>
        <w:pStyle w:val="ListParagraph"/>
        <w:numPr>
          <w:ilvl w:val="0"/>
          <w:numId w:val="3"/>
        </w:numPr>
        <w:spacing w:lineRule="auto" w:line="240"/>
        <w:rPr>
          <w:rFonts w:cs="Calibri" w:cstheme="minorHAnsi"/>
        </w:rPr>
      </w:pPr>
      <w:r>
        <w:rPr>
          <w:rFonts w:cs="Calibri" w:cstheme="minorHAnsi"/>
        </w:rPr>
        <w:t>La formation ;</w:t>
      </w:r>
    </w:p>
    <w:p>
      <w:pPr>
        <w:pStyle w:val="ListParagraph"/>
        <w:numPr>
          <w:ilvl w:val="0"/>
          <w:numId w:val="3"/>
        </w:numPr>
        <w:spacing w:lineRule="auto" w:line="240"/>
        <w:rPr>
          <w:rFonts w:cs="Calibri" w:cstheme="minorHAnsi"/>
        </w:rPr>
      </w:pPr>
      <w:r>
        <w:rPr>
          <w:rFonts w:cs="Calibri" w:cstheme="minorHAnsi"/>
        </w:rPr>
        <w:t>Promotion professionnelle</w:t>
      </w:r>
    </w:p>
    <w:p>
      <w:pPr>
        <w:pStyle w:val="Normal"/>
        <w:spacing w:lineRule="auto" w:line="240"/>
        <w:rPr>
          <w:rFonts w:cs="Calibri" w:cstheme="minorHAnsi"/>
        </w:rPr>
      </w:pPr>
      <w:r>
        <w:rPr>
          <w:rFonts w:cs="Calibri" w:cstheme="minorHAnsi"/>
        </w:rPr>
        <w:t>Le présent accord a vocation à reprendre les objectifs définis grâce au diagnostic préalable et mettre en application les moyens pour parvenir à une égalité professionnelle entre les femmes et les hommes et garantir la qualité de vie au travail des collaborateurs et collaboratrices.</w:t>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Heading1"/>
        <w:spacing w:lineRule="auto" w:line="240" w:before="0" w:after="0"/>
        <w:rPr>
          <w:rFonts w:ascii="Calibri" w:hAnsi="Calibri" w:cs="Calibri" w:asciiTheme="minorHAnsi" w:cstheme="minorHAnsi" w:hAnsiTheme="minorHAnsi"/>
          <w:b/>
          <w:color w:val="auto"/>
          <w:sz w:val="24"/>
          <w:u w:val="single"/>
        </w:rPr>
      </w:pPr>
      <w:bookmarkStart w:id="6" w:name="_Toc27482516"/>
      <w:bookmarkStart w:id="7" w:name="_Toc26951684"/>
      <w:bookmarkStart w:id="8" w:name="_Toc22306951"/>
      <w:r>
        <w:rPr>
          <w:rFonts w:cs="Calibri" w:ascii="Calibri" w:hAnsi="Calibri" w:asciiTheme="minorHAnsi" w:cstheme="minorHAnsi" w:hAnsiTheme="minorHAnsi"/>
          <w:b/>
          <w:color w:val="auto"/>
          <w:sz w:val="24"/>
          <w:u w:val="single"/>
        </w:rPr>
        <w:t>Article 1 – Champ d’application</w:t>
      </w:r>
      <w:bookmarkEnd w:id="6"/>
      <w:bookmarkEnd w:id="7"/>
      <w:bookmarkEnd w:id="8"/>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 présent accord à vocation à s’appliquer à l’ensemble des salariés titulaires d’un contrat de travail conclu avec l’Etablissement PAPREC CRV LE RHEU.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bookmarkStart w:id="9" w:name="_Toc17366159"/>
      <w:bookmarkStart w:id="10" w:name="_Toc17366159"/>
    </w:p>
    <w:p>
      <w:pPr>
        <w:pStyle w:val="Heading1"/>
        <w:spacing w:lineRule="auto" w:line="240" w:before="0" w:after="0"/>
        <w:rPr>
          <w:rFonts w:ascii="Calibri" w:hAnsi="Calibri" w:cs="Calibri" w:asciiTheme="minorHAnsi" w:cstheme="minorHAnsi" w:hAnsiTheme="minorHAnsi"/>
          <w:b/>
          <w:color w:val="auto"/>
          <w:sz w:val="24"/>
          <w:u w:val="single"/>
        </w:rPr>
      </w:pPr>
      <w:bookmarkStart w:id="11" w:name="_Toc22306957"/>
      <w:bookmarkStart w:id="12" w:name="_Toc27482517"/>
      <w:bookmarkStart w:id="13" w:name="_Toc26951685"/>
      <w:r>
        <w:rPr>
          <w:rFonts w:cs="Calibri" w:ascii="Calibri" w:hAnsi="Calibri" w:asciiTheme="minorHAnsi" w:cstheme="minorHAnsi" w:hAnsiTheme="minorHAnsi"/>
          <w:b/>
          <w:color w:val="auto"/>
          <w:sz w:val="24"/>
          <w:u w:val="single"/>
        </w:rPr>
        <w:t>Article 2 –  Principe de non-discrimination, d’égalité de traitement et Charte de la laïcité et de la diversité</w:t>
      </w:r>
      <w:bookmarkEnd w:id="12"/>
      <w:bookmarkEnd w:id="13"/>
    </w:p>
    <w:p>
      <w:pPr>
        <w:pStyle w:val="Normal"/>
        <w:rPr/>
      </w:pPr>
      <w:r>
        <w:rPr/>
      </w:r>
    </w:p>
    <w:p>
      <w:pPr>
        <w:pStyle w:val="Normal"/>
        <w:rPr/>
      </w:pPr>
      <w:r>
        <w:rPr/>
        <w:t>L’entreprise rappelle son engagement général de lutte contre toutes les discriminations, qu’elles soient relatives au recrutement, à l’emploi et à l’accès à la formation professionnelle.</w:t>
      </w:r>
    </w:p>
    <w:p>
      <w:pPr>
        <w:pStyle w:val="Normal"/>
        <w:rPr/>
      </w:pPr>
      <w:r>
        <w:rPr/>
      </w:r>
    </w:p>
    <w:p>
      <w:pPr>
        <w:pStyle w:val="Normal"/>
        <w:rPr/>
      </w:pPr>
      <w:r>
        <w:rPr/>
      </w:r>
    </w:p>
    <w:p>
      <w:pPr>
        <w:pStyle w:val="Normal"/>
        <w:rPr/>
      </w:pPr>
      <w:r>
        <w:rPr/>
      </w:r>
    </w:p>
    <w:p>
      <w:pPr>
        <w:pStyle w:val="Normal"/>
        <w:rPr/>
      </w:pPr>
      <w:r>
        <w:rPr/>
        <w:t>L’Etablissement PAPREC CRV LE RHEU s’inscrit en ce sens dans le cadre des valeurs portées par le groupe encourageant notamment :</w:t>
      </w:r>
    </w:p>
    <w:p>
      <w:pPr>
        <w:pStyle w:val="ListParagraph"/>
        <w:numPr>
          <w:ilvl w:val="0"/>
          <w:numId w:val="6"/>
        </w:numPr>
        <w:rPr/>
      </w:pPr>
      <w:r>
        <w:rPr/>
        <w:t>La diversité ;</w:t>
      </w:r>
    </w:p>
    <w:p>
      <w:pPr>
        <w:pStyle w:val="ListParagraph"/>
        <w:numPr>
          <w:ilvl w:val="0"/>
          <w:numId w:val="6"/>
        </w:numPr>
        <w:rPr/>
      </w:pPr>
      <w:r>
        <w:rPr/>
        <w:t>Respect des personnes ;</w:t>
      </w:r>
    </w:p>
    <w:p>
      <w:pPr>
        <w:pStyle w:val="ListParagraph"/>
        <w:numPr>
          <w:ilvl w:val="0"/>
          <w:numId w:val="6"/>
        </w:numPr>
        <w:rPr/>
      </w:pPr>
      <w:r>
        <w:rPr/>
        <w:t>Professionnalisme ;</w:t>
      </w:r>
    </w:p>
    <w:p>
      <w:pPr>
        <w:pStyle w:val="ListParagraph"/>
        <w:numPr>
          <w:ilvl w:val="0"/>
          <w:numId w:val="6"/>
        </w:numPr>
        <w:rPr/>
      </w:pPr>
      <w:r>
        <w:rPr/>
        <w:t>Volonté d’excellence ;</w:t>
      </w:r>
    </w:p>
    <w:p>
      <w:pPr>
        <w:pStyle w:val="ListParagraph"/>
        <w:numPr>
          <w:ilvl w:val="0"/>
          <w:numId w:val="6"/>
        </w:numPr>
        <w:rPr/>
      </w:pPr>
      <w:r>
        <w:rPr/>
        <w:t>Esprit d’équipe.</w:t>
      </w:r>
    </w:p>
    <w:p>
      <w:pPr>
        <w:pStyle w:val="ListParagraph"/>
        <w:rPr/>
      </w:pPr>
      <w:r>
        <w:rPr/>
      </w:r>
    </w:p>
    <w:p>
      <w:pPr>
        <w:pStyle w:val="ListParagraph"/>
        <w:ind w:start="0"/>
        <w:rPr/>
      </w:pPr>
      <w:r>
        <w:rPr/>
        <w:t>Pour cela, le Groupe PAPREC a encré ces valeurs dans une Charte la laïcité et de la diversité en 2014.</w:t>
      </w:r>
    </w:p>
    <w:p>
      <w:pPr>
        <w:pStyle w:val="Normal"/>
        <w:rPr/>
      </w:pPr>
      <w:r>
        <w:rPr/>
        <w:t>Egalement, les parties rappellent leur attachement au principe d’égalité de traitement entre les femmes et les hommes tout au long de la vie professionnelle. En application de ce principe, tous les actes relatifs, notamment à l’embauche, la formation professionnelle, aux évolutions de carrière et à la gestion des rémunérations, doivent reposer exclusivement sur des critères objectifs à caractère professionnel.</w:t>
      </w:r>
    </w:p>
    <w:p>
      <w:pPr>
        <w:pStyle w:val="Normal"/>
        <w:rPr/>
      </w:pPr>
      <w:r>
        <w:rPr/>
      </w:r>
    </w:p>
    <w:p>
      <w:pPr>
        <w:pStyle w:val="Heading1"/>
        <w:spacing w:lineRule="auto" w:line="240" w:before="0" w:after="0"/>
        <w:rPr>
          <w:rFonts w:ascii="Calibri" w:hAnsi="Calibri" w:cs="Calibri" w:asciiTheme="minorHAnsi" w:cstheme="minorHAnsi" w:hAnsiTheme="minorHAnsi"/>
          <w:b/>
          <w:color w:val="auto"/>
          <w:sz w:val="24"/>
          <w:u w:val="single"/>
        </w:rPr>
      </w:pPr>
      <w:bookmarkStart w:id="14" w:name="_Toc17366159"/>
      <w:bookmarkStart w:id="15" w:name="_Toc22306957"/>
      <w:bookmarkStart w:id="16" w:name="_Toc27482518"/>
      <w:bookmarkStart w:id="17" w:name="_Toc26951686"/>
      <w:r>
        <w:rPr>
          <w:rFonts w:cs="Calibri" w:ascii="Calibri" w:hAnsi="Calibri" w:asciiTheme="minorHAnsi" w:cstheme="minorHAnsi" w:hAnsiTheme="minorHAnsi"/>
          <w:b/>
          <w:color w:val="auto"/>
          <w:sz w:val="24"/>
          <w:u w:val="single"/>
        </w:rPr>
        <w:t>Article 3 – Domaine d’action n°1</w:t>
      </w:r>
      <w:bookmarkEnd w:id="14"/>
      <w:bookmarkEnd w:id="15"/>
      <w:bookmarkEnd w:id="17"/>
      <w:r>
        <w:rPr>
          <w:rFonts w:cs="Calibri" w:ascii="Calibri" w:hAnsi="Calibri" w:asciiTheme="minorHAnsi" w:cstheme="minorHAnsi" w:hAnsiTheme="minorHAnsi"/>
          <w:b/>
          <w:color w:val="auto"/>
          <w:sz w:val="24"/>
          <w:u w:val="single"/>
        </w:rPr>
        <w:t> : la rémunération effective des femmes et des hommes</w:t>
      </w:r>
      <w:bookmarkEnd w:id="16"/>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L’Etablissement PAPREC CRV LE RHEU affirme sa volonté de tendre vers une égalité de rémunération de base entre les femmes et les hommes, pour une même fonction et/ou même niveau de responsabilité. Toutefois, une différence de traitement peut être légitime dès lors qu’elle est fondée sur des critères objectifs matériellement vérifiables, mais également dans le contexte de reprise de marchés. </w:t>
      </w:r>
    </w:p>
    <w:p>
      <w:pPr>
        <w:pStyle w:val="Normal"/>
        <w:spacing w:lineRule="auto" w:line="240"/>
        <w:rPr>
          <w:rFonts w:cs="Calibri" w:cstheme="minorHAnsi"/>
        </w:rPr>
      </w:pPr>
      <w:r>
        <w:rPr>
          <w:rFonts w:cs="Calibri" w:cstheme="minorHAnsi"/>
        </w:rPr>
        <w:t xml:space="preserve">A titre d’exemple : </w:t>
      </w:r>
    </w:p>
    <w:p>
      <w:pPr>
        <w:pStyle w:val="ListParagraph"/>
        <w:numPr>
          <w:ilvl w:val="0"/>
          <w:numId w:val="4"/>
        </w:numPr>
        <w:spacing w:lineRule="auto" w:line="240" w:before="0" w:after="0"/>
        <w:ind w:hanging="360" w:start="851"/>
        <w:contextualSpacing w:val="false"/>
        <w:rPr>
          <w:rFonts w:cs="Calibri" w:cstheme="minorHAnsi"/>
        </w:rPr>
      </w:pPr>
      <w:r>
        <w:rPr>
          <w:rFonts w:cs="Calibri" w:cstheme="minorHAnsi"/>
        </w:rPr>
        <w:t>Expérience acquise et ancienneté au sein de l’entreprise ;</w:t>
      </w:r>
    </w:p>
    <w:p>
      <w:pPr>
        <w:pStyle w:val="ListParagraph"/>
        <w:numPr>
          <w:ilvl w:val="0"/>
          <w:numId w:val="4"/>
        </w:numPr>
        <w:spacing w:lineRule="auto" w:line="240" w:before="0" w:after="0"/>
        <w:ind w:hanging="360" w:start="851"/>
        <w:contextualSpacing w:val="false"/>
        <w:jc w:val="both"/>
        <w:rPr>
          <w:rFonts w:cs="Calibri" w:cstheme="minorHAnsi"/>
        </w:rPr>
      </w:pPr>
      <w:r>
        <w:rPr>
          <w:rFonts w:cs="Calibri" w:cstheme="minorHAnsi"/>
        </w:rPr>
        <w:t>Diplômes, s’ils attestent de connaissances particulièrement utiles à l’exercice de la fonction occupée ;</w:t>
      </w:r>
    </w:p>
    <w:p>
      <w:pPr>
        <w:pStyle w:val="ListParagraph"/>
        <w:numPr>
          <w:ilvl w:val="0"/>
          <w:numId w:val="4"/>
        </w:numPr>
        <w:spacing w:lineRule="auto" w:line="240" w:before="0" w:after="0"/>
        <w:ind w:hanging="360" w:start="851"/>
        <w:contextualSpacing w:val="false"/>
        <w:rPr>
          <w:rFonts w:cs="Calibri" w:cstheme="minorHAnsi"/>
        </w:rPr>
      </w:pPr>
      <w:r>
        <w:rPr>
          <w:rFonts w:cs="Calibri" w:cstheme="minorHAnsi"/>
        </w:rPr>
        <w:t>Responsabilités particulières ;</w:t>
      </w:r>
    </w:p>
    <w:p>
      <w:pPr>
        <w:pStyle w:val="ListParagraph"/>
        <w:numPr>
          <w:ilvl w:val="0"/>
          <w:numId w:val="4"/>
        </w:numPr>
        <w:spacing w:lineRule="auto" w:line="240" w:before="0" w:after="0"/>
        <w:ind w:hanging="360" w:start="851"/>
        <w:contextualSpacing w:val="false"/>
        <w:rPr>
          <w:rFonts w:cs="Calibri" w:cstheme="minorHAnsi"/>
        </w:rPr>
      </w:pPr>
      <w:r>
        <w:rPr>
          <w:rFonts w:cs="Calibri" w:cstheme="minorHAnsi"/>
        </w:rPr>
        <w:t>Impact des reprises des marchés…</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sz w:val="20"/>
          <w:szCs w:val="20"/>
        </w:rPr>
      </w:pPr>
      <w:r>
        <w:rPr>
          <w:rFonts w:cs="Calibri" w:cstheme="minorHAnsi"/>
        </w:rPr>
        <w:t xml:space="preserve">Le diagnostic préalable fait état d’une augmentation de </w:t>
      </w:r>
      <w:r>
        <w:rPr>
          <w:rFonts w:cs="Calibri" w:cstheme="minorHAnsi"/>
          <w:sz w:val="20"/>
          <w:szCs w:val="20"/>
        </w:rPr>
        <w:t>9,30% du</w:t>
      </w:r>
      <w:r>
        <w:rPr>
          <w:rFonts w:cs="Calibri" w:cstheme="minorHAnsi"/>
        </w:rPr>
        <w:t xml:space="preserve"> </w:t>
      </w:r>
      <w:r>
        <w:rPr>
          <w:rFonts w:cs="Calibri" w:cstheme="minorHAnsi"/>
          <w:sz w:val="20"/>
          <w:szCs w:val="20"/>
        </w:rPr>
        <w:t>salaire de base annuel moyen brut entre 2022 et 2024, augmentation quasi équivalente entre les femmes et les hommes (9,60% contre 9%).</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L’Etablissement PAPREC CRV LE RHEU s’engage à maintenir cette équité durant toute la durée de l’accord. </w:t>
      </w:r>
    </w:p>
    <w:p>
      <w:pPr>
        <w:pStyle w:val="Normal"/>
        <w:spacing w:lineRule="auto" w:line="240"/>
        <w:rPr>
          <w:rFonts w:cs="Calibri" w:cstheme="minorHAnsi"/>
        </w:rPr>
      </w:pPr>
      <w:r>
        <w:rPr>
          <w:rFonts w:cs="Calibri" w:cstheme="minorHAnsi"/>
        </w:rPr>
      </w:r>
    </w:p>
    <w:tbl>
      <w:tblPr>
        <w:tblStyle w:val="Grilledutableau"/>
        <w:tblW w:w="9060"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830"/>
        <w:gridCol w:w="3685"/>
        <w:gridCol w:w="2545"/>
      </w:tblGrid>
      <w:tr>
        <w:trPr/>
        <w:tc>
          <w:tcPr>
            <w:tcW w:w="2830"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Objectif</w:t>
            </w:r>
          </w:p>
        </w:tc>
        <w:tc>
          <w:tcPr>
            <w:tcW w:w="3685"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Action(s) retenue(s)</w:t>
            </w:r>
          </w:p>
        </w:tc>
        <w:tc>
          <w:tcPr>
            <w:tcW w:w="2545"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Indicateur(s) chiffré(s)</w:t>
            </w:r>
          </w:p>
        </w:tc>
      </w:tr>
      <w:tr>
        <w:trPr>
          <w:trHeight w:val="1758" w:hRule="atLeast"/>
        </w:trPr>
        <w:tc>
          <w:tcPr>
            <w:tcW w:w="2830" w:type="dxa"/>
            <w:tcBorders/>
            <w:vAlign w:val="center"/>
          </w:tcPr>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 xml:space="preserve">Poursuivre cette volonté d’équité entre les hommes et les femmes en matière d’augmentation de la rémunération </w:t>
            </w:r>
          </w:p>
        </w:tc>
        <w:tc>
          <w:tcPr>
            <w:tcW w:w="3685" w:type="dxa"/>
            <w:tcBorders/>
            <w:vAlign w:val="center"/>
          </w:tcPr>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Sensibiliser les décisionnaires avant les augmentations annuelles ;</w:t>
            </w:r>
          </w:p>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Promouvoir une distribution équilibrée des augmentations, primes et avantages individuels ;</w:t>
            </w:r>
          </w:p>
        </w:tc>
        <w:tc>
          <w:tcPr>
            <w:tcW w:w="2545" w:type="dxa"/>
            <w:tcBorders/>
            <w:vAlign w:val="center"/>
          </w:tcPr>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Ecart de rémunération entre les femmes et les hommes ;</w:t>
            </w:r>
          </w:p>
          <w:p>
            <w:pPr>
              <w:pStyle w:val="ListParagraph"/>
              <w:widowControl/>
              <w:spacing w:lineRule="auto" w:line="240" w:before="0" w:after="200"/>
              <w:ind w:start="306"/>
              <w:contextualSpacing/>
              <w:rPr>
                <w:rFonts w:cs="Calibri" w:cstheme="minorHAnsi"/>
              </w:rPr>
            </w:pPr>
            <w:r>
              <w:rPr>
                <w:rFonts w:eastAsia="Calibri" w:cs="Calibri" w:cstheme="minorHAnsi"/>
                <w:kern w:val="0"/>
                <w:sz w:val="22"/>
                <w:szCs w:val="22"/>
                <w:lang w:val="fr-FR" w:eastAsia="en-US" w:bidi="ar-SA"/>
              </w:rPr>
            </w:r>
          </w:p>
        </w:tc>
      </w:tr>
    </w:tbl>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Heading1"/>
        <w:spacing w:lineRule="auto" w:line="240" w:before="0" w:after="0"/>
        <w:rPr>
          <w:rFonts w:ascii="Calibri" w:hAnsi="Calibri" w:cs="Calibri" w:asciiTheme="minorHAnsi" w:cstheme="minorHAnsi" w:hAnsiTheme="minorHAnsi"/>
          <w:b/>
          <w:color w:val="auto"/>
          <w:sz w:val="24"/>
          <w:u w:val="single"/>
        </w:rPr>
      </w:pPr>
      <w:bookmarkStart w:id="18" w:name="_Toc27482519"/>
      <w:bookmarkStart w:id="19" w:name="_Toc26951688"/>
      <w:bookmarkStart w:id="20" w:name="_Toc22306959"/>
      <w:bookmarkStart w:id="21" w:name="_Toc17366161"/>
      <w:r>
        <w:rPr>
          <w:rFonts w:cs="Calibri" w:ascii="Calibri" w:hAnsi="Calibri" w:asciiTheme="minorHAnsi" w:cstheme="minorHAnsi" w:hAnsiTheme="minorHAnsi"/>
          <w:b/>
          <w:color w:val="auto"/>
          <w:sz w:val="24"/>
          <w:u w:val="single"/>
        </w:rPr>
        <w:t>Article 4 –</w:t>
      </w:r>
      <w:bookmarkEnd w:id="19"/>
      <w:bookmarkEnd w:id="20"/>
      <w:bookmarkEnd w:id="21"/>
      <w:r>
        <w:rPr>
          <w:rFonts w:cs="Calibri" w:ascii="Calibri" w:hAnsi="Calibri" w:asciiTheme="minorHAnsi" w:cstheme="minorHAnsi" w:hAnsiTheme="minorHAnsi"/>
          <w:b/>
          <w:color w:val="auto"/>
          <w:sz w:val="24"/>
          <w:u w:val="single"/>
        </w:rPr>
        <w:t xml:space="preserve"> </w:t>
      </w:r>
      <w:bookmarkStart w:id="22" w:name="_Toc27482520"/>
      <w:bookmarkStart w:id="23" w:name="_Toc26951687"/>
      <w:bookmarkStart w:id="24" w:name="_Toc22306958"/>
      <w:bookmarkStart w:id="25" w:name="_Toc17366160"/>
      <w:bookmarkEnd w:id="18"/>
      <w:r>
        <w:rPr>
          <w:rFonts w:cs="Calibri" w:ascii="Calibri" w:hAnsi="Calibri" w:asciiTheme="minorHAnsi" w:cstheme="minorHAnsi" w:hAnsiTheme="minorHAnsi"/>
          <w:b/>
          <w:color w:val="auto"/>
          <w:sz w:val="24"/>
          <w:u w:val="single"/>
        </w:rPr>
        <w:t>Domaine d’action n°2 :</w:t>
      </w:r>
      <w:bookmarkEnd w:id="25"/>
      <w:r>
        <w:rPr>
          <w:rFonts w:cs="Calibri" w:ascii="Calibri" w:hAnsi="Calibri" w:asciiTheme="minorHAnsi" w:cstheme="minorHAnsi" w:hAnsiTheme="minorHAnsi"/>
          <w:b/>
          <w:color w:val="auto"/>
          <w:sz w:val="24"/>
          <w:u w:val="single"/>
        </w:rPr>
        <w:t xml:space="preserve"> la formation professionnelle</w:t>
      </w:r>
      <w:bookmarkEnd w:id="22"/>
      <w:bookmarkEnd w:id="23"/>
      <w:bookmarkEnd w:id="24"/>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 diagnostic partagé révèle que </w:t>
      </w:r>
      <w:r>
        <w:rPr>
          <w:rFonts w:cs="Calibri" w:cstheme="minorHAnsi"/>
          <w:sz w:val="20"/>
          <w:szCs w:val="24"/>
        </w:rPr>
        <w:t>le nombre de stagiaires formés chaque année a plus que doublé entre 2022 et 2024. Malgré une baisse en 2024 de la proportion de femmes formées, cette dernière atteint tout de même près de 45% des stagiaires formés et s’apparente au pourcentage de femmes dans l’effectif global de l’établissement (46,20%)</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L’Etablissement PAPREC CRV LE RHEU s’engage à assurer un égal accès des femmes et des hommes à la formation professionnelle.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tbl>
      <w:tblPr>
        <w:tblStyle w:val="Grilledutableau"/>
        <w:tblW w:w="9060"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3020"/>
        <w:gridCol w:w="3495"/>
        <w:gridCol w:w="2545"/>
      </w:tblGrid>
      <w:tr>
        <w:trPr>
          <w:trHeight w:val="284" w:hRule="atLeast"/>
        </w:trPr>
        <w:tc>
          <w:tcPr>
            <w:tcW w:w="3020"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Objectif</w:t>
            </w:r>
          </w:p>
        </w:tc>
        <w:tc>
          <w:tcPr>
            <w:tcW w:w="3495"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Action(s) retenue(s)</w:t>
            </w:r>
          </w:p>
        </w:tc>
        <w:tc>
          <w:tcPr>
            <w:tcW w:w="2545"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Indicateur(s) chiffré(s)</w:t>
            </w:r>
          </w:p>
        </w:tc>
      </w:tr>
      <w:tr>
        <w:trPr/>
        <w:tc>
          <w:tcPr>
            <w:tcW w:w="3020" w:type="dxa"/>
            <w:tcBorders/>
            <w:vAlign w:val="center"/>
          </w:tcPr>
          <w:p>
            <w:pPr>
              <w:pStyle w:val="ListParagraph"/>
              <w:widowControl/>
              <w:numPr>
                <w:ilvl w:val="0"/>
                <w:numId w:val="4"/>
              </w:numPr>
              <w:spacing w:lineRule="auto" w:line="240" w:before="0" w:after="200"/>
              <w:ind w:hanging="256" w:start="306"/>
              <w:contextualSpacing/>
              <w:jc w:val="both"/>
              <w:rPr>
                <w:rFonts w:cs="Calibri" w:cstheme="minorHAnsi"/>
              </w:rPr>
            </w:pPr>
            <w:r>
              <w:rPr>
                <w:rFonts w:eastAsia="Calibri" w:cs="Calibri" w:cstheme="minorHAnsi"/>
                <w:kern w:val="0"/>
                <w:sz w:val="22"/>
                <w:szCs w:val="22"/>
                <w:lang w:val="fr-FR" w:eastAsia="en-US" w:bidi="ar-SA"/>
              </w:rPr>
              <w:t>Une proportion des femmes bénéficiant de formations identique à la proportion de femmes dans l’effectif total.</w:t>
            </w:r>
          </w:p>
        </w:tc>
        <w:tc>
          <w:tcPr>
            <w:tcW w:w="3495" w:type="dxa"/>
            <w:tcBorders/>
            <w:vAlign w:val="center"/>
          </w:tcPr>
          <w:p>
            <w:pPr>
              <w:pStyle w:val="ListParagraph"/>
              <w:widowControl/>
              <w:numPr>
                <w:ilvl w:val="0"/>
                <w:numId w:val="4"/>
              </w:numPr>
              <w:spacing w:lineRule="auto" w:line="240" w:before="0" w:after="200"/>
              <w:ind w:hanging="256" w:start="306"/>
              <w:contextualSpacing/>
              <w:jc w:val="both"/>
              <w:rPr>
                <w:rFonts w:cs="Calibri" w:cstheme="minorHAnsi"/>
              </w:rPr>
            </w:pPr>
            <w:r>
              <w:rPr>
                <w:rFonts w:eastAsia="Calibri" w:cs="Calibri" w:cstheme="minorHAnsi"/>
                <w:kern w:val="0"/>
                <w:sz w:val="22"/>
                <w:szCs w:val="22"/>
                <w:lang w:val="fr-FR" w:eastAsia="en-US" w:bidi="ar-SA"/>
              </w:rPr>
              <w:t xml:space="preserve">Tendre à la parité femmes hommes lors des inscriptions aux formations, </w:t>
            </w:r>
          </w:p>
          <w:p>
            <w:pPr>
              <w:pStyle w:val="ListParagraph"/>
              <w:widowControl/>
              <w:numPr>
                <w:ilvl w:val="0"/>
                <w:numId w:val="4"/>
              </w:numPr>
              <w:spacing w:lineRule="auto" w:line="240" w:before="0" w:after="200"/>
              <w:ind w:hanging="256" w:start="306"/>
              <w:contextualSpacing/>
              <w:jc w:val="both"/>
              <w:rPr>
                <w:rFonts w:cs="Calibri" w:cstheme="minorHAnsi"/>
              </w:rPr>
            </w:pPr>
            <w:r>
              <w:rPr>
                <w:rFonts w:eastAsia="Calibri" w:cs="Calibri" w:cstheme="minorHAnsi"/>
                <w:kern w:val="0"/>
                <w:sz w:val="22"/>
                <w:szCs w:val="22"/>
                <w:lang w:val="fr-FR" w:eastAsia="en-US" w:bidi="ar-SA"/>
              </w:rPr>
              <w:t>Si nécessaire, rendre prioritaire l’accès à la formation pour les salariés du sexe sous-représenté</w:t>
            </w:r>
          </w:p>
        </w:tc>
        <w:tc>
          <w:tcPr>
            <w:tcW w:w="2545" w:type="dxa"/>
            <w:tcBorders/>
            <w:vAlign w:val="center"/>
          </w:tcPr>
          <w:p>
            <w:pPr>
              <w:pStyle w:val="ListParagraph"/>
              <w:widowControl/>
              <w:numPr>
                <w:ilvl w:val="0"/>
                <w:numId w:val="4"/>
              </w:numPr>
              <w:spacing w:lineRule="auto" w:line="240" w:before="0" w:after="200"/>
              <w:ind w:hanging="256" w:start="306"/>
              <w:contextualSpacing/>
              <w:jc w:val="both"/>
              <w:rPr>
                <w:rFonts w:cs="Calibri" w:cstheme="minorHAnsi"/>
              </w:rPr>
            </w:pPr>
            <w:r>
              <w:rPr>
                <w:rFonts w:eastAsia="Calibri" w:cs="Calibri" w:cstheme="minorHAnsi"/>
                <w:kern w:val="0"/>
                <w:sz w:val="22"/>
                <w:szCs w:val="22"/>
                <w:lang w:val="fr-FR" w:eastAsia="en-US" w:bidi="ar-SA"/>
              </w:rPr>
              <w:t>% de femmes et d’hommes participant aux formations ;</w:t>
            </w:r>
          </w:p>
        </w:tc>
      </w:tr>
    </w:tbl>
    <w:p>
      <w:pPr>
        <w:pStyle w:val="Heading1"/>
        <w:spacing w:lineRule="auto" w:line="240" w:before="0" w:after="0"/>
        <w:rPr>
          <w:rFonts w:ascii="Calibri" w:hAnsi="Calibri" w:cs="Calibri" w:asciiTheme="minorHAnsi" w:cstheme="minorHAnsi" w:hAnsiTheme="minorHAnsi"/>
          <w:b/>
          <w:color w:val="auto"/>
          <w:sz w:val="24"/>
          <w:u w:val="single"/>
        </w:rPr>
      </w:pPr>
      <w:r>
        <w:rPr>
          <w:rFonts w:cs="Calibri" w:cstheme="minorHAnsi" w:ascii="Calibri" w:hAnsi="Calibri"/>
          <w:b/>
          <w:color w:val="auto"/>
          <w:sz w:val="24"/>
          <w:u w:val="single"/>
        </w:rPr>
      </w:r>
    </w:p>
    <w:p>
      <w:pPr>
        <w:pStyle w:val="Normal"/>
        <w:rPr/>
      </w:pPr>
      <w:r>
        <w:rPr/>
      </w:r>
    </w:p>
    <w:p>
      <w:pPr>
        <w:pStyle w:val="Normal"/>
        <w:spacing w:lineRule="auto" w:line="240"/>
        <w:rPr>
          <w:rFonts w:eastAsia="" w:cs="Calibri" w:cstheme="minorHAnsi" w:eastAsiaTheme="majorEastAsia"/>
          <w:b/>
          <w:sz w:val="28"/>
          <w:szCs w:val="32"/>
          <w:u w:val="single"/>
        </w:rPr>
      </w:pPr>
      <w:r>
        <w:rPr>
          <w:rFonts w:eastAsia="" w:cs="Calibri" w:cstheme="minorHAnsi" w:eastAsiaTheme="majorEastAsia"/>
          <w:b/>
          <w:sz w:val="28"/>
          <w:szCs w:val="32"/>
          <w:u w:val="single"/>
        </w:rPr>
      </w:r>
    </w:p>
    <w:p>
      <w:pPr>
        <w:pStyle w:val="Heading1"/>
        <w:spacing w:lineRule="auto" w:line="240" w:before="0" w:after="0"/>
        <w:rPr>
          <w:rFonts w:ascii="Calibri" w:hAnsi="Calibri" w:cs="Calibri" w:asciiTheme="minorHAnsi" w:cstheme="minorHAnsi" w:hAnsiTheme="minorHAnsi"/>
          <w:b/>
          <w:color w:val="auto"/>
          <w:sz w:val="24"/>
          <w:u w:val="single"/>
        </w:rPr>
      </w:pPr>
      <w:bookmarkStart w:id="26" w:name="_Toc27482521"/>
      <w:bookmarkStart w:id="27" w:name="_Toc26951689"/>
      <w:r>
        <w:rPr>
          <w:rFonts w:cs="Calibri" w:ascii="Calibri" w:hAnsi="Calibri" w:asciiTheme="minorHAnsi" w:cstheme="minorHAnsi" w:hAnsiTheme="minorHAnsi"/>
          <w:b/>
          <w:color w:val="auto"/>
          <w:sz w:val="24"/>
          <w:u w:val="single"/>
        </w:rPr>
        <w:t>Article 5 – Domaine d’action n°3: la promotion professionnelle</w:t>
      </w:r>
      <w:bookmarkEnd w:id="26"/>
      <w:bookmarkEnd w:id="27"/>
    </w:p>
    <w:p>
      <w:pPr>
        <w:pStyle w:val="Normal"/>
        <w:rPr/>
      </w:pPr>
      <w:r>
        <w:rPr/>
      </w:r>
    </w:p>
    <w:p>
      <w:pPr>
        <w:pStyle w:val="Normal"/>
        <w:rPr/>
      </w:pPr>
      <w:r>
        <w:rPr/>
        <w:t xml:space="preserve">Les parties rappellent que les promotions professionnelles sont attribuées, chaque année, sur la base des compétences, expériences, et souhaits d’évolution des salariés ; sans distinctions fondées sur le sexe. </w:t>
      </w:r>
    </w:p>
    <w:p>
      <w:pPr>
        <w:pStyle w:val="Normal"/>
        <w:rPr/>
      </w:pPr>
      <w:r>
        <w:rPr/>
        <w:t>Le diagnostic préalable fait état d’un nombre de promotions qui progresse fortement en 2024. La répartition femmes-hommes est quasi équivalente en 2023 et 2024.</w:t>
      </w:r>
    </w:p>
    <w:p>
      <w:pPr>
        <w:pStyle w:val="Normal"/>
        <w:rPr/>
      </w:pPr>
      <w:r>
        <w:rPr/>
      </w:r>
    </w:p>
    <w:tbl>
      <w:tblPr>
        <w:tblStyle w:val="Grilledutableau"/>
        <w:tblW w:w="9060"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830"/>
        <w:gridCol w:w="3685"/>
        <w:gridCol w:w="2545"/>
      </w:tblGrid>
      <w:tr>
        <w:trPr/>
        <w:tc>
          <w:tcPr>
            <w:tcW w:w="2830"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Objectif</w:t>
            </w:r>
          </w:p>
        </w:tc>
        <w:tc>
          <w:tcPr>
            <w:tcW w:w="3685"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Action(s) retenue(s)</w:t>
            </w:r>
          </w:p>
        </w:tc>
        <w:tc>
          <w:tcPr>
            <w:tcW w:w="2545" w:type="dxa"/>
            <w:tcBorders/>
            <w:shd w:color="auto" w:fill="D5DCE4" w:themeFill="text2" w:themeFillTint="33" w:val="clear"/>
          </w:tcPr>
          <w:p>
            <w:pPr>
              <w:pStyle w:val="Normal"/>
              <w:widowControl/>
              <w:spacing w:lineRule="auto" w:line="240" w:before="0" w:after="0"/>
              <w:jc w:val="center"/>
              <w:rPr>
                <w:rFonts w:cs="Calibri" w:cstheme="minorHAnsi"/>
                <w:b/>
              </w:rPr>
            </w:pPr>
            <w:r>
              <w:rPr>
                <w:rFonts w:eastAsia="Calibri" w:cs="Calibri" w:cstheme="minorHAnsi"/>
                <w:b/>
                <w:kern w:val="0"/>
                <w:sz w:val="22"/>
                <w:szCs w:val="22"/>
                <w:lang w:val="fr-FR" w:eastAsia="en-US" w:bidi="ar-SA"/>
              </w:rPr>
              <w:t>Indicateur(s) chiffré(s)</w:t>
            </w:r>
          </w:p>
        </w:tc>
      </w:tr>
      <w:tr>
        <w:trPr>
          <w:trHeight w:val="1758" w:hRule="atLeast"/>
        </w:trPr>
        <w:tc>
          <w:tcPr>
            <w:tcW w:w="2830" w:type="dxa"/>
            <w:tcBorders/>
            <w:vAlign w:val="center"/>
          </w:tcPr>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Poursuivre cette tendance d’équité dans les promotions professionnelles.</w:t>
            </w:r>
          </w:p>
        </w:tc>
        <w:tc>
          <w:tcPr>
            <w:tcW w:w="3685" w:type="dxa"/>
            <w:tcBorders/>
            <w:vAlign w:val="center"/>
          </w:tcPr>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Sensibiliser les décisionnaires avant les revues de salaires et promotions;</w:t>
            </w:r>
          </w:p>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Promouvoir une distribution équilibrée des promotions ;</w:t>
            </w:r>
          </w:p>
        </w:tc>
        <w:tc>
          <w:tcPr>
            <w:tcW w:w="2545" w:type="dxa"/>
            <w:tcBorders/>
            <w:vAlign w:val="center"/>
          </w:tcPr>
          <w:p>
            <w:pPr>
              <w:pStyle w:val="ListParagraph"/>
              <w:widowControl/>
              <w:numPr>
                <w:ilvl w:val="0"/>
                <w:numId w:val="4"/>
              </w:numPr>
              <w:spacing w:lineRule="auto" w:line="240" w:before="0" w:after="200"/>
              <w:ind w:hanging="256" w:start="306"/>
              <w:contextualSpacing/>
              <w:rPr>
                <w:rFonts w:cs="Calibri" w:cstheme="minorHAnsi"/>
              </w:rPr>
            </w:pPr>
            <w:r>
              <w:rPr>
                <w:rFonts w:eastAsia="Calibri" w:cs="Calibri" w:cstheme="minorHAnsi"/>
                <w:kern w:val="0"/>
                <w:sz w:val="22"/>
                <w:szCs w:val="22"/>
                <w:lang w:val="fr-FR" w:eastAsia="en-US" w:bidi="ar-SA"/>
              </w:rPr>
              <w:t>Nombre de promotion par sexe</w:t>
            </w:r>
          </w:p>
          <w:p>
            <w:pPr>
              <w:pStyle w:val="ListParagraph"/>
              <w:widowControl/>
              <w:spacing w:lineRule="auto" w:line="240" w:before="0" w:after="200"/>
              <w:ind w:start="306"/>
              <w:contextualSpacing/>
              <w:rPr>
                <w:rFonts w:cs="Calibri" w:cstheme="minorHAnsi"/>
              </w:rPr>
            </w:pPr>
            <w:r>
              <w:rPr>
                <w:rFonts w:eastAsia="Calibri" w:cs="Calibri" w:cstheme="minorHAnsi"/>
                <w:kern w:val="0"/>
                <w:sz w:val="22"/>
                <w:szCs w:val="22"/>
                <w:lang w:val="fr-FR" w:eastAsia="en-US" w:bidi="ar-SA"/>
              </w:rPr>
            </w:r>
          </w:p>
        </w:tc>
      </w:tr>
    </w:tbl>
    <w:p>
      <w:pPr>
        <w:pStyle w:val="Normal"/>
        <w:rPr/>
      </w:pPr>
      <w:r>
        <w:rPr/>
      </w:r>
    </w:p>
    <w:p>
      <w:pPr>
        <w:pStyle w:val="Normal"/>
        <w:rPr/>
      </w:pPr>
      <w:r>
        <w:rPr/>
      </w:r>
    </w:p>
    <w:p>
      <w:pPr>
        <w:pStyle w:val="Heading1"/>
        <w:spacing w:lineRule="auto" w:line="240" w:before="0" w:after="0"/>
        <w:rPr>
          <w:rFonts w:ascii="Calibri" w:hAnsi="Calibri" w:cs="Calibri" w:asciiTheme="minorHAnsi" w:cstheme="minorHAnsi" w:hAnsiTheme="minorHAnsi"/>
          <w:b/>
          <w:color w:val="auto"/>
          <w:sz w:val="24"/>
          <w:u w:val="single"/>
        </w:rPr>
      </w:pPr>
      <w:bookmarkStart w:id="28" w:name="_Toc27482522"/>
      <w:bookmarkStart w:id="29" w:name="_Toc26951690"/>
      <w:bookmarkStart w:id="30" w:name="_Toc22306961"/>
      <w:bookmarkStart w:id="31" w:name="_Toc17366162"/>
      <w:r>
        <w:rPr>
          <w:rFonts w:cs="Calibri" w:ascii="Calibri" w:hAnsi="Calibri" w:asciiTheme="minorHAnsi" w:cstheme="minorHAnsi" w:hAnsiTheme="minorHAnsi"/>
          <w:b/>
          <w:color w:val="auto"/>
          <w:sz w:val="24"/>
          <w:u w:val="single"/>
        </w:rPr>
        <w:t>Article 6 – Articulation vie personnelle et familiale et vie professionnelle</w:t>
      </w:r>
      <w:bookmarkEnd w:id="28"/>
      <w:bookmarkEnd w:id="29"/>
      <w:bookmarkEnd w:id="30"/>
      <w:bookmarkEnd w:id="31"/>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Les parties visent à offrir à chaque salarié un bon équilibre entre leur vie professionnelle et leur vie personnelle ; à leur accorder le temps nécessaire pour faire face aux évènements majeurs de la vie et de tenir compte de leurs contraintes personnelles dans l’organisation de leur travail et dans le respect des impératifs de l’entreprise. </w:t>
      </w:r>
    </w:p>
    <w:p>
      <w:pPr>
        <w:pStyle w:val="Normal"/>
        <w:spacing w:lineRule="auto" w:line="240"/>
        <w:rPr>
          <w:rFonts w:cs="Calibri" w:cstheme="minorHAnsi"/>
          <w:b/>
          <w:sz w:val="24"/>
          <w:u w:val="single"/>
        </w:rPr>
      </w:pPr>
      <w:r>
        <w:rPr>
          <w:rFonts w:cs="Calibri" w:cstheme="minorHAnsi"/>
          <w:b/>
          <w:sz w:val="24"/>
          <w:u w:val="single"/>
        </w:rPr>
      </w:r>
      <w:bookmarkStart w:id="32" w:name="_Toc22306963"/>
      <w:bookmarkStart w:id="33" w:name="_Toc17366165"/>
      <w:bookmarkStart w:id="34" w:name="_Toc22306963"/>
      <w:bookmarkStart w:id="35" w:name="_Toc17366165"/>
    </w:p>
    <w:p>
      <w:pPr>
        <w:pStyle w:val="Normal"/>
        <w:spacing w:lineRule="auto" w:line="240"/>
        <w:rPr>
          <w:rFonts w:cs="Calibri" w:cstheme="minorHAnsi"/>
          <w:b/>
          <w:sz w:val="24"/>
          <w:u w:val="single"/>
        </w:rPr>
      </w:pPr>
      <w:r>
        <w:rPr>
          <w:rFonts w:cs="Calibri" w:cstheme="minorHAnsi"/>
          <w:b/>
          <w:sz w:val="24"/>
          <w:u w:val="single"/>
        </w:rPr>
      </w:r>
    </w:p>
    <w:p>
      <w:pPr>
        <w:pStyle w:val="Heading1"/>
        <w:spacing w:lineRule="auto" w:line="240" w:before="0" w:after="0"/>
        <w:rPr>
          <w:rFonts w:ascii="Calibri" w:hAnsi="Calibri" w:cs="Calibri" w:asciiTheme="minorHAnsi" w:cstheme="minorHAnsi" w:hAnsiTheme="minorHAnsi"/>
          <w:b/>
          <w:color w:val="auto"/>
          <w:sz w:val="24"/>
          <w:u w:val="single"/>
        </w:rPr>
      </w:pPr>
      <w:bookmarkStart w:id="36" w:name="_Toc22306963"/>
      <w:bookmarkStart w:id="37" w:name="_Toc17366165"/>
      <w:bookmarkStart w:id="38" w:name="_Toc27482523"/>
      <w:bookmarkStart w:id="39" w:name="_Toc26951691"/>
      <w:r>
        <w:rPr>
          <w:rFonts w:cs="Calibri" w:ascii="Calibri" w:hAnsi="Calibri" w:asciiTheme="minorHAnsi" w:cstheme="minorHAnsi" w:hAnsiTheme="minorHAnsi"/>
          <w:b/>
          <w:color w:val="auto"/>
          <w:sz w:val="24"/>
          <w:u w:val="single"/>
        </w:rPr>
        <w:t>Article 7 – L’insertion professionnelle et maintien dans l’emploi des travailleurs handicapés</w:t>
      </w:r>
      <w:bookmarkEnd w:id="36"/>
      <w:bookmarkEnd w:id="37"/>
      <w:bookmarkEnd w:id="38"/>
      <w:bookmarkEnd w:id="39"/>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L’entreprise marque sa volonté de promouvoir le travail des personnes en situation de handicap et de faciliter leur accès à un emploi.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Les parties au présent accord réaffirment que tous les postes de l’entreprise existants ou à créer, nécessitant ou non des responsabilités, sont ouverts aux personnes en situation de handicap sur les seuls critères de compétence professionnelle, d’expérience professionnelle globale et d’adaptabilité de chaque candidat.</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En application du principe de non-discrimination tant négative que positive, l’entreprise rappelle que les candidatures des personnes en situation de handicap sont étudiées selon les mêmes critères que l’ensemble des autres candidatures, dans le respect de la réglementation en vigueur.</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Les managers, en lien avec la Direction des Ressources Humaines, s’assurent de la bonne intégration de la personne en situation de handicap. A ce titre, les managers ont pour mission de :</w:t>
      </w:r>
    </w:p>
    <w:p>
      <w:pPr>
        <w:pStyle w:val="ListParagraph"/>
        <w:numPr>
          <w:ilvl w:val="0"/>
          <w:numId w:val="4"/>
        </w:numPr>
        <w:spacing w:lineRule="auto" w:line="240" w:before="0" w:after="0"/>
        <w:contextualSpacing/>
        <w:rPr>
          <w:rFonts w:cs="Calibri" w:cstheme="minorHAnsi"/>
        </w:rPr>
      </w:pPr>
      <w:r>
        <w:rPr>
          <w:rFonts w:cs="Calibri" w:cstheme="minorHAnsi"/>
        </w:rPr>
        <w:t>Sensibiliser l’équipe accueillante,</w:t>
      </w:r>
    </w:p>
    <w:p>
      <w:pPr>
        <w:pStyle w:val="ListParagraph"/>
        <w:numPr>
          <w:ilvl w:val="0"/>
          <w:numId w:val="4"/>
        </w:numPr>
        <w:spacing w:lineRule="auto" w:line="240"/>
        <w:rPr>
          <w:rFonts w:cs="Calibri" w:cstheme="minorHAnsi"/>
        </w:rPr>
      </w:pPr>
      <w:r>
        <w:rPr>
          <w:rFonts w:cs="Calibri" w:cstheme="minorHAnsi"/>
        </w:rPr>
        <w:t>S’impliquer et participer à la mise en œuvre des aménagements de poste qui pourraient être nécessaires au recrutement ou au maintien dans l’emploi des salariés en situation de handicap ou assimilés (aménagements techniques et/ou organisationnels),</w:t>
      </w:r>
    </w:p>
    <w:p>
      <w:pPr>
        <w:pStyle w:val="ListParagraph"/>
        <w:numPr>
          <w:ilvl w:val="0"/>
          <w:numId w:val="4"/>
        </w:numPr>
        <w:spacing w:lineRule="auto" w:line="240"/>
        <w:rPr>
          <w:rFonts w:cs="Calibri" w:cstheme="minorHAnsi"/>
        </w:rPr>
      </w:pPr>
      <w:r>
        <w:rPr>
          <w:rFonts w:cs="Calibri" w:cstheme="minorHAnsi"/>
        </w:rPr>
        <w:t>Prévenir le RRH de toute difficulté rencontrée et solliciter son propre accompagnement en cas de besoin.</w:t>
      </w:r>
    </w:p>
    <w:p>
      <w:pPr>
        <w:pStyle w:val="Normal"/>
        <w:spacing w:lineRule="auto" w:line="240"/>
        <w:rPr>
          <w:rFonts w:cs="Calibri" w:cstheme="minorHAnsi"/>
        </w:rPr>
      </w:pPr>
      <w:r>
        <w:rPr>
          <w:rFonts w:cs="Calibri" w:cstheme="minorHAnsi"/>
        </w:rPr>
        <w:t xml:space="preserve">Eu égard à sa mission d’encadrement, le management veille également à rendre les situations de travail accessibles aux personnes en situation de handicap.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Il veille plus particulièrement à ce que les collaborateurs en situation de handicap bénéficient des politiques internes en vigueur au sein de l’entreprise de manière équitable par rapport aux autres membres de l’équipe.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Heading1"/>
        <w:spacing w:lineRule="auto" w:line="240" w:before="0" w:after="0"/>
        <w:rPr>
          <w:rFonts w:ascii="Calibri" w:hAnsi="Calibri" w:cs="Calibri" w:asciiTheme="minorHAnsi" w:cstheme="minorHAnsi" w:hAnsiTheme="minorHAnsi"/>
          <w:b/>
          <w:color w:val="auto"/>
          <w:sz w:val="24"/>
          <w:u w:val="single"/>
        </w:rPr>
      </w:pPr>
      <w:bookmarkStart w:id="40" w:name="_Toc27482524"/>
      <w:r>
        <w:rPr>
          <w:rFonts w:cs="Calibri" w:ascii="Calibri" w:hAnsi="Calibri" w:asciiTheme="minorHAnsi" w:cstheme="minorHAnsi" w:hAnsiTheme="minorHAnsi"/>
          <w:b/>
          <w:color w:val="auto"/>
          <w:sz w:val="24"/>
          <w:u w:val="single"/>
        </w:rPr>
        <w:t>A</w:t>
      </w:r>
      <w:bookmarkStart w:id="41" w:name="_Toc27482530"/>
      <w:bookmarkStart w:id="42" w:name="_Toc26951692"/>
      <w:bookmarkStart w:id="43" w:name="_Toc22306979"/>
      <w:bookmarkStart w:id="44" w:name="_Toc17366166"/>
      <w:bookmarkEnd w:id="40"/>
      <w:r>
        <w:rPr>
          <w:rFonts w:cs="Calibri" w:ascii="Calibri" w:hAnsi="Calibri" w:asciiTheme="minorHAnsi" w:cstheme="minorHAnsi" w:hAnsiTheme="minorHAnsi"/>
          <w:b/>
          <w:color w:val="auto"/>
          <w:sz w:val="24"/>
          <w:u w:val="single"/>
        </w:rPr>
        <w:t>rticle 8 – Modalités de suivi de l’accord</w:t>
      </w:r>
      <w:bookmarkEnd w:id="41"/>
      <w:bookmarkEnd w:id="42"/>
      <w:bookmarkEnd w:id="43"/>
      <w:bookmarkEnd w:id="44"/>
    </w:p>
    <w:p>
      <w:pPr>
        <w:pStyle w:val="Normal"/>
        <w:tabs>
          <w:tab w:val="clear" w:pos="708"/>
          <w:tab w:val="left" w:pos="5535" w:leader="none"/>
        </w:tabs>
        <w:spacing w:lineRule="auto" w:line="240"/>
        <w:rPr>
          <w:rFonts w:cs="Calibri" w:cstheme="minorHAnsi"/>
        </w:rPr>
      </w:pPr>
      <w:r>
        <w:rPr>
          <w:rFonts w:cs="Calibri" w:cstheme="minorHAnsi"/>
        </w:rPr>
        <w:tab/>
      </w:r>
    </w:p>
    <w:p>
      <w:pPr>
        <w:pStyle w:val="Normal"/>
        <w:spacing w:lineRule="auto" w:line="240" w:before="0" w:after="120"/>
        <w:rPr>
          <w:rFonts w:cs="Calibri" w:cstheme="minorHAnsi"/>
        </w:rPr>
      </w:pPr>
      <w:r>
        <w:rPr>
          <w:rFonts w:cs="Calibri" w:cstheme="minorHAnsi"/>
        </w:rPr>
        <w:t>Les parties se sont entendues afin que soit effectué un suivi annuel des indicateurs du présent accord, par le biais d’un bilan reprenant le suivi des objectifs, des indicateurs et des actions fixées présentement, et présenté au CSE</w:t>
      </w:r>
    </w:p>
    <w:p>
      <w:pPr>
        <w:pStyle w:val="Normal"/>
        <w:spacing w:lineRule="auto" w:line="240"/>
        <w:rPr>
          <w:rFonts w:cs="Calibri" w:cstheme="minorHAnsi"/>
        </w:rPr>
      </w:pPr>
      <w:r>
        <w:rPr>
          <w:rFonts w:cs="Calibri" w:cstheme="minorHAnsi"/>
        </w:rPr>
      </w:r>
    </w:p>
    <w:p>
      <w:pPr>
        <w:pStyle w:val="Heading1"/>
        <w:spacing w:lineRule="auto" w:line="240" w:before="0" w:after="0"/>
        <w:rPr>
          <w:rFonts w:ascii="Calibri" w:hAnsi="Calibri" w:cs="Calibri" w:asciiTheme="minorHAnsi" w:cstheme="minorHAnsi" w:hAnsiTheme="minorHAnsi"/>
          <w:b/>
          <w:color w:val="auto"/>
          <w:sz w:val="24"/>
          <w:u w:val="single"/>
        </w:rPr>
      </w:pPr>
      <w:bookmarkStart w:id="45" w:name="_Toc27482531"/>
      <w:bookmarkStart w:id="46" w:name="_Toc26951693"/>
      <w:bookmarkStart w:id="47" w:name="_Toc22306980"/>
      <w:bookmarkStart w:id="48" w:name="_Toc17366167"/>
      <w:r>
        <w:rPr>
          <w:rFonts w:cs="Calibri" w:ascii="Calibri" w:hAnsi="Calibri" w:asciiTheme="minorHAnsi" w:cstheme="minorHAnsi" w:hAnsiTheme="minorHAnsi"/>
          <w:b/>
          <w:color w:val="auto"/>
          <w:sz w:val="24"/>
          <w:u w:val="single"/>
        </w:rPr>
        <w:t>Article 9 – Révision et dénonciation de l’accord</w:t>
      </w:r>
      <w:bookmarkEnd w:id="45"/>
      <w:bookmarkEnd w:id="46"/>
      <w:bookmarkEnd w:id="47"/>
      <w:bookmarkEnd w:id="48"/>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Le présent accord pourra être révisé dans les conditions prévues aux articles L. 2261-7 et suivants du Code du travail.</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Le présent accord pourra être dénoncé à tout moment par l’une ou l’autre des parties signataires sous réserve du respect d’un préavis de trois (3) mois. La dénonciation est notifiée par courrier recommandé avec accusé de réception par son auteur aux signataires de l’accord.</w:t>
      </w:r>
    </w:p>
    <w:p>
      <w:pPr>
        <w:pStyle w:val="Normal"/>
        <w:spacing w:lineRule="auto" w:line="240"/>
        <w:rPr>
          <w:rFonts w:cs="Calibri" w:cstheme="minorHAnsi"/>
        </w:rPr>
      </w:pPr>
      <w:r>
        <w:rPr>
          <w:rFonts w:cs="Calibri" w:cstheme="minorHAnsi"/>
        </w:rPr>
      </w:r>
    </w:p>
    <w:p>
      <w:pPr>
        <w:pStyle w:val="ListParagraph"/>
        <w:spacing w:lineRule="auto" w:line="240"/>
        <w:jc w:val="both"/>
        <w:rPr>
          <w:rFonts w:cs="Calibri" w:cstheme="minorHAnsi"/>
        </w:rPr>
      </w:pPr>
      <w:r>
        <w:rPr>
          <w:rFonts w:cs="Calibri" w:cstheme="minorHAnsi"/>
        </w:rPr>
      </w:r>
    </w:p>
    <w:p>
      <w:pPr>
        <w:pStyle w:val="ListParagraph"/>
        <w:spacing w:lineRule="auto" w:line="240"/>
        <w:jc w:val="both"/>
        <w:rPr>
          <w:rFonts w:cs="Calibri" w:cstheme="minorHAnsi"/>
        </w:rPr>
      </w:pPr>
      <w:r>
        <w:rPr>
          <w:rFonts w:cs="Calibri" w:cstheme="minorHAnsi"/>
        </w:rPr>
      </w:r>
    </w:p>
    <w:p>
      <w:pPr>
        <w:pStyle w:val="Heading1"/>
        <w:spacing w:lineRule="auto" w:line="240" w:before="0" w:after="0"/>
        <w:rPr>
          <w:rFonts w:ascii="Calibri" w:hAnsi="Calibri" w:cs="Calibri" w:asciiTheme="minorHAnsi" w:cstheme="minorHAnsi" w:hAnsiTheme="minorHAnsi"/>
          <w:b/>
          <w:color w:val="auto"/>
          <w:sz w:val="24"/>
          <w:u w:val="single"/>
        </w:rPr>
      </w:pPr>
      <w:bookmarkStart w:id="49" w:name="_Toc27482532"/>
      <w:bookmarkStart w:id="50" w:name="_Toc26951694"/>
      <w:bookmarkStart w:id="51" w:name="_Toc22306981"/>
      <w:bookmarkStart w:id="52" w:name="_Toc17366168"/>
      <w:r>
        <w:rPr>
          <w:rFonts w:cs="Calibri" w:ascii="Calibri" w:hAnsi="Calibri" w:asciiTheme="minorHAnsi" w:cstheme="minorHAnsi" w:hAnsiTheme="minorHAnsi"/>
          <w:b/>
          <w:color w:val="auto"/>
          <w:sz w:val="24"/>
          <w:u w:val="single"/>
        </w:rPr>
        <w:t xml:space="preserve">Article 10 – Entrée en vigueur et durée </w:t>
      </w:r>
      <w:bookmarkStart w:id="53" w:name="_Toc22306952"/>
      <w:bookmarkStart w:id="54" w:name="_Toc17366158"/>
      <w:bookmarkEnd w:id="51"/>
      <w:bookmarkEnd w:id="52"/>
      <w:r>
        <w:rPr>
          <w:rFonts w:cs="Calibri" w:ascii="Calibri" w:hAnsi="Calibri" w:asciiTheme="minorHAnsi" w:cstheme="minorHAnsi" w:hAnsiTheme="minorHAnsi"/>
          <w:b/>
          <w:color w:val="auto"/>
          <w:sz w:val="24"/>
          <w:u w:val="single"/>
        </w:rPr>
        <w:t>de l’accord</w:t>
      </w:r>
      <w:bookmarkEnd w:id="49"/>
      <w:bookmarkEnd w:id="50"/>
      <w:bookmarkEnd w:id="53"/>
      <w:bookmarkEnd w:id="54"/>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L’accord entrera en vigueur et sera applicable à la date de signature de l’accord.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 xml:space="preserve">Il est conclu pour une durée de 4 ans. Les dispositions cesseront automatiquement et de plein droit 4 ans après sa date d’application. </w:t>
      </w:r>
    </w:p>
    <w:p>
      <w:pPr>
        <w:pStyle w:val="Normal"/>
        <w:spacing w:lineRule="auto" w:line="240"/>
        <w:rPr>
          <w:rFonts w:cs="Calibri" w:cstheme="minorHAnsi"/>
          <w:i/>
        </w:rPr>
      </w:pPr>
      <w:r>
        <w:rPr>
          <w:rFonts w:cs="Calibri" w:cstheme="minorHAnsi"/>
          <w:i/>
        </w:rPr>
      </w:r>
    </w:p>
    <w:p>
      <w:pPr>
        <w:pStyle w:val="Normal"/>
        <w:spacing w:lineRule="auto" w:line="240"/>
        <w:rPr>
          <w:rFonts w:cs="Calibri" w:cstheme="minorHAnsi"/>
          <w:sz w:val="20"/>
        </w:rPr>
      </w:pPr>
      <w:r>
        <w:rPr>
          <w:rFonts w:cs="Calibri" w:cstheme="minorHAnsi"/>
          <w:sz w:val="20"/>
        </w:rPr>
      </w:r>
    </w:p>
    <w:p>
      <w:pPr>
        <w:pStyle w:val="Heading1"/>
        <w:spacing w:lineRule="auto" w:line="240" w:before="0" w:after="0"/>
        <w:rPr>
          <w:rFonts w:ascii="Calibri" w:hAnsi="Calibri" w:cs="Calibri" w:asciiTheme="minorHAnsi" w:cstheme="minorHAnsi" w:hAnsiTheme="minorHAnsi"/>
          <w:b/>
          <w:color w:val="auto"/>
          <w:sz w:val="24"/>
          <w:u w:val="single"/>
        </w:rPr>
      </w:pPr>
      <w:bookmarkStart w:id="55" w:name="_Toc27482533"/>
      <w:bookmarkStart w:id="56" w:name="_Toc26951695"/>
      <w:bookmarkStart w:id="57" w:name="_Toc22306984"/>
      <w:bookmarkStart w:id="58" w:name="_Toc17366171"/>
      <w:r>
        <w:rPr>
          <w:rFonts w:cs="Calibri" w:ascii="Calibri" w:hAnsi="Calibri" w:asciiTheme="minorHAnsi" w:cstheme="minorHAnsi" w:hAnsiTheme="minorHAnsi"/>
          <w:b/>
          <w:color w:val="auto"/>
          <w:sz w:val="24"/>
          <w:u w:val="single"/>
        </w:rPr>
        <w:t>Article 11 – Formalités de dépôt et publicité de l’accord</w:t>
      </w:r>
      <w:bookmarkEnd w:id="55"/>
      <w:bookmarkEnd w:id="56"/>
      <w:bookmarkEnd w:id="57"/>
      <w:bookmarkEnd w:id="58"/>
    </w:p>
    <w:p>
      <w:pPr>
        <w:pStyle w:val="Normal"/>
        <w:spacing w:lineRule="auto" w:line="240"/>
        <w:rPr>
          <w:rFonts w:cs="Calibri" w:cstheme="minorHAnsi"/>
          <w:b/>
          <w:u w:val="single"/>
        </w:rPr>
      </w:pPr>
      <w:r>
        <w:rPr>
          <w:rFonts w:cs="Calibri" w:cstheme="minorHAnsi"/>
          <w:b/>
          <w:u w:val="single"/>
        </w:rPr>
      </w:r>
    </w:p>
    <w:p>
      <w:pPr>
        <w:pStyle w:val="Normal"/>
        <w:spacing w:lineRule="auto" w:line="240"/>
        <w:rPr>
          <w:rFonts w:cs="Calibri" w:cstheme="minorHAnsi"/>
        </w:rPr>
      </w:pPr>
      <w:r>
        <w:rPr>
          <w:rFonts w:cs="Calibri" w:cstheme="minorHAnsi"/>
        </w:rPr>
        <w:t xml:space="preserve">Le présent accord fera l’objet, à l’initiative de la Direction, des mesures de dépôt prévues par le Code du travail, auprès du greffe du Conseil de Prud’hommes compétent et sur la plateforme de télé-procédure du ministère du Travail. </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Conformément à l’article R. 2262-2 du Code du travail, un exemplaire sera remis à chaque organisation syndicale représentative. Il sera affiché sur les panneaux réservés à la Direction.</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t>Fait à Le Rheu, le 28 janvier 2026</w:t>
      </w:r>
    </w:p>
    <w:p>
      <w:pPr>
        <w:pStyle w:val="Normal"/>
        <w:spacing w:lineRule="auto" w:line="240"/>
        <w:rPr>
          <w:rFonts w:cs="Calibri" w:cstheme="minorHAnsi"/>
          <w:b/>
          <w:u w:val="single"/>
        </w:rPr>
      </w:pPr>
      <w:r>
        <w:rPr>
          <w:rFonts w:cs="Calibri" w:cstheme="minorHAnsi"/>
          <w:b/>
          <w:u w:val="single"/>
        </w:rPr>
      </w:r>
    </w:p>
    <w:p>
      <w:pPr>
        <w:pStyle w:val="Normal"/>
        <w:spacing w:lineRule="auto" w:line="240"/>
        <w:rPr>
          <w:rFonts w:cs="Calibri" w:cstheme="minorHAnsi"/>
          <w:b/>
          <w:u w:val="single"/>
        </w:rPr>
      </w:pPr>
      <w:r>
        <w:rPr>
          <w:rFonts w:cs="Calibri" w:cstheme="minorHAnsi"/>
          <w:b/>
          <w:u w:val="single"/>
        </w:rPr>
      </w:r>
    </w:p>
    <w:p>
      <w:pPr>
        <w:pStyle w:val="Normal"/>
        <w:spacing w:lineRule="auto" w:line="240"/>
        <w:rPr>
          <w:rFonts w:cs="Calibri" w:cstheme="minorHAnsi"/>
          <w:b/>
          <w:u w:val="single"/>
        </w:rPr>
      </w:pPr>
      <w:r>
        <w:rPr>
          <w:rFonts w:cs="Calibri" w:cstheme="minorHAnsi"/>
          <w:b/>
          <w:u w:val="single"/>
        </w:rPr>
        <w:t xml:space="preserve">Pour l’Etablissement PAPREC CRV LE RHEU  : </w:t>
      </w:r>
    </w:p>
    <w:p>
      <w:pPr>
        <w:pStyle w:val="Normal"/>
        <w:spacing w:lineRule="auto" w:line="240"/>
        <w:rPr>
          <w:rFonts w:cs="Calibri" w:cstheme="minorHAnsi"/>
        </w:rPr>
      </w:pPr>
      <w:r>
        <w:rPr>
          <w:rFonts w:cs="Calibri" w:cstheme="minorHAnsi"/>
        </w:rPr>
      </w:r>
    </w:p>
    <w:p>
      <w:pPr>
        <w:pStyle w:val="ListParagraph"/>
        <w:numPr>
          <w:ilvl w:val="0"/>
          <w:numId w:val="5"/>
        </w:numPr>
        <w:spacing w:lineRule="auto" w:line="240"/>
        <w:rPr>
          <w:rFonts w:cs="Calibri" w:cstheme="minorHAnsi"/>
        </w:rPr>
      </w:pPr>
      <w:r>
        <w:rPr>
          <w:rFonts w:cs="Calibri" w:cstheme="minorHAnsi"/>
        </w:rPr>
        <w:t>Monsieur xxxxxx</w:t>
      </w:r>
    </w:p>
    <w:p>
      <w:pPr>
        <w:pStyle w:val="Normal"/>
        <w:spacing w:lineRule="auto" w:line="240"/>
        <w:rPr>
          <w:rFonts w:cs="Calibri" w:cstheme="minorHAnsi"/>
        </w:rPr>
      </w:pPr>
      <w:r>
        <w:rPr>
          <w:rFonts w:cs="Calibri" w:cstheme="minorHAnsi"/>
        </w:rPr>
      </w:r>
    </w:p>
    <w:p>
      <w:pPr>
        <w:pStyle w:val="Normal"/>
        <w:spacing w:lineRule="auto" w:line="240"/>
        <w:rPr>
          <w:rFonts w:cs="Calibri" w:cstheme="minorHAnsi"/>
        </w:rPr>
      </w:pPr>
      <w:r>
        <w:rPr>
          <w:rFonts w:cs="Calibri" w:cstheme="minorHAnsi"/>
        </w:rPr>
      </w:r>
    </w:p>
    <w:p>
      <w:pPr>
        <w:pStyle w:val="Normal"/>
        <w:spacing w:lineRule="auto" w:line="240"/>
        <w:rPr>
          <w:rFonts w:cs="Calibri" w:cstheme="minorHAnsi"/>
          <w:b/>
          <w:u w:val="single"/>
        </w:rPr>
      </w:pPr>
      <w:r>
        <w:rPr>
          <w:rFonts w:cs="Calibri" w:cstheme="minorHAnsi"/>
          <w:b/>
          <w:u w:val="single"/>
        </w:rPr>
        <w:t>Pour les Organisations Syndicales Représentatives :</w:t>
      </w:r>
    </w:p>
    <w:p>
      <w:pPr>
        <w:pStyle w:val="Normal"/>
        <w:spacing w:lineRule="auto" w:line="240"/>
        <w:rPr>
          <w:rFonts w:cs="Calibri" w:cstheme="minorHAnsi"/>
        </w:rPr>
      </w:pPr>
      <w:r>
        <w:rPr>
          <w:rFonts w:cs="Calibri" w:cstheme="minorHAnsi"/>
        </w:rPr>
      </w:r>
    </w:p>
    <w:p>
      <w:pPr>
        <w:pStyle w:val="ListParagraph"/>
        <w:numPr>
          <w:ilvl w:val="0"/>
          <w:numId w:val="5"/>
        </w:numPr>
        <w:spacing w:lineRule="auto" w:line="240" w:before="0" w:after="200"/>
        <w:contextualSpacing/>
        <w:rPr>
          <w:rFonts w:cs="Calibri" w:cstheme="minorHAnsi"/>
        </w:rPr>
      </w:pPr>
      <w:r>
        <w:rPr>
          <w:rFonts w:cs="Calibri" w:cstheme="minorHAnsi"/>
        </w:rPr>
        <w:t>Pour l’UNSA : Monsieur xxxxx</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567" w:top="1941" w:footer="709" w:bottom="76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Calibri Light">
    <w:charset w:val="01"/>
    <w:family w:val="auto"/>
    <w:pitch w:val="default"/>
  </w:font>
  <w:font w:name="Ebrima">
    <w:charset w:val="01"/>
    <w:family w:val="auto"/>
    <w:pitch w:val="default"/>
  </w:font>
  <w:font w:name="Segoe UI">
    <w:charset w:val="01"/>
    <w:family w:val="swiss"/>
    <w:pitch w:val="default"/>
  </w:font>
  <w:font w:name="Marianne">
    <w:charset w:val="01"/>
    <w:family w:val="auto"/>
    <w:pitch w:val="default"/>
  </w:font>
  <w:font w:name="Wingdings">
    <w:charset w:val="02"/>
    <w:family w:val="auto"/>
    <w:pitch w:val="variable"/>
  </w:font>
  <w:font w:name="Courier New">
    <w:charset w:val="01"/>
    <w:family w:val="modern"/>
    <w:pitch w:val="fixed"/>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05238520"/>
    </w:sdtPr>
    <w:sdtContent>
      <w:p>
        <w:pPr>
          <w:pStyle w:val="Footer"/>
          <w:rPr>
            <w:sz w:val="16"/>
            <w:szCs w:val="16"/>
          </w:rPr>
        </w:pPr>
        <w:r>
          <w:rPr>
            <w:i/>
            <w:sz w:val="16"/>
            <w:szCs w:val="16"/>
          </w:rPr>
          <w:t>Accord relatif à l’égalité professionnelle entre les femmes et les hommes et la qualité de vie au travail</w:t>
          <w:tab/>
        </w:r>
        <w:r>
          <w:rPr>
            <w:bCs/>
            <w:sz w:val="16"/>
            <w:szCs w:val="16"/>
          </w:rPr>
          <w:t xml:space="preserve"> </w:t>
        </w:r>
        <w:r>
          <w:rPr>
            <w:bCs/>
            <w:sz w:val="16"/>
            <w:szCs w:val="16"/>
          </w:rPr>
          <w:fldChar w:fldCharType="begin"/>
        </w:r>
        <w:r>
          <w:rPr>
            <w:bCs/>
            <w:sz w:val="16"/>
            <w:szCs w:val="16"/>
          </w:rPr>
          <w:instrText xml:space="preserve"> PAGE </w:instrText>
        </w:r>
        <w:r>
          <w:rPr>
            <w:bCs/>
            <w:sz w:val="16"/>
            <w:szCs w:val="16"/>
          </w:rPr>
          <w:fldChar w:fldCharType="separate"/>
        </w:r>
        <w:r>
          <w:rPr>
            <w:bCs/>
            <w:sz w:val="16"/>
            <w:szCs w:val="16"/>
          </w:rPr>
          <w:t>6</w:t>
        </w:r>
        <w:r>
          <w:rPr>
            <w:bCs/>
            <w:sz w:val="16"/>
            <w:szCs w:val="16"/>
          </w:rPr>
          <w:fldChar w:fldCharType="end"/>
        </w:r>
        <w:r>
          <w:rPr>
            <w:sz w:val="16"/>
            <w:szCs w:val="16"/>
          </w:rPr>
          <w:t>/</w:t>
        </w:r>
        <w:r>
          <w:rPr>
            <w:bCs/>
            <w:sz w:val="16"/>
            <w:szCs w:val="16"/>
          </w:rPr>
          <w:fldChar w:fldCharType="begin"/>
        </w:r>
        <w:r>
          <w:rPr>
            <w:bCs/>
            <w:sz w:val="16"/>
            <w:szCs w:val="16"/>
          </w:rPr>
          <w:instrText xml:space="preserve"> NUMPAGES </w:instrText>
        </w:r>
        <w:r>
          <w:rPr>
            <w:bCs/>
            <w:sz w:val="16"/>
            <w:szCs w:val="16"/>
          </w:rPr>
          <w:fldChar w:fldCharType="separate"/>
        </w:r>
        <w:r>
          <w:rPr>
            <w:bCs/>
            <w:sz w:val="16"/>
            <w:szCs w:val="16"/>
          </w:rPr>
          <w:t>6</w:t>
        </w:r>
        <w:r>
          <w:rPr>
            <w:bCs/>
            <w:sz w:val="16"/>
            <w:szCs w:val="16"/>
          </w:rPr>
          <w:fldChar w:fldCharType="end"/>
        </w:r>
      </w:p>
    </w:sdtContent>
  </w:sdt>
  <w:p>
    <w:pPr>
      <w:pStyle w:val="Footer"/>
      <w:jc w:val="end"/>
      <w:rPr>
        <w:sz w:val="16"/>
      </w:rPr>
    </w:pPr>
    <w:r>
      <w:rPr>
        <w:sz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05238520"/>
    </w:sdtPr>
    <w:sdtContent>
      <w:p>
        <w:pPr>
          <w:pStyle w:val="Footer"/>
          <w:rPr>
            <w:sz w:val="16"/>
            <w:szCs w:val="16"/>
          </w:rPr>
        </w:pPr>
        <w:r>
          <w:rPr>
            <w:i/>
            <w:sz w:val="16"/>
            <w:szCs w:val="16"/>
          </w:rPr>
          <w:t>Accord relatif à l’égalité professionnelle entre les femmes et les hommes et la qualité de vie au travail</w:t>
          <w:tab/>
        </w:r>
        <w:r>
          <w:rPr>
            <w:bCs/>
            <w:sz w:val="16"/>
            <w:szCs w:val="16"/>
          </w:rPr>
          <w:t xml:space="preserve"> </w:t>
        </w:r>
        <w:r>
          <w:rPr>
            <w:bCs/>
            <w:sz w:val="16"/>
            <w:szCs w:val="16"/>
          </w:rPr>
          <w:fldChar w:fldCharType="begin"/>
        </w:r>
        <w:r>
          <w:rPr>
            <w:bCs/>
            <w:sz w:val="16"/>
            <w:szCs w:val="16"/>
          </w:rPr>
          <w:instrText xml:space="preserve"> PAGE </w:instrText>
        </w:r>
        <w:r>
          <w:rPr>
            <w:bCs/>
            <w:sz w:val="16"/>
            <w:szCs w:val="16"/>
          </w:rPr>
          <w:fldChar w:fldCharType="separate"/>
        </w:r>
        <w:r>
          <w:rPr>
            <w:bCs/>
            <w:sz w:val="16"/>
            <w:szCs w:val="16"/>
          </w:rPr>
          <w:t>6</w:t>
        </w:r>
        <w:r>
          <w:rPr>
            <w:bCs/>
            <w:sz w:val="16"/>
            <w:szCs w:val="16"/>
          </w:rPr>
          <w:fldChar w:fldCharType="end"/>
        </w:r>
        <w:r>
          <w:rPr>
            <w:sz w:val="16"/>
            <w:szCs w:val="16"/>
          </w:rPr>
          <w:t>/</w:t>
        </w:r>
        <w:r>
          <w:rPr>
            <w:bCs/>
            <w:sz w:val="16"/>
            <w:szCs w:val="16"/>
          </w:rPr>
          <w:fldChar w:fldCharType="begin"/>
        </w:r>
        <w:r>
          <w:rPr>
            <w:bCs/>
            <w:sz w:val="16"/>
            <w:szCs w:val="16"/>
          </w:rPr>
          <w:instrText xml:space="preserve"> NUMPAGES </w:instrText>
        </w:r>
        <w:r>
          <w:rPr>
            <w:bCs/>
            <w:sz w:val="16"/>
            <w:szCs w:val="16"/>
          </w:rPr>
          <w:fldChar w:fldCharType="separate"/>
        </w:r>
        <w:r>
          <w:rPr>
            <w:bCs/>
            <w:sz w:val="16"/>
            <w:szCs w:val="16"/>
          </w:rPr>
          <w:t>6</w:t>
        </w:r>
        <w:r>
          <w:rPr>
            <w:bCs/>
            <w:sz w:val="16"/>
            <w:szCs w:val="16"/>
          </w:rPr>
          <w:fldChar w:fldCharType="end"/>
        </w:r>
      </w:p>
    </w:sdtContent>
  </w:sdt>
  <w:p>
    <w:pPr>
      <w:pStyle w:val="Footer"/>
      <w:jc w:val="end"/>
      <w:rPr>
        <w:sz w:val="16"/>
      </w:rPr>
    </w:pPr>
    <w:r>
      <w:rPr>
        <w:sz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b/>
        <w:color w:val="FF0000"/>
        <w:sz w:val="24"/>
      </w:rPr>
    </w:pPr>
    <w:r>
      <w:rPr>
        <w:b/>
        <w:color w:val="FF0000"/>
        <w:sz w:val="24"/>
      </w:rPr>
      <w:drawing>
        <wp:anchor behindDoc="1" distT="0" distB="0" distL="0" distR="0" simplePos="0" locked="0" layoutInCell="0" allowOverlap="1" relativeHeight="7">
          <wp:simplePos x="0" y="0"/>
          <wp:positionH relativeFrom="page">
            <wp:posOffset>144780</wp:posOffset>
          </wp:positionH>
          <wp:positionV relativeFrom="paragraph">
            <wp:posOffset>-283845</wp:posOffset>
          </wp:positionV>
          <wp:extent cx="2286000" cy="1136015"/>
          <wp:effectExtent l="0" t="0" r="0" b="0"/>
          <wp:wrapNone/>
          <wp:docPr id="1" name="Image 540192043" descr="Une image contenant texte, capture d’écran,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540192043" descr="Une image contenant texte, capture d’écran, Police, conception&#10;&#10;Description générée automatiquement"/>
                  <pic:cNvPicPr>
                    <a:picLocks noChangeAspect="1" noChangeArrowheads="1"/>
                  </pic:cNvPicPr>
                </pic:nvPicPr>
                <pic:blipFill>
                  <a:blip r:embed="rId1"/>
                  <a:srcRect l="0" t="0" r="59375" b="85007"/>
                  <a:stretch>
                    <a:fillRect/>
                  </a:stretch>
                </pic:blipFill>
                <pic:spPr bwMode="auto">
                  <a:xfrm>
                    <a:off x="0" y="0"/>
                    <a:ext cx="2286000" cy="1136015"/>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b/>
        <w:color w:val="FF0000"/>
        <w:sz w:val="24"/>
      </w:rPr>
    </w:pPr>
    <w:r>
      <w:rPr>
        <w:b/>
        <w:color w:val="FF0000"/>
        <w:sz w:val="24"/>
      </w:rPr>
      <w:drawing>
        <wp:anchor behindDoc="1" distT="0" distB="0" distL="0" distR="0" simplePos="0" locked="0" layoutInCell="0" allowOverlap="1" relativeHeight="7">
          <wp:simplePos x="0" y="0"/>
          <wp:positionH relativeFrom="page">
            <wp:posOffset>144780</wp:posOffset>
          </wp:positionH>
          <wp:positionV relativeFrom="paragraph">
            <wp:posOffset>-283845</wp:posOffset>
          </wp:positionV>
          <wp:extent cx="2286000" cy="1136015"/>
          <wp:effectExtent l="0" t="0" r="0" b="0"/>
          <wp:wrapNone/>
          <wp:docPr id="2" name="Image 540192043" descr="Une image contenant texte, capture d’écran,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40192043" descr="Une image contenant texte, capture d’écran, Police, conception&#10;&#10;Description générée automatiquement"/>
                  <pic:cNvPicPr>
                    <a:picLocks noChangeAspect="1" noChangeArrowheads="1"/>
                  </pic:cNvPicPr>
                </pic:nvPicPr>
                <pic:blipFill>
                  <a:blip r:embed="rId1"/>
                  <a:srcRect l="0" t="0" r="59375" b="85007"/>
                  <a:stretch>
                    <a:fillRect/>
                  </a:stretch>
                </pic:blipFill>
                <pic:spPr bwMode="auto">
                  <a:xfrm>
                    <a:off x="0" y="0"/>
                    <a:ext cx="2286000" cy="113601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numFmt w:val="bullet"/>
      <w:lvlText w:val="-"/>
      <w:lvlJc w:val="start"/>
      <w:pPr>
        <w:tabs>
          <w:tab w:val="num" w:pos="0"/>
        </w:tabs>
        <w:ind w:start="1065" w:hanging="360"/>
      </w:pPr>
      <w:rPr>
        <w:rFonts w:ascii="Calibri" w:hAnsi="Calibri" w:cs="Calibri" w:hint="default"/>
        <w:sz w:val="24"/>
        <w:szCs w:val="24"/>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5">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5"/>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c75"/>
    <w:pPr>
      <w:widowControl/>
      <w:bidi w:val="0"/>
      <w:spacing w:lineRule="auto" w:line="259" w:before="0" w:after="0"/>
      <w:jc w:val="both"/>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next w:val="Normal"/>
    <w:link w:val="Titre1Car"/>
    <w:uiPriority w:val="9"/>
    <w:qFormat/>
    <w:rsid w:val="00d56c21"/>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E74B5"/>
      <w:sz w:val="32"/>
      <w:szCs w:val="32"/>
    </w:rPr>
  </w:style>
  <w:style w:type="paragraph" w:styleId="Heading2">
    <w:name w:val="heading 2"/>
    <w:basedOn w:val="Normal"/>
    <w:next w:val="Normal"/>
    <w:link w:val="Titre2Car"/>
    <w:uiPriority w:val="9"/>
    <w:unhideWhenUsed/>
    <w:qFormat/>
    <w:rsid w:val="00a54053"/>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E74B5"/>
      <w:sz w:val="26"/>
      <w:szCs w:val="26"/>
    </w:rPr>
  </w:style>
  <w:style w:type="character" w:styleId="DefaultParagraphFont" w:default="1">
    <w:name w:val="Default Paragraph Font"/>
    <w:uiPriority w:val="1"/>
    <w:semiHidden/>
    <w:unhideWhenUsed/>
    <w:qFormat/>
    <w:rPr/>
  </w:style>
  <w:style w:type="character" w:styleId="Style1Car" w:customStyle="1">
    <w:name w:val="Style1 Car"/>
    <w:basedOn w:val="DefaultParagraphFont"/>
    <w:link w:val="Style12"/>
    <w:qFormat/>
    <w:rsid w:val="00be4fd4"/>
    <w:rPr>
      <w:rFonts w:ascii="Ebrima" w:hAnsi="Ebrima"/>
    </w:rPr>
  </w:style>
  <w:style w:type="character" w:styleId="En-tteCar" w:customStyle="1">
    <w:name w:val="En-tête Car"/>
    <w:basedOn w:val="DefaultParagraphFont"/>
    <w:uiPriority w:val="99"/>
    <w:qFormat/>
    <w:rsid w:val="00535a95"/>
    <w:rPr/>
  </w:style>
  <w:style w:type="character" w:styleId="PieddepageCar" w:customStyle="1">
    <w:name w:val="Pied de page Car"/>
    <w:basedOn w:val="DefaultParagraphFont"/>
    <w:uiPriority w:val="99"/>
    <w:qFormat/>
    <w:rsid w:val="00535a95"/>
    <w:rPr/>
  </w:style>
  <w:style w:type="character" w:styleId="Titre1Car" w:customStyle="1">
    <w:name w:val="Titre 1 Car"/>
    <w:basedOn w:val="DefaultParagraphFont"/>
    <w:uiPriority w:val="9"/>
    <w:qFormat/>
    <w:rsid w:val="00d56c21"/>
    <w:rPr>
      <w:rFonts w:ascii="Calibri Light" w:hAnsi="Calibri Light" w:eastAsia="" w:cs="" w:asciiTheme="majorHAnsi" w:cstheme="majorBidi" w:eastAsiaTheme="majorEastAsia" w:hAnsiTheme="majorHAnsi"/>
      <w:color w:themeColor="accent1" w:themeShade="bf" w:val="2E74B5"/>
      <w:sz w:val="32"/>
      <w:szCs w:val="32"/>
    </w:rPr>
  </w:style>
  <w:style w:type="character" w:styleId="Hyperlink">
    <w:name w:val="Hyperlink"/>
    <w:basedOn w:val="DefaultParagraphFont"/>
    <w:uiPriority w:val="99"/>
    <w:unhideWhenUsed/>
    <w:rsid w:val="00df7d3e"/>
    <w:rPr>
      <w:color w:themeColor="hyperlink" w:val="0563C1"/>
      <w:u w:val="single"/>
    </w:rPr>
  </w:style>
  <w:style w:type="character" w:styleId="TextedebullesCar" w:customStyle="1">
    <w:name w:val="Texte de bulles Car"/>
    <w:basedOn w:val="DefaultParagraphFont"/>
    <w:link w:val="BalloonText"/>
    <w:uiPriority w:val="99"/>
    <w:semiHidden/>
    <w:qFormat/>
    <w:rsid w:val="00a859c1"/>
    <w:rPr>
      <w:rFonts w:ascii="Segoe UI" w:hAnsi="Segoe UI" w:cs="Segoe UI"/>
      <w:sz w:val="18"/>
      <w:szCs w:val="18"/>
    </w:rPr>
  </w:style>
  <w:style w:type="character" w:styleId="Titre2Car" w:customStyle="1">
    <w:name w:val="Titre 2 Car"/>
    <w:basedOn w:val="DefaultParagraphFont"/>
    <w:uiPriority w:val="9"/>
    <w:qFormat/>
    <w:rsid w:val="00a54053"/>
    <w:rPr>
      <w:rFonts w:ascii="Calibri Light" w:hAnsi="Calibri Light" w:eastAsia="" w:cs="" w:asciiTheme="majorHAnsi" w:cstheme="majorBidi" w:eastAsiaTheme="majorEastAsia" w:hAnsiTheme="majorHAnsi"/>
      <w:color w:themeColor="accent1" w:themeShade="bf" w:val="2E74B5"/>
      <w:sz w:val="26"/>
      <w:szCs w:val="26"/>
    </w:rPr>
  </w:style>
  <w:style w:type="character" w:styleId="Sautdindex">
    <w:name w:val="Saut d'index"/>
    <w:qFormat/>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Style12" w:customStyle="1">
    <w:name w:val="Style1"/>
    <w:basedOn w:val="Normal"/>
    <w:link w:val="Style1Car"/>
    <w:autoRedefine/>
    <w:qFormat/>
    <w:rsid w:val="00be4fd4"/>
    <w:pPr/>
    <w:rPr>
      <w:rFonts w:ascii="Ebrima" w:hAnsi="Ebrima"/>
    </w:rPr>
  </w:style>
  <w:style w:type="paragraph" w:styleId="ListParagraph">
    <w:name w:val="List Paragraph"/>
    <w:basedOn w:val="Normal"/>
    <w:uiPriority w:val="34"/>
    <w:qFormat/>
    <w:rsid w:val="00312c75"/>
    <w:pPr>
      <w:spacing w:lineRule="auto" w:line="276" w:before="0" w:after="200"/>
      <w:ind w:start="720"/>
      <w:contextualSpacing/>
      <w:jc w:val="start"/>
    </w:pPr>
    <w:rPr/>
  </w:style>
  <w:style w:type="paragraph" w:styleId="NoSpacing">
    <w:name w:val="No Spacing"/>
    <w:uiPriority w:val="1"/>
    <w:qFormat/>
    <w:rsid w:val="00752653"/>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535a95"/>
    <w:pPr>
      <w:tabs>
        <w:tab w:val="clear" w:pos="708"/>
        <w:tab w:val="center" w:pos="4536" w:leader="none"/>
        <w:tab w:val="right" w:pos="9072" w:leader="none"/>
      </w:tabs>
      <w:spacing w:lineRule="auto" w:line="240"/>
    </w:pPr>
    <w:rPr/>
  </w:style>
  <w:style w:type="paragraph" w:styleId="Footer">
    <w:name w:val="footer"/>
    <w:basedOn w:val="Normal"/>
    <w:link w:val="PieddepageCar"/>
    <w:uiPriority w:val="99"/>
    <w:unhideWhenUsed/>
    <w:rsid w:val="00535a95"/>
    <w:pPr>
      <w:tabs>
        <w:tab w:val="clear" w:pos="708"/>
        <w:tab w:val="center" w:pos="4536" w:leader="none"/>
        <w:tab w:val="right" w:pos="9072" w:leader="none"/>
      </w:tabs>
      <w:spacing w:lineRule="auto" w:line="240"/>
    </w:pPr>
    <w:rPr/>
  </w:style>
  <w:style w:type="paragraph" w:styleId="IndexHeading">
    <w:name w:val="index heading"/>
    <w:basedOn w:val="Titre"/>
    <w:pPr/>
    <w:rPr/>
  </w:style>
  <w:style w:type="paragraph" w:styleId="TOCHeading">
    <w:name w:val="TOC Heading"/>
    <w:basedOn w:val="Heading1"/>
    <w:next w:val="Normal"/>
    <w:uiPriority w:val="39"/>
    <w:unhideWhenUsed/>
    <w:qFormat/>
    <w:rsid w:val="00df7d3e"/>
    <w:pPr>
      <w:jc w:val="start"/>
      <w:outlineLvl w:val="9"/>
    </w:pPr>
    <w:rPr>
      <w:lang w:eastAsia="fr-FR"/>
    </w:rPr>
  </w:style>
  <w:style w:type="paragraph" w:styleId="TOC1">
    <w:name w:val="toc 1"/>
    <w:basedOn w:val="Normal"/>
    <w:next w:val="Normal"/>
    <w:autoRedefine/>
    <w:uiPriority w:val="39"/>
    <w:unhideWhenUsed/>
    <w:rsid w:val="00df7d3e"/>
    <w:pPr>
      <w:tabs>
        <w:tab w:val="clear" w:pos="708"/>
        <w:tab w:val="right" w:pos="9060" w:leader="dot"/>
      </w:tabs>
      <w:spacing w:before="0" w:after="100"/>
    </w:pPr>
    <w:rPr>
      <w:rFonts w:cs="Calibri" w:cstheme="minorHAnsi"/>
    </w:rPr>
  </w:style>
  <w:style w:type="paragraph" w:styleId="BalloonText">
    <w:name w:val="Balloon Text"/>
    <w:basedOn w:val="Normal"/>
    <w:link w:val="TextedebullesCar"/>
    <w:uiPriority w:val="99"/>
    <w:semiHidden/>
    <w:unhideWhenUsed/>
    <w:qFormat/>
    <w:rsid w:val="00a859c1"/>
    <w:pPr>
      <w:spacing w:lineRule="auto" w:line="240"/>
    </w:pPr>
    <w:rPr>
      <w:rFonts w:ascii="Segoe UI" w:hAnsi="Segoe UI" w:cs="Segoe UI"/>
      <w:sz w:val="18"/>
      <w:szCs w:val="18"/>
    </w:rPr>
  </w:style>
  <w:style w:type="paragraph" w:styleId="TOC2">
    <w:name w:val="toc 2"/>
    <w:basedOn w:val="Normal"/>
    <w:next w:val="Normal"/>
    <w:autoRedefine/>
    <w:uiPriority w:val="39"/>
    <w:unhideWhenUsed/>
    <w:rsid w:val="009b1ac5"/>
    <w:pPr>
      <w:spacing w:before="0" w:after="100"/>
      <w:ind w:start="220"/>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4c39f1"/>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F214D-D52C-4DF6-88F6-26D8843B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Pages>
  <Words>1749</Words>
  <Characters>9645</Characters>
  <CharactersWithSpaces>11297</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