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shd w:val="pct20" w:color="auto" w:fill="auto"/>
        <w:tabs>
          <w:tab w:val="clear" w:pos="708"/>
          <w:tab w:val="left" w:pos="1134" w:leader="none"/>
          <w:tab w:val="left" w:pos="2268" w:leader="none"/>
          <w:tab w:val="left" w:pos="5670" w:leader="none"/>
        </w:tabs>
        <w:jc w:val="center"/>
        <w:rPr>
          <w:rFonts w:ascii="Arial" w:hAnsi="Arial"/>
          <w:b/>
          <w:sz w:val="28"/>
          <w:szCs w:val="28"/>
        </w:rPr>
        <w:framePr w:w="3833" w:h="561" w:x="7168" w:y="24" w:hSpace="142" w:vSpace="0" w:wrap="around" w:vAnchor="text" w:hAnchor="page" w:hRule="exact"/>
      </w:pPr>
      <w:r>
        <w:rPr>
          <w:rFonts w:ascii="Arial" w:hAnsi="Arial"/>
          <w:b/>
          <w:sz w:val="18"/>
          <w:szCs w:val="18"/>
        </w:rPr>
        <w:t xml:space="preserve">Accord NAO 2026- FEV 26- </w:t>
      </w:r>
    </w:p>
    <w:p>
      <w:pPr>
        <w:pStyle w:val="Normal"/>
        <w:pBdr/>
        <w:shd w:val="pct20" w:color="auto" w:fill="auto"/>
        <w:tabs>
          <w:tab w:val="clear" w:pos="708"/>
          <w:tab w:val="left" w:pos="1134" w:leader="none"/>
          <w:tab w:val="left" w:pos="2268" w:leader="none"/>
          <w:tab w:val="left" w:pos="5670" w:leader="none"/>
        </w:tabs>
        <w:jc w:val="center"/>
        <w:rPr>
          <w:rFonts w:ascii="Arial" w:hAnsi="Arial"/>
          <w:b/>
          <w:sz w:val="28"/>
          <w:szCs w:val="28"/>
        </w:rPr>
        <w:framePr w:w="3833" w:h="561" w:x="7168" w:y="24" w:hSpace="142" w:vSpace="0" w:wrap="around" w:vAnchor="text" w:hAnchor="page" w:hRule="exact"/>
      </w:pPr>
      <w:r>
        <w:rPr>
          <w:rFonts w:ascii="Arial" w:hAnsi="Arial"/>
          <w:b/>
          <w:sz w:val="28"/>
          <w:szCs w:val="28"/>
        </w:rPr>
      </w:r>
    </w:p>
    <w:p>
      <w:pPr>
        <w:pStyle w:val="Normal"/>
        <w:rPr>
          <w:rFonts w:ascii="Comic Sans MS" w:hAnsi="Comic Sans MS"/>
          <w:sz w:val="24"/>
        </w:rPr>
      </w:pPr>
      <w:r>
        <w:rPr>
          <w:rFonts w:ascii="Comic Sans MS" w:hAnsi="Comic Sans MS"/>
          <w:sz w:val="24"/>
        </w:rPr>
      </w:r>
    </w:p>
    <w:p>
      <w:pPr>
        <w:pStyle w:val="Normal"/>
        <w:rPr>
          <w:rFonts w:ascii="Comic Sans MS" w:hAnsi="Comic Sans MS"/>
          <w:sz w:val="24"/>
        </w:rPr>
      </w:pPr>
      <w:r>
        <w:rPr/>
        <mc:AlternateContent>
          <mc:Choice Requires="wps">
            <w:drawing>
              <wp:inline distT="0" distB="0" distL="0" distR="0">
                <wp:extent cx="2435860" cy="1078230"/>
                <wp:effectExtent l="0" t="0" r="0" b="0"/>
                <wp:docPr id="1" name=""/>
                <a:graphic xmlns:a="http://schemas.openxmlformats.org/drawingml/2006/main">
                  <a:graphicData uri="http://schemas.openxmlformats.org/drawingml/2006/picture">
                    <pic:pic xmlns:pic="http://schemas.openxmlformats.org/drawingml/2006/picture">
                      <pic:nvPicPr>
                        <pic:cNvPr id="2" name="" descr=""/>
                        <pic:cNvPicPr/>
                      </pic:nvPicPr>
                      <pic:blipFill>
                        <a:blip r:embed="rId2"/>
                        <a:stretch/>
                      </pic:blipFill>
                      <pic:spPr>
                        <a:xfrm>
                          <a:off x="0" y="0"/>
                          <a:ext cx="2435760" cy="107820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pt;margin-top:-84.95pt;width:191.75pt;height:84.85pt;mso-wrap-style:none;v-text-anchor:middle;mso-position-vertical:top" type="_x0000_t75">
                <v:imagedata r:id="rId3" o:detectmouseclick="t"/>
                <v:stroke color="#3465a4" joinstyle="round" endcap="flat"/>
                <w10:wrap type="none"/>
              </v:shape>
            </w:pict>
          </mc:Fallback>
        </mc:AlternateContent>
      </w:r>
    </w:p>
    <w:p>
      <w:pPr>
        <w:pStyle w:val="BodyTextIndented"/>
        <w:tabs>
          <w:tab w:val="left" w:pos="1134" w:leader="none"/>
          <w:tab w:val="left" w:pos="2268" w:leader="none"/>
          <w:tab w:val="left" w:pos="5670" w:leader="none"/>
        </w:tabs>
        <w:rPr>
          <w:rFonts w:ascii="Arial" w:hAnsi="Arial"/>
          <w:sz w:val="22"/>
        </w:rPr>
      </w:pPr>
      <w:r>
        <w:rPr>
          <w:rFonts w:ascii="Arial" w:hAnsi="Arial"/>
          <w:sz w:val="22"/>
        </w:rPr>
      </w:r>
    </w:p>
    <w:p>
      <w:pPr>
        <w:pStyle w:val="BodyTextIndented"/>
        <w:tabs>
          <w:tab w:val="left" w:pos="1134" w:leader="none"/>
          <w:tab w:val="left" w:pos="2268" w:leader="none"/>
          <w:tab w:val="left" w:pos="5670" w:leader="none"/>
        </w:tabs>
        <w:rPr>
          <w:rFonts w:ascii="Arial" w:hAnsi="Arial"/>
          <w:sz w:val="22"/>
        </w:rPr>
      </w:pPr>
      <w:r>
        <w:rPr>
          <w:rFonts w:ascii="Arial" w:hAnsi="Arial"/>
          <w:sz w:val="22"/>
        </w:rPr>
      </w:r>
    </w:p>
    <w:p>
      <w:pPr>
        <w:pStyle w:val="Normal"/>
        <w:pBdr>
          <w:top w:val="single" w:sz="6" w:space="1" w:color="000000"/>
          <w:left w:val="single" w:sz="6" w:space="1" w:color="000000"/>
          <w:bottom w:val="single" w:sz="6" w:space="1" w:color="000000"/>
          <w:right w:val="single" w:sz="6" w:space="1" w:color="000000"/>
        </w:pBdr>
        <w:shd w:val="pct20" w:color="auto" w:fill="auto"/>
        <w:tabs>
          <w:tab w:val="clear" w:pos="708"/>
          <w:tab w:val="left" w:pos="1134" w:leader="none"/>
          <w:tab w:val="left" w:pos="2268" w:leader="none"/>
          <w:tab w:val="left" w:pos="5670" w:leader="none"/>
        </w:tabs>
        <w:jc w:val="center"/>
        <w:rPr>
          <w:rFonts w:ascii="Arial" w:hAnsi="Arial"/>
          <w:b/>
          <w:sz w:val="32"/>
        </w:rPr>
        <w:framePr w:w="9225" w:h="1546" w:x="1230" w:y="26" w:hSpace="142" w:vSpace="0" w:wrap="notBeside" w:vAnchor="text" w:hAnchor="page" w:hRule="exact"/>
      </w:pPr>
      <w:r>
        <w:rPr>
          <w:rFonts w:ascii="Arial" w:hAnsi="Arial"/>
          <w:b/>
          <w:sz w:val="32"/>
        </w:rPr>
      </w:r>
    </w:p>
    <w:p>
      <w:pPr>
        <w:pStyle w:val="Normal"/>
        <w:pBdr>
          <w:top w:val="single" w:sz="6" w:space="1" w:color="000000"/>
          <w:left w:val="single" w:sz="6" w:space="1" w:color="000000"/>
          <w:bottom w:val="single" w:sz="6" w:space="1" w:color="000000"/>
          <w:right w:val="single" w:sz="6" w:space="1" w:color="000000"/>
        </w:pBdr>
        <w:shd w:val="pct20" w:color="auto" w:fill="auto"/>
        <w:tabs>
          <w:tab w:val="clear" w:pos="708"/>
          <w:tab w:val="left" w:pos="1134" w:leader="none"/>
          <w:tab w:val="left" w:pos="2268" w:leader="none"/>
          <w:tab w:val="left" w:pos="5670" w:leader="none"/>
        </w:tabs>
        <w:jc w:val="center"/>
        <w:rPr>
          <w:rFonts w:ascii="Arial" w:hAnsi="Arial"/>
          <w:b/>
          <w:sz w:val="32"/>
        </w:rPr>
        <w:framePr w:w="9225" w:h="1546" w:x="1230" w:y="26" w:hSpace="142" w:vSpace="0" w:wrap="notBeside" w:vAnchor="text" w:hAnchor="page" w:hRule="exact"/>
      </w:pPr>
      <w:r>
        <w:rPr>
          <w:rFonts w:ascii="Arial" w:hAnsi="Arial"/>
          <w:b/>
          <w:sz w:val="32"/>
        </w:rPr>
        <w:t xml:space="preserve">ACCORD D’ENTREPRISE </w:t>
      </w:r>
    </w:p>
    <w:p>
      <w:pPr>
        <w:pStyle w:val="Normal"/>
        <w:pBdr>
          <w:top w:val="single" w:sz="6" w:space="1" w:color="000000"/>
          <w:left w:val="single" w:sz="6" w:space="1" w:color="000000"/>
          <w:bottom w:val="single" w:sz="6" w:space="1" w:color="000000"/>
          <w:right w:val="single" w:sz="6" w:space="1" w:color="000000"/>
        </w:pBdr>
        <w:shd w:val="pct20" w:color="auto" w:fill="auto"/>
        <w:tabs>
          <w:tab w:val="clear" w:pos="708"/>
          <w:tab w:val="left" w:pos="1134" w:leader="none"/>
          <w:tab w:val="left" w:pos="2268" w:leader="none"/>
          <w:tab w:val="left" w:pos="5670" w:leader="none"/>
        </w:tabs>
        <w:jc w:val="center"/>
        <w:rPr>
          <w:rFonts w:ascii="Arial" w:hAnsi="Arial"/>
          <w:b/>
          <w:sz w:val="32"/>
        </w:rPr>
        <w:framePr w:w="9225" w:h="1546" w:x="1230" w:y="26" w:hSpace="142" w:vSpace="0" w:wrap="notBeside" w:vAnchor="text" w:hAnchor="page" w:hRule="exact"/>
      </w:pPr>
      <w:r>
        <w:rPr>
          <w:rFonts w:ascii="Arial" w:hAnsi="Arial"/>
          <w:b/>
          <w:sz w:val="32"/>
        </w:rPr>
        <w:t>NEGOCIATION ANNUELLE OBLIGATOIRE 2026</w:t>
      </w:r>
    </w:p>
    <w:p>
      <w:pPr>
        <w:pStyle w:val="Normal"/>
        <w:pBdr>
          <w:top w:val="single" w:sz="6" w:space="1" w:color="000000"/>
          <w:left w:val="single" w:sz="6" w:space="1" w:color="000000"/>
          <w:bottom w:val="single" w:sz="6" w:space="1" w:color="000000"/>
          <w:right w:val="single" w:sz="6" w:space="1" w:color="000000"/>
        </w:pBdr>
        <w:shd w:val="pct20" w:color="auto" w:fill="auto"/>
        <w:tabs>
          <w:tab w:val="clear" w:pos="708"/>
          <w:tab w:val="left" w:pos="1134" w:leader="none"/>
          <w:tab w:val="left" w:pos="2268" w:leader="none"/>
          <w:tab w:val="left" w:pos="5670" w:leader="none"/>
        </w:tabs>
        <w:jc w:val="center"/>
        <w:rPr>
          <w:rFonts w:ascii="Arial" w:hAnsi="Arial"/>
          <w:b/>
          <w:sz w:val="32"/>
        </w:rPr>
        <w:framePr w:w="9225" w:h="1546" w:x="1230" w:y="26" w:hSpace="142" w:vSpace="0" w:wrap="notBeside" w:vAnchor="text" w:hAnchor="page" w:hRule="exact"/>
      </w:pPr>
      <w:r>
        <w:rPr>
          <w:rFonts w:ascii="Arial" w:hAnsi="Arial"/>
          <w:b/>
          <w:sz w:val="32"/>
        </w:rPr>
      </w:r>
    </w:p>
    <w:p>
      <w:pPr>
        <w:pStyle w:val="BodyTextIndented"/>
        <w:tabs>
          <w:tab w:val="left" w:pos="1134" w:leader="none"/>
          <w:tab w:val="left" w:pos="2268" w:leader="none"/>
          <w:tab w:val="left" w:pos="5670" w:leader="none"/>
        </w:tabs>
        <w:rPr>
          <w:rFonts w:ascii="Arial" w:hAnsi="Arial"/>
          <w:sz w:val="22"/>
        </w:rPr>
      </w:pPr>
      <w:r>
        <w:rPr>
          <w:rFonts w:ascii="Arial" w:hAnsi="Arial"/>
          <w:sz w:val="22"/>
        </w:rPr>
      </w:r>
    </w:p>
    <w:p>
      <w:pPr>
        <w:pStyle w:val="BodyTextIndented"/>
        <w:tabs>
          <w:tab w:val="left" w:pos="1134" w:leader="none"/>
          <w:tab w:val="left" w:pos="2268" w:leader="none"/>
          <w:tab w:val="left" w:pos="5670" w:leader="none"/>
        </w:tabs>
        <w:rPr>
          <w:rFonts w:ascii="Arial" w:hAnsi="Arial"/>
          <w:sz w:val="22"/>
        </w:rPr>
      </w:pPr>
      <w:r>
        <w:rPr>
          <w:rFonts w:ascii="Arial" w:hAnsi="Arial"/>
          <w:sz w:val="22"/>
        </w:rPr>
      </w:r>
    </w:p>
    <w:p>
      <w:pPr>
        <w:pStyle w:val="BodyTextIndented"/>
        <w:tabs>
          <w:tab w:val="left" w:pos="1134" w:leader="none"/>
          <w:tab w:val="left" w:pos="2268" w:leader="none"/>
          <w:tab w:val="left" w:pos="5670" w:leader="none"/>
        </w:tabs>
        <w:rPr>
          <w:rFonts w:ascii="Arial" w:hAnsi="Arial"/>
          <w:sz w:val="22"/>
        </w:rPr>
      </w:pPr>
      <w:r>
        <w:rPr>
          <w:rFonts w:ascii="Arial" w:hAnsi="Arial"/>
          <w:sz w:val="22"/>
        </w:rPr>
      </w:r>
    </w:p>
    <w:p>
      <w:pPr>
        <w:pStyle w:val="BodyTextIndented"/>
        <w:tabs>
          <w:tab w:val="left" w:pos="1134" w:leader="none"/>
          <w:tab w:val="left" w:pos="2268" w:leader="none"/>
          <w:tab w:val="left" w:pos="5670" w:leader="none"/>
        </w:tabs>
        <w:rPr>
          <w:rFonts w:ascii="Arial" w:hAnsi="Arial" w:cs="Arial"/>
          <w:sz w:val="20"/>
          <w:szCs w:val="20"/>
        </w:rPr>
      </w:pPr>
      <w:r>
        <w:rPr>
          <w:rFonts w:cs="Arial" w:ascii="Arial" w:hAnsi="Arial"/>
          <w:sz w:val="20"/>
          <w:szCs w:val="20"/>
        </w:rPr>
        <w:t>ENTRE, D'UNE PART :</w:t>
      </w:r>
    </w:p>
    <w:p>
      <w:pPr>
        <w:pStyle w:val="BodyTextIndented"/>
        <w:tabs>
          <w:tab w:val="left" w:pos="1134" w:leader="none"/>
          <w:tab w:val="left" w:pos="2268" w:leader="none"/>
          <w:tab w:val="left" w:pos="5670" w:leader="none"/>
        </w:tabs>
        <w:rPr>
          <w:rFonts w:ascii="Arial" w:hAnsi="Arial" w:cs="Arial"/>
          <w:sz w:val="20"/>
          <w:szCs w:val="20"/>
        </w:rPr>
      </w:pPr>
      <w:r>
        <w:rPr>
          <w:rFonts w:cs="Arial" w:ascii="Arial" w:hAnsi="Arial"/>
          <w:sz w:val="20"/>
          <w:szCs w:val="20"/>
        </w:rPr>
      </w:r>
    </w:p>
    <w:p>
      <w:pPr>
        <w:pStyle w:val="BodyTextIndented"/>
        <w:tabs>
          <w:tab w:val="left" w:pos="567" w:leader="none"/>
          <w:tab w:val="left" w:pos="1134" w:leader="none"/>
          <w:tab w:val="left" w:pos="2268" w:leader="none"/>
          <w:tab w:val="left" w:pos="5670" w:leader="none"/>
        </w:tabs>
        <w:rPr>
          <w:rFonts w:ascii="Arial" w:hAnsi="Arial" w:cs="Arial"/>
          <w:sz w:val="20"/>
          <w:szCs w:val="20"/>
        </w:rPr>
      </w:pPr>
      <w:r>
        <w:rPr>
          <w:rFonts w:cs="Arial" w:ascii="Arial" w:hAnsi="Arial"/>
          <w:sz w:val="20"/>
          <w:szCs w:val="20"/>
        </w:rPr>
        <w:tab/>
        <w:t xml:space="preserve">L'entreprise Atlantique Alimentaire représentée par, en qualité de Directeur Général </w:t>
      </w:r>
    </w:p>
    <w:p>
      <w:pPr>
        <w:pStyle w:val="BodyTextIndented"/>
        <w:tabs>
          <w:tab w:val="left" w:pos="567" w:leader="none"/>
          <w:tab w:val="left" w:pos="1134" w:leader="none"/>
          <w:tab w:val="left" w:pos="2268" w:leader="none"/>
          <w:tab w:val="left" w:pos="5670" w:leader="none"/>
        </w:tabs>
        <w:ind w:firstLine="567" w:left="567"/>
        <w:rPr>
          <w:rFonts w:ascii="Arial" w:hAnsi="Arial" w:cs="Arial"/>
          <w:sz w:val="20"/>
          <w:szCs w:val="20"/>
        </w:rPr>
      </w:pPr>
      <w:r>
        <w:rPr>
          <w:rFonts w:cs="Arial" w:ascii="Arial" w:hAnsi="Arial"/>
          <w:sz w:val="20"/>
          <w:szCs w:val="20"/>
        </w:rPr>
      </w:r>
    </w:p>
    <w:p>
      <w:pPr>
        <w:pStyle w:val="BodyTextIndented"/>
        <w:tabs>
          <w:tab w:val="left" w:pos="567" w:leader="none"/>
          <w:tab w:val="left" w:pos="1134" w:leader="none"/>
          <w:tab w:val="left" w:pos="2268" w:leader="none"/>
          <w:tab w:val="left" w:pos="5670" w:leader="none"/>
        </w:tabs>
        <w:rPr>
          <w:rFonts w:ascii="Arial" w:hAnsi="Arial" w:cs="Arial"/>
          <w:sz w:val="20"/>
          <w:szCs w:val="20"/>
        </w:rPr>
      </w:pPr>
      <w:r>
        <w:rPr>
          <w:rFonts w:cs="Arial" w:ascii="Arial" w:hAnsi="Arial"/>
          <w:sz w:val="20"/>
          <w:szCs w:val="20"/>
        </w:rPr>
        <w:t>ET, D'AUTRE PART :</w:t>
      </w:r>
    </w:p>
    <w:p>
      <w:pPr>
        <w:pStyle w:val="BodyTextIndented"/>
        <w:tabs>
          <w:tab w:val="left" w:pos="567" w:leader="none"/>
          <w:tab w:val="left" w:pos="1134" w:leader="none"/>
          <w:tab w:val="left" w:pos="2268" w:leader="none"/>
          <w:tab w:val="left" w:pos="5670" w:leader="none"/>
        </w:tabs>
        <w:rPr>
          <w:rFonts w:ascii="Arial" w:hAnsi="Arial" w:cs="Arial"/>
          <w:sz w:val="20"/>
          <w:szCs w:val="20"/>
        </w:rPr>
      </w:pPr>
      <w:r>
        <w:rPr>
          <w:rFonts w:cs="Arial" w:ascii="Arial" w:hAnsi="Arial"/>
          <w:sz w:val="20"/>
          <w:szCs w:val="20"/>
        </w:rPr>
      </w:r>
    </w:p>
    <w:p>
      <w:pPr>
        <w:pStyle w:val="Normal"/>
        <w:numPr>
          <w:ilvl w:val="0"/>
          <w:numId w:val="0"/>
        </w:numPr>
        <w:ind w:firstLine="708"/>
        <w:jc w:val="both"/>
        <w:outlineLvl w:val="0"/>
        <w:rPr>
          <w:rFonts w:ascii="Arial" w:hAnsi="Arial" w:cs="Arial"/>
        </w:rPr>
      </w:pPr>
      <w:r>
        <w:rPr>
          <w:rFonts w:cs="Arial" w:ascii="Arial" w:hAnsi="Arial"/>
        </w:rPr>
        <w:t xml:space="preserve">     </w:t>
      </w:r>
      <w:r>
        <w:rPr>
          <w:rFonts w:cs="Arial" w:ascii="Arial" w:hAnsi="Arial"/>
        </w:rPr>
        <w:t xml:space="preserve">Et la Délégué Syndical, représentant de l’Organisation Syndicale CGT </w:t>
      </w:r>
    </w:p>
    <w:p>
      <w:pPr>
        <w:pStyle w:val="BodyTextIndented"/>
        <w:tabs>
          <w:tab w:val="left" w:pos="567" w:leader="none"/>
          <w:tab w:val="left" w:pos="1134" w:leader="none"/>
          <w:tab w:val="left" w:pos="2268" w:leader="none"/>
          <w:tab w:val="left" w:pos="5670" w:leader="none"/>
        </w:tabs>
        <w:rPr>
          <w:rFonts w:ascii="Arial" w:hAnsi="Arial" w:cs="Arial"/>
          <w:sz w:val="20"/>
          <w:szCs w:val="20"/>
        </w:rPr>
      </w:pPr>
      <w:r>
        <w:rPr>
          <w:rFonts w:cs="Arial" w:ascii="Arial" w:hAnsi="Arial"/>
          <w:sz w:val="20"/>
          <w:szCs w:val="20"/>
        </w:rPr>
        <w:t xml:space="preserve">       </w:t>
      </w:r>
    </w:p>
    <w:p>
      <w:pPr>
        <w:pStyle w:val="BodyTextIndented"/>
        <w:tabs>
          <w:tab w:val="left" w:pos="567" w:leader="none"/>
          <w:tab w:val="left" w:pos="1134" w:leader="none"/>
          <w:tab w:val="left" w:pos="2268" w:leader="none"/>
          <w:tab w:val="left" w:pos="5670" w:leader="none"/>
        </w:tabs>
        <w:rPr>
          <w:rFonts w:ascii="Arial" w:hAnsi="Arial" w:cs="Arial"/>
          <w:sz w:val="20"/>
          <w:szCs w:val="20"/>
        </w:rPr>
      </w:pPr>
      <w:r>
        <w:rPr>
          <w:rFonts w:cs="Arial" w:ascii="Arial" w:hAnsi="Arial"/>
          <w:sz w:val="20"/>
          <w:szCs w:val="20"/>
        </w:rPr>
      </w:r>
    </w:p>
    <w:p>
      <w:pPr>
        <w:pStyle w:val="BodyTextIndented"/>
        <w:tabs>
          <w:tab w:val="left" w:pos="567" w:leader="none"/>
          <w:tab w:val="left" w:pos="1134" w:leader="none"/>
          <w:tab w:val="left" w:pos="2268" w:leader="none"/>
          <w:tab w:val="left" w:pos="5670" w:leader="none"/>
        </w:tabs>
        <w:rPr>
          <w:rFonts w:ascii="Arial" w:hAnsi="Arial" w:cs="Arial"/>
          <w:sz w:val="20"/>
          <w:szCs w:val="20"/>
        </w:rPr>
      </w:pPr>
      <w:r>
        <w:rPr>
          <w:rFonts w:cs="Arial" w:ascii="Arial" w:hAnsi="Arial"/>
          <w:sz w:val="20"/>
          <w:szCs w:val="20"/>
        </w:rPr>
      </w:r>
    </w:p>
    <w:p>
      <w:pPr>
        <w:pStyle w:val="BodyTextIndented"/>
        <w:pBdr>
          <w:top w:val="single" w:sz="6" w:space="1" w:color="000000"/>
          <w:left w:val="single" w:sz="6" w:space="1" w:color="000000"/>
          <w:bottom w:val="single" w:sz="6" w:space="1" w:color="000000"/>
          <w:right w:val="single" w:sz="6" w:space="1" w:color="000000"/>
        </w:pBdr>
        <w:shd w:val="pct20" w:color="auto" w:fill="auto"/>
        <w:tabs>
          <w:tab w:val="left" w:pos="567" w:leader="none"/>
          <w:tab w:val="left" w:pos="1134" w:leader="none"/>
          <w:tab w:val="left" w:pos="2268" w:leader="none"/>
          <w:tab w:val="left" w:pos="5670" w:leader="none"/>
        </w:tabs>
        <w:rPr>
          <w:rFonts w:ascii="Arial" w:hAnsi="Arial" w:cs="Arial"/>
          <w:b/>
          <w:sz w:val="20"/>
          <w:szCs w:val="20"/>
        </w:rPr>
        <w:framePr w:w="1865" w:h="300" w:x="1077" w:y="41" w:hSpace="142" w:vSpace="0" w:wrap="notBeside" w:vAnchor="text" w:hAnchor="page" w:hRule="exact"/>
      </w:pPr>
      <w:r>
        <w:rPr>
          <w:rFonts w:cs="Arial" w:ascii="Arial" w:hAnsi="Arial"/>
          <w:b/>
          <w:sz w:val="20"/>
          <w:szCs w:val="20"/>
        </w:rPr>
        <w:t>PREAMBULE</w:t>
      </w:r>
    </w:p>
    <w:p>
      <w:pPr>
        <w:pStyle w:val="BodyTextIndented"/>
        <w:tabs>
          <w:tab w:val="left" w:pos="1134" w:leader="none"/>
          <w:tab w:val="left" w:pos="2268" w:leader="none"/>
          <w:tab w:val="left" w:pos="5670" w:leader="none"/>
        </w:tabs>
        <w:ind w:hanging="0" w:left="1140"/>
        <w:rPr>
          <w:rFonts w:ascii="Arial" w:hAnsi="Arial" w:cs="Arial"/>
          <w:sz w:val="20"/>
          <w:szCs w:val="20"/>
        </w:rPr>
      </w:pPr>
      <w:r>
        <w:rPr>
          <w:rFonts w:cs="Arial" w:ascii="Arial" w:hAnsi="Arial"/>
          <w:sz w:val="20"/>
          <w:szCs w:val="20"/>
        </w:rPr>
      </w:r>
    </w:p>
    <w:p>
      <w:pPr>
        <w:pStyle w:val="Normal"/>
        <w:jc w:val="both"/>
        <w:rPr>
          <w:rFonts w:ascii="Arial" w:hAnsi="Arial" w:cs="Arial"/>
        </w:rPr>
      </w:pPr>
      <w:r>
        <w:rPr>
          <w:rFonts w:cs="Arial" w:ascii="Arial" w:hAnsi="Arial"/>
        </w:rPr>
        <w:t>Au niveau national et européen, la conjoncture économique connaît un net apaisement de l’inflation. Selon les dernières estimations de l’INSEE, la hausse des prix à la consommation s’établirait à 0,3 % en janvier 2026, traduisant un ralentissement notable.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Malgré ce contexte tendu, les parties prenantes sont convenues de poursuivre la dynamique de revalorisation salariale, tout en tenant compte des équilibres économiques nécessaires. La période actuelle doit également être mise à profit pour sécuriser nos organisations.</w:t>
      </w:r>
    </w:p>
    <w:p>
      <w:pPr>
        <w:pStyle w:val="Normal"/>
        <w:jc w:val="both"/>
        <w:rPr>
          <w:rFonts w:ascii="Arial" w:hAnsi="Arial" w:cs="Arial"/>
        </w:rPr>
      </w:pPr>
      <w:r>
        <w:rPr>
          <w:rFonts w:cs="Arial" w:ascii="Arial" w:hAnsi="Arial"/>
        </w:rPr>
      </w:r>
    </w:p>
    <w:p>
      <w:pPr>
        <w:pStyle w:val="BodyTextIndented"/>
        <w:pBdr>
          <w:top w:val="single" w:sz="6" w:space="1" w:color="000000"/>
          <w:left w:val="single" w:sz="6" w:space="1" w:color="000000"/>
          <w:bottom w:val="single" w:sz="6" w:space="1" w:color="000000"/>
          <w:right w:val="single" w:sz="6" w:space="1" w:color="000000"/>
        </w:pBdr>
        <w:shd w:val="pct20" w:color="auto" w:fill="auto"/>
        <w:tabs>
          <w:tab w:val="left" w:pos="1134" w:leader="none"/>
          <w:tab w:val="left" w:pos="2268" w:leader="none"/>
          <w:tab w:val="left" w:pos="5670" w:leader="none"/>
        </w:tabs>
        <w:ind w:hanging="0"/>
        <w:rPr>
          <w:rFonts w:ascii="Arial" w:hAnsi="Arial" w:cs="Arial"/>
          <w:sz w:val="20"/>
          <w:szCs w:val="20"/>
        </w:rPr>
        <w:framePr w:w="2431" w:h="300" w:x="870" w:y="205" w:hSpace="142" w:vSpace="0" w:wrap="notBeside" w:vAnchor="text" w:hAnchor="page" w:hRule="exact"/>
      </w:pPr>
      <w:r>
        <w:rPr>
          <w:rFonts w:cs="Arial" w:ascii="Arial" w:hAnsi="Arial"/>
          <w:b/>
          <w:sz w:val="20"/>
          <w:szCs w:val="20"/>
        </w:rPr>
        <w:t xml:space="preserve">ART 1 – BENEFICIAIRES </w:t>
      </w:r>
    </w:p>
    <w:p>
      <w:pPr>
        <w:pStyle w:val="BodyTextIndented"/>
        <w:tabs>
          <w:tab w:val="left" w:pos="284" w:leader="none"/>
          <w:tab w:val="left" w:pos="1134" w:leader="none"/>
          <w:tab w:val="left" w:pos="2268" w:leader="none"/>
          <w:tab w:val="left" w:pos="5670" w:leader="none"/>
        </w:tabs>
        <w:ind w:firstLine="567" w:left="10"/>
        <w:rPr>
          <w:rFonts w:ascii="Arial" w:hAnsi="Arial" w:cs="Arial"/>
          <w:sz w:val="20"/>
          <w:szCs w:val="20"/>
        </w:rPr>
      </w:pPr>
      <w:r>
        <w:rPr>
          <w:rFonts w:cs="Arial" w:ascii="Arial" w:hAnsi="Arial"/>
          <w:sz w:val="20"/>
          <w:szCs w:val="20"/>
        </w:rPr>
      </w:r>
    </w:p>
    <w:p>
      <w:pPr>
        <w:pStyle w:val="BodyTextIndented"/>
        <w:tabs>
          <w:tab w:val="left" w:pos="1134" w:leader="none"/>
          <w:tab w:val="left" w:pos="2268" w:leader="none"/>
          <w:tab w:val="left" w:pos="5670" w:leader="none"/>
        </w:tabs>
        <w:ind w:hanging="0"/>
        <w:rPr>
          <w:rFonts w:ascii="Arial" w:hAnsi="Arial" w:cs="Arial"/>
          <w:sz w:val="20"/>
          <w:szCs w:val="20"/>
        </w:rPr>
      </w:pPr>
      <w:r>
        <w:rPr>
          <w:rFonts w:cs="Arial" w:ascii="Arial" w:hAnsi="Arial"/>
          <w:sz w:val="20"/>
          <w:szCs w:val="20"/>
        </w:rPr>
        <w:t xml:space="preserve">Les bénéficiaires du présent accord sont tous les salariés de l’entreprise Atlantique Alimentaire quel que soit leur statut contractuel. </w:t>
      </w:r>
    </w:p>
    <w:p>
      <w:pPr>
        <w:pStyle w:val="BodyTextIndented"/>
        <w:tabs>
          <w:tab w:val="left" w:pos="284" w:leader="none"/>
          <w:tab w:val="left" w:pos="1134" w:leader="none"/>
          <w:tab w:val="left" w:pos="2268" w:leader="none"/>
          <w:tab w:val="left" w:pos="5670" w:leader="none"/>
        </w:tabs>
        <w:ind w:firstLine="567" w:left="10"/>
        <w:rPr>
          <w:rFonts w:ascii="Arial" w:hAnsi="Arial" w:cs="Arial"/>
          <w:sz w:val="20"/>
          <w:szCs w:val="20"/>
        </w:rPr>
      </w:pPr>
      <w:r>
        <w:rPr>
          <w:rFonts w:cs="Arial" w:ascii="Arial" w:hAnsi="Arial"/>
          <w:sz w:val="20"/>
          <w:szCs w:val="20"/>
        </w:rPr>
      </w:r>
    </w:p>
    <w:p>
      <w:pPr>
        <w:pStyle w:val="BodyTextIndented"/>
        <w:pBdr>
          <w:top w:val="single" w:sz="6" w:space="1" w:color="000000"/>
          <w:left w:val="single" w:sz="6" w:space="1" w:color="000000"/>
          <w:bottom w:val="single" w:sz="6" w:space="1" w:color="000000"/>
          <w:right w:val="single" w:sz="6" w:space="1" w:color="000000"/>
        </w:pBdr>
        <w:shd w:val="pct20" w:color="auto" w:fill="auto"/>
        <w:tabs>
          <w:tab w:val="left" w:pos="1134" w:leader="none"/>
          <w:tab w:val="left" w:pos="2268" w:leader="none"/>
          <w:tab w:val="left" w:pos="5670" w:leader="none"/>
        </w:tabs>
        <w:ind w:hanging="0"/>
        <w:rPr>
          <w:rFonts w:ascii="Arial" w:hAnsi="Arial" w:cs="Arial"/>
          <w:sz w:val="20"/>
          <w:szCs w:val="20"/>
        </w:rPr>
        <w:framePr w:w="8226" w:h="300" w:x="933" w:y="31" w:hSpace="142" w:vSpace="0" w:wrap="notBeside" w:vAnchor="text" w:hAnchor="page" w:hRule="exact"/>
      </w:pPr>
      <w:r>
        <w:rPr>
          <w:rFonts w:cs="Arial" w:ascii="Arial" w:hAnsi="Arial"/>
          <w:b/>
          <w:sz w:val="20"/>
          <w:szCs w:val="20"/>
        </w:rPr>
        <w:t>ART 2 – REVALORISATION DES SALAIRES</w:t>
      </w:r>
    </w:p>
    <w:p>
      <w:pPr>
        <w:pStyle w:val="BodyTextIndented"/>
        <w:tabs>
          <w:tab w:val="left" w:pos="284" w:leader="none"/>
          <w:tab w:val="left" w:pos="1134" w:leader="none"/>
          <w:tab w:val="left" w:pos="2268" w:leader="none"/>
          <w:tab w:val="left" w:pos="5670" w:leader="none"/>
        </w:tabs>
        <w:ind w:hanging="0" w:left="10"/>
        <w:rPr>
          <w:rFonts w:ascii="Arial" w:hAnsi="Arial" w:cs="Arial"/>
          <w:sz w:val="20"/>
          <w:szCs w:val="20"/>
        </w:rPr>
      </w:pPr>
      <w:r>
        <w:rPr>
          <w:rFonts w:cs="Arial" w:ascii="Arial" w:hAnsi="Arial"/>
          <w:sz w:val="20"/>
          <w:szCs w:val="20"/>
        </w:rPr>
      </w:r>
    </w:p>
    <w:p>
      <w:pPr>
        <w:pStyle w:val="BodyTextIndented"/>
        <w:tabs>
          <w:tab w:val="left" w:pos="1134" w:leader="none"/>
          <w:tab w:val="left" w:pos="2268" w:leader="none"/>
          <w:tab w:val="left" w:pos="5670" w:leader="none"/>
        </w:tabs>
        <w:ind w:hanging="0"/>
        <w:rPr>
          <w:rFonts w:ascii="Arial" w:hAnsi="Arial" w:cs="Arial"/>
          <w:bCs/>
          <w:sz w:val="20"/>
          <w:szCs w:val="20"/>
        </w:rPr>
      </w:pPr>
      <w:r>
        <w:rPr>
          <w:rFonts w:cs="Arial" w:ascii="Arial" w:hAnsi="Arial"/>
          <w:bCs/>
          <w:sz w:val="20"/>
          <w:szCs w:val="20"/>
        </w:rPr>
        <w:t xml:space="preserve"> </w:t>
      </w:r>
      <w:r>
        <w:rPr>
          <w:rFonts w:cs="Arial" w:ascii="Arial" w:hAnsi="Arial"/>
          <w:bCs/>
          <w:sz w:val="20"/>
          <w:szCs w:val="20"/>
        </w:rPr>
        <w:t xml:space="preserve">Les parties conviennent d’appliquer une </w:t>
      </w:r>
      <w:r>
        <w:rPr>
          <w:rFonts w:cs="Arial" w:ascii="Arial" w:hAnsi="Arial"/>
          <w:b/>
          <w:sz w:val="20"/>
          <w:szCs w:val="20"/>
        </w:rPr>
        <w:t>revalorisation de 1 %</w:t>
      </w:r>
      <w:r>
        <w:rPr>
          <w:rFonts w:cs="Arial" w:ascii="Arial" w:hAnsi="Arial"/>
          <w:bCs/>
          <w:sz w:val="20"/>
          <w:szCs w:val="20"/>
        </w:rPr>
        <w:t xml:space="preserve"> à l’ensemble des salaires de base bruts mensuels, avec effet au </w:t>
      </w:r>
      <w:r>
        <w:rPr>
          <w:rFonts w:cs="Arial" w:ascii="Arial" w:hAnsi="Arial"/>
          <w:b/>
          <w:sz w:val="20"/>
          <w:szCs w:val="20"/>
        </w:rPr>
        <w:t>1er février 2026.</w:t>
      </w:r>
    </w:p>
    <w:p>
      <w:pPr>
        <w:pStyle w:val="BodyTextIndented"/>
        <w:tabs>
          <w:tab w:val="left" w:pos="1134" w:leader="none"/>
          <w:tab w:val="left" w:pos="2268" w:leader="none"/>
          <w:tab w:val="left" w:pos="5670" w:leader="none"/>
        </w:tabs>
        <w:ind w:hanging="0"/>
        <w:rPr>
          <w:rFonts w:ascii="Arial" w:hAnsi="Arial" w:cs="Arial"/>
          <w:bCs/>
          <w:sz w:val="20"/>
          <w:szCs w:val="20"/>
        </w:rPr>
      </w:pPr>
      <w:r>
        <w:rPr>
          <w:rFonts w:cs="Arial" w:ascii="Arial" w:hAnsi="Arial"/>
          <w:bCs/>
          <w:sz w:val="20"/>
          <w:szCs w:val="20"/>
        </w:rPr>
      </w:r>
    </w:p>
    <w:p>
      <w:pPr>
        <w:pStyle w:val="BodyTextIndented"/>
        <w:tabs>
          <w:tab w:val="left" w:pos="1134" w:leader="none"/>
          <w:tab w:val="left" w:pos="2268" w:leader="none"/>
          <w:tab w:val="left" w:pos="5670" w:leader="none"/>
        </w:tabs>
        <w:ind w:hanging="0"/>
        <w:rPr>
          <w:rFonts w:ascii="Arial" w:hAnsi="Arial" w:cs="Arial"/>
          <w:bCs/>
          <w:sz w:val="20"/>
          <w:szCs w:val="20"/>
        </w:rPr>
      </w:pPr>
      <w:r>
        <w:rPr>
          <w:rFonts w:cs="Arial" w:ascii="Arial" w:hAnsi="Arial"/>
          <w:bCs/>
          <w:sz w:val="20"/>
          <w:szCs w:val="20"/>
        </w:rPr>
        <w:t>Cette revalorisation des salaires de base augmentera le taux horaire des salariés bénéficiaires et aura donc un impact sur l’ensemble des éléments de rémunération qui s’y rapporte  (13</w:t>
      </w:r>
      <w:r>
        <w:rPr>
          <w:rFonts w:cs="Arial" w:ascii="Arial" w:hAnsi="Arial"/>
          <w:bCs/>
          <w:sz w:val="20"/>
          <w:szCs w:val="20"/>
          <w:vertAlign w:val="superscript"/>
        </w:rPr>
        <w:t>ème</w:t>
      </w:r>
      <w:r>
        <w:rPr>
          <w:rFonts w:cs="Arial" w:ascii="Arial" w:hAnsi="Arial"/>
          <w:bCs/>
          <w:sz w:val="20"/>
          <w:szCs w:val="20"/>
        </w:rPr>
        <w:t xml:space="preserve"> mois, heures de nuit, heures supplémentaires).</w:t>
      </w:r>
    </w:p>
    <w:p>
      <w:pPr>
        <w:pStyle w:val="BodyTextIndented"/>
        <w:tabs>
          <w:tab w:val="left" w:pos="1134" w:leader="none"/>
          <w:tab w:val="left" w:pos="2268" w:leader="none"/>
          <w:tab w:val="left" w:pos="5670" w:leader="none"/>
        </w:tabs>
        <w:ind w:hanging="0"/>
        <w:rPr>
          <w:rFonts w:ascii="Arial" w:hAnsi="Arial" w:cs="Arial"/>
          <w:b/>
          <w:sz w:val="20"/>
          <w:szCs w:val="20"/>
        </w:rPr>
      </w:pPr>
      <w:r>
        <w:rPr>
          <w:rFonts w:cs="Arial" w:ascii="Arial" w:hAnsi="Arial"/>
          <w:b/>
          <w:sz w:val="20"/>
          <w:szCs w:val="20"/>
        </w:rPr>
      </w:r>
    </w:p>
    <w:p>
      <w:pPr>
        <w:pStyle w:val="BodyTextIndented"/>
        <w:tabs>
          <w:tab w:val="left" w:pos="1134" w:leader="none"/>
          <w:tab w:val="left" w:pos="2268" w:leader="none"/>
          <w:tab w:val="left" w:pos="5670" w:leader="none"/>
        </w:tabs>
        <w:ind w:hanging="0" w:left="1636"/>
        <w:rPr>
          <w:rFonts w:ascii="Arial" w:hAnsi="Arial" w:cs="Arial"/>
          <w:sz w:val="20"/>
          <w:szCs w:val="20"/>
        </w:rPr>
      </w:pPr>
      <w:r>
        <w:rPr>
          <w:rFonts w:cs="Arial" w:ascii="Arial" w:hAnsi="Arial"/>
          <w:sz w:val="20"/>
          <w:szCs w:val="20"/>
        </w:rPr>
      </w:r>
    </w:p>
    <w:p>
      <w:pPr>
        <w:pStyle w:val="BodyTextIndented"/>
        <w:pBdr>
          <w:top w:val="single" w:sz="6" w:space="1" w:color="000000"/>
          <w:left w:val="single" w:sz="6" w:space="1" w:color="000000"/>
          <w:bottom w:val="single" w:sz="6" w:space="1" w:color="000000"/>
          <w:right w:val="single" w:sz="6" w:space="1" w:color="000000"/>
        </w:pBdr>
        <w:shd w:val="pct20" w:color="auto" w:fill="auto"/>
        <w:tabs>
          <w:tab w:val="left" w:pos="1134" w:leader="none"/>
          <w:tab w:val="left" w:pos="2268" w:leader="none"/>
          <w:tab w:val="left" w:pos="5670" w:leader="none"/>
        </w:tabs>
        <w:ind w:hanging="0"/>
        <w:rPr>
          <w:rFonts w:ascii="Arial" w:hAnsi="Arial" w:cs="Arial"/>
          <w:sz w:val="20"/>
          <w:szCs w:val="20"/>
        </w:rPr>
        <w:framePr w:w="10246" w:h="530" w:x="933" w:y="1" w:hSpace="142" w:vSpace="0" w:wrap="notBeside" w:vAnchor="text" w:hAnchor="page" w:hRule="exact"/>
      </w:pPr>
      <w:r>
        <w:rPr>
          <w:rFonts w:cs="Arial" w:ascii="Arial" w:hAnsi="Arial"/>
          <w:b/>
          <w:sz w:val="20"/>
          <w:szCs w:val="20"/>
        </w:rPr>
        <w:t>ART 3 – PROLONGATION DE LA DUE « DISPOSITIF LIE A LA PERIODE DE TENSION DU MARCHE DE L’EMPLOI ROCHELAIS »</w:t>
      </w:r>
    </w:p>
    <w:p>
      <w:pPr>
        <w:pStyle w:val="Normal"/>
        <w:rPr>
          <w:rFonts w:ascii="Arial" w:hAnsi="Arial" w:cs="Arial"/>
          <w:bCs/>
        </w:rPr>
      </w:pPr>
      <w:r>
        <w:rPr>
          <w:rFonts w:cs="Arial" w:ascii="Arial" w:hAnsi="Arial"/>
          <w:bCs/>
        </w:rPr>
      </w:r>
    </w:p>
    <w:p>
      <w:pPr>
        <w:pStyle w:val="BodyTextIndented"/>
        <w:tabs>
          <w:tab w:val="left" w:pos="1134" w:leader="none"/>
          <w:tab w:val="left" w:pos="2268" w:leader="none"/>
          <w:tab w:val="left" w:pos="5670" w:leader="none"/>
        </w:tabs>
        <w:ind w:hanging="0"/>
        <w:rPr>
          <w:rFonts w:ascii="Arial" w:hAnsi="Arial" w:cs="Arial"/>
          <w:bCs/>
          <w:sz w:val="20"/>
          <w:szCs w:val="20"/>
        </w:rPr>
      </w:pPr>
      <w:r>
        <w:rPr>
          <w:rFonts w:cs="Arial" w:ascii="Arial" w:hAnsi="Arial"/>
          <w:bCs/>
          <w:sz w:val="20"/>
          <w:szCs w:val="20"/>
        </w:rPr>
        <w:t>À la demande de l’organisation syndicale représentative, les parties conviennent de reporter le terme de la décision unilatérale en date du 21 décembre 2023, relative à l’instauration de primes destinées à compenser les contraintes du marché de l’emploi rochelais.</w:t>
      </w:r>
    </w:p>
    <w:p>
      <w:pPr>
        <w:pStyle w:val="BodyTextIndented"/>
        <w:tabs>
          <w:tab w:val="left" w:pos="1134" w:leader="none"/>
          <w:tab w:val="left" w:pos="2268" w:leader="none"/>
          <w:tab w:val="left" w:pos="5670" w:leader="none"/>
        </w:tabs>
        <w:ind w:hanging="0"/>
        <w:rPr>
          <w:rFonts w:ascii="Arial" w:hAnsi="Arial" w:cs="Arial"/>
          <w:bCs/>
          <w:sz w:val="20"/>
          <w:szCs w:val="20"/>
        </w:rPr>
      </w:pPr>
      <w:r>
        <w:rPr>
          <w:rFonts w:cs="Arial" w:ascii="Arial" w:hAnsi="Arial"/>
          <w:bCs/>
          <w:sz w:val="20"/>
          <w:szCs w:val="20"/>
        </w:rPr>
        <w:t>Cette DUE, qui devait expirer le 1er février 2026, est ainsi reconduite jusqu’au 1er février 2027. À cette date, les parties conviennent d’en revoir les modalités dans le cadre des prochaines négociations annuelles obligatoires salariales de 2027.</w:t>
      </w:r>
    </w:p>
    <w:p>
      <w:pPr>
        <w:pStyle w:val="BodyTextIndented"/>
        <w:tabs>
          <w:tab w:val="left" w:pos="1134" w:leader="none"/>
          <w:tab w:val="left" w:pos="2268" w:leader="none"/>
          <w:tab w:val="left" w:pos="5670" w:leader="none"/>
        </w:tabs>
        <w:ind w:hanging="0"/>
        <w:rPr>
          <w:rFonts w:ascii="Arial" w:hAnsi="Arial" w:cs="Arial"/>
          <w:bCs/>
          <w:sz w:val="20"/>
          <w:szCs w:val="20"/>
        </w:rPr>
      </w:pPr>
      <w:r>
        <w:rPr>
          <w:rFonts w:cs="Arial" w:ascii="Arial" w:hAnsi="Arial"/>
          <w:bCs/>
          <w:sz w:val="20"/>
          <w:szCs w:val="20"/>
        </w:rPr>
        <w:t>Une information relative au report du terme de la DUE susvisée sera communiquée au CSE de l’entreprise, ainsi qu’aux salariés par voie d’information individuelle.</w:t>
      </w:r>
    </w:p>
    <w:p>
      <w:pPr>
        <w:pStyle w:val="Normal"/>
        <w:shd w:val="clear" w:color="auto" w:fill="FFFFFF"/>
        <w:ind w:hanging="360" w:left="720"/>
        <w:jc w:val="both"/>
        <w:rPr>
          <w:rFonts w:ascii="Arial" w:hAnsi="Arial" w:cs="Arial"/>
        </w:rPr>
      </w:pPr>
      <w:r>
        <w:rPr>
          <w:rFonts w:cs="Arial" w:ascii="Arial" w:hAnsi="Arial"/>
        </w:rPr>
      </w:r>
    </w:p>
    <w:p>
      <w:pPr>
        <w:pStyle w:val="BodyTextIndented"/>
        <w:pBdr>
          <w:top w:val="single" w:sz="6" w:space="1" w:color="000000"/>
          <w:left w:val="single" w:sz="6" w:space="1" w:color="000000"/>
          <w:bottom w:val="single" w:sz="6" w:space="1" w:color="000000"/>
          <w:right w:val="single" w:sz="6" w:space="1" w:color="000000"/>
        </w:pBdr>
        <w:shd w:val="pct20" w:color="auto" w:fill="auto"/>
        <w:tabs>
          <w:tab w:val="left" w:pos="1134" w:leader="none"/>
          <w:tab w:val="left" w:pos="2268" w:leader="none"/>
          <w:tab w:val="left" w:pos="5670" w:leader="none"/>
        </w:tabs>
        <w:ind w:hanging="0"/>
        <w:rPr>
          <w:rFonts w:ascii="Arial" w:hAnsi="Arial" w:cs="Arial"/>
          <w:sz w:val="20"/>
          <w:szCs w:val="20"/>
        </w:rPr>
        <w:framePr w:w="9891" w:h="425" w:x="933" w:y="1" w:hSpace="142" w:vSpace="0" w:wrap="notBeside" w:vAnchor="text" w:hAnchor="page" w:hRule="exact"/>
      </w:pPr>
      <w:r>
        <w:rPr>
          <w:rFonts w:cs="Arial" w:ascii="Arial" w:hAnsi="Arial"/>
          <w:b/>
          <w:sz w:val="20"/>
          <w:szCs w:val="20"/>
        </w:rPr>
        <w:t>ART 4 – DEPOT DE L’ACCORD</w:t>
      </w:r>
    </w:p>
    <w:p>
      <w:pPr>
        <w:pStyle w:val="Normal"/>
        <w:shd w:val="clear" w:color="auto" w:fill="FFFFFF"/>
        <w:ind w:hanging="360" w:left="720"/>
        <w:jc w:val="both"/>
        <w:rPr>
          <w:rFonts w:ascii="Arial" w:hAnsi="Arial" w:cs="Arial"/>
        </w:rPr>
      </w:pPr>
      <w:r>
        <w:rPr>
          <w:rFonts w:cs="Arial" w:ascii="Arial" w:hAnsi="Arial"/>
        </w:rPr>
      </w:r>
    </w:p>
    <w:p>
      <w:pPr>
        <w:pStyle w:val="Normal"/>
        <w:rPr>
          <w:rFonts w:ascii="Arial" w:hAnsi="Arial" w:cs="Arial"/>
        </w:rPr>
      </w:pPr>
      <w:r>
        <w:rPr>
          <w:rFonts w:cs="Arial" w:ascii="Arial" w:hAnsi="Arial"/>
        </w:rPr>
        <w:t xml:space="preserve">Le Présent accord fera l’objet des formalités de publication et de dépôt telles que prévues légalement. Une copie du présent accord sera remise à chaque partie signataire. Conformément à l’article L2231-5-1 du Code du travail, le présent accord sera rendu public et versé anonymement dans une base de données nationales. </w:t>
      </w:r>
    </w:p>
    <w:p>
      <w:pPr>
        <w:pStyle w:val="BodyText"/>
        <w:rPr>
          <w:sz w:val="20"/>
          <w:szCs w:val="20"/>
        </w:rPr>
      </w:pPr>
      <w:r>
        <w:rPr>
          <w:sz w:val="20"/>
          <w:szCs w:val="20"/>
        </w:rPr>
      </w:r>
    </w:p>
    <w:p>
      <w:pPr>
        <w:pStyle w:val="BodyText"/>
        <w:tabs>
          <w:tab w:val="clear" w:pos="6521"/>
        </w:tabs>
        <w:rPr>
          <w:sz w:val="20"/>
          <w:szCs w:val="20"/>
        </w:rPr>
      </w:pPr>
      <w:r>
        <w:rPr>
          <w:sz w:val="20"/>
          <w:szCs w:val="20"/>
        </w:rPr>
        <w:t xml:space="preserve">Fait à LA ROCHELLE, le </w:t>
      </w:r>
      <w:r>
        <w:rPr>
          <w:sz w:val="20"/>
          <w:szCs w:val="20"/>
        </w:rPr>
        <w:t>16/02/2026</w:t>
      </w:r>
    </w:p>
    <w:p>
      <w:pPr>
        <w:pStyle w:val="BodyText"/>
        <w:tabs>
          <w:tab w:val="clear" w:pos="6521"/>
        </w:tabs>
        <w:rPr/>
      </w:pPr>
      <w:r>
        <w:rPr/>
      </w:r>
    </w:p>
    <w:tbl>
      <w:tblPr>
        <w:tblW w:w="9426"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2302"/>
        <w:gridCol w:w="2516"/>
        <w:gridCol w:w="2304"/>
        <w:gridCol w:w="2303"/>
      </w:tblGrid>
      <w:tr>
        <w:trPr/>
        <w:tc>
          <w:tcPr>
            <w:tcW w:w="9425" w:type="dxa"/>
            <w:gridSpan w:val="4"/>
            <w:tcBorders>
              <w:top w:val="single" w:sz="4" w:space="0" w:color="000000"/>
              <w:left w:val="single" w:sz="4" w:space="0" w:color="000000"/>
              <w:bottom w:val="single" w:sz="4" w:space="0" w:color="000000"/>
              <w:right w:val="single" w:sz="4" w:space="0" w:color="000000"/>
            </w:tcBorders>
            <w:shd w:color="auto" w:fill="FFFF00" w:val="clear"/>
          </w:tcPr>
          <w:p>
            <w:pPr>
              <w:pStyle w:val="Normal"/>
              <w:jc w:val="center"/>
              <w:rPr>
                <w:rFonts w:ascii="Arial" w:hAnsi="Arial" w:cs="Arial"/>
                <w:b/>
                <w:bCs/>
              </w:rPr>
            </w:pPr>
            <w:r>
              <w:rPr>
                <w:rFonts w:cs="Arial" w:ascii="Arial" w:hAnsi="Arial"/>
                <w:b/>
                <w:bCs/>
              </w:rPr>
              <w:t>VALIDATION</w:t>
            </w:r>
          </w:p>
        </w:tc>
      </w:tr>
      <w:tr>
        <w:trPr/>
        <w:tc>
          <w:tcPr>
            <w:tcW w:w="4818"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rPr>
            </w:pPr>
            <w:r>
              <w:rPr>
                <w:rFonts w:cs="Arial" w:ascii="Arial" w:hAnsi="Arial"/>
                <w:b/>
                <w:bCs/>
              </w:rPr>
              <w:t>Pour le Syndicat CGT</w:t>
            </w:r>
          </w:p>
        </w:tc>
        <w:tc>
          <w:tcPr>
            <w:tcW w:w="4607" w:type="dxa"/>
            <w:gridSpan w:val="2"/>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rPr>
            </w:pPr>
            <w:r>
              <w:rPr>
                <w:rFonts w:cs="Arial" w:ascii="Arial" w:hAnsi="Arial"/>
                <w:b/>
                <w:bCs/>
              </w:rPr>
              <w:t>Pour la Direction</w:t>
            </w:r>
          </w:p>
        </w:tc>
      </w:tr>
      <w:tr>
        <w:trPr>
          <w:trHeight w:val="924" w:hRule="atLeast"/>
        </w:trPr>
        <w:tc>
          <w:tcPr>
            <w:tcW w:w="2302"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rPr>
            </w:pPr>
            <w:r>
              <w:rPr>
                <w:rFonts w:cs="Arial" w:ascii="Arial" w:hAnsi="Arial"/>
              </w:rPr>
              <w:t>Nom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c>
        <w:tc>
          <w:tcPr>
            <w:tcW w:w="2516"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rPr>
            </w:pPr>
            <w:r>
              <w:rPr>
                <w:rFonts w:cs="Arial" w:ascii="Arial" w:hAnsi="Arial"/>
              </w:rPr>
              <w:t>Signature :</w:t>
            </w:r>
          </w:p>
        </w:tc>
        <w:tc>
          <w:tcPr>
            <w:tcW w:w="2304"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rPr>
            </w:pPr>
            <w:r>
              <w:rPr>
                <w:rFonts w:cs="Arial" w:ascii="Arial" w:hAnsi="Arial"/>
              </w:rPr>
              <w:t>Nom :</w:t>
            </w:r>
          </w:p>
          <w:p>
            <w:pPr>
              <w:pStyle w:val="Normal"/>
              <w:rPr>
                <w:rFonts w:ascii="Arial" w:hAnsi="Arial" w:cs="Arial"/>
              </w:rPr>
            </w:pPr>
            <w:r>
              <w:rPr>
                <w:rFonts w:cs="Arial" w:ascii="Arial" w:hAnsi="Arial"/>
              </w:rPr>
            </w:r>
          </w:p>
        </w:tc>
        <w:tc>
          <w:tcPr>
            <w:tcW w:w="2303"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rPr>
            </w:pPr>
            <w:r>
              <w:rPr>
                <w:rFonts w:cs="Arial" w:ascii="Arial" w:hAnsi="Arial"/>
              </w:rPr>
              <w:t>Signature :</w:t>
            </w:r>
          </w:p>
        </w:tc>
      </w:tr>
      <w:tr>
        <w:trPr/>
        <w:tc>
          <w:tcPr>
            <w:tcW w:w="9425" w:type="dxa"/>
            <w:gridSpan w:val="4"/>
            <w:tcBorders>
              <w:top w:val="single" w:sz="4" w:space="0" w:color="000000"/>
              <w:left w:val="single" w:sz="4" w:space="0" w:color="000000"/>
              <w:bottom w:val="single" w:sz="4" w:space="0" w:color="000000"/>
              <w:right w:val="single" w:sz="4" w:space="0" w:color="000000"/>
            </w:tcBorders>
            <w:shd w:color="auto" w:fill="FFFF00" w:val="clear"/>
          </w:tcPr>
          <w:p>
            <w:pPr>
              <w:pStyle w:val="Normal"/>
              <w:jc w:val="center"/>
              <w:rPr>
                <w:rFonts w:ascii="Arial" w:hAnsi="Arial" w:cs="Arial"/>
                <w:b/>
                <w:bCs/>
              </w:rPr>
            </w:pPr>
            <w:r>
              <w:rPr>
                <w:rFonts w:cs="Arial" w:ascii="Arial" w:hAnsi="Arial"/>
                <w:b/>
                <w:bCs/>
              </w:rPr>
            </w:r>
          </w:p>
        </w:tc>
      </w:tr>
    </w:tbl>
    <w:p>
      <w:pPr>
        <w:pStyle w:val="BodyText"/>
        <w:tabs>
          <w:tab w:val="clear" w:pos="6521"/>
        </w:tabs>
        <w:rPr/>
      </w:pPr>
      <w:r>
        <w:rPr/>
      </w:r>
    </w:p>
    <w:sectPr>
      <w:footerReference w:type="even" r:id="rId4"/>
      <w:footerReference w:type="default" r:id="rId5"/>
      <w:footerReference w:type="first" r:id="rId6"/>
      <w:type w:val="nextPage"/>
      <w:pgSz w:w="11906" w:h="16838"/>
      <w:pgMar w:left="1418" w:right="1418" w:gutter="0" w:header="0" w:top="1418" w:footer="720" w:bottom="1418"/>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Comic Sans MS">
    <w:charset w:val="01"/>
    <w:family w:val="auto"/>
    <w:pitch w:val="default"/>
  </w:font>
  <w:font w:name="Segoe UI">
    <w:charset w:val="01"/>
    <w:family w:val="auto"/>
    <w:pitch w:val="default"/>
  </w:font>
  <w:font w:name="Marianne">
    <w:charset w:val="01"/>
    <w:family w:val="auto"/>
    <w:pitch w:val="default"/>
  </w:font>
  <w:font w:name="Arial">
    <w:charset w:val="01"/>
    <w:family w:val="auto"/>
    <w:pitch w:val="default"/>
  </w:font>
  <w:font w:name="Calibri">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t>Accord NAO 2025</w:t>
    </w:r>
  </w:p>
  <w:p>
    <w:pPr>
      <w:pStyle w:val="Footer"/>
      <w:rPr/>
    </w:pPr>
    <w:r>
      <w:rPr/>
      <w:tab/>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t>Accord NAO 2025</w:t>
    </w:r>
  </w:p>
  <w:p>
    <w:pPr>
      <w:pStyle w:val="Footer"/>
      <w:rPr/>
    </w:pPr>
    <w:r>
      <w:rPr/>
      <w:tab/>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ftr>
</file>

<file path=word/settings.xml><?xml version="1.0" encoding="utf-8"?>
<w:settings xmlns:w="http://schemas.openxmlformats.org/wordprocessingml/2006/main">
  <w:zoom w:percent="140"/>
  <w:embedSystemFonts/>
  <w:defaultTabStop w:val="708"/>
  <w:autoHyphenation w:val="true"/>
  <w:compat>
    <w:doNotBreakWrappedTables/>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Heading1">
    <w:name w:val="Heading 1"/>
    <w:basedOn w:val="Normal"/>
    <w:next w:val="Normal"/>
    <w:qFormat/>
    <w:pPr>
      <w:keepNext w:val="true"/>
      <w:tabs>
        <w:tab w:val="clear" w:pos="708"/>
        <w:tab w:val="left" w:pos="5670" w:leader="none"/>
      </w:tabs>
      <w:outlineLvl w:val="0"/>
    </w:pPr>
    <w:rPr>
      <w:sz w:val="24"/>
      <w:szCs w:val="24"/>
    </w:rPr>
  </w:style>
  <w:style w:type="paragraph" w:styleId="Heading2">
    <w:name w:val="Heading 2"/>
    <w:basedOn w:val="Normal"/>
    <w:next w:val="Normal"/>
    <w:qFormat/>
    <w:pPr>
      <w:keepNext w:val="true"/>
      <w:tabs>
        <w:tab w:val="clear" w:pos="708"/>
        <w:tab w:val="left" w:pos="5670" w:leader="none"/>
      </w:tabs>
      <w:outlineLvl w:val="1"/>
    </w:pPr>
    <w:rPr>
      <w:b/>
      <w:bCs/>
      <w:sz w:val="24"/>
      <w:szCs w:val="24"/>
    </w:rPr>
  </w:style>
  <w:style w:type="paragraph" w:styleId="Heading3">
    <w:name w:val="Heading 3"/>
    <w:basedOn w:val="Normal"/>
    <w:next w:val="Normal"/>
    <w:qFormat/>
    <w:pPr>
      <w:keepNext w:val="true"/>
      <w:tabs>
        <w:tab w:val="clear" w:pos="708"/>
        <w:tab w:val="left" w:pos="6521" w:leader="none"/>
      </w:tabs>
      <w:jc w:val="center"/>
      <w:outlineLvl w:val="2"/>
    </w:pPr>
    <w:rPr>
      <w:sz w:val="24"/>
      <w:szCs w:val="24"/>
    </w:rPr>
  </w:style>
  <w:style w:type="paragraph" w:styleId="Heading4">
    <w:name w:val="Heading 4"/>
    <w:basedOn w:val="Normal"/>
    <w:next w:val="Normal"/>
    <w:qFormat/>
    <w:pPr>
      <w:keepNext w:val="true"/>
      <w:tabs>
        <w:tab w:val="clear" w:pos="708"/>
        <w:tab w:val="left" w:pos="6521" w:leader="none"/>
      </w:tabs>
      <w:jc w:val="center"/>
      <w:outlineLvl w:val="3"/>
    </w:pPr>
    <w:rPr>
      <w:b/>
      <w:bCs/>
      <w:sz w:val="24"/>
      <w:szCs w:val="24"/>
      <w:u w:val="single"/>
    </w:rPr>
  </w:style>
  <w:style w:type="paragraph" w:styleId="Heading5">
    <w:name w:val="Heading 5"/>
    <w:basedOn w:val="Normal"/>
    <w:next w:val="Normal"/>
    <w:qFormat/>
    <w:pPr>
      <w:keepNext w:val="true"/>
      <w:tabs>
        <w:tab w:val="clear" w:pos="708"/>
        <w:tab w:val="left" w:pos="6521" w:leader="none"/>
      </w:tabs>
      <w:outlineLvl w:val="4"/>
    </w:pPr>
    <w:rPr>
      <w:b/>
      <w:bCs/>
      <w:sz w:val="24"/>
      <w:szCs w:val="24"/>
      <w:u w:val="single"/>
    </w:rPr>
  </w:style>
  <w:style w:type="paragraph" w:styleId="Heading6">
    <w:name w:val="Heading 6"/>
    <w:basedOn w:val="Normal"/>
    <w:next w:val="Normal"/>
    <w:qFormat/>
    <w:pPr>
      <w:keepNext w:val="true"/>
      <w:spacing w:lineRule="auto" w:line="480"/>
      <w:ind w:firstLine="567"/>
      <w:jc w:val="both"/>
      <w:outlineLvl w:val="5"/>
    </w:pPr>
    <w:rPr>
      <w:sz w:val="24"/>
      <w:szCs w:val="24"/>
    </w:rPr>
  </w:style>
  <w:style w:type="paragraph" w:styleId="Heading7">
    <w:name w:val="Heading 7"/>
    <w:basedOn w:val="Normal"/>
    <w:next w:val="Normal"/>
    <w:qFormat/>
    <w:pPr>
      <w:keepNext w:val="true"/>
      <w:ind w:firstLine="567"/>
      <w:outlineLvl w:val="6"/>
    </w:pPr>
    <w:rPr>
      <w:rFonts w:ascii="Comic Sans MS" w:hAnsi="Comic Sans MS"/>
      <w:sz w:val="24"/>
      <w:szCs w:val="24"/>
    </w:rPr>
  </w:style>
  <w:style w:type="character" w:styleId="DefaultParagraphFont" w:default="1">
    <w:name w:val="Default Paragraph Font"/>
    <w:semiHidden/>
    <w:qFormat/>
    <w:rPr/>
  </w:style>
  <w:style w:type="character" w:styleId="Fort" w:customStyle="1">
    <w:name w:val="Fort"/>
    <w:qFormat/>
    <w:rPr>
      <w:b/>
      <w:bCs/>
    </w:rPr>
  </w:style>
  <w:style w:type="character" w:styleId="PageNumber">
    <w:name w:val="Page Number"/>
    <w:basedOn w:val="DefaultParagraphFont"/>
    <w:rsid w:val="008435cd"/>
    <w:rPr/>
  </w:style>
  <w:style w:type="character" w:styleId="RetraitcorpsdetexteCar" w:customStyle="1">
    <w:name w:val="Retrait corps de texte Car"/>
    <w:link w:val="BodyTextIndented"/>
    <w:qFormat/>
    <w:rsid w:val="00fc074b"/>
    <w:rPr>
      <w:sz w:val="28"/>
      <w:szCs w:val="28"/>
    </w:rPr>
  </w:style>
  <w:style w:type="character" w:styleId="TextedebullesCar" w:customStyle="1">
    <w:name w:val="Texte de bulles Car"/>
    <w:link w:val="BalloonText"/>
    <w:uiPriority w:val="99"/>
    <w:semiHidden/>
    <w:qFormat/>
    <w:rsid w:val="00915626"/>
    <w:rPr>
      <w:rFonts w:ascii="Segoe UI" w:hAnsi="Segoe UI" w:cs="Segoe UI"/>
      <w:sz w:val="18"/>
      <w:szCs w:val="18"/>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tabs>
        <w:tab w:val="clear" w:pos="708"/>
        <w:tab w:val="left" w:pos="6521" w:leader="none"/>
      </w:tabs>
      <w:jc w:val="both"/>
    </w:pPr>
    <w:rPr>
      <w:rFonts w:ascii="Arial" w:hAnsi="Arial" w:cs="Arial"/>
      <w:sz w:val="22"/>
      <w:szCs w:val="22"/>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BodyTextIndented">
    <w:name w:val="Body Text, Indented"/>
    <w:basedOn w:val="Normal"/>
    <w:link w:val="RetraitcorpsdetexteCar"/>
    <w:qFormat/>
    <w:pPr>
      <w:tabs>
        <w:tab w:val="clear" w:pos="708"/>
        <w:tab w:val="left" w:pos="5670" w:leader="none"/>
      </w:tabs>
      <w:ind w:firstLine="567"/>
      <w:jc w:val="both"/>
    </w:pPr>
    <w:rPr>
      <w:sz w:val="28"/>
      <w:szCs w:val="28"/>
    </w:rPr>
  </w:style>
  <w:style w:type="paragraph" w:styleId="BodyTextIndent2">
    <w:name w:val="Body Text Indent 2"/>
    <w:basedOn w:val="Normal"/>
    <w:qFormat/>
    <w:pPr>
      <w:ind w:firstLine="567"/>
      <w:jc w:val="both"/>
    </w:pPr>
    <w:rPr>
      <w:sz w:val="24"/>
      <w:szCs w:val="24"/>
    </w:rPr>
  </w:style>
  <w:style w:type="paragraph" w:styleId="NormalWeb">
    <w:name w:val="Normal (Web)"/>
    <w:basedOn w:val="Normal"/>
    <w:qFormat/>
    <w:pPr>
      <w:spacing w:beforeAutospacing="1" w:afterAutospacing="1"/>
    </w:pPr>
    <w:rPr>
      <w:sz w:val="24"/>
      <w:szCs w:val="24"/>
    </w:rPr>
  </w:style>
  <w:style w:type="paragraph" w:styleId="HeaderandFooter">
    <w:name w:val="Header and Footer"/>
    <w:basedOn w:val="Normal"/>
    <w:qFormat/>
    <w:pPr/>
    <w:rPr/>
  </w:style>
  <w:style w:type="paragraph" w:styleId="Header">
    <w:name w:val="Header"/>
    <w:basedOn w:val="Normal"/>
    <w:rsid w:val="008435cd"/>
    <w:pPr>
      <w:tabs>
        <w:tab w:val="clear" w:pos="708"/>
        <w:tab w:val="center" w:pos="4536" w:leader="none"/>
        <w:tab w:val="right" w:pos="9072" w:leader="none"/>
      </w:tabs>
    </w:pPr>
    <w:rPr/>
  </w:style>
  <w:style w:type="paragraph" w:styleId="Footer">
    <w:name w:val="Footer"/>
    <w:basedOn w:val="Normal"/>
    <w:rsid w:val="008435cd"/>
    <w:pPr>
      <w:tabs>
        <w:tab w:val="clear" w:pos="708"/>
        <w:tab w:val="center" w:pos="4536" w:leader="none"/>
        <w:tab w:val="right" w:pos="9072" w:leader="none"/>
      </w:tabs>
    </w:pPr>
    <w:rPr/>
  </w:style>
  <w:style w:type="paragraph" w:styleId="Default" w:customStyle="1">
    <w:name w:val="Default"/>
    <w:qFormat/>
    <w:rsid w:val="00494a18"/>
    <w:pPr>
      <w:widowControl/>
      <w:bidi w:val="0"/>
      <w:spacing w:before="0" w:after="0"/>
      <w:jc w:val="left"/>
    </w:pPr>
    <w:rPr>
      <w:rFonts w:ascii="Calibri" w:hAnsi="Calibri" w:cs="Calibri" w:eastAsia="Times New Roman"/>
      <w:color w:val="000000"/>
      <w:kern w:val="0"/>
      <w:sz w:val="24"/>
      <w:szCs w:val="24"/>
      <w:lang w:eastAsia="ko-KR" w:val="fr-FR" w:bidi="ar-SA"/>
    </w:rPr>
  </w:style>
  <w:style w:type="paragraph" w:styleId="ListParagraph">
    <w:name w:val="List Paragraph"/>
    <w:basedOn w:val="Normal"/>
    <w:uiPriority w:val="34"/>
    <w:qFormat/>
    <w:rsid w:val="00641b82"/>
    <w:pPr>
      <w:ind w:left="708"/>
    </w:pPr>
    <w:rPr/>
  </w:style>
  <w:style w:type="paragraph" w:styleId="BalloonText">
    <w:name w:val="Balloon Text"/>
    <w:basedOn w:val="Normal"/>
    <w:link w:val="TextedebullesCar"/>
    <w:uiPriority w:val="99"/>
    <w:semiHidden/>
    <w:unhideWhenUsed/>
    <w:qFormat/>
    <w:rsid w:val="00915626"/>
    <w:pPr/>
    <w:rPr>
      <w:rFonts w:ascii="Segoe UI" w:hAnsi="Segoe UI" w:cs="Segoe UI"/>
      <w:sz w:val="18"/>
      <w:szCs w:val="18"/>
    </w:rPr>
  </w:style>
  <w:style w:type="paragraph" w:styleId="Contenudecadre">
    <w:name w:val="Contenu de cadre"/>
    <w:basedOn w:val="Normal"/>
    <w:qFormat/>
    <w:pPr/>
    <w:rPr/>
  </w:style>
  <w:style w:type="numbering" w:styleId="Pasdeliste" w:default="1">
    <w:name w:val="Pas de liste"/>
    <w:semiHidden/>
    <w:qFormat/>
  </w:style>
  <w:style w:type="table" w:default="1" w:styleId="TableauNormal">
    <w:name w:val="Normal Table"/>
    <w:semiHidden/>
    <w:tblPr>
      <w:tblCellMar>
        <w:top w:w="0" w:type="dxa"/>
        <w:left w:w="108" w:type="dxa"/>
        <w:bottom w:w="0" w:type="dxa"/>
        <w:right w:w="108" w:type="dxa"/>
      </w:tblCellMar>
    </w:tblPr>
  </w:style>
  <w:style w:type="table" w:styleId="Grilledutableau">
    <w:name w:val="Table Grid"/>
    <w:basedOn w:val="TableauNormal"/>
    <w:rsid w:val="00e61d3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a73ab-452e-4927-947b-b4a8af875664">
      <Terms xmlns="http://schemas.microsoft.com/office/infopath/2007/PartnerControls"/>
    </lcf76f155ced4ddcb4097134ff3c332f>
    <TaxCatchAll xmlns="b77b636c-f70e-44e1-8c34-8745dd6ef1d7"/>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A510BBBD2A694783063D41AA014CED" ma:contentTypeVersion="20" ma:contentTypeDescription="Crée un document." ma:contentTypeScope="" ma:versionID="730197220ecd735ce6f6858319f20f48">
  <xsd:schema xmlns:xsd="http://www.w3.org/2001/XMLSchema" xmlns:xs="http://www.w3.org/2001/XMLSchema" xmlns:p="http://schemas.microsoft.com/office/2006/metadata/properties" xmlns:ns2="b77b636c-f70e-44e1-8c34-8745dd6ef1d7" xmlns:ns3="103a73ab-452e-4927-947b-b4a8af875664" targetNamespace="http://schemas.microsoft.com/office/2006/metadata/properties" ma:root="true" ma:fieldsID="f6b219412fa92a41c59cda8190a3335d" ns2:_="" ns3:_="">
    <xsd:import namespace="b77b636c-f70e-44e1-8c34-8745dd6ef1d7"/>
    <xsd:import namespace="103a73ab-452e-4927-947b-b4a8af8756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7b636c-f70e-44e1-8c34-8745dd6ef1d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b569645-d524-462c-b842-9fdaaa64ec94}" ma:internalName="TaxCatchAll" ma:showField="CatchAllData" ma:web="b77b636c-f70e-44e1-8c34-8745dd6ef1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3a73ab-452e-4927-947b-b4a8af8756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3049407-99bb-4d61-b23a-acd9511801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36DBAC-1907-427E-92DC-2D12CE46D5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66A481-8600-46B0-A9B3-AFA914178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7b636c-f70e-44e1-8c34-8745dd6ef1d7"/>
    <ds:schemaRef ds:uri="103a73ab-452e-4927-947b-b4a8af875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1107D-4F1C-48F9-BC6C-497587E14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2</Pages>
  <Words>399</Words>
  <Characters>2249</Characters>
  <CharactersWithSpaces>2645</CharactersWithSpaces>
  <Paragraphs>33</Paragraphs>
  <Company>CAVAC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2026-02-24T09:10:09Z</dcterms:created>
  <dc:creator/>
  <dc:description/>
  <dc:language>fr-FR</dc:language>
  <cp:lastModifiedBy/>
  <cp:revision>1</cp:revision>
  <dc:subject/>
  <dc:title>ACCORD D’ENTREPRISE SUR LES SALAIRES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0x010100EE7471D3B25DBF448A17BB4A276DA55A</vt:lpwstr>
  </property>
</Properties>
</file>