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E58E4" w14:textId="77777777" w:rsidR="00F732BB" w:rsidRPr="00F732BB" w:rsidRDefault="00F732BB" w:rsidP="00F732B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5"/>
        </w:tabs>
        <w:spacing w:after="160" w:line="259" w:lineRule="auto"/>
        <w:jc w:val="center"/>
        <w:outlineLvl w:val="1"/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</w:pPr>
      <w:bookmarkStart w:id="0" w:name="_GoBack"/>
      <w:bookmarkEnd w:id="0"/>
      <w:r w:rsidRPr="00F732BB"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>Accord collectif relatif au contingent d’heures supplémentaires</w:t>
      </w:r>
    </w:p>
    <w:p w14:paraId="6FD50A87" w14:textId="77777777" w:rsidR="00F732BB" w:rsidRPr="00F732BB" w:rsidRDefault="00F732BB" w:rsidP="00F732BB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11D59853" w14:textId="124AAFE4" w:rsidR="00F732BB" w:rsidRPr="0031202D" w:rsidRDefault="00F732BB" w:rsidP="0031202D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lang w:eastAsia="en-US"/>
        </w:rPr>
        <w:t xml:space="preserve">ENTRE : </w:t>
      </w:r>
    </w:p>
    <w:p w14:paraId="0FFE07D9" w14:textId="2A478745" w:rsidR="0031202D" w:rsidRPr="00270FE6" w:rsidRDefault="0031202D" w:rsidP="0031202D">
      <w:pPr>
        <w:overflowPunct w:val="0"/>
        <w:jc w:val="both"/>
        <w:textAlignment w:val="baseline"/>
        <w:rPr>
          <w:rFonts w:eastAsia="Times New Roman" w:cstheme="minorHAnsi"/>
          <w:kern w:val="2"/>
          <w:szCs w:val="20"/>
        </w:rPr>
      </w:pPr>
      <w:r w:rsidRPr="00830F8D">
        <w:rPr>
          <w:rFonts w:eastAsia="Times New Roman" w:cstheme="minorHAnsi"/>
          <w:b/>
          <w:bCs/>
          <w:szCs w:val="20"/>
        </w:rPr>
        <w:t xml:space="preserve">La </w:t>
      </w:r>
      <w:r w:rsidRPr="00830F8D">
        <w:rPr>
          <w:rFonts w:eastAsia="Times New Roman" w:cstheme="minorHAnsi"/>
          <w:b/>
          <w:bCs/>
          <w:kern w:val="2"/>
          <w:szCs w:val="20"/>
        </w:rPr>
        <w:t>Société EMROC</w:t>
      </w:r>
      <w:r>
        <w:rPr>
          <w:rFonts w:eastAsia="Times New Roman" w:cstheme="minorHAnsi"/>
          <w:b/>
          <w:kern w:val="2"/>
          <w:szCs w:val="20"/>
        </w:rPr>
        <w:t>,</w:t>
      </w:r>
      <w:r w:rsidRPr="00270FE6">
        <w:rPr>
          <w:rFonts w:eastAsia="Times New Roman" w:cstheme="minorHAnsi"/>
          <w:kern w:val="2"/>
          <w:szCs w:val="20"/>
        </w:rPr>
        <w:t xml:space="preserve"> société par actions simplifiée, dont le siège social est situé </w:t>
      </w:r>
      <w:r w:rsidR="00830F8D">
        <w:rPr>
          <w:rFonts w:eastAsia="Times New Roman" w:cstheme="minorHAnsi"/>
          <w:kern w:val="2"/>
          <w:szCs w:val="20"/>
        </w:rPr>
        <w:t xml:space="preserve">ZAC des </w:t>
      </w:r>
      <w:proofErr w:type="spellStart"/>
      <w:r w:rsidR="00830F8D">
        <w:rPr>
          <w:rFonts w:eastAsia="Times New Roman" w:cstheme="minorHAnsi"/>
          <w:kern w:val="2"/>
          <w:szCs w:val="20"/>
        </w:rPr>
        <w:t>Garillons</w:t>
      </w:r>
      <w:proofErr w:type="spellEnd"/>
      <w:r w:rsidR="00830F8D">
        <w:rPr>
          <w:rFonts w:eastAsia="Times New Roman" w:cstheme="minorHAnsi"/>
          <w:kern w:val="2"/>
          <w:szCs w:val="20"/>
        </w:rPr>
        <w:t xml:space="preserve"> – Pont du Prieur – 83380 Roquebrune sur Argens,</w:t>
      </w:r>
      <w:r w:rsidR="00830F8D" w:rsidRPr="00270FE6">
        <w:rPr>
          <w:rFonts w:eastAsia="Times New Roman" w:cstheme="minorHAnsi"/>
          <w:kern w:val="2"/>
          <w:szCs w:val="20"/>
        </w:rPr>
        <w:t xml:space="preserve"> immatriculée au Registre du Commerce et des Sociétés de </w:t>
      </w:r>
      <w:r w:rsidR="00830F8D">
        <w:rPr>
          <w:rFonts w:eastAsia="Times New Roman" w:cstheme="minorHAnsi"/>
          <w:kern w:val="2"/>
          <w:szCs w:val="20"/>
        </w:rPr>
        <w:t>Fréjus,</w:t>
      </w:r>
      <w:r w:rsidR="00830F8D" w:rsidRPr="00270FE6">
        <w:rPr>
          <w:rFonts w:eastAsia="Times New Roman" w:cstheme="minorHAnsi"/>
          <w:kern w:val="2"/>
          <w:szCs w:val="20"/>
        </w:rPr>
        <w:t xml:space="preserve"> sous le </w:t>
      </w:r>
      <w:r w:rsidR="00830F8D" w:rsidRPr="00830F8D">
        <w:rPr>
          <w:rFonts w:eastAsia="Times New Roman" w:cstheme="minorHAnsi"/>
          <w:kern w:val="2"/>
          <w:szCs w:val="20"/>
        </w:rPr>
        <w:t xml:space="preserve">numéro 400 451 589, </w:t>
      </w:r>
      <w:r w:rsidRPr="00830F8D">
        <w:rPr>
          <w:rFonts w:eastAsia="Times New Roman" w:cstheme="minorHAnsi"/>
          <w:kern w:val="1"/>
          <w:szCs w:val="20"/>
        </w:rPr>
        <w:t>représentée</w:t>
      </w:r>
      <w:r>
        <w:rPr>
          <w:rFonts w:eastAsia="Times New Roman" w:cstheme="minorHAnsi"/>
          <w:kern w:val="1"/>
          <w:szCs w:val="20"/>
        </w:rPr>
        <w:t xml:space="preserve"> par M</w:t>
      </w:r>
      <w:r w:rsidR="00963790">
        <w:rPr>
          <w:rFonts w:eastAsia="Times New Roman" w:cstheme="minorHAnsi"/>
          <w:kern w:val="1"/>
          <w:szCs w:val="20"/>
        </w:rPr>
        <w:t xml:space="preserve">. </w:t>
      </w:r>
      <w:r>
        <w:rPr>
          <w:rFonts w:eastAsia="Times New Roman" w:cstheme="minorHAnsi"/>
          <w:kern w:val="1"/>
          <w:szCs w:val="20"/>
        </w:rPr>
        <w:t xml:space="preserve">en sa qualité de </w:t>
      </w:r>
      <w:r w:rsidR="00963790">
        <w:rPr>
          <w:rFonts w:eastAsia="Times New Roman" w:cstheme="minorHAnsi"/>
          <w:kern w:val="1"/>
          <w:szCs w:val="20"/>
        </w:rPr>
        <w:t>Président.</w:t>
      </w:r>
    </w:p>
    <w:p w14:paraId="77EB1127" w14:textId="77777777" w:rsidR="0031202D" w:rsidRPr="00F732BB" w:rsidRDefault="0031202D" w:rsidP="00F732B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" w:eastAsia="DejaVu Sans" w:hAnsi="Arial" w:cs="Arial"/>
          <w:kern w:val="2"/>
          <w:sz w:val="20"/>
          <w:szCs w:val="20"/>
          <w:lang w:eastAsia="zh-CN"/>
        </w:rPr>
      </w:pPr>
    </w:p>
    <w:p w14:paraId="4A41709C" w14:textId="77777777" w:rsidR="00F732BB" w:rsidRPr="00F732BB" w:rsidRDefault="00F732BB" w:rsidP="00F732BB">
      <w:pPr>
        <w:jc w:val="right"/>
        <w:rPr>
          <w:rFonts w:ascii="Arial" w:eastAsia="MS Mincho" w:hAnsi="Arial" w:cs="Arial"/>
          <w:bCs/>
          <w:sz w:val="20"/>
          <w:szCs w:val="20"/>
        </w:rPr>
      </w:pPr>
      <w:proofErr w:type="gramStart"/>
      <w:r w:rsidRPr="00F732BB">
        <w:rPr>
          <w:rFonts w:ascii="Arial" w:eastAsia="MS Mincho" w:hAnsi="Arial" w:cs="Arial"/>
          <w:bCs/>
          <w:sz w:val="20"/>
          <w:szCs w:val="20"/>
        </w:rPr>
        <w:t>ci-après</w:t>
      </w:r>
      <w:proofErr w:type="gramEnd"/>
      <w:r w:rsidRPr="00F732BB">
        <w:rPr>
          <w:rFonts w:ascii="Arial" w:eastAsia="MS Mincho" w:hAnsi="Arial" w:cs="Arial"/>
          <w:bCs/>
          <w:sz w:val="20"/>
          <w:szCs w:val="20"/>
        </w:rPr>
        <w:t xml:space="preserve"> dénommée la société ;</w:t>
      </w:r>
    </w:p>
    <w:p w14:paraId="4B89DCF3" w14:textId="77777777" w:rsidR="00F732BB" w:rsidRPr="00F732BB" w:rsidRDefault="00F732BB" w:rsidP="00F732BB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F732BB">
        <w:rPr>
          <w:rFonts w:ascii="Arial" w:eastAsia="MS Mincho" w:hAnsi="Arial" w:cs="Arial"/>
          <w:b/>
          <w:bCs/>
          <w:sz w:val="20"/>
          <w:szCs w:val="20"/>
        </w:rPr>
        <w:t>d'une</w:t>
      </w:r>
      <w:proofErr w:type="gramEnd"/>
      <w:r w:rsidRPr="00F732BB">
        <w:rPr>
          <w:rFonts w:ascii="Arial" w:eastAsia="MS Mincho" w:hAnsi="Arial" w:cs="Arial"/>
          <w:b/>
          <w:bCs/>
          <w:sz w:val="20"/>
          <w:szCs w:val="20"/>
        </w:rPr>
        <w:t xml:space="preserve"> part,</w:t>
      </w:r>
    </w:p>
    <w:p w14:paraId="02EE2CAC" w14:textId="77777777" w:rsidR="00F732BB" w:rsidRPr="00F732BB" w:rsidRDefault="00F732BB" w:rsidP="00F732BB">
      <w:pPr>
        <w:rPr>
          <w:rFonts w:ascii="Arial" w:eastAsia="MS Mincho" w:hAnsi="Arial" w:cs="Arial"/>
          <w:sz w:val="20"/>
          <w:szCs w:val="20"/>
        </w:rPr>
      </w:pPr>
    </w:p>
    <w:p w14:paraId="06348686" w14:textId="77777777" w:rsidR="00F732BB" w:rsidRPr="00F732BB" w:rsidRDefault="00F732BB" w:rsidP="00F732BB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28197376" w14:textId="77777777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sz w:val="20"/>
          <w:szCs w:val="20"/>
        </w:rPr>
      </w:pPr>
      <w:r w:rsidRPr="00F732BB">
        <w:rPr>
          <w:rFonts w:ascii="Arial" w:eastAsia="MS Mincho" w:hAnsi="Arial" w:cs="Arial"/>
          <w:b/>
          <w:bCs/>
          <w:sz w:val="20"/>
          <w:szCs w:val="20"/>
        </w:rPr>
        <w:t xml:space="preserve">ET : </w:t>
      </w:r>
    </w:p>
    <w:p w14:paraId="736F49DA" w14:textId="52D4016D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b/>
          <w:sz w:val="20"/>
          <w:szCs w:val="20"/>
        </w:rPr>
      </w:pPr>
      <w:r w:rsidRPr="00F732BB">
        <w:rPr>
          <w:rFonts w:ascii="Arial" w:eastAsia="MS Mincho" w:hAnsi="Arial" w:cs="Arial"/>
          <w:b/>
          <w:sz w:val="20"/>
          <w:szCs w:val="20"/>
        </w:rPr>
        <w:t xml:space="preserve">Monsieur </w:t>
      </w:r>
      <w:r w:rsidRPr="00F732BB">
        <w:rPr>
          <w:rFonts w:ascii="Arial" w:eastAsia="MS Mincho" w:hAnsi="Arial" w:cs="Arial"/>
          <w:bCs/>
          <w:sz w:val="20"/>
          <w:szCs w:val="20"/>
        </w:rPr>
        <w:t xml:space="preserve">en sa qualité de membre titulaire du CSE élu le </w:t>
      </w:r>
      <w:r w:rsidR="00963790">
        <w:rPr>
          <w:rFonts w:ascii="Arial" w:eastAsia="MS Mincho" w:hAnsi="Arial" w:cs="Arial"/>
          <w:bCs/>
          <w:sz w:val="20"/>
          <w:szCs w:val="20"/>
        </w:rPr>
        <w:t>09 septembre 2024.</w:t>
      </w:r>
    </w:p>
    <w:p w14:paraId="0F71128B" w14:textId="77777777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sz w:val="20"/>
          <w:szCs w:val="20"/>
        </w:rPr>
      </w:pPr>
    </w:p>
    <w:p w14:paraId="7FE10E5F" w14:textId="77777777" w:rsidR="00F732BB" w:rsidRPr="00F732BB" w:rsidRDefault="00F732BB" w:rsidP="00F732BB">
      <w:pPr>
        <w:spacing w:after="160" w:line="259" w:lineRule="auto"/>
        <w:jc w:val="right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F732BB">
        <w:rPr>
          <w:rFonts w:ascii="Arial" w:eastAsia="MS Mincho" w:hAnsi="Arial" w:cs="Arial"/>
          <w:b/>
          <w:bCs/>
          <w:sz w:val="20"/>
          <w:szCs w:val="20"/>
        </w:rPr>
        <w:t>d'autre</w:t>
      </w:r>
      <w:proofErr w:type="gramEnd"/>
      <w:r w:rsidRPr="00F732BB">
        <w:rPr>
          <w:rFonts w:ascii="Arial" w:eastAsia="MS Mincho" w:hAnsi="Arial" w:cs="Arial"/>
          <w:b/>
          <w:bCs/>
          <w:sz w:val="20"/>
          <w:szCs w:val="20"/>
        </w:rPr>
        <w:t xml:space="preserve"> part,</w:t>
      </w:r>
    </w:p>
    <w:p w14:paraId="77F15555" w14:textId="77777777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sz w:val="20"/>
          <w:szCs w:val="20"/>
        </w:rPr>
      </w:pPr>
    </w:p>
    <w:p w14:paraId="0063A3C8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098ED38D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Préambule</w:t>
      </w:r>
    </w:p>
    <w:p w14:paraId="47567BED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Le présent accord a pour objet de fixer le contingent d’heures supplémentaires supérieur à celui prévu par la convention collective de branche afin de libérer la possibilité de faire des heures supplémentaires. </w:t>
      </w:r>
    </w:p>
    <w:p w14:paraId="5BDD01B0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Il a donc été convenu le présent accord conclu en application des articles L.2232-23-1 et L.2232-27 et suivants du Code du travail, les négociations s’étant déroulées dans le respect, notamment, des principes posés à l’article L.2232-29 du code du travail.</w:t>
      </w:r>
    </w:p>
    <w:p w14:paraId="48969C3F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F4F886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Article 1 – Cadre juridique </w:t>
      </w:r>
    </w:p>
    <w:p w14:paraId="54EF0C23" w14:textId="2B404B09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A la date de signature du présent accord, la Société comporte </w:t>
      </w:r>
      <w:r w:rsidR="00963790">
        <w:rPr>
          <w:rFonts w:ascii="Arial" w:eastAsia="Calibri" w:hAnsi="Arial" w:cs="Arial"/>
          <w:sz w:val="20"/>
          <w:szCs w:val="20"/>
          <w:lang w:eastAsia="en-US"/>
        </w:rPr>
        <w:t xml:space="preserve">30 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salariés en équivalent temps plein et </w:t>
      </w:r>
      <w:r w:rsidR="0031202D">
        <w:rPr>
          <w:rFonts w:ascii="Arial" w:eastAsia="Calibri" w:hAnsi="Arial" w:cs="Arial"/>
          <w:sz w:val="20"/>
          <w:szCs w:val="20"/>
          <w:lang w:eastAsia="en-US"/>
        </w:rPr>
        <w:t>dispose d’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un comité social et économique à la suite des élections professionnelles constatées par un </w:t>
      </w:r>
      <w:r w:rsidR="0031202D" w:rsidRPr="00F732BB">
        <w:rPr>
          <w:rFonts w:ascii="Arial" w:eastAsia="Calibri" w:hAnsi="Arial" w:cs="Arial"/>
          <w:sz w:val="20"/>
          <w:szCs w:val="20"/>
          <w:lang w:eastAsia="en-US"/>
        </w:rPr>
        <w:t>procès-verbal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 du </w:t>
      </w:r>
      <w:r w:rsidR="00963790">
        <w:rPr>
          <w:rFonts w:ascii="Arial" w:eastAsia="MS Mincho" w:hAnsi="Arial" w:cs="Arial"/>
          <w:bCs/>
          <w:sz w:val="20"/>
          <w:szCs w:val="20"/>
        </w:rPr>
        <w:t>09 septembre 2024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22CE219" w14:textId="77777777" w:rsidR="00F732BB" w:rsidRPr="00364FDF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4FDF">
        <w:rPr>
          <w:rFonts w:ascii="Arial" w:eastAsia="Calibri" w:hAnsi="Arial" w:cs="Arial"/>
          <w:sz w:val="20"/>
          <w:szCs w:val="20"/>
          <w:lang w:eastAsia="en-US"/>
        </w:rPr>
        <w:t>La validité du présent accord et donc sa mise en œuvre sont subordonnées à :</w:t>
      </w:r>
    </w:p>
    <w:p w14:paraId="4EEAC368" w14:textId="77777777" w:rsidR="00F732BB" w:rsidRPr="00364FDF" w:rsidRDefault="00F732BB" w:rsidP="00F732BB">
      <w:pPr>
        <w:numPr>
          <w:ilvl w:val="0"/>
          <w:numId w:val="2"/>
        </w:numPr>
        <w:spacing w:after="160" w:line="259" w:lineRule="auto"/>
        <w:ind w:left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4FDF">
        <w:rPr>
          <w:rFonts w:ascii="Arial" w:eastAsia="Calibri" w:hAnsi="Arial" w:cs="Arial"/>
          <w:sz w:val="20"/>
          <w:szCs w:val="20"/>
          <w:lang w:eastAsia="en-US"/>
        </w:rPr>
        <w:t>d’une part, à sa signature par les membres titulaires du comité social et économique représentant la majorité des suffrages exprimés lors des dernières élections professionnelles,</w:t>
      </w:r>
    </w:p>
    <w:p w14:paraId="1F573CF5" w14:textId="77777777" w:rsidR="00F732BB" w:rsidRPr="00364FDF" w:rsidRDefault="00F732BB" w:rsidP="00F732BB">
      <w:pPr>
        <w:numPr>
          <w:ilvl w:val="0"/>
          <w:numId w:val="2"/>
        </w:numPr>
        <w:spacing w:after="160" w:line="259" w:lineRule="auto"/>
        <w:ind w:left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4FDF">
        <w:rPr>
          <w:rFonts w:ascii="Arial" w:eastAsia="Calibri" w:hAnsi="Arial" w:cs="Arial"/>
          <w:sz w:val="20"/>
          <w:szCs w:val="20"/>
          <w:lang w:eastAsia="en-US"/>
        </w:rPr>
        <w:t>d’autre part, à son dépôt auprès de l'autorité administrative.</w:t>
      </w:r>
    </w:p>
    <w:p w14:paraId="1AA406D2" w14:textId="7551959B" w:rsid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4FDF">
        <w:rPr>
          <w:rFonts w:ascii="Arial" w:eastAsia="Calibri" w:hAnsi="Arial" w:cs="Arial"/>
          <w:sz w:val="20"/>
          <w:szCs w:val="20"/>
          <w:lang w:eastAsia="en-US"/>
        </w:rPr>
        <w:t>Compte tenu des dernières élections professionnelles, lors desquelles un seul représentant au CSE a été élu, la validité du présent accord est conditionné</w:t>
      </w:r>
      <w:r w:rsidR="00364FDF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364FDF">
        <w:rPr>
          <w:rFonts w:ascii="Arial" w:eastAsia="Calibri" w:hAnsi="Arial" w:cs="Arial"/>
          <w:sz w:val="20"/>
          <w:szCs w:val="20"/>
          <w:lang w:eastAsia="en-US"/>
        </w:rPr>
        <w:t xml:space="preserve"> à sa signature.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ab/>
        <w:t xml:space="preserve"> </w:t>
      </w:r>
    </w:p>
    <w:p w14:paraId="1F9369E1" w14:textId="77777777" w:rsidR="00364FDF" w:rsidRPr="00F732BB" w:rsidRDefault="00364FDF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A66A8D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Article 2 - Champ d’application </w:t>
      </w:r>
    </w:p>
    <w:p w14:paraId="085268E9" w14:textId="760E5F9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Le présent accord s’applique à l’ensemble des salariés de la société </w:t>
      </w:r>
      <w:r w:rsidR="0031202D">
        <w:rPr>
          <w:rFonts w:ascii="Arial" w:eastAsia="Calibri" w:hAnsi="Arial" w:cs="Arial"/>
          <w:sz w:val="20"/>
          <w:szCs w:val="20"/>
          <w:lang w:eastAsia="en-US"/>
        </w:rPr>
        <w:t>EMROC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 dont la durée du travail est décomptée en heures.</w:t>
      </w:r>
    </w:p>
    <w:p w14:paraId="5C8F6346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F7E694" w14:textId="77777777" w:rsidR="00364FDF" w:rsidRDefault="00364FDF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p w14:paraId="03E049DA" w14:textId="0663FD45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lastRenderedPageBreak/>
        <w:t>Article 3 – Contingent annuel d’heures supplémentaires</w:t>
      </w:r>
    </w:p>
    <w:p w14:paraId="4E7DE65E" w14:textId="2B911C4F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En application des dispositions de l'article L. 3121-33 du Code du travail, le contingent annuel d'heures supplémentaires est fixé à 3</w:t>
      </w:r>
      <w:r w:rsidR="0031202D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>0 heures par salarié.</w:t>
      </w:r>
    </w:p>
    <w:p w14:paraId="5F77FCA6" w14:textId="20CEBDAA" w:rsidR="0031202D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Ce contingent d’heures supplémentaires </w:t>
      </w:r>
      <w:r w:rsidR="0031202D">
        <w:rPr>
          <w:rFonts w:ascii="Arial" w:eastAsia="Calibri" w:hAnsi="Arial" w:cs="Arial"/>
          <w:sz w:val="20"/>
          <w:szCs w:val="20"/>
          <w:lang w:eastAsia="en-US"/>
        </w:rPr>
        <w:t xml:space="preserve">se substitue au contingent tel que fixé par la convention collective de branche. </w:t>
      </w:r>
    </w:p>
    <w:p w14:paraId="4EFB8A80" w14:textId="3FA1F448" w:rsidR="00F732BB" w:rsidRPr="00F732BB" w:rsidRDefault="0031202D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Il </w:t>
      </w:r>
      <w:r w:rsidR="00F732BB" w:rsidRPr="00F732BB">
        <w:rPr>
          <w:rFonts w:ascii="Arial" w:eastAsia="Calibri" w:hAnsi="Arial" w:cs="Arial"/>
          <w:sz w:val="20"/>
          <w:szCs w:val="20"/>
          <w:lang w:eastAsia="en-US"/>
        </w:rPr>
        <w:t xml:space="preserve">est de plein droit applicable à la période en cours et s’applique, sans prorata </w:t>
      </w:r>
      <w:proofErr w:type="spellStart"/>
      <w:r w:rsidR="00F732BB" w:rsidRPr="00F732BB">
        <w:rPr>
          <w:rFonts w:ascii="Arial" w:eastAsia="Calibri" w:hAnsi="Arial" w:cs="Arial"/>
          <w:sz w:val="20"/>
          <w:szCs w:val="20"/>
          <w:lang w:eastAsia="en-US"/>
        </w:rPr>
        <w:t>temporis</w:t>
      </w:r>
      <w:proofErr w:type="spellEnd"/>
      <w:r w:rsidR="00F732BB" w:rsidRPr="00F732BB">
        <w:rPr>
          <w:rFonts w:ascii="Arial" w:eastAsia="Calibri" w:hAnsi="Arial" w:cs="Arial"/>
          <w:sz w:val="20"/>
          <w:szCs w:val="20"/>
          <w:lang w:eastAsia="en-US"/>
        </w:rPr>
        <w:t>, pour les salariés embauchés en cours d’année.</w:t>
      </w:r>
    </w:p>
    <w:p w14:paraId="22FD2EFD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 xml:space="preserve">Les heures supplémentaires peuvent être effectuées uniquement à la demande de l’employeur. </w:t>
      </w:r>
    </w:p>
    <w:p w14:paraId="66005542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Elles ouvrent droit lors de leur réalisation aux taux de majoration en vigueur.</w:t>
      </w:r>
    </w:p>
    <w:p w14:paraId="35D3AB68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46373E0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Article 4 – Période de référence </w:t>
      </w:r>
    </w:p>
    <w:p w14:paraId="4661099A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La période de référence pour calculer le contingent est l’année civile.</w:t>
      </w:r>
    </w:p>
    <w:p w14:paraId="13BA3FC0" w14:textId="070301ED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La première année d’application est l’année 202</w:t>
      </w:r>
      <w:r w:rsidR="0031202D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F732BB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B2C645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11160C7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Article 5– Dispositions relatives à l’accord </w:t>
      </w:r>
    </w:p>
    <w:p w14:paraId="32BA74C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lang w:eastAsia="en-US"/>
        </w:rPr>
        <w:t xml:space="preserve">5.1 – Entrée en vigueur et durée de l’accord </w:t>
      </w:r>
    </w:p>
    <w:p w14:paraId="361DEE60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Le présent accord entrera en vigueur à sa date de signature.</w:t>
      </w:r>
    </w:p>
    <w:p w14:paraId="354E9FAF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Il est conclu pour une durée indéterminée.</w:t>
      </w:r>
    </w:p>
    <w:p w14:paraId="2450C90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3BE954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732BB">
        <w:rPr>
          <w:rFonts w:ascii="Arial" w:eastAsia="Calibri" w:hAnsi="Arial" w:cs="Arial"/>
          <w:b/>
          <w:sz w:val="20"/>
          <w:szCs w:val="20"/>
          <w:lang w:eastAsia="en-US"/>
        </w:rPr>
        <w:t>5.2 – Révision et dénonciation de l’accord</w:t>
      </w:r>
    </w:p>
    <w:p w14:paraId="77731DAB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F732BB">
        <w:rPr>
          <w:rFonts w:ascii="Arial" w:eastAsia="Calibri" w:hAnsi="Arial" w:cs="Arial"/>
          <w:sz w:val="20"/>
          <w:szCs w:val="20"/>
          <w:lang w:eastAsia="en-US"/>
        </w:rPr>
        <w:t>Il pourra être dénoncé ou révisé, à tout moment, conformément aux dispositions légales.</w:t>
      </w:r>
    </w:p>
    <w:p w14:paraId="1646276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</w:p>
    <w:p w14:paraId="1C616A44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  <w:r w:rsidRPr="00F732BB">
        <w:rPr>
          <w:rFonts w:ascii="Arial" w:eastAsia="MS Mincho" w:hAnsi="Arial" w:cs="Arial"/>
          <w:b/>
          <w:bCs/>
          <w:sz w:val="20"/>
          <w:szCs w:val="20"/>
          <w:u w:val="single"/>
        </w:rPr>
        <w:t>Article 6 - Interprétation</w:t>
      </w:r>
    </w:p>
    <w:p w14:paraId="603664C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  <w:r w:rsidRPr="00F732BB">
        <w:rPr>
          <w:rFonts w:ascii="Arial" w:eastAsia="MS Mincho" w:hAnsi="Arial" w:cs="Arial"/>
          <w:sz w:val="20"/>
          <w:szCs w:val="20"/>
        </w:rPr>
        <w:t xml:space="preserve">En cas de difficulté d’interprétation du présent accord, une commission d’interprétation pourra être saisie. Celle-ci sera composée des membres suivants : </w:t>
      </w:r>
    </w:p>
    <w:p w14:paraId="21C426D8" w14:textId="2CE1A041" w:rsidR="00F732BB" w:rsidRPr="00F732BB" w:rsidRDefault="0031202D" w:rsidP="00F732BB">
      <w:pPr>
        <w:numPr>
          <w:ilvl w:val="0"/>
          <w:numId w:val="1"/>
        </w:num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Un membre du CSE</w:t>
      </w:r>
      <w:r w:rsidR="00F732BB" w:rsidRPr="00F732BB">
        <w:rPr>
          <w:rFonts w:ascii="Arial" w:eastAsia="MS Mincho" w:hAnsi="Arial" w:cs="Arial"/>
          <w:sz w:val="20"/>
          <w:szCs w:val="20"/>
        </w:rPr>
        <w:t>. A défaut de représentant</w:t>
      </w:r>
      <w:r>
        <w:rPr>
          <w:rFonts w:ascii="Arial" w:eastAsia="MS Mincho" w:hAnsi="Arial" w:cs="Arial"/>
          <w:sz w:val="20"/>
          <w:szCs w:val="20"/>
        </w:rPr>
        <w:t>s</w:t>
      </w:r>
      <w:r w:rsidR="00F732BB" w:rsidRPr="00F732BB">
        <w:rPr>
          <w:rFonts w:ascii="Arial" w:eastAsia="MS Mincho" w:hAnsi="Arial" w:cs="Arial"/>
          <w:sz w:val="20"/>
          <w:szCs w:val="20"/>
        </w:rPr>
        <w:t xml:space="preserve"> du personnel</w:t>
      </w:r>
      <w:r>
        <w:rPr>
          <w:rFonts w:ascii="Arial" w:eastAsia="MS Mincho" w:hAnsi="Arial" w:cs="Arial"/>
          <w:sz w:val="20"/>
          <w:szCs w:val="20"/>
        </w:rPr>
        <w:t>,</w:t>
      </w:r>
      <w:r w:rsidR="00F732BB" w:rsidRPr="00F732BB">
        <w:rPr>
          <w:rFonts w:ascii="Arial" w:eastAsia="MS Mincho" w:hAnsi="Arial" w:cs="Arial"/>
          <w:sz w:val="20"/>
          <w:szCs w:val="20"/>
        </w:rPr>
        <w:t xml:space="preserve"> un </w:t>
      </w:r>
      <w:r>
        <w:rPr>
          <w:rFonts w:ascii="Arial" w:eastAsia="MS Mincho" w:hAnsi="Arial" w:cs="Arial"/>
          <w:sz w:val="20"/>
          <w:szCs w:val="20"/>
        </w:rPr>
        <w:t>salarié</w:t>
      </w:r>
      <w:r w:rsidR="00F732BB" w:rsidRPr="00F732BB">
        <w:rPr>
          <w:rFonts w:ascii="Arial" w:eastAsia="MS Mincho" w:hAnsi="Arial" w:cs="Arial"/>
          <w:sz w:val="20"/>
          <w:szCs w:val="20"/>
        </w:rPr>
        <w:t xml:space="preserve"> volontaire </w:t>
      </w:r>
      <w:r>
        <w:rPr>
          <w:rFonts w:ascii="Arial" w:eastAsia="MS Mincho" w:hAnsi="Arial" w:cs="Arial"/>
          <w:sz w:val="20"/>
          <w:szCs w:val="20"/>
        </w:rPr>
        <w:t>(e</w:t>
      </w:r>
      <w:r w:rsidR="00F732BB" w:rsidRPr="00F732BB">
        <w:rPr>
          <w:rFonts w:ascii="Arial" w:eastAsia="MS Mincho" w:hAnsi="Arial" w:cs="Arial"/>
          <w:sz w:val="20"/>
          <w:szCs w:val="20"/>
        </w:rPr>
        <w:t>n cas de pluralité de candidats, le salarié sera désigné à la plus forte moyenne</w:t>
      </w:r>
      <w:r>
        <w:rPr>
          <w:rFonts w:ascii="Arial" w:eastAsia="MS Mincho" w:hAnsi="Arial" w:cs="Arial"/>
          <w:sz w:val="20"/>
          <w:szCs w:val="20"/>
        </w:rPr>
        <w:t>)</w:t>
      </w:r>
      <w:r w:rsidR="00F732BB" w:rsidRPr="00F732BB">
        <w:rPr>
          <w:rFonts w:ascii="Arial" w:eastAsia="MS Mincho" w:hAnsi="Arial" w:cs="Arial"/>
          <w:sz w:val="20"/>
          <w:szCs w:val="20"/>
        </w:rPr>
        <w:t>.</w:t>
      </w:r>
    </w:p>
    <w:p w14:paraId="7D12E111" w14:textId="3DBF3F92" w:rsidR="00F732BB" w:rsidRPr="00F732BB" w:rsidRDefault="00F732BB" w:rsidP="00F732BB">
      <w:pPr>
        <w:numPr>
          <w:ilvl w:val="0"/>
          <w:numId w:val="1"/>
        </w:num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  <w:r w:rsidRPr="00F732BB">
        <w:rPr>
          <w:rFonts w:ascii="Arial" w:eastAsia="MS Mincho" w:hAnsi="Arial" w:cs="Arial"/>
          <w:sz w:val="20"/>
          <w:szCs w:val="20"/>
        </w:rPr>
        <w:t>L’employeur</w:t>
      </w:r>
      <w:r w:rsidR="0031202D">
        <w:rPr>
          <w:rFonts w:ascii="Arial" w:eastAsia="MS Mincho" w:hAnsi="Arial" w:cs="Arial"/>
          <w:sz w:val="20"/>
          <w:szCs w:val="20"/>
        </w:rPr>
        <w:t>,</w:t>
      </w:r>
      <w:r w:rsidRPr="00F732BB">
        <w:rPr>
          <w:rFonts w:ascii="Arial" w:eastAsia="MS Mincho" w:hAnsi="Arial" w:cs="Arial"/>
          <w:sz w:val="20"/>
          <w:szCs w:val="20"/>
        </w:rPr>
        <w:t xml:space="preserve"> éventuellement assisté par un salarié</w:t>
      </w:r>
      <w:r w:rsidR="0031202D">
        <w:rPr>
          <w:rFonts w:ascii="Arial" w:eastAsia="MS Mincho" w:hAnsi="Arial" w:cs="Arial"/>
          <w:sz w:val="20"/>
          <w:szCs w:val="20"/>
        </w:rPr>
        <w:t xml:space="preserve">. </w:t>
      </w:r>
    </w:p>
    <w:p w14:paraId="585136A5" w14:textId="66CDA013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  <w:r w:rsidRPr="00F732BB">
        <w:rPr>
          <w:rFonts w:ascii="Arial" w:eastAsia="MS Mincho" w:hAnsi="Arial" w:cs="Arial"/>
          <w:sz w:val="20"/>
          <w:szCs w:val="20"/>
        </w:rPr>
        <w:t>Cette saisine sera formulée par écrit et adressée à toutes les parties.</w:t>
      </w:r>
    </w:p>
    <w:p w14:paraId="3EAA405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  <w:r w:rsidRPr="00F732BB">
        <w:rPr>
          <w:rFonts w:ascii="Arial" w:eastAsia="MS Mincho" w:hAnsi="Arial" w:cs="Arial"/>
          <w:sz w:val="20"/>
          <w:szCs w:val="20"/>
        </w:rPr>
        <w:t>Au plus tard un mois après sa saisine, la commission rendra un rapport en faisant part de son analyse et de son avis. Ce rapport sera communiqué à l’ensemble des salariés par voie d’affichage.</w:t>
      </w:r>
    </w:p>
    <w:p w14:paraId="24723E3E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4DCA89B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  <w:r w:rsidRPr="00F732BB">
        <w:rPr>
          <w:rFonts w:ascii="Arial" w:eastAsia="MS Mincho" w:hAnsi="Arial" w:cs="Arial"/>
          <w:b/>
          <w:bCs/>
          <w:sz w:val="20"/>
          <w:szCs w:val="20"/>
          <w:u w:val="single"/>
        </w:rPr>
        <w:t xml:space="preserve">Article 7 – Publicité </w:t>
      </w:r>
    </w:p>
    <w:p w14:paraId="6E113BD7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F732BB">
        <w:rPr>
          <w:rFonts w:ascii="Arial" w:eastAsia="Calibri" w:hAnsi="Arial" w:cs="Arial"/>
          <w:sz w:val="20"/>
          <w:szCs w:val="20"/>
        </w:rPr>
        <w:t>Le présent accord sera déposé sur la plateforme de téléprocédure dans des conditions prévues par voie réglementaire, conformément aux dispositions de l’article L.2232-29-1 du code du travail.</w:t>
      </w:r>
    </w:p>
    <w:p w14:paraId="2631A091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F732BB">
        <w:rPr>
          <w:rFonts w:ascii="Arial" w:eastAsia="Calibri" w:hAnsi="Arial" w:cs="Arial"/>
          <w:sz w:val="20"/>
          <w:szCs w:val="20"/>
        </w:rPr>
        <w:t>A ce titre, il sera déposé sur la plateforme de téléprocédure du Ministère du travail : https://www.teleaccords.travail-emploi.gouv.fr</w:t>
      </w:r>
    </w:p>
    <w:p w14:paraId="58E99F16" w14:textId="301A78D4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F732BB">
        <w:rPr>
          <w:rFonts w:ascii="Arial" w:eastAsia="Calibri" w:hAnsi="Arial" w:cs="Arial"/>
          <w:sz w:val="20"/>
          <w:szCs w:val="20"/>
        </w:rPr>
        <w:lastRenderedPageBreak/>
        <w:t xml:space="preserve">Il sera également déposé au Conseil de prud’hommes </w:t>
      </w:r>
      <w:r w:rsidR="0031202D">
        <w:rPr>
          <w:rFonts w:ascii="Arial" w:eastAsia="Calibri" w:hAnsi="Arial" w:cs="Arial"/>
          <w:sz w:val="20"/>
          <w:szCs w:val="20"/>
        </w:rPr>
        <w:t>de Fréjus</w:t>
      </w:r>
      <w:r w:rsidRPr="00F732BB">
        <w:rPr>
          <w:rFonts w:ascii="Arial" w:eastAsia="Calibri" w:hAnsi="Arial" w:cs="Arial"/>
          <w:sz w:val="20"/>
          <w:szCs w:val="20"/>
        </w:rPr>
        <w:t>.</w:t>
      </w:r>
    </w:p>
    <w:p w14:paraId="1588E29D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F732BB">
        <w:rPr>
          <w:rFonts w:ascii="Arial" w:eastAsia="Calibri" w:hAnsi="Arial" w:cs="Arial"/>
          <w:sz w:val="20"/>
          <w:szCs w:val="20"/>
        </w:rPr>
        <w:t xml:space="preserve">Le présent accord est fait en nombre suffisant pour remise à chacune des parties. </w:t>
      </w:r>
    </w:p>
    <w:p w14:paraId="3F6A6FC9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F732BB">
        <w:rPr>
          <w:rFonts w:ascii="Arial" w:eastAsia="Calibri" w:hAnsi="Arial" w:cs="Arial"/>
          <w:sz w:val="20"/>
          <w:szCs w:val="20"/>
        </w:rPr>
        <w:t>Son existence figurera aux emplacements réservés à la communication avec le personnel.</w:t>
      </w:r>
    </w:p>
    <w:p w14:paraId="714F482F" w14:textId="77777777" w:rsidR="00F732BB" w:rsidRPr="00F732BB" w:rsidRDefault="00F732BB" w:rsidP="00F732BB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9912EEF" w14:textId="51D4D24A" w:rsidR="00F732BB" w:rsidRPr="00F732BB" w:rsidRDefault="00F732BB" w:rsidP="00F732BB">
      <w:pPr>
        <w:spacing w:after="160" w:line="259" w:lineRule="auto"/>
        <w:jc w:val="both"/>
        <w:rPr>
          <w:rFonts w:ascii="Arial" w:eastAsia="MS Mincho" w:hAnsi="Arial" w:cs="Arial"/>
          <w:bCs/>
          <w:sz w:val="20"/>
          <w:szCs w:val="20"/>
        </w:rPr>
      </w:pPr>
      <w:r w:rsidRPr="00F732BB">
        <w:rPr>
          <w:rFonts w:ascii="Arial" w:eastAsia="MS Mincho" w:hAnsi="Arial" w:cs="Arial"/>
          <w:bCs/>
          <w:sz w:val="20"/>
          <w:szCs w:val="20"/>
        </w:rPr>
        <w:t xml:space="preserve">Fait à </w:t>
      </w:r>
      <w:r w:rsidR="00963790">
        <w:rPr>
          <w:rFonts w:ascii="Arial" w:eastAsia="MS Mincho" w:hAnsi="Arial" w:cs="Arial"/>
          <w:bCs/>
          <w:sz w:val="20"/>
          <w:szCs w:val="20"/>
        </w:rPr>
        <w:t>Roquebrune sur A</w:t>
      </w:r>
      <w:r w:rsidR="0031202D">
        <w:rPr>
          <w:rFonts w:ascii="Arial" w:eastAsia="MS Mincho" w:hAnsi="Arial" w:cs="Arial"/>
          <w:bCs/>
          <w:sz w:val="20"/>
          <w:szCs w:val="20"/>
        </w:rPr>
        <w:t>rgens,</w:t>
      </w:r>
      <w:r w:rsidRPr="00F732BB">
        <w:rPr>
          <w:rFonts w:ascii="Arial" w:eastAsia="MS Mincho" w:hAnsi="Arial" w:cs="Arial"/>
          <w:bCs/>
          <w:sz w:val="20"/>
          <w:szCs w:val="20"/>
        </w:rPr>
        <w:t xml:space="preserve"> le </w:t>
      </w:r>
      <w:r w:rsidR="00963790" w:rsidRPr="00963790">
        <w:rPr>
          <w:rFonts w:ascii="Arial" w:eastAsia="MS Mincho" w:hAnsi="Arial" w:cs="Arial"/>
          <w:bCs/>
          <w:sz w:val="20"/>
          <w:szCs w:val="20"/>
        </w:rPr>
        <w:t>09 mars</w:t>
      </w:r>
      <w:r w:rsidR="0031202D" w:rsidRPr="00963790">
        <w:rPr>
          <w:rFonts w:ascii="Arial" w:eastAsia="MS Mincho" w:hAnsi="Arial" w:cs="Arial"/>
          <w:bCs/>
          <w:sz w:val="20"/>
          <w:szCs w:val="20"/>
        </w:rPr>
        <w:t xml:space="preserve"> </w:t>
      </w:r>
      <w:r w:rsidRPr="00963790">
        <w:rPr>
          <w:rFonts w:ascii="Arial" w:eastAsia="MS Mincho" w:hAnsi="Arial" w:cs="Arial"/>
          <w:bCs/>
          <w:sz w:val="20"/>
          <w:szCs w:val="20"/>
        </w:rPr>
        <w:t>202</w:t>
      </w:r>
      <w:r w:rsidR="0031202D" w:rsidRPr="00963790">
        <w:rPr>
          <w:rFonts w:ascii="Arial" w:eastAsia="MS Mincho" w:hAnsi="Arial" w:cs="Arial"/>
          <w:bCs/>
          <w:sz w:val="20"/>
          <w:szCs w:val="20"/>
        </w:rPr>
        <w:t>6</w:t>
      </w:r>
      <w:r w:rsidRPr="00F732BB">
        <w:rPr>
          <w:rFonts w:ascii="Arial" w:eastAsia="MS Mincho" w:hAnsi="Arial" w:cs="Arial"/>
          <w:bCs/>
          <w:sz w:val="20"/>
          <w:szCs w:val="20"/>
        </w:rPr>
        <w:t xml:space="preserve"> en </w:t>
      </w:r>
      <w:r w:rsidR="0031202D">
        <w:rPr>
          <w:rFonts w:ascii="Arial" w:eastAsia="MS Mincho" w:hAnsi="Arial" w:cs="Arial"/>
          <w:bCs/>
          <w:sz w:val="20"/>
          <w:szCs w:val="20"/>
        </w:rPr>
        <w:t>4</w:t>
      </w:r>
      <w:r w:rsidRPr="00F732BB">
        <w:rPr>
          <w:rFonts w:ascii="Arial" w:eastAsia="MS Mincho" w:hAnsi="Arial" w:cs="Arial"/>
          <w:bCs/>
          <w:sz w:val="20"/>
          <w:szCs w:val="20"/>
        </w:rPr>
        <w:t xml:space="preserve"> exemplaires originaux</w:t>
      </w:r>
      <w:r w:rsidR="0031202D">
        <w:rPr>
          <w:rFonts w:ascii="Arial" w:eastAsia="MS Mincho" w:hAnsi="Arial" w:cs="Arial"/>
          <w:bCs/>
          <w:sz w:val="20"/>
          <w:szCs w:val="20"/>
        </w:rPr>
        <w:t xml:space="preserve">. </w:t>
      </w:r>
    </w:p>
    <w:p w14:paraId="21C2440B" w14:textId="77777777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3"/>
        <w:gridCol w:w="4943"/>
      </w:tblGrid>
      <w:tr w:rsidR="00F732BB" w:rsidRPr="00F732BB" w14:paraId="6DB3DDD8" w14:textId="77777777" w:rsidTr="00D72797">
        <w:tc>
          <w:tcPr>
            <w:tcW w:w="4943" w:type="dxa"/>
          </w:tcPr>
          <w:p w14:paraId="34B91CD5" w14:textId="4D664F27" w:rsidR="00F732BB" w:rsidRPr="00F732BB" w:rsidRDefault="00F732BB" w:rsidP="00D72797">
            <w:pPr>
              <w:spacing w:after="160" w:line="259" w:lineRule="auto"/>
              <w:rPr>
                <w:rFonts w:ascii="Arial" w:eastAsia="MS Mincho" w:hAnsi="Arial" w:cs="Arial"/>
                <w:sz w:val="20"/>
                <w:szCs w:val="20"/>
              </w:rPr>
            </w:pPr>
            <w:r w:rsidRPr="00F732BB">
              <w:rPr>
                <w:rFonts w:ascii="Arial" w:eastAsia="MS Mincho" w:hAnsi="Arial" w:cs="Arial"/>
                <w:b/>
                <w:sz w:val="20"/>
                <w:szCs w:val="20"/>
              </w:rPr>
              <w:t xml:space="preserve">Pour la société </w:t>
            </w:r>
            <w:r w:rsidR="0031202D">
              <w:rPr>
                <w:rFonts w:ascii="Arial" w:eastAsia="DejaVu Sans" w:hAnsi="Arial" w:cs="Arial"/>
                <w:b/>
                <w:kern w:val="2"/>
                <w:sz w:val="20"/>
                <w:szCs w:val="20"/>
                <w:lang w:eastAsia="zh-CN"/>
              </w:rPr>
              <w:t>EMROC</w:t>
            </w:r>
          </w:p>
          <w:p w14:paraId="3C93F21E" w14:textId="151D1F49" w:rsidR="00F732BB" w:rsidRPr="00F732BB" w:rsidRDefault="0031202D" w:rsidP="005F687E">
            <w:pPr>
              <w:spacing w:after="160" w:line="259" w:lineRule="auto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M</w:t>
            </w:r>
            <w:r w:rsidR="00370352">
              <w:rPr>
                <w:rFonts w:ascii="Arial" w:eastAsia="MS Mincho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943" w:type="dxa"/>
          </w:tcPr>
          <w:p w14:paraId="12BC4177" w14:textId="77777777" w:rsidR="00F732BB" w:rsidRPr="00F732BB" w:rsidRDefault="00F732BB" w:rsidP="00D72797">
            <w:pPr>
              <w:overflowPunct w:val="0"/>
              <w:autoSpaceDE w:val="0"/>
              <w:textAlignment w:val="baseline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F732BB">
              <w:rPr>
                <w:rFonts w:ascii="Arial" w:eastAsia="MS Mincho" w:hAnsi="Arial" w:cs="Arial"/>
                <w:b/>
                <w:sz w:val="20"/>
                <w:szCs w:val="20"/>
              </w:rPr>
              <w:t>Le délégué du personnel membre titulaire du CSE</w:t>
            </w:r>
          </w:p>
          <w:p w14:paraId="32407421" w14:textId="1945F65C" w:rsidR="00F732BB" w:rsidRPr="00F732BB" w:rsidRDefault="0031202D" w:rsidP="005F687E">
            <w:pPr>
              <w:spacing w:after="160" w:line="259" w:lineRule="auto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M</w:t>
            </w:r>
            <w:r w:rsidR="00370352">
              <w:rPr>
                <w:rFonts w:ascii="Arial" w:eastAsia="MS Mincho" w:hAnsi="Arial" w:cs="Arial"/>
                <w:sz w:val="20"/>
                <w:szCs w:val="20"/>
              </w:rPr>
              <w:t>.</w:t>
            </w:r>
            <w:r w:rsidR="00370352" w:rsidRPr="00963790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</w:p>
        </w:tc>
      </w:tr>
    </w:tbl>
    <w:p w14:paraId="285288BA" w14:textId="77777777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b/>
          <w:sz w:val="20"/>
          <w:szCs w:val="20"/>
        </w:rPr>
      </w:pPr>
    </w:p>
    <w:p w14:paraId="015418B9" w14:textId="77777777" w:rsidR="00F732BB" w:rsidRPr="00F732BB" w:rsidRDefault="00F732BB" w:rsidP="00F732BB">
      <w:pPr>
        <w:spacing w:after="160" w:line="259" w:lineRule="auto"/>
        <w:rPr>
          <w:rFonts w:ascii="Arial" w:eastAsia="MS Mincho" w:hAnsi="Arial" w:cs="Arial"/>
          <w:b/>
          <w:sz w:val="20"/>
          <w:szCs w:val="20"/>
        </w:rPr>
      </w:pPr>
    </w:p>
    <w:p w14:paraId="124519D2" w14:textId="77777777" w:rsidR="00F732BB" w:rsidRPr="00F732BB" w:rsidRDefault="00F732BB" w:rsidP="00F732BB">
      <w:pPr>
        <w:rPr>
          <w:rFonts w:ascii="Arial" w:hAnsi="Arial" w:cs="Arial"/>
          <w:sz w:val="20"/>
          <w:szCs w:val="20"/>
        </w:rPr>
      </w:pPr>
    </w:p>
    <w:p w14:paraId="1962D1DA" w14:textId="77777777" w:rsidR="00C4205F" w:rsidRPr="00F732BB" w:rsidRDefault="00C4205F">
      <w:pPr>
        <w:rPr>
          <w:rFonts w:ascii="Arial" w:hAnsi="Arial" w:cs="Arial"/>
          <w:sz w:val="20"/>
          <w:szCs w:val="20"/>
        </w:rPr>
      </w:pPr>
    </w:p>
    <w:sectPr w:rsidR="00C4205F" w:rsidRPr="00F732BB" w:rsidSect="00F732BB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37698" w14:textId="77777777" w:rsidR="00E27CE3" w:rsidRDefault="00E27CE3">
      <w:r>
        <w:separator/>
      </w:r>
    </w:p>
  </w:endnote>
  <w:endnote w:type="continuationSeparator" w:id="0">
    <w:p w14:paraId="492DE993" w14:textId="77777777" w:rsidR="00E27CE3" w:rsidRDefault="00E2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Light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C51FF" w14:textId="77777777" w:rsidR="00F732BB" w:rsidRDefault="00F732BB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E0587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AD5A7" w14:textId="77777777" w:rsidR="00F732BB" w:rsidRDefault="00F732BB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E0587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B4B74" w14:textId="77777777" w:rsidR="00E27CE3" w:rsidRDefault="00E27CE3">
      <w:r>
        <w:separator/>
      </w:r>
    </w:p>
  </w:footnote>
  <w:footnote w:type="continuationSeparator" w:id="0">
    <w:p w14:paraId="6B1F9A93" w14:textId="77777777" w:rsidR="00E27CE3" w:rsidRDefault="00E27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C79CD" w14:textId="77777777" w:rsidR="00F732BB" w:rsidRDefault="00F732B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E28BE"/>
    <w:multiLevelType w:val="hybridMultilevel"/>
    <w:tmpl w:val="85766C58"/>
    <w:lvl w:ilvl="0" w:tplc="4FDE6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66AB1"/>
    <w:multiLevelType w:val="hybridMultilevel"/>
    <w:tmpl w:val="D21C28E4"/>
    <w:lvl w:ilvl="0" w:tplc="E3BC241E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hyphenationZone w:val="425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5F"/>
    <w:rsid w:val="0031202D"/>
    <w:rsid w:val="00364FDF"/>
    <w:rsid w:val="00370352"/>
    <w:rsid w:val="005F687E"/>
    <w:rsid w:val="0070088E"/>
    <w:rsid w:val="00731063"/>
    <w:rsid w:val="0076273A"/>
    <w:rsid w:val="00830F8D"/>
    <w:rsid w:val="00963790"/>
    <w:rsid w:val="00A16541"/>
    <w:rsid w:val="00BC0B1D"/>
    <w:rsid w:val="00BF7C03"/>
    <w:rsid w:val="00C4205F"/>
    <w:rsid w:val="00E05878"/>
    <w:rsid w:val="00E27CE3"/>
    <w:rsid w:val="00ED23B7"/>
    <w:rsid w:val="00F732BB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F4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  <w:semiHidden/>
  </w:style>
  <w:style w:type="character" w:styleId="Lienhypertexte">
    <w:name w:val="Hyperlink"/>
    <w:rPr>
      <w:color w:val="0000FF"/>
      <w:u w:val="single"/>
    </w:rPr>
  </w:style>
  <w:style w:type="table" w:styleId="Tableausimple1">
    <w:name w:val="Table Simple 1"/>
    <w:basedOn w:val="Tableau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F732BB"/>
    <w:pPr>
      <w:tabs>
        <w:tab w:val="center" w:pos="4536"/>
        <w:tab w:val="right" w:pos="9072"/>
      </w:tabs>
      <w:suppressAutoHyphens/>
      <w:overflowPunct w:val="0"/>
      <w:autoSpaceDE w:val="0"/>
      <w:jc w:val="both"/>
      <w:textAlignment w:val="baseline"/>
    </w:pPr>
    <w:rPr>
      <w:rFonts w:ascii="Gotham Light" w:eastAsia="Times New Roman" w:hAnsi="Gotham Light" w:cs="Gotham Light"/>
      <w:color w:val="102542"/>
      <w:kern w:val="2"/>
      <w:sz w:val="20"/>
      <w:u w:color="000000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F732BB"/>
    <w:rPr>
      <w:rFonts w:ascii="Gotham Light" w:eastAsia="Times New Roman" w:hAnsi="Gotham Light" w:cs="Gotham Light"/>
      <w:color w:val="102542"/>
      <w:kern w:val="2"/>
      <w:sz w:val="20"/>
      <w:u w:color="000000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F732BB"/>
    <w:pPr>
      <w:tabs>
        <w:tab w:val="center" w:pos="4536"/>
        <w:tab w:val="right" w:pos="9072"/>
      </w:tabs>
      <w:suppressAutoHyphens/>
      <w:jc w:val="both"/>
    </w:pPr>
    <w:rPr>
      <w:rFonts w:ascii="Gotham Light" w:eastAsia="Times New Roman" w:hAnsi="Gotham Light" w:cs="Times New Roman"/>
      <w:color w:val="102542"/>
      <w:kern w:val="3"/>
      <w:sz w:val="20"/>
      <w:u w:color="000000"/>
    </w:rPr>
  </w:style>
  <w:style w:type="character" w:customStyle="1" w:styleId="En-tteCar">
    <w:name w:val="En-tête Car"/>
    <w:basedOn w:val="Policepardfaut"/>
    <w:link w:val="En-tte"/>
    <w:uiPriority w:val="99"/>
    <w:rsid w:val="00F732BB"/>
    <w:rPr>
      <w:rFonts w:ascii="Gotham Light" w:eastAsia="Times New Roman" w:hAnsi="Gotham Light" w:cs="Times New Roman"/>
      <w:color w:val="102542"/>
      <w:kern w:val="3"/>
      <w:sz w:val="2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  <w:semiHidden/>
  </w:style>
  <w:style w:type="character" w:styleId="Lienhypertexte">
    <w:name w:val="Hyperlink"/>
    <w:rPr>
      <w:color w:val="0000FF"/>
      <w:u w:val="single"/>
    </w:rPr>
  </w:style>
  <w:style w:type="table" w:styleId="Tableausimple1">
    <w:name w:val="Table Simple 1"/>
    <w:basedOn w:val="Tableau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F732BB"/>
    <w:pPr>
      <w:tabs>
        <w:tab w:val="center" w:pos="4536"/>
        <w:tab w:val="right" w:pos="9072"/>
      </w:tabs>
      <w:suppressAutoHyphens/>
      <w:overflowPunct w:val="0"/>
      <w:autoSpaceDE w:val="0"/>
      <w:jc w:val="both"/>
      <w:textAlignment w:val="baseline"/>
    </w:pPr>
    <w:rPr>
      <w:rFonts w:ascii="Gotham Light" w:eastAsia="Times New Roman" w:hAnsi="Gotham Light" w:cs="Gotham Light"/>
      <w:color w:val="102542"/>
      <w:kern w:val="2"/>
      <w:sz w:val="20"/>
      <w:u w:color="000000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F732BB"/>
    <w:rPr>
      <w:rFonts w:ascii="Gotham Light" w:eastAsia="Times New Roman" w:hAnsi="Gotham Light" w:cs="Gotham Light"/>
      <w:color w:val="102542"/>
      <w:kern w:val="2"/>
      <w:sz w:val="20"/>
      <w:u w:color="000000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F732BB"/>
    <w:pPr>
      <w:tabs>
        <w:tab w:val="center" w:pos="4536"/>
        <w:tab w:val="right" w:pos="9072"/>
      </w:tabs>
      <w:suppressAutoHyphens/>
      <w:jc w:val="both"/>
    </w:pPr>
    <w:rPr>
      <w:rFonts w:ascii="Gotham Light" w:eastAsia="Times New Roman" w:hAnsi="Gotham Light" w:cs="Times New Roman"/>
      <w:color w:val="102542"/>
      <w:kern w:val="3"/>
      <w:sz w:val="20"/>
      <w:u w:color="000000"/>
    </w:rPr>
  </w:style>
  <w:style w:type="character" w:customStyle="1" w:styleId="En-tteCar">
    <w:name w:val="En-tête Car"/>
    <w:basedOn w:val="Policepardfaut"/>
    <w:link w:val="En-tte"/>
    <w:uiPriority w:val="99"/>
    <w:rsid w:val="00F732BB"/>
    <w:rPr>
      <w:rFonts w:ascii="Gotham Light" w:eastAsia="Times New Roman" w:hAnsi="Gotham Light" w:cs="Times New Roman"/>
      <w:color w:val="102542"/>
      <w:kern w:val="3"/>
      <w:sz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8E76A079</Template>
  <TotalTime>0</TotalTime>
  <Pages>3</Pages>
  <Words>684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STIME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DA SILVA</dc:creator>
  <cp:lastModifiedBy>***</cp:lastModifiedBy>
  <cp:revision>2</cp:revision>
  <dcterms:created xsi:type="dcterms:W3CDTF">2026-03-26T07:19:00Z</dcterms:created>
  <dcterms:modified xsi:type="dcterms:W3CDTF">2026-03-26T07:19:00Z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Doc">
    <vt:lpwstr>526183403</vt:lpwstr>
  </property>
  <property fmtid="{D5CDD505-2E9C-101B-9397-08002B2CF9AE}" pid="3" name="adxRibbonCheckBoxElectionsVisible">
    <vt:lpwstr>N</vt:lpwstr>
  </property>
  <property fmtid="{D5CDD505-2E9C-101B-9397-08002B2CF9AE}" pid="4" name="FROMMODELE">
    <vt:lpwstr>N</vt:lpwstr>
  </property>
  <property fmtid="{D5CDD505-2E9C-101B-9397-08002B2CF9AE}" pid="5" name="FROMBIBLE">
    <vt:lpwstr>N</vt:lpwstr>
  </property>
  <property fmtid="{D5CDD505-2E9C-101B-9397-08002B2CF9AE}" pid="6" name="FROMDOCUMENT">
    <vt:lpwstr>O</vt:lpwstr>
  </property>
  <property fmtid="{D5CDD505-2E9C-101B-9397-08002B2CF9AE}" pid="7" name="adxRibbonMenuTrames">
    <vt:lpwstr>O</vt:lpwstr>
  </property>
  <property fmtid="{D5CDD505-2E9C-101B-9397-08002B2CF9AE}" pid="8" name="adxRibbonButtonInsertSignatures">
    <vt:lpwstr>O</vt:lpwstr>
  </property>
  <property fmtid="{D5CDD505-2E9C-101B-9397-08002B2CF9AE}" pid="9" name="adxRibbonButtonSaveIrys">
    <vt:lpwstr>O</vt:lpwstr>
  </property>
  <property fmtid="{D5CDD505-2E9C-101B-9397-08002B2CF9AE}" pid="10" name="adxRibbonButtonChemin">
    <vt:lpwstr>N</vt:lpwstr>
  </property>
</Properties>
</file>