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5D5F7" w14:textId="20268EC4" w:rsidR="00837712" w:rsidRDefault="00837712" w:rsidP="00F14B90"/>
    <w:p w14:paraId="5DF7F710" w14:textId="77777777" w:rsidR="005B09E0" w:rsidRDefault="00C70968" w:rsidP="00C70968">
      <w:pPr>
        <w:rPr>
          <w:rFonts w:ascii="Arial" w:hAnsi="Arial" w:cs="Arial"/>
          <w:b/>
          <w:color w:val="000000"/>
        </w:rPr>
      </w:pP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p>
    <w:p w14:paraId="58A20179" w14:textId="77777777" w:rsidR="005B09E0" w:rsidRPr="003C002F" w:rsidRDefault="005B09E0" w:rsidP="00C70968">
      <w:pPr>
        <w:rPr>
          <w:rFonts w:ascii="Arial" w:hAnsi="Arial" w:cs="Arial"/>
          <w:b/>
          <w:color w:val="000000"/>
        </w:rPr>
      </w:pPr>
    </w:p>
    <w:p w14:paraId="63449E32" w14:textId="0CCE1255" w:rsidR="00C70968" w:rsidRPr="003C002F" w:rsidRDefault="00C70968" w:rsidP="00C70968">
      <w:pPr>
        <w:rPr>
          <w:rFonts w:ascii="Arial" w:hAnsi="Arial" w:cs="Arial"/>
          <w:b/>
          <w:color w:val="000000"/>
        </w:rPr>
      </w:pPr>
      <w:r w:rsidRPr="003C002F">
        <w:rPr>
          <w:rFonts w:ascii="Arial" w:hAnsi="Arial" w:cs="Arial"/>
          <w:b/>
          <w:color w:val="000000"/>
        </w:rPr>
        <w:tab/>
      </w:r>
      <w:r w:rsidRPr="003C002F">
        <w:rPr>
          <w:rFonts w:ascii="Arial" w:hAnsi="Arial" w:cs="Arial"/>
          <w:b/>
          <w:color w:val="000000"/>
        </w:rPr>
        <w:tab/>
      </w:r>
      <w:r w:rsidRPr="003C002F">
        <w:rPr>
          <w:rFonts w:ascii="Arial" w:hAnsi="Arial" w:cs="Arial"/>
          <w:b/>
          <w:color w:val="000000"/>
        </w:rPr>
        <w:tab/>
      </w:r>
    </w:p>
    <w:p w14:paraId="5A75C605" w14:textId="77777777" w:rsidR="00C70968" w:rsidRPr="003C002F" w:rsidRDefault="00C70968" w:rsidP="00C70968">
      <w:pPr>
        <w:jc w:val="center"/>
        <w:rPr>
          <w:rFonts w:ascii="Calibri" w:hAnsi="Calibri" w:cs="Calibri"/>
          <w:color w:val="000000"/>
        </w:rPr>
      </w:pPr>
    </w:p>
    <w:p w14:paraId="733AA733" w14:textId="65CE7B9C" w:rsidR="00C70968" w:rsidRPr="0080047E" w:rsidRDefault="00C70968" w:rsidP="003C002F">
      <w:pPr>
        <w:jc w:val="center"/>
        <w:rPr>
          <w:rFonts w:asciiTheme="majorHAnsi" w:hAnsiTheme="majorHAnsi" w:cstheme="majorHAnsi"/>
          <w:b/>
          <w:bCs/>
          <w:sz w:val="40"/>
          <w:szCs w:val="40"/>
        </w:rPr>
      </w:pPr>
      <w:r w:rsidRPr="0080047E">
        <w:rPr>
          <w:rFonts w:asciiTheme="majorHAnsi" w:hAnsiTheme="majorHAnsi" w:cstheme="majorHAnsi"/>
          <w:b/>
          <w:bCs/>
          <w:sz w:val="40"/>
          <w:szCs w:val="40"/>
        </w:rPr>
        <w:t xml:space="preserve">Unité Economique &amp; Sociale </w:t>
      </w:r>
      <w:r w:rsidR="00627577" w:rsidRPr="0080047E">
        <w:rPr>
          <w:rFonts w:asciiTheme="majorHAnsi" w:hAnsiTheme="majorHAnsi" w:cstheme="majorHAnsi"/>
          <w:b/>
          <w:bCs/>
          <w:sz w:val="40"/>
          <w:szCs w:val="40"/>
        </w:rPr>
        <w:t>AS4 Holding</w:t>
      </w:r>
      <w:r w:rsidRPr="0080047E">
        <w:rPr>
          <w:rFonts w:asciiTheme="majorHAnsi" w:hAnsiTheme="majorHAnsi" w:cstheme="majorHAnsi"/>
          <w:b/>
          <w:bCs/>
          <w:sz w:val="40"/>
          <w:szCs w:val="40"/>
        </w:rPr>
        <w:t xml:space="preserve"> – A</w:t>
      </w:r>
      <w:r w:rsidR="0080047E">
        <w:rPr>
          <w:rFonts w:asciiTheme="majorHAnsi" w:hAnsiTheme="majorHAnsi" w:cstheme="majorHAnsi"/>
          <w:b/>
          <w:bCs/>
          <w:sz w:val="40"/>
          <w:szCs w:val="40"/>
        </w:rPr>
        <w:t>GYSOFT</w:t>
      </w:r>
    </w:p>
    <w:p w14:paraId="3B8CBFF7" w14:textId="1976E0D4" w:rsidR="001B4321" w:rsidRPr="0080047E" w:rsidRDefault="00C70968" w:rsidP="003C002F">
      <w:pPr>
        <w:ind w:firstLine="708"/>
        <w:jc w:val="center"/>
        <w:rPr>
          <w:rFonts w:asciiTheme="majorHAnsi" w:hAnsiTheme="majorHAnsi" w:cstheme="majorHAnsi"/>
          <w:b/>
          <w:bCs/>
          <w:sz w:val="40"/>
          <w:szCs w:val="40"/>
        </w:rPr>
      </w:pPr>
      <w:r w:rsidRPr="0080047E">
        <w:rPr>
          <w:rFonts w:asciiTheme="majorHAnsi" w:hAnsiTheme="majorHAnsi" w:cstheme="majorHAnsi"/>
          <w:b/>
          <w:bCs/>
          <w:sz w:val="40"/>
          <w:szCs w:val="40"/>
        </w:rPr>
        <w:t>Accord Compte Epargne Temps</w:t>
      </w:r>
    </w:p>
    <w:p w14:paraId="2C2D3342" w14:textId="59200AD9" w:rsidR="00C70968" w:rsidRPr="0080047E" w:rsidRDefault="00C70968" w:rsidP="003C002F">
      <w:pPr>
        <w:ind w:firstLine="708"/>
        <w:jc w:val="center"/>
        <w:rPr>
          <w:rFonts w:asciiTheme="majorHAnsi" w:hAnsiTheme="majorHAnsi" w:cstheme="majorHAnsi"/>
          <w:b/>
          <w:bCs/>
          <w:sz w:val="40"/>
          <w:szCs w:val="40"/>
        </w:rPr>
      </w:pPr>
      <w:r w:rsidRPr="0080047E">
        <w:rPr>
          <w:rFonts w:asciiTheme="majorHAnsi" w:hAnsiTheme="majorHAnsi" w:cstheme="majorHAnsi"/>
          <w:b/>
          <w:bCs/>
          <w:sz w:val="40"/>
          <w:szCs w:val="40"/>
        </w:rPr>
        <w:t>202</w:t>
      </w:r>
      <w:r w:rsidR="00627577" w:rsidRPr="0080047E">
        <w:rPr>
          <w:rFonts w:asciiTheme="majorHAnsi" w:hAnsiTheme="majorHAnsi" w:cstheme="majorHAnsi"/>
          <w:b/>
          <w:bCs/>
          <w:sz w:val="40"/>
          <w:szCs w:val="40"/>
        </w:rPr>
        <w:t>5</w:t>
      </w:r>
      <w:r w:rsidR="0080047E">
        <w:rPr>
          <w:rFonts w:asciiTheme="majorHAnsi" w:hAnsiTheme="majorHAnsi" w:cstheme="majorHAnsi"/>
          <w:b/>
          <w:bCs/>
          <w:sz w:val="40"/>
          <w:szCs w:val="40"/>
        </w:rPr>
        <w:t>_</w:t>
      </w:r>
      <w:r w:rsidRPr="0080047E">
        <w:rPr>
          <w:rFonts w:asciiTheme="majorHAnsi" w:hAnsiTheme="majorHAnsi" w:cstheme="majorHAnsi"/>
          <w:b/>
          <w:bCs/>
          <w:sz w:val="40"/>
          <w:szCs w:val="40"/>
        </w:rPr>
        <w:t>202</w:t>
      </w:r>
      <w:r w:rsidR="00FA5546" w:rsidRPr="0080047E">
        <w:rPr>
          <w:rFonts w:asciiTheme="majorHAnsi" w:hAnsiTheme="majorHAnsi" w:cstheme="majorHAnsi"/>
          <w:b/>
          <w:bCs/>
          <w:sz w:val="40"/>
          <w:szCs w:val="40"/>
        </w:rPr>
        <w:t>6</w:t>
      </w:r>
    </w:p>
    <w:p w14:paraId="6C47E71D" w14:textId="77777777" w:rsidR="00C70968" w:rsidRPr="003C002F" w:rsidRDefault="00C70968" w:rsidP="00C70968">
      <w:pPr>
        <w:jc w:val="center"/>
        <w:rPr>
          <w:rFonts w:ascii="Calibri" w:hAnsi="Calibri" w:cs="Calibri"/>
          <w:color w:val="000000"/>
        </w:rPr>
      </w:pPr>
    </w:p>
    <w:p w14:paraId="3AC9F06D" w14:textId="77777777" w:rsidR="003C002F" w:rsidRPr="003C002F" w:rsidRDefault="003C002F" w:rsidP="003C002F">
      <w:pPr>
        <w:pBdr>
          <w:bottom w:val="single" w:sz="4" w:space="1" w:color="auto"/>
        </w:pBdr>
        <w:jc w:val="both"/>
        <w:rPr>
          <w:rFonts w:asciiTheme="majorHAnsi" w:hAnsiTheme="majorHAnsi" w:cstheme="majorHAnsi"/>
        </w:rPr>
      </w:pPr>
    </w:p>
    <w:p w14:paraId="70194A01" w14:textId="77777777" w:rsidR="003C002F" w:rsidRPr="003C002F" w:rsidRDefault="003C002F" w:rsidP="003C002F">
      <w:pPr>
        <w:pStyle w:val="Titre1"/>
        <w:pBdr>
          <w:bottom w:val="single" w:sz="4" w:space="1" w:color="auto"/>
        </w:pBdr>
        <w:jc w:val="both"/>
        <w:rPr>
          <w:rFonts w:cstheme="majorHAnsi"/>
          <w:bCs/>
          <w:sz w:val="24"/>
          <w:szCs w:val="24"/>
        </w:rPr>
      </w:pPr>
    </w:p>
    <w:p w14:paraId="15390259" w14:textId="77777777" w:rsidR="003C002F" w:rsidRPr="003C002F" w:rsidRDefault="003C002F" w:rsidP="003C002F">
      <w:pPr>
        <w:pBdr>
          <w:bottom w:val="single" w:sz="4" w:space="1" w:color="auto"/>
        </w:pBdr>
        <w:jc w:val="both"/>
        <w:rPr>
          <w:rFonts w:asciiTheme="majorHAnsi" w:hAnsiTheme="majorHAnsi" w:cstheme="majorHAnsi"/>
        </w:rPr>
      </w:pPr>
    </w:p>
    <w:p w14:paraId="7AE06378" w14:textId="32200E3A" w:rsidR="00C74B81" w:rsidRPr="003C002F" w:rsidRDefault="003C002F" w:rsidP="003C002F">
      <w:pPr>
        <w:pStyle w:val="denom"/>
        <w:spacing w:before="400" w:after="0"/>
        <w:jc w:val="both"/>
        <w:rPr>
          <w:rFonts w:asciiTheme="majorHAnsi" w:eastAsia="Calibri" w:hAnsiTheme="majorHAnsi" w:cstheme="majorHAnsi"/>
          <w:b/>
          <w:lang w:eastAsia="en-US"/>
        </w:rPr>
      </w:pPr>
      <w:r w:rsidRPr="003C002F">
        <w:rPr>
          <w:rFonts w:asciiTheme="majorHAnsi" w:eastAsia="Calibri" w:hAnsiTheme="majorHAnsi" w:cstheme="majorHAnsi"/>
          <w:b/>
          <w:lang w:eastAsia="en-US"/>
        </w:rPr>
        <w:t>Entre</w:t>
      </w:r>
    </w:p>
    <w:p w14:paraId="75D3436C" w14:textId="7EBC65AC" w:rsidR="00C70968" w:rsidRPr="003C002F" w:rsidRDefault="00C70968" w:rsidP="00190DE5">
      <w:pPr>
        <w:pStyle w:val="denom"/>
        <w:spacing w:before="400" w:after="0"/>
        <w:jc w:val="both"/>
        <w:rPr>
          <w:rFonts w:asciiTheme="majorHAnsi" w:eastAsia="Calibri" w:hAnsiTheme="majorHAnsi" w:cstheme="majorHAnsi"/>
          <w:color w:val="000000"/>
          <w:lang w:eastAsia="en-US"/>
        </w:rPr>
      </w:pPr>
      <w:r w:rsidRPr="003C002F">
        <w:rPr>
          <w:rFonts w:asciiTheme="majorHAnsi" w:eastAsia="Calibri" w:hAnsiTheme="majorHAnsi" w:cstheme="majorHAnsi"/>
          <w:b/>
          <w:bCs/>
          <w:color w:val="000000"/>
          <w:lang w:eastAsia="en-US"/>
        </w:rPr>
        <w:t>L’Unité Economique et Sociale constituée des sociétés A</w:t>
      </w:r>
      <w:r w:rsidR="00627577" w:rsidRPr="003C002F">
        <w:rPr>
          <w:rFonts w:asciiTheme="majorHAnsi" w:eastAsia="Calibri" w:hAnsiTheme="majorHAnsi" w:cstheme="majorHAnsi"/>
          <w:b/>
          <w:bCs/>
          <w:color w:val="000000"/>
          <w:lang w:eastAsia="en-US"/>
        </w:rPr>
        <w:t>S4 Holding</w:t>
      </w:r>
      <w:r w:rsidRPr="003C002F">
        <w:rPr>
          <w:rFonts w:asciiTheme="majorHAnsi" w:eastAsia="Calibri" w:hAnsiTheme="majorHAnsi" w:cstheme="majorHAnsi"/>
          <w:b/>
          <w:bCs/>
          <w:color w:val="000000"/>
          <w:lang w:eastAsia="en-US"/>
        </w:rPr>
        <w:t xml:space="preserve"> et AGYSOFT</w:t>
      </w:r>
      <w:r w:rsidRPr="003C002F">
        <w:rPr>
          <w:rFonts w:asciiTheme="majorHAnsi" w:eastAsia="Calibri" w:hAnsiTheme="majorHAnsi" w:cstheme="majorHAnsi"/>
          <w:color w:val="000000"/>
          <w:lang w:eastAsia="en-US"/>
        </w:rPr>
        <w:t xml:space="preserve"> dont les sièges sociaux sont 560 rue Louis PASTEUR – Parc Euro médecine II, 34790 GRABELS, représentée par </w:t>
      </w:r>
      <w:r w:rsidR="00716661">
        <w:rPr>
          <w:rFonts w:asciiTheme="majorHAnsi" w:eastAsia="Calibri" w:hAnsiTheme="majorHAnsi" w:cstheme="majorHAnsi"/>
          <w:color w:val="000000"/>
          <w:lang w:eastAsia="en-US"/>
        </w:rPr>
        <w:t>**</w:t>
      </w:r>
      <w:r w:rsidR="00190DE5" w:rsidRPr="003C002F">
        <w:rPr>
          <w:rFonts w:asciiTheme="majorHAnsi" w:eastAsia="Calibri" w:hAnsiTheme="majorHAnsi" w:cstheme="majorHAnsi"/>
          <w:color w:val="000000"/>
          <w:lang w:eastAsia="en-US"/>
        </w:rPr>
        <w:t xml:space="preserve"> Directrice Ressources Humaines</w:t>
      </w:r>
      <w:r w:rsidRPr="003C002F">
        <w:rPr>
          <w:rFonts w:asciiTheme="majorHAnsi" w:eastAsia="Calibri" w:hAnsiTheme="majorHAnsi" w:cstheme="majorHAnsi"/>
          <w:color w:val="000000"/>
          <w:lang w:eastAsia="en-US"/>
        </w:rPr>
        <w:t xml:space="preserve"> Groupe</w:t>
      </w:r>
      <w:r w:rsidR="00190DE5" w:rsidRPr="003C002F">
        <w:rPr>
          <w:rFonts w:asciiTheme="majorHAnsi" w:eastAsia="Calibri" w:hAnsiTheme="majorHAnsi" w:cstheme="majorHAnsi"/>
          <w:color w:val="000000"/>
          <w:lang w:eastAsia="en-US"/>
        </w:rPr>
        <w:t>.</w:t>
      </w:r>
    </w:p>
    <w:p w14:paraId="44CE7FEB" w14:textId="77777777" w:rsidR="00C70968" w:rsidRPr="003C002F" w:rsidRDefault="00C70968" w:rsidP="00C70968">
      <w:pPr>
        <w:pStyle w:val="denom"/>
        <w:spacing w:before="400" w:after="0"/>
        <w:jc w:val="right"/>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D’une part,</w:t>
      </w:r>
    </w:p>
    <w:p w14:paraId="410E339C" w14:textId="77777777" w:rsidR="00C70968" w:rsidRPr="003C002F" w:rsidRDefault="00C70968" w:rsidP="00C70968">
      <w:pPr>
        <w:pStyle w:val="denom"/>
        <w:spacing w:before="400" w:after="0"/>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Et</w:t>
      </w:r>
    </w:p>
    <w:p w14:paraId="769E1A25" w14:textId="1BAD1457" w:rsidR="00C70968" w:rsidRPr="003C002F" w:rsidRDefault="00627577" w:rsidP="003C002F">
      <w:pPr>
        <w:pStyle w:val="denom"/>
        <w:spacing w:before="400" w:after="0"/>
        <w:jc w:val="both"/>
        <w:rPr>
          <w:rFonts w:asciiTheme="majorHAnsi" w:eastAsia="Calibri" w:hAnsiTheme="majorHAnsi" w:cstheme="majorHAnsi"/>
          <w:color w:val="000000"/>
          <w:lang w:eastAsia="en-US"/>
        </w:rPr>
      </w:pPr>
      <w:r w:rsidRPr="003C002F">
        <w:rPr>
          <w:rFonts w:asciiTheme="majorHAnsi" w:eastAsia="Calibri" w:hAnsiTheme="majorHAnsi" w:cstheme="majorHAnsi"/>
          <w:b/>
          <w:bCs/>
          <w:color w:val="000000"/>
          <w:lang w:eastAsia="en-US"/>
        </w:rPr>
        <w:t>Les représentants du personnel au sein du Comité Social et Economique (CSE),</w:t>
      </w:r>
      <w:r w:rsidRPr="003C002F">
        <w:rPr>
          <w:rFonts w:asciiTheme="majorHAnsi" w:eastAsia="Calibri" w:hAnsiTheme="majorHAnsi" w:cstheme="majorHAnsi"/>
          <w:color w:val="000000"/>
          <w:lang w:eastAsia="en-US"/>
        </w:rPr>
        <w:t xml:space="preserve"> statuant à la majorité des présents selon procès-verbal de la séance </w:t>
      </w:r>
      <w:r w:rsidR="003C002F" w:rsidRPr="003C002F">
        <w:rPr>
          <w:rFonts w:asciiTheme="majorHAnsi" w:eastAsia="Calibri" w:hAnsiTheme="majorHAnsi" w:cstheme="majorHAnsi"/>
          <w:color w:val="000000"/>
          <w:lang w:eastAsia="en-US"/>
        </w:rPr>
        <w:t xml:space="preserve">du 20 novembre 2025 </w:t>
      </w:r>
      <w:r w:rsidRPr="003C002F">
        <w:rPr>
          <w:rFonts w:asciiTheme="majorHAnsi" w:eastAsia="Calibri" w:hAnsiTheme="majorHAnsi" w:cstheme="majorHAnsi"/>
          <w:color w:val="000000"/>
          <w:lang w:eastAsia="en-US"/>
        </w:rPr>
        <w:t xml:space="preserve">à l’Accord, et représentés par </w:t>
      </w:r>
      <w:r w:rsidR="00716661">
        <w:rPr>
          <w:rFonts w:asciiTheme="majorHAnsi" w:eastAsia="Calibri" w:hAnsiTheme="majorHAnsi" w:cstheme="majorHAnsi"/>
          <w:color w:val="000000"/>
          <w:lang w:eastAsia="en-US"/>
        </w:rPr>
        <w:t>**</w:t>
      </w:r>
      <w:r w:rsidRPr="003C002F">
        <w:rPr>
          <w:rFonts w:asciiTheme="majorHAnsi" w:eastAsia="Calibri" w:hAnsiTheme="majorHAnsi" w:cstheme="majorHAnsi"/>
          <w:color w:val="000000"/>
          <w:lang w:eastAsia="en-US"/>
        </w:rPr>
        <w:t xml:space="preserve">, </w:t>
      </w:r>
      <w:r w:rsidR="00716661">
        <w:rPr>
          <w:rFonts w:asciiTheme="majorHAnsi" w:eastAsia="Calibri" w:hAnsiTheme="majorHAnsi" w:cstheme="majorHAnsi"/>
          <w:color w:val="000000"/>
          <w:lang w:eastAsia="en-US"/>
        </w:rPr>
        <w:t>**</w:t>
      </w:r>
      <w:r w:rsidRPr="003C002F">
        <w:rPr>
          <w:rFonts w:asciiTheme="majorHAnsi" w:eastAsia="Calibri" w:hAnsiTheme="majorHAnsi" w:cstheme="majorHAnsi"/>
          <w:color w:val="000000"/>
          <w:lang w:eastAsia="en-US"/>
        </w:rPr>
        <w:t xml:space="preserve">, </w:t>
      </w:r>
      <w:r w:rsidR="00716661">
        <w:rPr>
          <w:rFonts w:asciiTheme="majorHAnsi" w:eastAsia="Calibri" w:hAnsiTheme="majorHAnsi" w:cstheme="majorHAnsi"/>
          <w:color w:val="000000"/>
          <w:lang w:eastAsia="en-US"/>
        </w:rPr>
        <w:t>**</w:t>
      </w:r>
      <w:r w:rsidRPr="003C002F">
        <w:rPr>
          <w:rFonts w:asciiTheme="majorHAnsi" w:eastAsia="Calibri" w:hAnsiTheme="majorHAnsi" w:cstheme="majorHAnsi"/>
          <w:color w:val="000000"/>
          <w:lang w:eastAsia="en-US"/>
        </w:rPr>
        <w:t xml:space="preserve"> et </w:t>
      </w:r>
      <w:r w:rsidR="00716661">
        <w:rPr>
          <w:rFonts w:asciiTheme="majorHAnsi" w:eastAsia="Calibri" w:hAnsiTheme="majorHAnsi" w:cstheme="majorHAnsi"/>
          <w:color w:val="000000"/>
          <w:lang w:eastAsia="en-US"/>
        </w:rPr>
        <w:t>**</w:t>
      </w:r>
      <w:r w:rsidRPr="003C002F">
        <w:rPr>
          <w:rFonts w:asciiTheme="majorHAnsi" w:eastAsia="Calibri" w:hAnsiTheme="majorHAnsi" w:cstheme="majorHAnsi"/>
          <w:color w:val="000000"/>
          <w:lang w:eastAsia="en-US"/>
        </w:rPr>
        <w:t xml:space="preserve"> dument mandatés</w:t>
      </w:r>
      <w:r w:rsidR="00F40CF2" w:rsidRPr="003C002F">
        <w:rPr>
          <w:rFonts w:asciiTheme="majorHAnsi" w:eastAsia="Calibri" w:hAnsiTheme="majorHAnsi" w:cstheme="majorHAnsi"/>
          <w:color w:val="000000"/>
          <w:lang w:eastAsia="en-US"/>
        </w:rPr>
        <w:t xml:space="preserve"> selon les résultats des élections du CSE du 21 avril 2023.</w:t>
      </w:r>
    </w:p>
    <w:p w14:paraId="2A5DEF09" w14:textId="77777777" w:rsidR="00C70968" w:rsidRPr="003C002F" w:rsidRDefault="00C70968" w:rsidP="00C70968">
      <w:pPr>
        <w:pStyle w:val="denom"/>
        <w:spacing w:before="400" w:after="0"/>
        <w:jc w:val="right"/>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D’autre part,</w:t>
      </w:r>
    </w:p>
    <w:p w14:paraId="09AAC0C5" w14:textId="69EC8C4F" w:rsidR="001B4321" w:rsidRPr="003C002F" w:rsidRDefault="001B4321" w:rsidP="00C70968">
      <w:pPr>
        <w:pStyle w:val="denom"/>
        <w:spacing w:before="400" w:after="0"/>
        <w:rPr>
          <w:rFonts w:asciiTheme="majorHAnsi" w:eastAsia="Calibri" w:hAnsiTheme="majorHAnsi" w:cstheme="majorHAnsi"/>
          <w:b/>
          <w:bCs/>
          <w:color w:val="000000"/>
          <w:lang w:eastAsia="en-US"/>
        </w:rPr>
      </w:pPr>
      <w:r w:rsidRPr="003C002F">
        <w:rPr>
          <w:rFonts w:asciiTheme="majorHAnsi" w:eastAsia="Calibri" w:hAnsiTheme="majorHAnsi" w:cstheme="majorHAnsi"/>
          <w:b/>
          <w:bCs/>
          <w:color w:val="000000"/>
          <w:lang w:eastAsia="en-US"/>
        </w:rPr>
        <w:t>Préambule</w:t>
      </w:r>
    </w:p>
    <w:p w14:paraId="03677395" w14:textId="6C2F240B" w:rsidR="005B59CD" w:rsidRPr="003C002F" w:rsidRDefault="005B59CD" w:rsidP="005B59CD">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Un premier accord relatif au Compte Épargne Temps avait été mis en place au sein de l’entreprise pour une durée déterminée de deux ans. Ce dispositif ayant été utilisé et ayant donné satisfaction, les parties ont souhaité poursuivre cette démarche en concluant le présent accord, afin d’en assurer la continuité pour une nouvelle période de deux (2) ans.</w:t>
      </w:r>
    </w:p>
    <w:p w14:paraId="32C9D726" w14:textId="77777777" w:rsidR="005B59CD" w:rsidRPr="003C002F" w:rsidRDefault="005B59CD" w:rsidP="005B59CD">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À cet effet, le présent accord comporte des dispositions portant notamment sur :</w:t>
      </w:r>
    </w:p>
    <w:p w14:paraId="044F933E" w14:textId="77777777" w:rsidR="005B59CD" w:rsidRPr="003C002F" w:rsidRDefault="005B59CD" w:rsidP="005B59CD">
      <w:pPr>
        <w:pStyle w:val="para"/>
        <w:numPr>
          <w:ilvl w:val="0"/>
          <w:numId w:val="13"/>
        </w:numPr>
        <w:jc w:val="both"/>
        <w:rPr>
          <w:rFonts w:asciiTheme="majorHAnsi" w:eastAsia="Calibri" w:hAnsiTheme="majorHAnsi" w:cstheme="majorHAnsi"/>
          <w:color w:val="000000"/>
          <w:lang w:eastAsia="en-US"/>
        </w:rPr>
      </w:pPr>
      <w:proofErr w:type="gramStart"/>
      <w:r w:rsidRPr="003C002F">
        <w:rPr>
          <w:rFonts w:asciiTheme="majorHAnsi" w:eastAsia="Calibri" w:hAnsiTheme="majorHAnsi" w:cstheme="majorHAnsi"/>
          <w:color w:val="000000"/>
          <w:lang w:eastAsia="en-US"/>
        </w:rPr>
        <w:t>les</w:t>
      </w:r>
      <w:proofErr w:type="gramEnd"/>
      <w:r w:rsidRPr="003C002F">
        <w:rPr>
          <w:rFonts w:asciiTheme="majorHAnsi" w:eastAsia="Calibri" w:hAnsiTheme="majorHAnsi" w:cstheme="majorHAnsi"/>
          <w:color w:val="000000"/>
          <w:lang w:eastAsia="en-US"/>
        </w:rPr>
        <w:t xml:space="preserve"> </w:t>
      </w:r>
      <w:r w:rsidRPr="003C002F">
        <w:rPr>
          <w:rFonts w:asciiTheme="majorHAnsi" w:eastAsia="Calibri" w:hAnsiTheme="majorHAnsi" w:cstheme="majorHAnsi"/>
          <w:b/>
          <w:bCs/>
          <w:color w:val="000000"/>
          <w:lang w:eastAsia="en-US"/>
        </w:rPr>
        <w:t>conditions et limites d’alimentation</w:t>
      </w:r>
      <w:r w:rsidRPr="003C002F">
        <w:rPr>
          <w:rFonts w:asciiTheme="majorHAnsi" w:eastAsia="Calibri" w:hAnsiTheme="majorHAnsi" w:cstheme="majorHAnsi"/>
          <w:color w:val="000000"/>
          <w:lang w:eastAsia="en-US"/>
        </w:rPr>
        <w:t xml:space="preserve"> du compte en temps ou en argent ;</w:t>
      </w:r>
    </w:p>
    <w:p w14:paraId="7BD05B1B" w14:textId="77777777" w:rsidR="005B59CD" w:rsidRPr="003C002F" w:rsidRDefault="005B59CD" w:rsidP="005B59CD">
      <w:pPr>
        <w:pStyle w:val="para"/>
        <w:numPr>
          <w:ilvl w:val="0"/>
          <w:numId w:val="13"/>
        </w:numPr>
        <w:jc w:val="both"/>
        <w:rPr>
          <w:rFonts w:asciiTheme="majorHAnsi" w:eastAsia="Calibri" w:hAnsiTheme="majorHAnsi" w:cstheme="majorHAnsi"/>
          <w:color w:val="000000"/>
          <w:lang w:eastAsia="en-US"/>
        </w:rPr>
      </w:pPr>
      <w:proofErr w:type="gramStart"/>
      <w:r w:rsidRPr="003C002F">
        <w:rPr>
          <w:rFonts w:asciiTheme="majorHAnsi" w:eastAsia="Calibri" w:hAnsiTheme="majorHAnsi" w:cstheme="majorHAnsi"/>
          <w:color w:val="000000"/>
          <w:lang w:eastAsia="en-US"/>
        </w:rPr>
        <w:t>les</w:t>
      </w:r>
      <w:proofErr w:type="gramEnd"/>
      <w:r w:rsidRPr="003C002F">
        <w:rPr>
          <w:rFonts w:asciiTheme="majorHAnsi" w:eastAsia="Calibri" w:hAnsiTheme="majorHAnsi" w:cstheme="majorHAnsi"/>
          <w:color w:val="000000"/>
          <w:lang w:eastAsia="en-US"/>
        </w:rPr>
        <w:t xml:space="preserve"> </w:t>
      </w:r>
      <w:r w:rsidRPr="003C002F">
        <w:rPr>
          <w:rFonts w:asciiTheme="majorHAnsi" w:eastAsia="Calibri" w:hAnsiTheme="majorHAnsi" w:cstheme="majorHAnsi"/>
          <w:b/>
          <w:bCs/>
          <w:color w:val="000000"/>
          <w:lang w:eastAsia="en-US"/>
        </w:rPr>
        <w:t>modalités de gestion</w:t>
      </w:r>
      <w:r w:rsidRPr="003C002F">
        <w:rPr>
          <w:rFonts w:asciiTheme="majorHAnsi" w:eastAsia="Calibri" w:hAnsiTheme="majorHAnsi" w:cstheme="majorHAnsi"/>
          <w:color w:val="000000"/>
          <w:lang w:eastAsia="en-US"/>
        </w:rPr>
        <w:t xml:space="preserve"> du CET ;</w:t>
      </w:r>
    </w:p>
    <w:p w14:paraId="034413BF" w14:textId="77777777" w:rsidR="005B59CD" w:rsidRPr="003C002F" w:rsidRDefault="005B59CD" w:rsidP="005B59CD">
      <w:pPr>
        <w:pStyle w:val="para"/>
        <w:numPr>
          <w:ilvl w:val="0"/>
          <w:numId w:val="13"/>
        </w:numPr>
        <w:jc w:val="both"/>
        <w:rPr>
          <w:rFonts w:asciiTheme="majorHAnsi" w:eastAsia="Calibri" w:hAnsiTheme="majorHAnsi" w:cstheme="majorHAnsi"/>
          <w:color w:val="000000"/>
          <w:lang w:eastAsia="en-US"/>
        </w:rPr>
      </w:pPr>
      <w:proofErr w:type="gramStart"/>
      <w:r w:rsidRPr="003C002F">
        <w:rPr>
          <w:rFonts w:asciiTheme="majorHAnsi" w:eastAsia="Calibri" w:hAnsiTheme="majorHAnsi" w:cstheme="majorHAnsi"/>
          <w:color w:val="000000"/>
          <w:lang w:eastAsia="en-US"/>
        </w:rPr>
        <w:t>les</w:t>
      </w:r>
      <w:proofErr w:type="gramEnd"/>
      <w:r w:rsidRPr="003C002F">
        <w:rPr>
          <w:rFonts w:asciiTheme="majorHAnsi" w:eastAsia="Calibri" w:hAnsiTheme="majorHAnsi" w:cstheme="majorHAnsi"/>
          <w:color w:val="000000"/>
          <w:lang w:eastAsia="en-US"/>
        </w:rPr>
        <w:t xml:space="preserve"> </w:t>
      </w:r>
      <w:r w:rsidRPr="003C002F">
        <w:rPr>
          <w:rFonts w:asciiTheme="majorHAnsi" w:eastAsia="Calibri" w:hAnsiTheme="majorHAnsi" w:cstheme="majorHAnsi"/>
          <w:b/>
          <w:bCs/>
          <w:color w:val="000000"/>
          <w:lang w:eastAsia="en-US"/>
        </w:rPr>
        <w:t>conditions d’utilisation et de liquidation</w:t>
      </w:r>
      <w:r w:rsidRPr="003C002F">
        <w:rPr>
          <w:rFonts w:asciiTheme="majorHAnsi" w:eastAsia="Calibri" w:hAnsiTheme="majorHAnsi" w:cstheme="majorHAnsi"/>
          <w:color w:val="000000"/>
          <w:lang w:eastAsia="en-US"/>
        </w:rPr>
        <w:t xml:space="preserve"> du CET ;</w:t>
      </w:r>
    </w:p>
    <w:p w14:paraId="65B64074" w14:textId="77777777" w:rsidR="005B59CD" w:rsidRPr="003C002F" w:rsidRDefault="005B59CD" w:rsidP="005B59CD">
      <w:pPr>
        <w:pStyle w:val="para"/>
        <w:numPr>
          <w:ilvl w:val="0"/>
          <w:numId w:val="13"/>
        </w:numPr>
        <w:jc w:val="both"/>
        <w:rPr>
          <w:rFonts w:asciiTheme="majorHAnsi" w:eastAsia="Calibri" w:hAnsiTheme="majorHAnsi" w:cstheme="majorHAnsi"/>
          <w:color w:val="000000"/>
          <w:lang w:eastAsia="en-US"/>
        </w:rPr>
      </w:pPr>
      <w:proofErr w:type="gramStart"/>
      <w:r w:rsidRPr="003C002F">
        <w:rPr>
          <w:rFonts w:asciiTheme="majorHAnsi" w:eastAsia="Calibri" w:hAnsiTheme="majorHAnsi" w:cstheme="majorHAnsi"/>
          <w:color w:val="000000"/>
          <w:lang w:eastAsia="en-US"/>
        </w:rPr>
        <w:t>les</w:t>
      </w:r>
      <w:proofErr w:type="gramEnd"/>
      <w:r w:rsidRPr="003C002F">
        <w:rPr>
          <w:rFonts w:asciiTheme="majorHAnsi" w:eastAsia="Calibri" w:hAnsiTheme="majorHAnsi" w:cstheme="majorHAnsi"/>
          <w:color w:val="000000"/>
          <w:lang w:eastAsia="en-US"/>
        </w:rPr>
        <w:t xml:space="preserve"> </w:t>
      </w:r>
      <w:r w:rsidRPr="003C002F">
        <w:rPr>
          <w:rFonts w:asciiTheme="majorHAnsi" w:eastAsia="Calibri" w:hAnsiTheme="majorHAnsi" w:cstheme="majorHAnsi"/>
          <w:b/>
          <w:bCs/>
          <w:color w:val="000000"/>
          <w:lang w:eastAsia="en-US"/>
        </w:rPr>
        <w:t>conditions de transfert des droits</w:t>
      </w:r>
      <w:r w:rsidRPr="003C002F">
        <w:rPr>
          <w:rFonts w:asciiTheme="majorHAnsi" w:eastAsia="Calibri" w:hAnsiTheme="majorHAnsi" w:cstheme="majorHAnsi"/>
          <w:color w:val="000000"/>
          <w:lang w:eastAsia="en-US"/>
        </w:rPr>
        <w:t xml:space="preserve"> d’un employeur à un autre.</w:t>
      </w:r>
    </w:p>
    <w:p w14:paraId="0C23BEE7" w14:textId="77777777" w:rsidR="003C002F" w:rsidRDefault="003C002F" w:rsidP="005B59CD">
      <w:pPr>
        <w:pStyle w:val="para"/>
        <w:jc w:val="both"/>
        <w:rPr>
          <w:rFonts w:asciiTheme="majorHAnsi" w:eastAsia="Calibri" w:hAnsiTheme="majorHAnsi" w:cstheme="majorHAnsi"/>
          <w:color w:val="000000"/>
          <w:lang w:eastAsia="en-US"/>
        </w:rPr>
      </w:pPr>
    </w:p>
    <w:p w14:paraId="2F8BB0A6" w14:textId="77777777" w:rsidR="003C002F" w:rsidRDefault="003C002F" w:rsidP="005B59CD">
      <w:pPr>
        <w:pStyle w:val="para"/>
        <w:jc w:val="both"/>
        <w:rPr>
          <w:rFonts w:asciiTheme="majorHAnsi" w:eastAsia="Calibri" w:hAnsiTheme="majorHAnsi" w:cstheme="majorHAnsi"/>
          <w:color w:val="000000"/>
          <w:lang w:eastAsia="en-US"/>
        </w:rPr>
      </w:pPr>
    </w:p>
    <w:p w14:paraId="1BD39995" w14:textId="525F5D50" w:rsidR="005B59CD" w:rsidRPr="003C002F" w:rsidRDefault="005B59CD" w:rsidP="005B59CD">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Le présent accord s’inscrit dans le respect des dispositions légales et conventionnelles en vigueur, et a pour vocation de maintenir un dispositif souple, sécurisant et favorable tant pour les salariés que pour l’entreprise.</w:t>
      </w:r>
    </w:p>
    <w:p w14:paraId="23E089B0" w14:textId="77777777" w:rsidR="00C70968" w:rsidRPr="003C002F" w:rsidRDefault="00C70968" w:rsidP="00C70968">
      <w:pPr>
        <w:pStyle w:val="art4"/>
        <w:jc w:val="both"/>
        <w:rPr>
          <w:rFonts w:asciiTheme="majorHAnsi" w:eastAsia="Calibri" w:hAnsiTheme="majorHAnsi" w:cstheme="majorHAnsi"/>
          <w:b/>
          <w:color w:val="000000"/>
          <w:u w:val="single"/>
          <w:lang w:eastAsia="en-US"/>
        </w:rPr>
      </w:pPr>
      <w:r w:rsidRPr="003C002F">
        <w:rPr>
          <w:rFonts w:asciiTheme="majorHAnsi" w:eastAsia="Calibri" w:hAnsiTheme="majorHAnsi" w:cstheme="majorHAnsi"/>
          <w:b/>
          <w:color w:val="000000"/>
          <w:u w:val="single"/>
          <w:lang w:eastAsia="en-US"/>
        </w:rPr>
        <w:t xml:space="preserve">1 - Champ d'application </w:t>
      </w:r>
    </w:p>
    <w:p w14:paraId="780EED9D" w14:textId="7DF4207A"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 xml:space="preserve">Le présent accord s'applique </w:t>
      </w:r>
      <w:r w:rsidR="0075359C" w:rsidRPr="003C002F">
        <w:rPr>
          <w:rFonts w:asciiTheme="majorHAnsi" w:eastAsia="Calibri" w:hAnsiTheme="majorHAnsi" w:cstheme="majorHAnsi"/>
          <w:color w:val="000000"/>
          <w:lang w:eastAsia="en-US"/>
        </w:rPr>
        <w:t>à l’ensemble des salariés justifiant d’une ancienneté minimale d’un an et</w:t>
      </w:r>
      <w:r w:rsidR="007A665F" w:rsidRPr="003C002F">
        <w:rPr>
          <w:rFonts w:asciiTheme="majorHAnsi" w:eastAsia="Calibri" w:hAnsiTheme="majorHAnsi" w:cstheme="majorHAnsi"/>
          <w:color w:val="000000"/>
          <w:lang w:eastAsia="en-US"/>
        </w:rPr>
        <w:t xml:space="preserve"> relevant des</w:t>
      </w:r>
      <w:r w:rsidRPr="003C002F">
        <w:rPr>
          <w:rFonts w:asciiTheme="majorHAnsi" w:eastAsia="Calibri" w:hAnsiTheme="majorHAnsi" w:cstheme="majorHAnsi"/>
          <w:color w:val="000000"/>
          <w:lang w:eastAsia="en-US"/>
        </w:rPr>
        <w:t xml:space="preserve"> établissements de Montpellier pour les sociétés constituant l’UES </w:t>
      </w:r>
      <w:r w:rsidR="007A665F" w:rsidRPr="003C002F">
        <w:rPr>
          <w:rFonts w:asciiTheme="majorHAnsi" w:eastAsia="Calibri" w:hAnsiTheme="majorHAnsi" w:cstheme="majorHAnsi"/>
          <w:color w:val="000000"/>
          <w:lang w:eastAsia="en-US"/>
        </w:rPr>
        <w:t>ainsi qu’aux</w:t>
      </w:r>
      <w:r w:rsidRPr="003C002F">
        <w:rPr>
          <w:rFonts w:asciiTheme="majorHAnsi" w:eastAsia="Calibri" w:hAnsiTheme="majorHAnsi" w:cstheme="majorHAnsi"/>
          <w:color w:val="000000"/>
          <w:lang w:eastAsia="en-US"/>
        </w:rPr>
        <w:t xml:space="preserve"> salariés détachés.</w:t>
      </w:r>
    </w:p>
    <w:p w14:paraId="6FBEA794" w14:textId="77777777" w:rsidR="00C70968" w:rsidRPr="003C002F" w:rsidRDefault="00C70968" w:rsidP="00C70968">
      <w:pPr>
        <w:pStyle w:val="alvar"/>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 xml:space="preserve">Il concerne l’ensemble des salariés rattachés à ces établissements et tout établissement suivant qui deviendrait une composante de l’UES durant la période du présent accord. </w:t>
      </w:r>
    </w:p>
    <w:p w14:paraId="002FC93D" w14:textId="77777777" w:rsidR="00C70968" w:rsidRPr="003C002F" w:rsidRDefault="00C70968" w:rsidP="00C70968">
      <w:pPr>
        <w:pStyle w:val="art4"/>
        <w:jc w:val="both"/>
        <w:rPr>
          <w:rFonts w:asciiTheme="majorHAnsi" w:eastAsia="Calibri" w:hAnsiTheme="majorHAnsi" w:cstheme="majorHAnsi"/>
          <w:b/>
          <w:color w:val="000000"/>
          <w:u w:val="single"/>
          <w:lang w:eastAsia="en-US"/>
        </w:rPr>
      </w:pPr>
      <w:r w:rsidRPr="003C002F">
        <w:rPr>
          <w:rFonts w:asciiTheme="majorHAnsi" w:eastAsia="Calibri" w:hAnsiTheme="majorHAnsi" w:cstheme="majorHAnsi"/>
          <w:b/>
          <w:color w:val="000000"/>
          <w:u w:val="single"/>
          <w:lang w:eastAsia="en-US"/>
        </w:rPr>
        <w:t>2 - Cadre juridique</w:t>
      </w:r>
    </w:p>
    <w:p w14:paraId="4447CF00"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Le présent accord est conclu dans le cadre des dispositions des articles L. 3151-1 et suivants du Code du travail.</w:t>
      </w:r>
    </w:p>
    <w:p w14:paraId="11DD026E" w14:textId="77777777" w:rsidR="00C70968" w:rsidRPr="003C002F" w:rsidRDefault="00C70968" w:rsidP="00C70968">
      <w:pPr>
        <w:pStyle w:val="art4"/>
        <w:jc w:val="both"/>
        <w:rPr>
          <w:rFonts w:asciiTheme="majorHAnsi" w:eastAsia="Calibri" w:hAnsiTheme="majorHAnsi" w:cstheme="majorHAnsi"/>
          <w:b/>
          <w:color w:val="000000"/>
          <w:u w:val="single"/>
          <w:lang w:eastAsia="en-US"/>
        </w:rPr>
      </w:pPr>
      <w:r w:rsidRPr="003C002F">
        <w:rPr>
          <w:rFonts w:asciiTheme="majorHAnsi" w:eastAsia="Calibri" w:hAnsiTheme="majorHAnsi" w:cstheme="majorHAnsi"/>
          <w:b/>
          <w:color w:val="000000"/>
          <w:u w:val="single"/>
          <w:lang w:eastAsia="en-US"/>
        </w:rPr>
        <w:t>3 - Durée de l'accord</w:t>
      </w:r>
    </w:p>
    <w:p w14:paraId="66B2E623" w14:textId="7E0DEAC7" w:rsidR="00C70968" w:rsidRPr="003C002F" w:rsidRDefault="00C70968" w:rsidP="00C70968">
      <w:pPr>
        <w:pStyle w:val="art4"/>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 xml:space="preserve">Le présent accord est conclu pour une période annuelle reconductible pour </w:t>
      </w:r>
      <w:r w:rsidR="00FA5546" w:rsidRPr="003C002F">
        <w:rPr>
          <w:rFonts w:asciiTheme="majorHAnsi" w:eastAsia="Calibri" w:hAnsiTheme="majorHAnsi" w:cstheme="majorHAnsi"/>
          <w:color w:val="000000"/>
          <w:lang w:eastAsia="en-US"/>
        </w:rPr>
        <w:t>2</w:t>
      </w:r>
      <w:r w:rsidRPr="003C002F">
        <w:rPr>
          <w:rFonts w:asciiTheme="majorHAnsi" w:eastAsia="Calibri" w:hAnsiTheme="majorHAnsi" w:cstheme="majorHAnsi"/>
          <w:color w:val="000000"/>
          <w:lang w:eastAsia="en-US"/>
        </w:rPr>
        <w:t> ans, à compter de la date d’entrée en application du présent accord. La possibilité est donnée à chaque partie de dénoncer l’Accord présent sous prévenance d’un délai de deux (2) mois. La dénonciation pourra se faire par l’une ou l’autre des parties, par courrier remis en main propre contre décharge ou par mail en RAR ou courrier en RAR.</w:t>
      </w:r>
    </w:p>
    <w:p w14:paraId="7833C50C" w14:textId="77777777" w:rsidR="00C70968" w:rsidRPr="003C002F" w:rsidRDefault="00C70968" w:rsidP="00C70968">
      <w:pPr>
        <w:pStyle w:val="art4"/>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 xml:space="preserve">Il cessera de plein droit à l'échéance de son terme, selon les modalités d’alimentation, de prise de jours ou de paiement des jours décrites ci-après. </w:t>
      </w:r>
    </w:p>
    <w:p w14:paraId="343D81F1" w14:textId="77777777" w:rsidR="00C70968" w:rsidRPr="003C002F" w:rsidRDefault="00C70968" w:rsidP="00C70968">
      <w:pPr>
        <w:pStyle w:val="art4"/>
        <w:jc w:val="both"/>
        <w:rPr>
          <w:rFonts w:asciiTheme="majorHAnsi" w:eastAsia="Calibri" w:hAnsiTheme="majorHAnsi" w:cstheme="majorHAnsi"/>
          <w:b/>
          <w:color w:val="000000"/>
          <w:u w:val="single"/>
          <w:lang w:eastAsia="en-US"/>
        </w:rPr>
      </w:pPr>
      <w:r w:rsidRPr="003C002F">
        <w:rPr>
          <w:rFonts w:asciiTheme="majorHAnsi" w:eastAsia="Calibri" w:hAnsiTheme="majorHAnsi" w:cstheme="majorHAnsi"/>
          <w:b/>
          <w:color w:val="000000"/>
          <w:u w:val="single"/>
          <w:lang w:eastAsia="en-US"/>
        </w:rPr>
        <w:t>4 - Adhésion</w:t>
      </w:r>
    </w:p>
    <w:p w14:paraId="36AECED9"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Conformément à l'article L. 2261-3 du Code du travail, toute organisation syndicale de salarié représentative dans l'entreprise, non signataire du présent accord, peut y adhérer ultérieurement.</w:t>
      </w:r>
    </w:p>
    <w:p w14:paraId="6B421B91" w14:textId="0ED5A3FD"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L'adhésion sera valable à partir du jour qui suivra celui de sa notification au secrétariat du greffe du conseil de prud'hommes compétent</w:t>
      </w:r>
      <w:r w:rsidR="00AA231C" w:rsidRPr="003C002F">
        <w:rPr>
          <w:rFonts w:asciiTheme="majorHAnsi" w:eastAsia="Calibri" w:hAnsiTheme="majorHAnsi" w:cstheme="majorHAnsi"/>
          <w:color w:val="000000"/>
          <w:lang w:eastAsia="en-US"/>
        </w:rPr>
        <w:t xml:space="preserve"> et </w:t>
      </w:r>
      <w:r w:rsidR="003C5DB9" w:rsidRPr="003C002F">
        <w:rPr>
          <w:rFonts w:asciiTheme="majorHAnsi" w:eastAsia="Calibri" w:hAnsiTheme="majorHAnsi" w:cstheme="majorHAnsi"/>
          <w:color w:val="000000"/>
          <w:lang w:eastAsia="en-US"/>
        </w:rPr>
        <w:t>à la DREETS</w:t>
      </w:r>
      <w:r w:rsidRPr="003C002F">
        <w:rPr>
          <w:rFonts w:asciiTheme="majorHAnsi" w:eastAsia="Calibri" w:hAnsiTheme="majorHAnsi" w:cstheme="majorHAnsi"/>
          <w:color w:val="000000"/>
          <w:lang w:eastAsia="en-US"/>
        </w:rPr>
        <w:t>.</w:t>
      </w:r>
    </w:p>
    <w:p w14:paraId="6228877B"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Notification devra également en être faite, dans le délai de huit jours aux parties signataires.</w:t>
      </w:r>
    </w:p>
    <w:p w14:paraId="47E252A0" w14:textId="76363401" w:rsidR="00C70968" w:rsidRPr="003C002F" w:rsidRDefault="00C70968" w:rsidP="00C70968">
      <w:pPr>
        <w:pStyle w:val="art4"/>
        <w:jc w:val="both"/>
        <w:rPr>
          <w:rFonts w:asciiTheme="majorHAnsi" w:eastAsia="Calibri" w:hAnsiTheme="majorHAnsi" w:cstheme="majorHAnsi"/>
          <w:b/>
          <w:color w:val="000000"/>
          <w:u w:val="single"/>
          <w:lang w:eastAsia="en-US"/>
        </w:rPr>
      </w:pPr>
      <w:r w:rsidRPr="003C002F">
        <w:rPr>
          <w:rFonts w:asciiTheme="majorHAnsi" w:eastAsia="Calibri" w:hAnsiTheme="majorHAnsi" w:cstheme="majorHAnsi"/>
          <w:b/>
          <w:color w:val="000000"/>
          <w:u w:val="single"/>
          <w:lang w:eastAsia="en-US"/>
        </w:rPr>
        <w:t xml:space="preserve">5 </w:t>
      </w:r>
      <w:r w:rsidR="002A025E" w:rsidRPr="003C002F">
        <w:rPr>
          <w:rFonts w:asciiTheme="majorHAnsi" w:eastAsia="Calibri" w:hAnsiTheme="majorHAnsi" w:cstheme="majorHAnsi"/>
          <w:b/>
          <w:color w:val="000000"/>
          <w:u w:val="single"/>
          <w:lang w:eastAsia="en-US"/>
        </w:rPr>
        <w:t>–</w:t>
      </w:r>
      <w:r w:rsidRPr="003C002F">
        <w:rPr>
          <w:rFonts w:asciiTheme="majorHAnsi" w:eastAsia="Calibri" w:hAnsiTheme="majorHAnsi" w:cstheme="majorHAnsi"/>
          <w:b/>
          <w:color w:val="000000"/>
          <w:u w:val="single"/>
          <w:lang w:eastAsia="en-US"/>
        </w:rPr>
        <w:t xml:space="preserve"> Interprétation</w:t>
      </w:r>
      <w:r w:rsidR="002A025E" w:rsidRPr="003C002F">
        <w:rPr>
          <w:rFonts w:asciiTheme="majorHAnsi" w:eastAsia="Calibri" w:hAnsiTheme="majorHAnsi" w:cstheme="majorHAnsi"/>
          <w:b/>
          <w:color w:val="000000"/>
          <w:u w:val="single"/>
          <w:lang w:eastAsia="en-US"/>
        </w:rPr>
        <w:t xml:space="preserve"> et suivi</w:t>
      </w:r>
      <w:r w:rsidRPr="003C002F">
        <w:rPr>
          <w:rFonts w:asciiTheme="majorHAnsi" w:eastAsia="Calibri" w:hAnsiTheme="majorHAnsi" w:cstheme="majorHAnsi"/>
          <w:b/>
          <w:color w:val="000000"/>
          <w:u w:val="single"/>
          <w:lang w:eastAsia="en-US"/>
        </w:rPr>
        <w:t xml:space="preserve"> de l'accord</w:t>
      </w:r>
    </w:p>
    <w:p w14:paraId="50888EE7"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Les représentants de chacune des parties signataires conviennent de se rencontrer à la requête de la partie la plus diligente, dans les jours suivant la demande pour étudier et tenter de régler tout différend d'ordre individuel ou collectif né de l'application du présent accord.</w:t>
      </w:r>
    </w:p>
    <w:p w14:paraId="21DF1866"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lastRenderedPageBreak/>
        <w:t>La demande de réunion consigne l'exposé précis du différend. La position retenue en fin de réunion fait l'objet d'un procès-verbal rédigé par la direction. Le document est remis à chacune des parties signataires.</w:t>
      </w:r>
    </w:p>
    <w:p w14:paraId="565686BE" w14:textId="77777777" w:rsidR="003C002F" w:rsidRDefault="003C002F" w:rsidP="00C70968">
      <w:pPr>
        <w:pStyle w:val="para"/>
        <w:jc w:val="both"/>
        <w:rPr>
          <w:rFonts w:asciiTheme="majorHAnsi" w:eastAsia="Calibri" w:hAnsiTheme="majorHAnsi" w:cstheme="majorHAnsi"/>
          <w:color w:val="000000"/>
          <w:lang w:eastAsia="en-US"/>
        </w:rPr>
      </w:pPr>
    </w:p>
    <w:p w14:paraId="06B7CACA" w14:textId="1D04A5BA"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Si cela est nécessaire, une seconde réunion pourra être organisée dans les jours suivant la première réunion.</w:t>
      </w:r>
    </w:p>
    <w:p w14:paraId="53EB50AB"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Jusqu'à l'expiration de ces délais, les parties contractantes s'engagent à ne susciter aucune forme d'action contentieuse liée au différend faisant l'objet de cette procédure.</w:t>
      </w:r>
    </w:p>
    <w:p w14:paraId="56F12C05" w14:textId="507C0D60" w:rsidR="003C002F" w:rsidRPr="003C002F" w:rsidRDefault="000663BD" w:rsidP="000663BD">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 xml:space="preserve">Tous les </w:t>
      </w:r>
      <w:r w:rsidR="000A0418" w:rsidRPr="003C002F">
        <w:rPr>
          <w:rFonts w:asciiTheme="majorHAnsi" w:eastAsia="Calibri" w:hAnsiTheme="majorHAnsi" w:cstheme="majorHAnsi"/>
          <w:color w:val="000000"/>
          <w:lang w:eastAsia="en-US"/>
        </w:rPr>
        <w:t>ans</w:t>
      </w:r>
      <w:r w:rsidRPr="003C002F">
        <w:rPr>
          <w:rFonts w:asciiTheme="majorHAnsi" w:eastAsia="Calibri" w:hAnsiTheme="majorHAnsi" w:cstheme="majorHAnsi"/>
          <w:color w:val="000000"/>
          <w:lang w:eastAsia="en-US"/>
        </w:rPr>
        <w:t>, un suivi de l’accord est réalisé par l’entreprise et les signataires de l’accord.</w:t>
      </w:r>
    </w:p>
    <w:p w14:paraId="05828D30" w14:textId="77777777" w:rsidR="00C70968" w:rsidRPr="003C002F" w:rsidRDefault="00C70968" w:rsidP="00C70968">
      <w:pPr>
        <w:pStyle w:val="art4"/>
        <w:jc w:val="both"/>
        <w:rPr>
          <w:rFonts w:asciiTheme="majorHAnsi" w:eastAsia="Calibri" w:hAnsiTheme="majorHAnsi" w:cstheme="majorHAnsi"/>
          <w:b/>
          <w:color w:val="000000"/>
          <w:u w:val="single"/>
          <w:lang w:eastAsia="en-US"/>
        </w:rPr>
      </w:pPr>
      <w:r w:rsidRPr="003C002F">
        <w:rPr>
          <w:rFonts w:asciiTheme="majorHAnsi" w:eastAsia="Calibri" w:hAnsiTheme="majorHAnsi" w:cstheme="majorHAnsi"/>
          <w:b/>
          <w:color w:val="000000"/>
          <w:u w:val="single"/>
          <w:lang w:eastAsia="en-US"/>
        </w:rPr>
        <w:t xml:space="preserve">6 - Ouverture et tenue du compte </w:t>
      </w:r>
    </w:p>
    <w:p w14:paraId="7C6F0E7A"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Tous les salariés visés à l'article 1er du présent accord et ayant au moins 1 an d’ancienneté dans l'entreprise peuvent ouvrir un compte épargne-temps.</w:t>
      </w:r>
    </w:p>
    <w:p w14:paraId="4B8B4652"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Ce compte est ouvert sur la base du volontariat et sur simple demande individuelle écrite par courriel ou courrier remis en main propre contre décharge à la Direction Générale de l’UES, mentionnant précisément quels sont les droits, énumérés à l'article 7, que le salarié entend affecter au compte épargne-temps.</w:t>
      </w:r>
    </w:p>
    <w:p w14:paraId="39159620"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Il est tenu un compte individuel, consultable à sa guise par le salarié sur l’outil de gestion des congés de l’UES.</w:t>
      </w:r>
    </w:p>
    <w:p w14:paraId="38E792B9" w14:textId="77777777" w:rsidR="00C70968" w:rsidRPr="003C002F" w:rsidRDefault="00C70968" w:rsidP="00FE1E47">
      <w:pPr>
        <w:pStyle w:val="para"/>
        <w:ind w:left="-284" w:firstLine="284"/>
        <w:jc w:val="both"/>
        <w:rPr>
          <w:rFonts w:asciiTheme="majorHAnsi" w:eastAsia="Calibri" w:hAnsiTheme="majorHAnsi" w:cstheme="majorHAnsi"/>
          <w:b/>
          <w:color w:val="000000"/>
          <w:lang w:eastAsia="en-US"/>
        </w:rPr>
      </w:pPr>
      <w:r w:rsidRPr="003C002F">
        <w:rPr>
          <w:rFonts w:asciiTheme="majorHAnsi" w:eastAsia="Calibri" w:hAnsiTheme="majorHAnsi" w:cstheme="majorHAnsi"/>
          <w:b/>
          <w:color w:val="000000"/>
          <w:lang w:eastAsia="en-US"/>
        </w:rPr>
        <w:t>Est distingué l’alimentation du compte ; de l’usage fait ensuite des jours affectés au CET :</w:t>
      </w:r>
    </w:p>
    <w:p w14:paraId="26F4A7EA" w14:textId="77777777" w:rsidR="00C70968" w:rsidRPr="003C002F" w:rsidRDefault="00C70968" w:rsidP="00C70968">
      <w:pPr>
        <w:pStyle w:val="art4"/>
        <w:jc w:val="both"/>
        <w:rPr>
          <w:rFonts w:asciiTheme="majorHAnsi" w:hAnsiTheme="majorHAnsi" w:cstheme="majorHAnsi"/>
          <w:lang w:eastAsia="en-US"/>
        </w:rPr>
      </w:pPr>
      <w:r w:rsidRPr="003C002F">
        <w:rPr>
          <w:rFonts w:asciiTheme="majorHAnsi" w:eastAsia="Calibri" w:hAnsiTheme="majorHAnsi" w:cstheme="majorHAnsi"/>
          <w:b/>
          <w:color w:val="000000"/>
          <w:u w:val="single"/>
          <w:lang w:eastAsia="en-US"/>
        </w:rPr>
        <w:t xml:space="preserve">7 - Alimentation du compte </w:t>
      </w:r>
    </w:p>
    <w:p w14:paraId="12DA7448" w14:textId="61AE4725" w:rsidR="00C70968" w:rsidRPr="003C002F" w:rsidRDefault="00C70968" w:rsidP="00EC1CF3">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Concernant l’alimentation de jours au titre du présent Accord CET « 202</w:t>
      </w:r>
      <w:r w:rsidR="00F40CF2" w:rsidRPr="003C002F">
        <w:rPr>
          <w:rFonts w:asciiTheme="majorHAnsi" w:eastAsia="Calibri" w:hAnsiTheme="majorHAnsi" w:cstheme="majorHAnsi"/>
          <w:color w:val="000000"/>
          <w:lang w:eastAsia="en-US"/>
        </w:rPr>
        <w:t>5</w:t>
      </w:r>
      <w:r w:rsidRPr="003C002F">
        <w:rPr>
          <w:rFonts w:asciiTheme="majorHAnsi" w:eastAsia="Calibri" w:hAnsiTheme="majorHAnsi" w:cstheme="majorHAnsi"/>
          <w:color w:val="000000"/>
          <w:lang w:eastAsia="en-US"/>
        </w:rPr>
        <w:t>/202</w:t>
      </w:r>
      <w:r w:rsidR="00FA5546" w:rsidRPr="003C002F">
        <w:rPr>
          <w:rFonts w:asciiTheme="majorHAnsi" w:eastAsia="Calibri" w:hAnsiTheme="majorHAnsi" w:cstheme="majorHAnsi"/>
          <w:color w:val="000000"/>
          <w:lang w:eastAsia="en-US"/>
        </w:rPr>
        <w:t>6</w:t>
      </w:r>
      <w:r w:rsidRPr="003C002F">
        <w:rPr>
          <w:rFonts w:asciiTheme="majorHAnsi" w:eastAsia="Calibri" w:hAnsiTheme="majorHAnsi" w:cstheme="majorHAnsi"/>
          <w:color w:val="000000"/>
          <w:lang w:eastAsia="en-US"/>
        </w:rPr>
        <w:t> », chaque salarié peut alimenter son compte de la totalité ou seulement de certains des éléments ci-après, à concurrence de 15 jours maximum d’alimentation accumulés par an (quelle que soit l’origine de ce jour).</w:t>
      </w:r>
    </w:p>
    <w:p w14:paraId="61ABB171" w14:textId="77777777" w:rsidR="00C70968" w:rsidRPr="003C002F" w:rsidRDefault="00C70968" w:rsidP="00EC1CF3">
      <w:pPr>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Ceci quel que soit l’usage fait de ces jours.</w:t>
      </w:r>
    </w:p>
    <w:p w14:paraId="12C31A3D" w14:textId="77777777" w:rsidR="00C70968" w:rsidRPr="003C002F" w:rsidRDefault="00C70968" w:rsidP="00EC1CF3">
      <w:pPr>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Exemple : un collaborateur alimente son CET de 15 jours en début d’année n ; puis s’en fait payer 5 en milieu d’année n (selon modalités de l’article 8 ci-après) … Il ne pourra alors plus alimenter d’autres jours en année n, mais devra attendre l’année n+1 pour réalimenter son compte CET.</w:t>
      </w:r>
    </w:p>
    <w:p w14:paraId="61D255FF" w14:textId="77777777" w:rsidR="00C70968" w:rsidRPr="003C002F" w:rsidRDefault="00C70968" w:rsidP="00C70968">
      <w:pPr>
        <w:ind w:left="851"/>
        <w:rPr>
          <w:rFonts w:asciiTheme="majorHAnsi" w:eastAsia="Calibri" w:hAnsiTheme="majorHAnsi" w:cstheme="majorHAnsi"/>
          <w:color w:val="000000"/>
          <w:lang w:eastAsia="en-US"/>
        </w:rPr>
      </w:pPr>
    </w:p>
    <w:p w14:paraId="5D3A0E8C" w14:textId="6EFA8FAF" w:rsidR="00C70968" w:rsidRPr="003C002F" w:rsidRDefault="00C70968" w:rsidP="00C70968">
      <w:pPr>
        <w:pStyle w:val="Titre5"/>
        <w:jc w:val="both"/>
        <w:rPr>
          <w:rFonts w:asciiTheme="majorHAnsi" w:eastAsia="Calibri" w:hAnsiTheme="majorHAnsi" w:cstheme="majorHAnsi"/>
          <w:bCs w:val="0"/>
          <w:color w:val="000000"/>
          <w:szCs w:val="24"/>
          <w:lang w:eastAsia="en-US"/>
        </w:rPr>
      </w:pPr>
      <w:r w:rsidRPr="003C002F">
        <w:rPr>
          <w:rFonts w:asciiTheme="majorHAnsi" w:eastAsia="Calibri" w:hAnsiTheme="majorHAnsi" w:cstheme="majorHAnsi"/>
          <w:b/>
          <w:bCs w:val="0"/>
          <w:color w:val="000000"/>
          <w:szCs w:val="24"/>
          <w:lang w:eastAsia="en-US"/>
        </w:rPr>
        <w:t xml:space="preserve">Durant les </w:t>
      </w:r>
      <w:r w:rsidR="00EC1CF3" w:rsidRPr="003C002F">
        <w:rPr>
          <w:rFonts w:asciiTheme="majorHAnsi" w:eastAsia="Calibri" w:hAnsiTheme="majorHAnsi" w:cstheme="majorHAnsi"/>
          <w:b/>
          <w:bCs w:val="0"/>
          <w:color w:val="000000"/>
          <w:szCs w:val="24"/>
          <w:lang w:eastAsia="en-US"/>
        </w:rPr>
        <w:t>2</w:t>
      </w:r>
      <w:r w:rsidRPr="003C002F">
        <w:rPr>
          <w:rFonts w:asciiTheme="majorHAnsi" w:eastAsia="Calibri" w:hAnsiTheme="majorHAnsi" w:cstheme="majorHAnsi"/>
          <w:b/>
          <w:bCs w:val="0"/>
          <w:color w:val="000000"/>
          <w:szCs w:val="24"/>
          <w:lang w:eastAsia="en-US"/>
        </w:rPr>
        <w:t xml:space="preserve"> années (202</w:t>
      </w:r>
      <w:r w:rsidR="00F40CF2" w:rsidRPr="003C002F">
        <w:rPr>
          <w:rFonts w:asciiTheme="majorHAnsi" w:eastAsia="Calibri" w:hAnsiTheme="majorHAnsi" w:cstheme="majorHAnsi"/>
          <w:b/>
          <w:bCs w:val="0"/>
          <w:color w:val="000000"/>
          <w:szCs w:val="24"/>
          <w:lang w:eastAsia="en-US"/>
        </w:rPr>
        <w:t>5</w:t>
      </w:r>
      <w:r w:rsidRPr="003C002F">
        <w:rPr>
          <w:rFonts w:asciiTheme="majorHAnsi" w:eastAsia="Calibri" w:hAnsiTheme="majorHAnsi" w:cstheme="majorHAnsi"/>
          <w:b/>
          <w:bCs w:val="0"/>
          <w:color w:val="000000"/>
          <w:szCs w:val="24"/>
          <w:lang w:eastAsia="en-US"/>
        </w:rPr>
        <w:t>-20</w:t>
      </w:r>
      <w:r w:rsidR="00FA5546" w:rsidRPr="003C002F">
        <w:rPr>
          <w:rFonts w:asciiTheme="majorHAnsi" w:eastAsia="Calibri" w:hAnsiTheme="majorHAnsi" w:cstheme="majorHAnsi"/>
          <w:b/>
          <w:bCs w:val="0"/>
          <w:color w:val="000000"/>
          <w:szCs w:val="24"/>
          <w:lang w:eastAsia="en-US"/>
        </w:rPr>
        <w:t>26</w:t>
      </w:r>
      <w:r w:rsidRPr="003C002F">
        <w:rPr>
          <w:rFonts w:asciiTheme="majorHAnsi" w:eastAsia="Calibri" w:hAnsiTheme="majorHAnsi" w:cstheme="majorHAnsi"/>
          <w:b/>
          <w:bCs w:val="0"/>
          <w:color w:val="000000"/>
          <w:szCs w:val="24"/>
          <w:lang w:eastAsia="en-US"/>
        </w:rPr>
        <w:t>) de validité du présent Accord</w:t>
      </w:r>
      <w:r w:rsidRPr="003C002F">
        <w:rPr>
          <w:rFonts w:asciiTheme="majorHAnsi" w:eastAsia="Calibri" w:hAnsiTheme="majorHAnsi" w:cstheme="majorHAnsi"/>
          <w:bCs w:val="0"/>
          <w:color w:val="000000"/>
          <w:szCs w:val="24"/>
          <w:lang w:eastAsia="en-US"/>
        </w:rPr>
        <w:t> :</w:t>
      </w:r>
    </w:p>
    <w:p w14:paraId="174CF4D1" w14:textId="6481FA38" w:rsidR="00C70968" w:rsidRPr="003C002F" w:rsidRDefault="00C70968" w:rsidP="00C70968">
      <w:pPr>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 xml:space="preserve">L’alimentation du compte-épargne temps est réalisée sur la base du volontariat du salarié et nécessite l’accord préalable </w:t>
      </w:r>
      <w:r w:rsidR="00F40CF2" w:rsidRPr="003C002F">
        <w:rPr>
          <w:rFonts w:asciiTheme="majorHAnsi" w:eastAsia="Calibri" w:hAnsiTheme="majorHAnsi" w:cstheme="majorHAnsi"/>
          <w:color w:val="000000"/>
          <w:lang w:eastAsia="en-US"/>
        </w:rPr>
        <w:t>formel de</w:t>
      </w:r>
      <w:r w:rsidRPr="003C002F">
        <w:rPr>
          <w:rFonts w:asciiTheme="majorHAnsi" w:eastAsia="Calibri" w:hAnsiTheme="majorHAnsi" w:cstheme="majorHAnsi"/>
          <w:color w:val="000000"/>
          <w:lang w:eastAsia="en-US"/>
        </w:rPr>
        <w:t xml:space="preserve"> la Direction Générale pour chacune des demandes.</w:t>
      </w:r>
    </w:p>
    <w:p w14:paraId="023539C8" w14:textId="77777777" w:rsidR="003C002F" w:rsidRDefault="00C70968" w:rsidP="003C002F">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 xml:space="preserve">Pour bénéficier de la faculté offerte par le présent article, le salarié doit en faire la demande par courriel ou courrier remis en main propre contre décharge à son responsable hiérarchique, copie à la Direction Générale et copie à la Direction RH Groupe, en respectant dans tous les cas ci-après, </w:t>
      </w:r>
      <w:r w:rsidRPr="003C002F">
        <w:rPr>
          <w:rFonts w:asciiTheme="majorHAnsi" w:eastAsia="Calibri" w:hAnsiTheme="majorHAnsi" w:cstheme="majorHAnsi"/>
          <w:b/>
          <w:color w:val="000000"/>
          <w:lang w:eastAsia="en-US"/>
        </w:rPr>
        <w:t>un délai de prévenance d’un mois (30 jours</w:t>
      </w:r>
      <w:r w:rsidRPr="003C002F">
        <w:rPr>
          <w:rFonts w:asciiTheme="majorHAnsi" w:eastAsia="Calibri" w:hAnsiTheme="majorHAnsi" w:cstheme="majorHAnsi"/>
          <w:color w:val="000000"/>
          <w:lang w:eastAsia="en-US"/>
        </w:rPr>
        <w:t>).</w:t>
      </w:r>
    </w:p>
    <w:p w14:paraId="5EB992D9" w14:textId="77777777" w:rsidR="003C002F" w:rsidRDefault="003C002F" w:rsidP="003C002F">
      <w:pPr>
        <w:pStyle w:val="para"/>
        <w:jc w:val="both"/>
        <w:rPr>
          <w:rFonts w:asciiTheme="majorHAnsi" w:eastAsia="Calibri" w:hAnsiTheme="majorHAnsi" w:cstheme="majorHAnsi"/>
          <w:color w:val="000000"/>
          <w:lang w:eastAsia="en-US"/>
        </w:rPr>
      </w:pPr>
    </w:p>
    <w:p w14:paraId="2C2DD1A8" w14:textId="4EF66CD2" w:rsidR="00C70968" w:rsidRPr="003C002F" w:rsidRDefault="00C70968" w:rsidP="003C002F">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L’employeur est tenu de répondre, dans le délai d'un mois suivant la réception de la demande. Sans réponse de l’employeur, la demande d’alimentation est considérée acquise.</w:t>
      </w:r>
    </w:p>
    <w:p w14:paraId="09D90932" w14:textId="77777777" w:rsidR="003C002F" w:rsidRDefault="003C002F" w:rsidP="003C002F">
      <w:pPr>
        <w:pStyle w:val="Titre5"/>
        <w:spacing w:after="240"/>
        <w:ind w:left="1068"/>
        <w:jc w:val="both"/>
        <w:rPr>
          <w:rFonts w:asciiTheme="majorHAnsi" w:eastAsia="Calibri" w:hAnsiTheme="majorHAnsi" w:cstheme="majorHAnsi"/>
          <w:b/>
          <w:bCs w:val="0"/>
          <w:color w:val="000000"/>
          <w:szCs w:val="24"/>
          <w:lang w:eastAsia="en-US"/>
        </w:rPr>
      </w:pPr>
    </w:p>
    <w:p w14:paraId="74D0F478" w14:textId="10438885" w:rsidR="00C70968" w:rsidRPr="003C002F" w:rsidRDefault="00C70968" w:rsidP="005B09E0">
      <w:pPr>
        <w:pStyle w:val="Titre5"/>
        <w:numPr>
          <w:ilvl w:val="0"/>
          <w:numId w:val="8"/>
        </w:numPr>
        <w:spacing w:after="240"/>
        <w:jc w:val="both"/>
        <w:rPr>
          <w:rFonts w:asciiTheme="majorHAnsi" w:eastAsia="Calibri" w:hAnsiTheme="majorHAnsi" w:cstheme="majorHAnsi"/>
          <w:b/>
          <w:bCs w:val="0"/>
          <w:color w:val="000000"/>
          <w:szCs w:val="24"/>
          <w:lang w:eastAsia="en-US"/>
        </w:rPr>
      </w:pPr>
      <w:r w:rsidRPr="003C002F">
        <w:rPr>
          <w:rFonts w:asciiTheme="majorHAnsi" w:eastAsia="Calibri" w:hAnsiTheme="majorHAnsi" w:cstheme="majorHAnsi"/>
          <w:b/>
          <w:bCs w:val="0"/>
          <w:color w:val="000000"/>
          <w:szCs w:val="24"/>
          <w:lang w:eastAsia="en-US"/>
        </w:rPr>
        <w:t xml:space="preserve"> Transfert du contenu des jours des précédents Accords CET :</w:t>
      </w:r>
    </w:p>
    <w:p w14:paraId="0F3F82A7" w14:textId="5A8384C0" w:rsidR="00C70968" w:rsidRPr="003C002F" w:rsidRDefault="00C70968" w:rsidP="00C70968">
      <w:pPr>
        <w:pStyle w:val="Titre5"/>
        <w:spacing w:after="240"/>
        <w:jc w:val="both"/>
        <w:rPr>
          <w:rFonts w:asciiTheme="majorHAnsi" w:eastAsia="Calibri" w:hAnsiTheme="majorHAnsi" w:cstheme="majorHAnsi"/>
          <w:b/>
          <w:bCs w:val="0"/>
          <w:color w:val="000000"/>
          <w:szCs w:val="24"/>
          <w:lang w:eastAsia="en-US"/>
        </w:rPr>
      </w:pPr>
      <w:r w:rsidRPr="003C002F">
        <w:rPr>
          <w:rFonts w:asciiTheme="majorHAnsi" w:eastAsia="Calibri" w:hAnsiTheme="majorHAnsi" w:cstheme="majorHAnsi"/>
          <w:bCs w:val="0"/>
          <w:color w:val="000000"/>
          <w:szCs w:val="24"/>
          <w:lang w:eastAsia="en-US"/>
        </w:rPr>
        <w:t xml:space="preserve">La totalité des jours disponibles dans les comptes ouverts des salariés lors des précédents Accords, au jour de signature du nouvel Accord, est automatiquement transférée au présent Accord. </w:t>
      </w:r>
    </w:p>
    <w:p w14:paraId="1283F93E" w14:textId="77777777" w:rsidR="00C70968" w:rsidRPr="003C002F" w:rsidRDefault="00C70968" w:rsidP="00BA7D74">
      <w:pPr>
        <w:pStyle w:val="Titre5"/>
        <w:numPr>
          <w:ilvl w:val="0"/>
          <w:numId w:val="8"/>
        </w:numPr>
        <w:spacing w:after="240"/>
        <w:jc w:val="both"/>
        <w:rPr>
          <w:rFonts w:asciiTheme="majorHAnsi" w:eastAsia="Calibri" w:hAnsiTheme="majorHAnsi" w:cstheme="majorHAnsi"/>
          <w:b/>
          <w:bCs w:val="0"/>
          <w:color w:val="000000"/>
          <w:szCs w:val="24"/>
          <w:lang w:eastAsia="en-US"/>
        </w:rPr>
      </w:pPr>
      <w:r w:rsidRPr="003C002F">
        <w:rPr>
          <w:rFonts w:asciiTheme="majorHAnsi" w:eastAsia="Calibri" w:hAnsiTheme="majorHAnsi" w:cstheme="majorHAnsi"/>
          <w:b/>
          <w:bCs w:val="0"/>
          <w:color w:val="000000"/>
          <w:szCs w:val="24"/>
          <w:lang w:eastAsia="en-US"/>
        </w:rPr>
        <w:t>Les jours de congés payés</w:t>
      </w:r>
    </w:p>
    <w:p w14:paraId="6BFD7851" w14:textId="77777777" w:rsidR="00C70968" w:rsidRPr="003C002F" w:rsidRDefault="00C70968" w:rsidP="00C70968">
      <w:pPr>
        <w:pStyle w:val="para"/>
        <w:spacing w:after="240"/>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Le congé annuel pouvant être affecté au compte est celui excédant le seuil de 25 jours ouvrés (jours au-delà de la 5ème semaine de congés), en ce compris les jours d’ancienneté.</w:t>
      </w:r>
    </w:p>
    <w:p w14:paraId="75FDAF7D"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Nonobstant le délai de prévenance de 30 jours détaillé ci-dessus, le salarié doit informer l’employeur de sa décision d’affectation dans le CET de ses jours de congés annuel, avant la fin de la période de référence (30 mai pour les jours acquis de la période de référence précédente).</w:t>
      </w:r>
    </w:p>
    <w:p w14:paraId="20423630" w14:textId="77777777" w:rsidR="00C70968" w:rsidRPr="003C002F" w:rsidRDefault="00C70968" w:rsidP="00BA7D74">
      <w:pPr>
        <w:pStyle w:val="Titre5"/>
        <w:numPr>
          <w:ilvl w:val="0"/>
          <w:numId w:val="8"/>
        </w:numPr>
        <w:spacing w:after="240"/>
        <w:jc w:val="both"/>
        <w:rPr>
          <w:rFonts w:asciiTheme="majorHAnsi" w:eastAsia="Calibri" w:hAnsiTheme="majorHAnsi" w:cstheme="majorHAnsi"/>
          <w:b/>
          <w:bCs w:val="0"/>
          <w:color w:val="000000"/>
          <w:szCs w:val="24"/>
          <w:lang w:eastAsia="en-US"/>
        </w:rPr>
      </w:pPr>
      <w:r w:rsidRPr="003C002F">
        <w:rPr>
          <w:rFonts w:asciiTheme="majorHAnsi" w:eastAsia="Calibri" w:hAnsiTheme="majorHAnsi" w:cstheme="majorHAnsi"/>
          <w:b/>
          <w:bCs w:val="0"/>
          <w:color w:val="000000"/>
          <w:szCs w:val="24"/>
          <w:lang w:eastAsia="en-US"/>
        </w:rPr>
        <w:t xml:space="preserve"> Les jours de RTT Salariés</w:t>
      </w:r>
    </w:p>
    <w:p w14:paraId="272598F2" w14:textId="77777777" w:rsidR="00C70968" w:rsidRPr="003C002F" w:rsidRDefault="00C70968" w:rsidP="00C70968">
      <w:pPr>
        <w:pStyle w:val="para"/>
        <w:spacing w:after="0"/>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Tout ou partie des jours de RTT Salariés peut être affecté au CET dans la limite du plafond annuel.</w:t>
      </w:r>
    </w:p>
    <w:p w14:paraId="686936A8"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Nonobstant le délai de prévenance de 30 jours détaillé ci-dessus, le salarié doit informer l’employeur de sa décision d’affectation dans le CET de ses RTTS de l’année en cours, avant le 15 novembre de l’année.</w:t>
      </w:r>
    </w:p>
    <w:p w14:paraId="2762B475" w14:textId="77777777" w:rsidR="00C70968" w:rsidRPr="003C002F" w:rsidRDefault="00C70968" w:rsidP="00C70968">
      <w:pPr>
        <w:pStyle w:val="Titre5"/>
        <w:numPr>
          <w:ilvl w:val="0"/>
          <w:numId w:val="8"/>
        </w:numPr>
        <w:jc w:val="both"/>
        <w:rPr>
          <w:rFonts w:asciiTheme="majorHAnsi" w:eastAsia="Calibri" w:hAnsiTheme="majorHAnsi" w:cstheme="majorHAnsi"/>
          <w:b/>
          <w:bCs w:val="0"/>
          <w:color w:val="000000"/>
          <w:szCs w:val="24"/>
          <w:lang w:eastAsia="en-US"/>
        </w:rPr>
      </w:pPr>
      <w:r w:rsidRPr="003C002F">
        <w:rPr>
          <w:rFonts w:asciiTheme="majorHAnsi" w:eastAsia="Calibri" w:hAnsiTheme="majorHAnsi" w:cstheme="majorHAnsi"/>
          <w:b/>
          <w:bCs w:val="0"/>
          <w:color w:val="000000"/>
          <w:szCs w:val="24"/>
          <w:lang w:eastAsia="en-US"/>
        </w:rPr>
        <w:t xml:space="preserve"> Autres sources d'alimentation à l’initiative du salarié</w:t>
      </w:r>
    </w:p>
    <w:p w14:paraId="10B1B5C9" w14:textId="77777777" w:rsidR="00C70968" w:rsidRPr="003C002F" w:rsidRDefault="00C70968" w:rsidP="00C70968">
      <w:pPr>
        <w:pStyle w:val="para"/>
        <w:spacing w:after="0"/>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Le salarié peut également transférer dans le compte épargne-temps toute ou partie de ces jours de récupération acquis dans l’année.</w:t>
      </w:r>
    </w:p>
    <w:p w14:paraId="3FA12034" w14:textId="76D88B09" w:rsidR="008E2AA3" w:rsidRPr="003C002F" w:rsidRDefault="008E2AA3" w:rsidP="00C70968">
      <w:pPr>
        <w:pStyle w:val="para"/>
        <w:spacing w:after="0"/>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 xml:space="preserve">Le présent accord ne prévoit pas l’affectation d’éléments monétaires sur le CET. </w:t>
      </w:r>
    </w:p>
    <w:p w14:paraId="0BC9CA89" w14:textId="307DA489" w:rsidR="005B09E0" w:rsidRPr="003C002F" w:rsidRDefault="008E2AA3" w:rsidP="005B59CD">
      <w:pPr>
        <w:pStyle w:val="para"/>
        <w:spacing w:after="0"/>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 xml:space="preserve">Le présent accord </w:t>
      </w:r>
      <w:r w:rsidR="004F4A0F" w:rsidRPr="003C002F">
        <w:rPr>
          <w:rFonts w:asciiTheme="majorHAnsi" w:eastAsia="Calibri" w:hAnsiTheme="majorHAnsi" w:cstheme="majorHAnsi"/>
          <w:color w:val="000000"/>
          <w:lang w:eastAsia="en-US"/>
        </w:rPr>
        <w:t xml:space="preserve">ne prévoit pas le versement complémentaire par l’employeur d’un abondement de l’entreprise. </w:t>
      </w:r>
    </w:p>
    <w:p w14:paraId="31B6D622" w14:textId="77657F19" w:rsidR="00C70968" w:rsidRPr="003C002F" w:rsidRDefault="00C70968" w:rsidP="00C70968">
      <w:pPr>
        <w:pStyle w:val="art4"/>
        <w:jc w:val="both"/>
        <w:rPr>
          <w:rFonts w:asciiTheme="majorHAnsi" w:eastAsia="Calibri" w:hAnsiTheme="majorHAnsi" w:cstheme="majorHAnsi"/>
          <w:b/>
          <w:color w:val="000000"/>
          <w:u w:val="single"/>
          <w:lang w:eastAsia="en-US"/>
        </w:rPr>
      </w:pPr>
      <w:r w:rsidRPr="003C002F">
        <w:rPr>
          <w:rFonts w:asciiTheme="majorHAnsi" w:eastAsia="Calibri" w:hAnsiTheme="majorHAnsi" w:cstheme="majorHAnsi"/>
          <w:b/>
          <w:color w:val="000000"/>
          <w:u w:val="single"/>
          <w:lang w:eastAsia="en-US"/>
        </w:rPr>
        <w:t xml:space="preserve">8 - Utilisation du compte </w:t>
      </w:r>
    </w:p>
    <w:p w14:paraId="4E419E82" w14:textId="77777777" w:rsidR="00C70968" w:rsidRPr="003C002F" w:rsidRDefault="00C70968" w:rsidP="00C70968">
      <w:pPr>
        <w:pStyle w:val="Titre5"/>
        <w:jc w:val="both"/>
        <w:rPr>
          <w:rFonts w:asciiTheme="majorHAnsi" w:eastAsia="Calibri" w:hAnsiTheme="majorHAnsi" w:cstheme="majorHAnsi"/>
          <w:b/>
          <w:bCs w:val="0"/>
          <w:color w:val="000000"/>
          <w:szCs w:val="24"/>
          <w:lang w:eastAsia="en-US"/>
        </w:rPr>
      </w:pPr>
      <w:r w:rsidRPr="003C002F">
        <w:rPr>
          <w:rFonts w:asciiTheme="majorHAnsi" w:eastAsia="Calibri" w:hAnsiTheme="majorHAnsi" w:cstheme="majorHAnsi"/>
          <w:b/>
          <w:bCs w:val="0"/>
          <w:color w:val="000000"/>
          <w:szCs w:val="24"/>
          <w:lang w:eastAsia="en-US"/>
        </w:rPr>
        <w:t>8.1 Indemnisation de congés</w:t>
      </w:r>
    </w:p>
    <w:p w14:paraId="466AB7FE" w14:textId="77777777" w:rsidR="00C70968" w:rsidRPr="003C002F" w:rsidRDefault="00C70968" w:rsidP="00C70968">
      <w:pPr>
        <w:pStyle w:val="para"/>
        <w:spacing w:after="0"/>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 xml:space="preserve">Le compte épargne-temps ne peut être utilisé que pour indemniser les congés légaux et les congés suivants : </w:t>
      </w:r>
    </w:p>
    <w:p w14:paraId="07217227" w14:textId="77777777" w:rsidR="00C70968" w:rsidRPr="003C002F" w:rsidRDefault="00C70968" w:rsidP="008E2AA3">
      <w:pPr>
        <w:numPr>
          <w:ilvl w:val="0"/>
          <w:numId w:val="7"/>
        </w:numPr>
        <w:spacing w:after="100" w:afterAutospacing="1"/>
        <w:jc w:val="both"/>
        <w:rPr>
          <w:rFonts w:asciiTheme="majorHAnsi" w:eastAsia="Calibri" w:hAnsiTheme="majorHAnsi" w:cstheme="majorHAnsi"/>
          <w:color w:val="000000"/>
          <w:lang w:eastAsia="en-US"/>
        </w:rPr>
      </w:pPr>
      <w:proofErr w:type="gramStart"/>
      <w:r w:rsidRPr="003C002F">
        <w:rPr>
          <w:rFonts w:asciiTheme="majorHAnsi" w:eastAsia="Calibri" w:hAnsiTheme="majorHAnsi" w:cstheme="majorHAnsi"/>
          <w:color w:val="000000"/>
          <w:lang w:eastAsia="en-US"/>
        </w:rPr>
        <w:t>congé</w:t>
      </w:r>
      <w:proofErr w:type="gramEnd"/>
      <w:r w:rsidRPr="003C002F">
        <w:rPr>
          <w:rFonts w:asciiTheme="majorHAnsi" w:eastAsia="Calibri" w:hAnsiTheme="majorHAnsi" w:cstheme="majorHAnsi"/>
          <w:color w:val="000000"/>
          <w:lang w:eastAsia="en-US"/>
        </w:rPr>
        <w:t xml:space="preserve"> parental d'éducation prévu par les articles L. 1225-47 et suivants du Code du travail ;</w:t>
      </w:r>
    </w:p>
    <w:p w14:paraId="292504B5" w14:textId="77777777" w:rsidR="00C70968" w:rsidRPr="003C002F" w:rsidRDefault="00C70968" w:rsidP="00C70968">
      <w:pPr>
        <w:numPr>
          <w:ilvl w:val="0"/>
          <w:numId w:val="7"/>
        </w:numPr>
        <w:spacing w:before="100" w:beforeAutospacing="1" w:after="100" w:afterAutospacing="1"/>
        <w:jc w:val="both"/>
        <w:rPr>
          <w:rFonts w:asciiTheme="majorHAnsi" w:eastAsia="Calibri" w:hAnsiTheme="majorHAnsi" w:cstheme="majorHAnsi"/>
          <w:color w:val="000000"/>
          <w:lang w:eastAsia="en-US"/>
        </w:rPr>
      </w:pPr>
      <w:proofErr w:type="gramStart"/>
      <w:r w:rsidRPr="003C002F">
        <w:rPr>
          <w:rFonts w:asciiTheme="majorHAnsi" w:eastAsia="Calibri" w:hAnsiTheme="majorHAnsi" w:cstheme="majorHAnsi"/>
          <w:color w:val="000000"/>
          <w:lang w:eastAsia="en-US"/>
        </w:rPr>
        <w:t>congé</w:t>
      </w:r>
      <w:proofErr w:type="gramEnd"/>
      <w:r w:rsidRPr="003C002F">
        <w:rPr>
          <w:rFonts w:asciiTheme="majorHAnsi" w:eastAsia="Calibri" w:hAnsiTheme="majorHAnsi" w:cstheme="majorHAnsi"/>
          <w:color w:val="000000"/>
          <w:lang w:eastAsia="en-US"/>
        </w:rPr>
        <w:t xml:space="preserve"> sabbatique prévu par les articles L. 3142-91 et suivants du Code du travail ;</w:t>
      </w:r>
    </w:p>
    <w:p w14:paraId="0C32529F" w14:textId="77777777" w:rsidR="00C70968" w:rsidRPr="003C002F" w:rsidRDefault="00C70968" w:rsidP="00C70968">
      <w:pPr>
        <w:numPr>
          <w:ilvl w:val="0"/>
          <w:numId w:val="7"/>
        </w:numPr>
        <w:spacing w:before="100" w:beforeAutospacing="1" w:after="100" w:afterAutospacing="1"/>
        <w:jc w:val="both"/>
        <w:rPr>
          <w:rFonts w:asciiTheme="majorHAnsi" w:eastAsia="Calibri" w:hAnsiTheme="majorHAnsi" w:cstheme="majorHAnsi"/>
          <w:color w:val="000000"/>
          <w:lang w:eastAsia="en-US"/>
        </w:rPr>
      </w:pPr>
      <w:proofErr w:type="gramStart"/>
      <w:r w:rsidRPr="003C002F">
        <w:rPr>
          <w:rFonts w:asciiTheme="majorHAnsi" w:eastAsia="Calibri" w:hAnsiTheme="majorHAnsi" w:cstheme="majorHAnsi"/>
          <w:color w:val="000000"/>
          <w:lang w:eastAsia="en-US"/>
        </w:rPr>
        <w:t>congé</w:t>
      </w:r>
      <w:proofErr w:type="gramEnd"/>
      <w:r w:rsidRPr="003C002F">
        <w:rPr>
          <w:rFonts w:asciiTheme="majorHAnsi" w:eastAsia="Calibri" w:hAnsiTheme="majorHAnsi" w:cstheme="majorHAnsi"/>
          <w:color w:val="000000"/>
          <w:lang w:eastAsia="en-US"/>
        </w:rPr>
        <w:t xml:space="preserve"> pour création ou reprise d'entreprise prévu par les articles L. 3142-78 et suivants du Code du travail ;</w:t>
      </w:r>
    </w:p>
    <w:p w14:paraId="01986074" w14:textId="77777777" w:rsidR="00C70968" w:rsidRPr="003C002F" w:rsidRDefault="00C70968" w:rsidP="00C70968">
      <w:pPr>
        <w:numPr>
          <w:ilvl w:val="0"/>
          <w:numId w:val="7"/>
        </w:numPr>
        <w:spacing w:before="100" w:beforeAutospacing="1" w:after="100" w:afterAutospacing="1"/>
        <w:jc w:val="both"/>
        <w:rPr>
          <w:rFonts w:asciiTheme="majorHAnsi" w:eastAsia="Calibri" w:hAnsiTheme="majorHAnsi" w:cstheme="majorHAnsi"/>
          <w:color w:val="000000"/>
          <w:lang w:eastAsia="en-US"/>
        </w:rPr>
      </w:pPr>
      <w:proofErr w:type="gramStart"/>
      <w:r w:rsidRPr="003C002F">
        <w:rPr>
          <w:rFonts w:asciiTheme="majorHAnsi" w:eastAsia="Calibri" w:hAnsiTheme="majorHAnsi" w:cstheme="majorHAnsi"/>
          <w:color w:val="000000"/>
          <w:lang w:eastAsia="en-US"/>
        </w:rPr>
        <w:t>congé</w:t>
      </w:r>
      <w:proofErr w:type="gramEnd"/>
      <w:r w:rsidRPr="003C002F">
        <w:rPr>
          <w:rFonts w:asciiTheme="majorHAnsi" w:eastAsia="Calibri" w:hAnsiTheme="majorHAnsi" w:cstheme="majorHAnsi"/>
          <w:color w:val="000000"/>
          <w:lang w:eastAsia="en-US"/>
        </w:rPr>
        <w:t xml:space="preserve"> de solidarité internationale prévu par l'article L. 3142-32 du Code du travail.</w:t>
      </w:r>
    </w:p>
    <w:p w14:paraId="4DB8E894"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Ces congés sont pris dans les conditions et selon les modalités prévues par la loi.</w:t>
      </w:r>
    </w:p>
    <w:p w14:paraId="49BF5693" w14:textId="77777777" w:rsidR="00C70968" w:rsidRPr="003C002F" w:rsidRDefault="00C70968" w:rsidP="00C70968">
      <w:pPr>
        <w:pStyle w:val="para"/>
        <w:jc w:val="both"/>
        <w:rPr>
          <w:rFonts w:asciiTheme="majorHAnsi" w:eastAsia="Calibri" w:hAnsiTheme="majorHAnsi" w:cstheme="majorHAnsi"/>
          <w:color w:val="000000"/>
          <w:lang w:eastAsia="en-US"/>
        </w:rPr>
      </w:pPr>
    </w:p>
    <w:p w14:paraId="4C691E6B" w14:textId="77777777" w:rsidR="00C70968" w:rsidRPr="003C002F" w:rsidRDefault="00C70968" w:rsidP="00C70968">
      <w:pPr>
        <w:pStyle w:val="Titre5"/>
        <w:jc w:val="both"/>
        <w:rPr>
          <w:rFonts w:asciiTheme="majorHAnsi" w:eastAsia="Calibri" w:hAnsiTheme="majorHAnsi" w:cstheme="majorHAnsi"/>
          <w:b/>
          <w:bCs w:val="0"/>
          <w:color w:val="000000"/>
          <w:szCs w:val="24"/>
          <w:lang w:eastAsia="en-US"/>
        </w:rPr>
      </w:pPr>
      <w:r w:rsidRPr="003C002F">
        <w:rPr>
          <w:rFonts w:asciiTheme="majorHAnsi" w:eastAsia="Calibri" w:hAnsiTheme="majorHAnsi" w:cstheme="majorHAnsi"/>
          <w:b/>
          <w:bCs w:val="0"/>
          <w:color w:val="000000"/>
          <w:szCs w:val="24"/>
          <w:lang w:eastAsia="en-US"/>
        </w:rPr>
        <w:t>8.2. Restitution jours de CET en argent</w:t>
      </w:r>
    </w:p>
    <w:p w14:paraId="77C0C09D" w14:textId="77777777" w:rsidR="00C70968" w:rsidRPr="003C002F" w:rsidRDefault="00C70968" w:rsidP="00C70968">
      <w:pPr>
        <w:pStyle w:val="para"/>
        <w:spacing w:after="0"/>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Le salarié peut demander à utiliser les droits affectés sur le compte épargne-temps pour compléter sa rémunération ou pour cesser de manière progressive son activité.</w:t>
      </w:r>
    </w:p>
    <w:p w14:paraId="20B9CD23" w14:textId="77777777" w:rsidR="003C002F" w:rsidRDefault="003C002F" w:rsidP="00C70968">
      <w:pPr>
        <w:pStyle w:val="para"/>
        <w:spacing w:after="0"/>
        <w:jc w:val="both"/>
        <w:rPr>
          <w:rFonts w:asciiTheme="majorHAnsi" w:eastAsia="Calibri" w:hAnsiTheme="majorHAnsi" w:cstheme="majorHAnsi"/>
          <w:color w:val="000000"/>
          <w:lang w:eastAsia="en-US"/>
        </w:rPr>
      </w:pPr>
    </w:p>
    <w:p w14:paraId="6F4F3F79" w14:textId="77777777" w:rsidR="003C002F" w:rsidRDefault="003C002F" w:rsidP="00C70968">
      <w:pPr>
        <w:pStyle w:val="para"/>
        <w:spacing w:after="0"/>
        <w:jc w:val="both"/>
        <w:rPr>
          <w:rFonts w:asciiTheme="majorHAnsi" w:eastAsia="Calibri" w:hAnsiTheme="majorHAnsi" w:cstheme="majorHAnsi"/>
          <w:color w:val="000000"/>
          <w:lang w:eastAsia="en-US"/>
        </w:rPr>
      </w:pPr>
    </w:p>
    <w:p w14:paraId="38AA4DC2" w14:textId="12FF82F2" w:rsidR="00C70968" w:rsidRPr="003C002F" w:rsidRDefault="00C70968" w:rsidP="00C70968">
      <w:pPr>
        <w:pStyle w:val="para"/>
        <w:spacing w:after="0"/>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L’utilisation sous forme de complément de rémunération des droits versés sur le compte épargne-temps au titre du congé annuel n’est autorisée que pour ceux des droits correspondant à des jours excédant la durée 25 jours ouvrés (la loi n’autorisant le paiement des jours de congés payés annuels qu’au-delà de la 5ème semaine).</w:t>
      </w:r>
    </w:p>
    <w:p w14:paraId="7875D5BA"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Pour bénéficier de la faculté offerte par le présent article, le salarié doit en faire la demande par courriel ou courrier remis en main propre contre décharge à sa Direction Générale copie à la Direction RH Groupe, au plus tard le 20 de chaque mois.</w:t>
      </w:r>
    </w:p>
    <w:p w14:paraId="5B9540FF"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 xml:space="preserve">Cette demande doit être faite en respectant dans tous les cas ci-après, </w:t>
      </w:r>
      <w:r w:rsidRPr="003C002F">
        <w:rPr>
          <w:rFonts w:asciiTheme="majorHAnsi" w:eastAsia="Calibri" w:hAnsiTheme="majorHAnsi" w:cstheme="majorHAnsi"/>
          <w:b/>
          <w:color w:val="000000"/>
          <w:lang w:eastAsia="en-US"/>
        </w:rPr>
        <w:t>un délai de prévenance d’un mois (30 jours</w:t>
      </w:r>
      <w:r w:rsidRPr="003C002F">
        <w:rPr>
          <w:rFonts w:asciiTheme="majorHAnsi" w:eastAsia="Calibri" w:hAnsiTheme="majorHAnsi" w:cstheme="majorHAnsi"/>
          <w:color w:val="000000"/>
          <w:lang w:eastAsia="en-US"/>
        </w:rPr>
        <w:t>) L’employeur est tenu de répondre, dans le délai d'un mois suivant la réception de la demande. Sans réponse de l’employeur, la demande de restitution est considérée acquise et la somme doit être versée au plus tard à la fin du mois suivant la demande.</w:t>
      </w:r>
    </w:p>
    <w:p w14:paraId="07EB5D5E" w14:textId="77777777" w:rsidR="00C70968" w:rsidRPr="003C002F" w:rsidRDefault="00C70968" w:rsidP="00C70968">
      <w:pPr>
        <w:pStyle w:val="art4"/>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Les jours du CET payés sont valorisés sur la base de la rémunération perçue au jour de la demande de paiement.</w:t>
      </w:r>
    </w:p>
    <w:p w14:paraId="6B6993BF" w14:textId="39EC7F45"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En fin de période de validité du présent Compte-épargne temps, les jours affectés au CET que le salarié voudra se faire payer devront l’être au plus tard dans les 12 mois suivant la fin du présent Accord, sauf conclusion d’un nouvel Accord</w:t>
      </w:r>
      <w:r w:rsidR="00105ED7" w:rsidRPr="003C002F">
        <w:rPr>
          <w:rFonts w:asciiTheme="majorHAnsi" w:eastAsia="Calibri" w:hAnsiTheme="majorHAnsi" w:cstheme="majorHAnsi"/>
          <w:color w:val="000000"/>
          <w:lang w:eastAsia="en-US"/>
        </w:rPr>
        <w:t xml:space="preserve"> qui en précisera le régime</w:t>
      </w:r>
      <w:r w:rsidRPr="003C002F">
        <w:rPr>
          <w:rFonts w:asciiTheme="majorHAnsi" w:eastAsia="Calibri" w:hAnsiTheme="majorHAnsi" w:cstheme="majorHAnsi"/>
          <w:color w:val="000000"/>
          <w:lang w:eastAsia="en-US"/>
        </w:rPr>
        <w:t>.</w:t>
      </w:r>
    </w:p>
    <w:p w14:paraId="4C55F3DB" w14:textId="77777777" w:rsidR="00C70968" w:rsidRPr="003C002F" w:rsidRDefault="00C70968" w:rsidP="00C70968">
      <w:pPr>
        <w:pStyle w:val="para"/>
        <w:jc w:val="both"/>
        <w:rPr>
          <w:rFonts w:asciiTheme="majorHAnsi" w:eastAsia="Calibri" w:hAnsiTheme="majorHAnsi" w:cstheme="majorHAnsi"/>
          <w:color w:val="000000"/>
          <w:lang w:eastAsia="en-US"/>
        </w:rPr>
      </w:pPr>
    </w:p>
    <w:p w14:paraId="187900F0" w14:textId="35D3A204" w:rsidR="00C70968" w:rsidRPr="003C002F" w:rsidRDefault="00C70968" w:rsidP="00C70968">
      <w:pPr>
        <w:pStyle w:val="Titre5"/>
        <w:jc w:val="both"/>
        <w:rPr>
          <w:rFonts w:asciiTheme="majorHAnsi" w:eastAsia="Calibri" w:hAnsiTheme="majorHAnsi" w:cstheme="majorHAnsi"/>
          <w:b/>
          <w:color w:val="000000"/>
          <w:szCs w:val="24"/>
          <w:lang w:eastAsia="en-US"/>
        </w:rPr>
      </w:pPr>
      <w:r w:rsidRPr="003C002F">
        <w:rPr>
          <w:rFonts w:asciiTheme="majorHAnsi" w:eastAsia="Calibri" w:hAnsiTheme="majorHAnsi" w:cstheme="majorHAnsi"/>
          <w:b/>
          <w:bCs w:val="0"/>
          <w:color w:val="000000"/>
          <w:szCs w:val="24"/>
          <w:lang w:eastAsia="en-US"/>
        </w:rPr>
        <w:t xml:space="preserve">8.3 </w:t>
      </w:r>
      <w:r w:rsidR="002A025E" w:rsidRPr="003C002F">
        <w:rPr>
          <w:rFonts w:asciiTheme="majorHAnsi" w:eastAsia="Calibri" w:hAnsiTheme="majorHAnsi" w:cstheme="majorHAnsi"/>
          <w:b/>
          <w:bCs w:val="0"/>
          <w:color w:val="000000"/>
          <w:szCs w:val="24"/>
          <w:lang w:eastAsia="en-US"/>
        </w:rPr>
        <w:t>- Don</w:t>
      </w:r>
      <w:r w:rsidRPr="003C002F">
        <w:rPr>
          <w:rFonts w:asciiTheme="majorHAnsi" w:eastAsia="Calibri" w:hAnsiTheme="majorHAnsi" w:cstheme="majorHAnsi"/>
          <w:b/>
          <w:bCs w:val="0"/>
          <w:color w:val="000000"/>
          <w:szCs w:val="24"/>
          <w:lang w:eastAsia="en-US"/>
        </w:rPr>
        <w:t xml:space="preserve"> de jours inscrits au CET au profit d’un autre salarié</w:t>
      </w:r>
    </w:p>
    <w:p w14:paraId="7525ABA2" w14:textId="77777777" w:rsidR="00C70968" w:rsidRPr="003C002F" w:rsidRDefault="00C70968" w:rsidP="00C70968">
      <w:pPr>
        <w:jc w:val="both"/>
        <w:rPr>
          <w:rFonts w:asciiTheme="majorHAnsi" w:eastAsia="Calibri" w:hAnsiTheme="majorHAnsi" w:cstheme="majorHAnsi"/>
          <w:color w:val="000000"/>
          <w:lang w:eastAsia="en-US"/>
        </w:rPr>
      </w:pPr>
    </w:p>
    <w:p w14:paraId="41366BC0" w14:textId="77777777" w:rsidR="00C70968" w:rsidRPr="003C002F" w:rsidRDefault="00C70968" w:rsidP="00C70968">
      <w:pPr>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Dans le cadre des articles L. 1225-65-1 et L. 1225-65-2 du code du travail, le salarié a la faculté de renoncer à tout ou partie de ses jours de repos non pris inscrits sur le CET au bénéfice d'un autre salarié de l'entreprise qui assume la charge d'un enfant âgé de moins de 20 ans atteint d'une maladie, d'un handicap ou victime d'un accident d'une particulière gravité rendant indispensables une présence soutenue et des soins contraignants.</w:t>
      </w:r>
    </w:p>
    <w:p w14:paraId="5FD06F01" w14:textId="77777777" w:rsidR="00C70968" w:rsidRPr="003C002F" w:rsidRDefault="00C70968" w:rsidP="00C70968">
      <w:pPr>
        <w:jc w:val="both"/>
        <w:rPr>
          <w:rFonts w:asciiTheme="majorHAnsi" w:eastAsia="Calibri" w:hAnsiTheme="majorHAnsi" w:cstheme="majorHAnsi"/>
          <w:color w:val="000000"/>
          <w:lang w:eastAsia="en-US"/>
        </w:rPr>
      </w:pPr>
    </w:p>
    <w:p w14:paraId="5A3F536D" w14:textId="77777777" w:rsidR="00C70968" w:rsidRPr="003C002F" w:rsidRDefault="00C70968" w:rsidP="00C70968">
      <w:pPr>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Ce don est également ouvert au bénéficie d’un salarié proche aidant d'une personne souffrant d'un handicap ou d'une perte d'autonomie et en faveur des parents endeuillés par le décès de leur enfant.</w:t>
      </w:r>
    </w:p>
    <w:p w14:paraId="202B6C3A" w14:textId="77777777" w:rsidR="00C70968" w:rsidRPr="003C002F" w:rsidRDefault="00C70968" w:rsidP="00C70968">
      <w:pPr>
        <w:jc w:val="both"/>
        <w:rPr>
          <w:rFonts w:asciiTheme="majorHAnsi" w:eastAsia="Calibri" w:hAnsiTheme="majorHAnsi" w:cstheme="majorHAnsi"/>
          <w:color w:val="000000"/>
          <w:lang w:eastAsia="en-US"/>
        </w:rPr>
      </w:pPr>
    </w:p>
    <w:p w14:paraId="3CE3AE42" w14:textId="77777777" w:rsidR="00C70968" w:rsidRPr="003C002F" w:rsidRDefault="00C70968" w:rsidP="00C70968">
      <w:pPr>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Le transfert de jours entre collaborateurs pourra se faire uniquement entre deux comptes CET et sera réalisé de façon anonyme entre salariés. Le salarié « donateur » adressera à la Direction Générale, copie à la Direction des Ressources Humaines une demande de transferts de jours de son compte à celui de son collègue « destinataire ».  Un maximum de 10j/an et par collaborateur pourra être transféré. Conformément à l’article L 1225-65-1 ce don doit être autorisé par l’employeur.</w:t>
      </w:r>
    </w:p>
    <w:p w14:paraId="05A0F4DE" w14:textId="77777777" w:rsidR="00C70968" w:rsidRPr="003C002F" w:rsidRDefault="00C70968" w:rsidP="00C70968">
      <w:pPr>
        <w:jc w:val="both"/>
        <w:rPr>
          <w:rFonts w:asciiTheme="majorHAnsi" w:eastAsia="Calibri" w:hAnsiTheme="majorHAnsi" w:cstheme="majorHAnsi"/>
          <w:color w:val="000000"/>
          <w:lang w:eastAsia="en-US"/>
        </w:rPr>
      </w:pPr>
    </w:p>
    <w:p w14:paraId="0ADEA8CA" w14:textId="77777777" w:rsidR="00C70968" w:rsidRPr="003C002F" w:rsidRDefault="00C70968" w:rsidP="00C70968">
      <w:pPr>
        <w:shd w:val="clear" w:color="auto" w:fill="FFFFFF"/>
        <w:spacing w:after="240"/>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Le salarié bénéficiaire d'un ou plusieurs jours cédés en application des deux premiers alinéas bénéficie du maintien de sa rémunération pendant sa période d'absence. Cette période d'absence est assimilée à une période de travail effectif pour la détermination des droits que le salarié tient de son ancienneté. Le salarié conserve le bénéfice de tous les avantages qu'il avait acquis avant le début de sa période d'absence.</w:t>
      </w:r>
    </w:p>
    <w:p w14:paraId="203CA986" w14:textId="77777777" w:rsidR="00C70968" w:rsidRPr="003C002F" w:rsidRDefault="00C70968" w:rsidP="00C70968">
      <w:pPr>
        <w:pStyle w:val="Titre5"/>
        <w:jc w:val="both"/>
        <w:rPr>
          <w:rFonts w:asciiTheme="majorHAnsi" w:eastAsia="Calibri" w:hAnsiTheme="majorHAnsi" w:cstheme="majorHAnsi"/>
          <w:b/>
          <w:bCs w:val="0"/>
          <w:color w:val="000000"/>
          <w:szCs w:val="24"/>
          <w:lang w:eastAsia="en-US"/>
        </w:rPr>
      </w:pPr>
      <w:r w:rsidRPr="003C002F">
        <w:rPr>
          <w:rFonts w:asciiTheme="majorHAnsi" w:eastAsia="Calibri" w:hAnsiTheme="majorHAnsi" w:cstheme="majorHAnsi"/>
          <w:b/>
          <w:bCs w:val="0"/>
          <w:color w:val="000000"/>
          <w:szCs w:val="24"/>
          <w:lang w:eastAsia="en-US"/>
        </w:rPr>
        <w:lastRenderedPageBreak/>
        <w:t>8.4 – Prise des jours de CET en congés</w:t>
      </w:r>
    </w:p>
    <w:p w14:paraId="52403A7E" w14:textId="77777777" w:rsidR="00C70968" w:rsidRPr="003C002F" w:rsidRDefault="00C70968" w:rsidP="00C70968">
      <w:pPr>
        <w:pStyle w:val="art4"/>
        <w:spacing w:after="0" w:afterAutospacing="0"/>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Le salarié peut, sur sa demande, et sous réserve d’accord de l’employeur, utiliser les droits affectés sur le compte épargne-temps pour cumuler des jours de congés.</w:t>
      </w:r>
    </w:p>
    <w:p w14:paraId="0510D230" w14:textId="77777777" w:rsidR="00C70968" w:rsidRPr="003C002F" w:rsidRDefault="00C70968" w:rsidP="00C70968">
      <w:pPr>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 xml:space="preserve">La prise de jours de congés est soumise à l’accord de l’employeur. </w:t>
      </w:r>
    </w:p>
    <w:p w14:paraId="715C29D1"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 xml:space="preserve">Pour bénéficier de la faculté offerte par le présent article, le salarié doit en faire la demande, hors urgence exceptionnelle, en respectant </w:t>
      </w:r>
      <w:r w:rsidRPr="003C002F">
        <w:rPr>
          <w:rFonts w:asciiTheme="majorHAnsi" w:eastAsia="Calibri" w:hAnsiTheme="majorHAnsi" w:cstheme="majorHAnsi"/>
          <w:b/>
          <w:color w:val="000000"/>
          <w:lang w:eastAsia="en-US"/>
        </w:rPr>
        <w:t>un délai de prévenance d’un mois (30 jours</w:t>
      </w:r>
      <w:r w:rsidRPr="003C002F">
        <w:rPr>
          <w:rFonts w:asciiTheme="majorHAnsi" w:eastAsia="Calibri" w:hAnsiTheme="majorHAnsi" w:cstheme="majorHAnsi"/>
          <w:color w:val="000000"/>
          <w:lang w:eastAsia="en-US"/>
        </w:rPr>
        <w:t>) L’employeur est tenu de répondre, dans le délai d'un mois suivant la réception de la demande. Sans réponse de l’employeur, la demande de prise de jours en congés est considérée acquise.</w:t>
      </w:r>
    </w:p>
    <w:p w14:paraId="77BD2179"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L’employeur est tenu de répondre, hors urgence exceptionnelle, dans le délai d'un mois suivant la réception de la demande. En cas de refus par l’employeur de la demande de prise de jours de congés, il est tenu de proposer une autre date pour des jours semblables.</w:t>
      </w:r>
    </w:p>
    <w:p w14:paraId="2DBA0430"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 xml:space="preserve"> Au terme du présent Accord, l’ensemble des jours affectés au CET doivent être payés sur demande du salarié. A défaut de demande de paiement, les jours restant affectés au CET devront obligatoirement être pris en congés dans les 12 mois suivant la fin de validité du présent Accord.</w:t>
      </w:r>
    </w:p>
    <w:p w14:paraId="543F6833" w14:textId="1C677845"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 xml:space="preserve">L’employeur peut imposer la prise de jours de CET en congés durant la période de validité du présent Accord, jusqu’à concurrence de 10 jours par an, moyennant un délai de prévenance d’un mois (30 jours) ; ceci après que le collaborateur </w:t>
      </w:r>
      <w:proofErr w:type="gramStart"/>
      <w:r w:rsidR="005B09E0" w:rsidRPr="003C002F">
        <w:rPr>
          <w:rFonts w:asciiTheme="majorHAnsi" w:eastAsia="Calibri" w:hAnsiTheme="majorHAnsi" w:cstheme="majorHAnsi"/>
          <w:color w:val="000000"/>
          <w:lang w:eastAsia="en-US"/>
        </w:rPr>
        <w:t>ait</w:t>
      </w:r>
      <w:proofErr w:type="gramEnd"/>
      <w:r w:rsidR="005B09E0" w:rsidRPr="003C002F">
        <w:rPr>
          <w:rFonts w:asciiTheme="majorHAnsi" w:eastAsia="Calibri" w:hAnsiTheme="majorHAnsi" w:cstheme="majorHAnsi"/>
          <w:color w:val="000000"/>
          <w:lang w:eastAsia="en-US"/>
        </w:rPr>
        <w:t xml:space="preserve"> </w:t>
      </w:r>
      <w:r w:rsidRPr="003C002F">
        <w:rPr>
          <w:rFonts w:asciiTheme="majorHAnsi" w:eastAsia="Calibri" w:hAnsiTheme="majorHAnsi" w:cstheme="majorHAnsi"/>
          <w:color w:val="000000"/>
          <w:lang w:eastAsia="en-US"/>
        </w:rPr>
        <w:t xml:space="preserve">soldé ses Congés payés et RTTE de la période en cours avec information de la Direction au CSE par mail. </w:t>
      </w:r>
    </w:p>
    <w:p w14:paraId="1F8D404D" w14:textId="77777777" w:rsidR="00C70968" w:rsidRPr="003C002F" w:rsidRDefault="00C70968" w:rsidP="00C70968">
      <w:pPr>
        <w:pStyle w:val="art4"/>
        <w:jc w:val="both"/>
        <w:rPr>
          <w:rFonts w:asciiTheme="majorHAnsi" w:eastAsia="Calibri" w:hAnsiTheme="majorHAnsi" w:cstheme="majorHAnsi"/>
          <w:b/>
          <w:color w:val="000000"/>
          <w:u w:val="single"/>
          <w:lang w:eastAsia="en-US"/>
        </w:rPr>
      </w:pPr>
      <w:r w:rsidRPr="003C002F">
        <w:rPr>
          <w:rFonts w:asciiTheme="majorHAnsi" w:eastAsia="Calibri" w:hAnsiTheme="majorHAnsi" w:cstheme="majorHAnsi"/>
          <w:b/>
          <w:color w:val="000000"/>
          <w:u w:val="single"/>
          <w:lang w:eastAsia="en-US"/>
        </w:rPr>
        <w:t xml:space="preserve">9 - Prise de congé </w:t>
      </w:r>
    </w:p>
    <w:p w14:paraId="08E8804D" w14:textId="77777777" w:rsidR="00C70968" w:rsidRPr="003C002F" w:rsidRDefault="00C70968" w:rsidP="00C70968">
      <w:pPr>
        <w:pStyle w:val="Titre5"/>
        <w:jc w:val="both"/>
        <w:rPr>
          <w:rFonts w:asciiTheme="majorHAnsi" w:eastAsia="Calibri" w:hAnsiTheme="majorHAnsi" w:cstheme="majorHAnsi"/>
          <w:b/>
          <w:bCs w:val="0"/>
          <w:color w:val="000000"/>
          <w:szCs w:val="24"/>
          <w:lang w:eastAsia="en-US"/>
        </w:rPr>
      </w:pPr>
      <w:r w:rsidRPr="003C002F">
        <w:rPr>
          <w:rFonts w:asciiTheme="majorHAnsi" w:eastAsia="Calibri" w:hAnsiTheme="majorHAnsi" w:cstheme="majorHAnsi"/>
          <w:b/>
          <w:bCs w:val="0"/>
          <w:color w:val="000000"/>
          <w:szCs w:val="24"/>
          <w:lang w:eastAsia="en-US"/>
        </w:rPr>
        <w:t>9.1 Situation du salarié en congé</w:t>
      </w:r>
    </w:p>
    <w:p w14:paraId="5A8EB189" w14:textId="77777777" w:rsidR="00C70968" w:rsidRPr="003C002F" w:rsidRDefault="00C70968" w:rsidP="00C70968">
      <w:pPr>
        <w:pStyle w:val="para"/>
        <w:spacing w:after="0"/>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Le congé pris selon l'une ou l'autre des modalités indiquées à l'article 8 du présent accord est indemnisé au taux du salaire mensuel de base en vigueur au moment du départ en congé. A l'égard des cotisations sociales et de l'impôt sur le revenu, l'indemnité versée à la nature d'un salaire.</w:t>
      </w:r>
    </w:p>
    <w:p w14:paraId="2F3DAB03"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Le nom du congé indemnisé, sa durée au titre du mois considéré, et le montant de l'indemnité correspondante sont indiqués sur le bulletin de paye remis au salarié à l'échéance habituelle.</w:t>
      </w:r>
    </w:p>
    <w:p w14:paraId="6BD66E8D"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Un jour, une semaine et un mois de congé indemnisé sont réputés correspondre respectivement à l'horaire contractuel journalier, hebdomadaire et mensuel en vigueur au moment du départ en congé.</w:t>
      </w:r>
    </w:p>
    <w:p w14:paraId="1C5BF69C"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Lorsque la durée du congé est supérieure à la durée indemnisable, le paiement est interrompu après consommation intégrale des droits.</w:t>
      </w:r>
    </w:p>
    <w:p w14:paraId="0542F821" w14:textId="77777777" w:rsidR="00C70968" w:rsidRPr="003C002F" w:rsidRDefault="00C70968" w:rsidP="00C70968">
      <w:pPr>
        <w:pStyle w:val="para"/>
        <w:jc w:val="both"/>
        <w:rPr>
          <w:rFonts w:asciiTheme="majorHAnsi" w:eastAsia="Calibri" w:hAnsiTheme="majorHAnsi" w:cstheme="majorHAnsi"/>
          <w:color w:val="000000"/>
          <w:lang w:eastAsia="en-US"/>
        </w:rPr>
      </w:pPr>
    </w:p>
    <w:p w14:paraId="0F107AFE" w14:textId="67E9893E"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L'utilisation de la totalité des droits inscrits au CET n'entraîne la clôture de ce dernier que s'ils ont été consommés au titre d'un congé de fin de carrière.</w:t>
      </w:r>
    </w:p>
    <w:p w14:paraId="064B1E38" w14:textId="7535ACFA"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En fin de période de validité du présent Compte-épargne temps, les jours affectés au CET que le salarié n’aura pas voulu se faire payer devront être posés en congés au plus tard dans les 12 mois suivant la fin du présent Accord, sauf si un nouvel Accord intervient pour lui succéder.</w:t>
      </w:r>
    </w:p>
    <w:p w14:paraId="2739EC5B" w14:textId="77777777" w:rsidR="00C70968" w:rsidRPr="003C002F" w:rsidRDefault="00C70968" w:rsidP="00C70968">
      <w:pPr>
        <w:pStyle w:val="para"/>
        <w:jc w:val="both"/>
        <w:rPr>
          <w:rFonts w:asciiTheme="majorHAnsi" w:eastAsia="Calibri" w:hAnsiTheme="majorHAnsi" w:cstheme="majorHAnsi"/>
          <w:color w:val="000000"/>
          <w:lang w:eastAsia="en-US"/>
        </w:rPr>
      </w:pPr>
    </w:p>
    <w:p w14:paraId="0AD309D0" w14:textId="77777777" w:rsidR="00C70968" w:rsidRPr="003C002F" w:rsidRDefault="00C70968" w:rsidP="00C70968">
      <w:pPr>
        <w:pStyle w:val="Titre5"/>
        <w:jc w:val="both"/>
        <w:rPr>
          <w:rFonts w:asciiTheme="majorHAnsi" w:eastAsia="Calibri" w:hAnsiTheme="majorHAnsi" w:cstheme="majorHAnsi"/>
          <w:b/>
          <w:bCs w:val="0"/>
          <w:color w:val="000000"/>
          <w:szCs w:val="24"/>
          <w:lang w:eastAsia="en-US"/>
        </w:rPr>
      </w:pPr>
      <w:r w:rsidRPr="003C002F">
        <w:rPr>
          <w:rFonts w:asciiTheme="majorHAnsi" w:eastAsia="Calibri" w:hAnsiTheme="majorHAnsi" w:cstheme="majorHAnsi"/>
          <w:b/>
          <w:bCs w:val="0"/>
          <w:color w:val="000000"/>
          <w:szCs w:val="24"/>
          <w:lang w:eastAsia="en-US"/>
        </w:rPr>
        <w:lastRenderedPageBreak/>
        <w:t>9.2 Statut du salarié en congé</w:t>
      </w:r>
    </w:p>
    <w:p w14:paraId="5D2C1E44" w14:textId="77777777" w:rsidR="00C70968" w:rsidRPr="003C002F" w:rsidRDefault="00C70968" w:rsidP="00C70968">
      <w:pPr>
        <w:pStyle w:val="para"/>
        <w:spacing w:after="0"/>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Pendant toute la durée du congé, les obligations contractuelles autres que celles liées à la fourniture du travail subsistent, sauf dispositions législatives contraires. Les garanties de prévoyance sont assurées dans les conditions en vigueur dans l’entreprise.</w:t>
      </w:r>
    </w:p>
    <w:p w14:paraId="00920F44" w14:textId="742D2A82"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L'absence du salarié pendant la durée indemnisée du congé pour convenance personnelle ou de fin de carrière est assimilée à un temps de travail effectif pour le calcul des droits liés à l'ancienneté et aux congés payés.</w:t>
      </w:r>
    </w:p>
    <w:p w14:paraId="03C4BA10" w14:textId="77777777" w:rsidR="00C70968" w:rsidRPr="003C002F" w:rsidRDefault="00C70968" w:rsidP="00C70968">
      <w:pPr>
        <w:pStyle w:val="para"/>
        <w:jc w:val="both"/>
        <w:rPr>
          <w:rFonts w:asciiTheme="majorHAnsi" w:eastAsia="Calibri" w:hAnsiTheme="majorHAnsi" w:cstheme="majorHAnsi"/>
          <w:color w:val="000000"/>
          <w:lang w:eastAsia="en-US"/>
        </w:rPr>
      </w:pPr>
    </w:p>
    <w:p w14:paraId="7E606124" w14:textId="77777777" w:rsidR="00C70968" w:rsidRPr="003C002F" w:rsidRDefault="00C70968" w:rsidP="00C70968">
      <w:pPr>
        <w:pStyle w:val="Titre5"/>
        <w:jc w:val="both"/>
        <w:rPr>
          <w:rFonts w:asciiTheme="majorHAnsi" w:eastAsia="Calibri" w:hAnsiTheme="majorHAnsi" w:cstheme="majorHAnsi"/>
          <w:b/>
          <w:bCs w:val="0"/>
          <w:color w:val="000000"/>
          <w:szCs w:val="24"/>
          <w:lang w:eastAsia="en-US"/>
        </w:rPr>
      </w:pPr>
      <w:r w:rsidRPr="003C002F">
        <w:rPr>
          <w:rFonts w:asciiTheme="majorHAnsi" w:eastAsia="Calibri" w:hAnsiTheme="majorHAnsi" w:cstheme="majorHAnsi"/>
          <w:b/>
          <w:bCs w:val="0"/>
          <w:color w:val="000000"/>
          <w:szCs w:val="24"/>
          <w:lang w:eastAsia="en-US"/>
        </w:rPr>
        <w:t>9.3 Fin du congé</w:t>
      </w:r>
    </w:p>
    <w:p w14:paraId="527BA02F" w14:textId="77777777" w:rsidR="00C70968" w:rsidRPr="003C002F" w:rsidRDefault="00C70968" w:rsidP="00C70968">
      <w:pPr>
        <w:pStyle w:val="para"/>
        <w:spacing w:after="0"/>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A l'issue d'un congé visé à l'article 8 du présent accord, le salarié reprend son précédent emploi assorti d'une rémunération au moins équivalente.</w:t>
      </w:r>
    </w:p>
    <w:p w14:paraId="6BBD0510"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A l'issue d'un congé de fin de carrière, le CET est définitivement clos à la date de rupture du contrat de travail.</w:t>
      </w:r>
    </w:p>
    <w:p w14:paraId="4D78166C"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Le salarié ne pourra interrompre un congé pour convenance personnelle qu'avec l'accord de l'employeur, la date du retour anticipé étant alors fixée d'un commun accord. Il ne pourra interrompre un congé légal indemnisé que dans les cas autorisés par la loi. Le congé de fin de carrière ne peut être interrompu.</w:t>
      </w:r>
    </w:p>
    <w:p w14:paraId="1300FE63" w14:textId="77777777" w:rsidR="00C70968" w:rsidRPr="003C002F" w:rsidRDefault="00C70968" w:rsidP="00C70968">
      <w:pPr>
        <w:pStyle w:val="art4"/>
        <w:jc w:val="both"/>
        <w:rPr>
          <w:rFonts w:asciiTheme="majorHAnsi" w:eastAsia="Calibri" w:hAnsiTheme="majorHAnsi" w:cstheme="majorHAnsi"/>
          <w:b/>
          <w:color w:val="000000"/>
          <w:u w:val="single"/>
          <w:lang w:eastAsia="en-US"/>
        </w:rPr>
      </w:pPr>
      <w:r w:rsidRPr="003C002F">
        <w:rPr>
          <w:rFonts w:asciiTheme="majorHAnsi" w:eastAsia="Calibri" w:hAnsiTheme="majorHAnsi" w:cstheme="majorHAnsi"/>
          <w:b/>
          <w:color w:val="000000"/>
          <w:u w:val="single"/>
          <w:lang w:eastAsia="en-US"/>
        </w:rPr>
        <w:t xml:space="preserve">10 - Clôture des comptes individuels </w:t>
      </w:r>
    </w:p>
    <w:p w14:paraId="282BC494" w14:textId="77777777" w:rsidR="00C70968" w:rsidRPr="003C002F" w:rsidRDefault="00C70968" w:rsidP="00C70968">
      <w:pPr>
        <w:pStyle w:val="Titre5"/>
        <w:jc w:val="both"/>
        <w:rPr>
          <w:rFonts w:asciiTheme="majorHAnsi" w:eastAsia="Calibri" w:hAnsiTheme="majorHAnsi" w:cstheme="majorHAnsi"/>
          <w:b/>
          <w:bCs w:val="0"/>
          <w:color w:val="000000"/>
          <w:szCs w:val="24"/>
          <w:lang w:eastAsia="en-US"/>
        </w:rPr>
      </w:pPr>
      <w:r w:rsidRPr="003C002F">
        <w:rPr>
          <w:rFonts w:asciiTheme="majorHAnsi" w:eastAsia="Calibri" w:hAnsiTheme="majorHAnsi" w:cstheme="majorHAnsi"/>
          <w:b/>
          <w:bCs w:val="0"/>
          <w:color w:val="000000"/>
          <w:szCs w:val="24"/>
          <w:lang w:eastAsia="en-US"/>
        </w:rPr>
        <w:t>10.1 Rupture du contrat de travail</w:t>
      </w:r>
    </w:p>
    <w:p w14:paraId="3221267A" w14:textId="77777777" w:rsidR="00C70968" w:rsidRPr="003C002F" w:rsidRDefault="00C70968" w:rsidP="00C70968">
      <w:pPr>
        <w:pStyle w:val="para"/>
        <w:spacing w:before="0" w:after="0"/>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 xml:space="preserve">La rupture du contrat de travail pour quelque motif que ce soit </w:t>
      </w:r>
      <w:proofErr w:type="spellStart"/>
      <w:r w:rsidRPr="003C002F">
        <w:rPr>
          <w:rFonts w:asciiTheme="majorHAnsi" w:eastAsia="Calibri" w:hAnsiTheme="majorHAnsi" w:cstheme="majorHAnsi"/>
          <w:color w:val="000000"/>
          <w:lang w:eastAsia="en-US"/>
        </w:rPr>
        <w:t>entraîne</w:t>
      </w:r>
      <w:proofErr w:type="spellEnd"/>
      <w:r w:rsidRPr="003C002F">
        <w:rPr>
          <w:rFonts w:asciiTheme="majorHAnsi" w:eastAsia="Calibri" w:hAnsiTheme="majorHAnsi" w:cstheme="majorHAnsi"/>
          <w:color w:val="000000"/>
          <w:lang w:eastAsia="en-US"/>
        </w:rPr>
        <w:t>, sauf transmission dans les conditions indiquées à l'article 12, la clôture du CET.</w:t>
      </w:r>
    </w:p>
    <w:p w14:paraId="3CCDDF73"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Lorsque la rupture du contrat de travail donne lieu à préavis conformément aux dispositions légales et conventionnelles, celui-ci peut être allongé par accord écrit des parties pour permettre la consommation de tout ou partie des droits inscrits au CET.</w:t>
      </w:r>
    </w:p>
    <w:p w14:paraId="41022368"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Dans le cas où aucun accord n'est intervenu sur les modalités d'indemnisation d'un congé à prendre avant la rupture du contrat de travail, et dans le cas où l'accord intervenu n'a pas permis la liquidation totale des droits inscrits au CET, une indemnité compensatrice d'épargne-temps est versée. Cette indemnité est égale au produit du nombre d'heures inscrites au CET par le salaire de base en vigueur à la date de la rupture.</w:t>
      </w:r>
    </w:p>
    <w:p w14:paraId="0A152473"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Elle est versée mensuellement par fraction correspondant à l'horaire mensuel de l'intéressé, jusqu'à liquidation totale de la créance. Elle est soumise au régime social et fiscal des salaires.</w:t>
      </w:r>
    </w:p>
    <w:p w14:paraId="6E9745D7" w14:textId="77777777" w:rsidR="000F15A1" w:rsidRPr="003C002F" w:rsidRDefault="000F15A1" w:rsidP="00C70968">
      <w:pPr>
        <w:pStyle w:val="para"/>
        <w:jc w:val="both"/>
        <w:rPr>
          <w:rFonts w:asciiTheme="majorHAnsi" w:eastAsia="Calibri" w:hAnsiTheme="majorHAnsi" w:cstheme="majorHAnsi"/>
          <w:color w:val="000000"/>
          <w:lang w:eastAsia="en-US"/>
        </w:rPr>
      </w:pPr>
    </w:p>
    <w:p w14:paraId="21C04237" w14:textId="77777777" w:rsidR="000F15A1" w:rsidRPr="003C002F" w:rsidRDefault="000F15A1" w:rsidP="000F15A1">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Toutefois, sous réserve d’obtenir l’accord de l’employeur, le salarié peut demander la consignation des droits affectés au CET au jour de la rupture auprès de la Caisse des dépôts et consignations.</w:t>
      </w:r>
    </w:p>
    <w:p w14:paraId="6824172F" w14:textId="67B90980" w:rsidR="00C70968" w:rsidRPr="003C002F" w:rsidRDefault="000F15A1" w:rsidP="000F15A1">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La demande du salarié est impérativement formulée par écrit adressé par courrier recommandé ou remis en main propre.</w:t>
      </w:r>
    </w:p>
    <w:p w14:paraId="602D5E32" w14:textId="77777777" w:rsidR="005558DC" w:rsidRPr="003C002F" w:rsidRDefault="005558DC" w:rsidP="000F15A1">
      <w:pPr>
        <w:pStyle w:val="para"/>
        <w:jc w:val="both"/>
        <w:rPr>
          <w:rFonts w:asciiTheme="majorHAnsi" w:eastAsia="Calibri" w:hAnsiTheme="majorHAnsi" w:cstheme="majorHAnsi"/>
          <w:color w:val="EE0000"/>
          <w:lang w:eastAsia="en-US"/>
        </w:rPr>
      </w:pPr>
    </w:p>
    <w:p w14:paraId="4B9A43E2" w14:textId="77777777" w:rsidR="00C70968" w:rsidRPr="003C002F" w:rsidRDefault="00C70968" w:rsidP="00C70968">
      <w:pPr>
        <w:pStyle w:val="Titre5"/>
        <w:jc w:val="both"/>
        <w:rPr>
          <w:rFonts w:asciiTheme="majorHAnsi" w:eastAsia="Calibri" w:hAnsiTheme="majorHAnsi" w:cstheme="majorHAnsi"/>
          <w:b/>
          <w:bCs w:val="0"/>
          <w:color w:val="000000"/>
          <w:szCs w:val="24"/>
          <w:lang w:eastAsia="en-US"/>
        </w:rPr>
      </w:pPr>
      <w:r w:rsidRPr="003C002F">
        <w:rPr>
          <w:rFonts w:asciiTheme="majorHAnsi" w:eastAsia="Calibri" w:hAnsiTheme="majorHAnsi" w:cstheme="majorHAnsi"/>
          <w:b/>
          <w:bCs w:val="0"/>
          <w:color w:val="000000"/>
          <w:szCs w:val="24"/>
          <w:lang w:eastAsia="en-US"/>
        </w:rPr>
        <w:t>10.2 Renonciation au CET</w:t>
      </w:r>
    </w:p>
    <w:p w14:paraId="782B1ED3" w14:textId="77777777" w:rsidR="00C70968" w:rsidRPr="003C002F" w:rsidRDefault="00C70968" w:rsidP="00C70968">
      <w:pPr>
        <w:pStyle w:val="para"/>
        <w:spacing w:after="0"/>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Le salarié peut renoncer au CET dans les mêmes cas que ceux qui autorisent le déblocage anticipé des droits au titre du régime légal de participation.</w:t>
      </w:r>
    </w:p>
    <w:p w14:paraId="7BCAEBFB" w14:textId="77777777" w:rsidR="003C002F" w:rsidRDefault="003C002F" w:rsidP="00C70968">
      <w:pPr>
        <w:pStyle w:val="para"/>
        <w:jc w:val="both"/>
        <w:rPr>
          <w:rFonts w:asciiTheme="majorHAnsi" w:eastAsia="Calibri" w:hAnsiTheme="majorHAnsi" w:cstheme="majorHAnsi"/>
          <w:color w:val="000000"/>
          <w:lang w:eastAsia="en-US"/>
        </w:rPr>
      </w:pPr>
    </w:p>
    <w:p w14:paraId="294A69CF" w14:textId="4E4302B0"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La renonciation est notifiée à l'employeur par lettre recommandée avec accusé de réception avec un préavis de trois mois.</w:t>
      </w:r>
    </w:p>
    <w:p w14:paraId="26C9E612" w14:textId="77777777"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Le CET n'est clos qu'à la date de liquidation totale des droits du salarié.</w:t>
      </w:r>
    </w:p>
    <w:p w14:paraId="2A8BF909" w14:textId="57A807CA" w:rsidR="00C70968" w:rsidRPr="003C002F" w:rsidRDefault="00C70968" w:rsidP="00C70968">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La réouverture ultérieure d'un nouveau CET par le même salarié n'est pas possible avant le délai d'un an suivant la clôture du CET.</w:t>
      </w:r>
    </w:p>
    <w:p w14:paraId="3E92BD12" w14:textId="08C0FD8B" w:rsidR="00FF4EDA" w:rsidRPr="003C002F" w:rsidRDefault="002A025E" w:rsidP="002A025E">
      <w:pPr>
        <w:pStyle w:val="art4"/>
        <w:jc w:val="both"/>
        <w:rPr>
          <w:rFonts w:asciiTheme="majorHAnsi" w:eastAsia="Calibri" w:hAnsiTheme="majorHAnsi" w:cstheme="majorHAnsi"/>
          <w:b/>
          <w:color w:val="000000"/>
          <w:u w:val="single"/>
          <w:lang w:eastAsia="en-US"/>
        </w:rPr>
      </w:pPr>
      <w:r w:rsidRPr="003C002F">
        <w:rPr>
          <w:rFonts w:asciiTheme="majorHAnsi" w:eastAsia="Calibri" w:hAnsiTheme="majorHAnsi" w:cstheme="majorHAnsi"/>
          <w:b/>
          <w:color w:val="000000"/>
          <w:u w:val="single"/>
          <w:lang w:eastAsia="en-US"/>
        </w:rPr>
        <w:t>11- Régime</w:t>
      </w:r>
      <w:r w:rsidR="00FF4EDA" w:rsidRPr="003C002F">
        <w:rPr>
          <w:rFonts w:asciiTheme="majorHAnsi" w:eastAsia="Calibri" w:hAnsiTheme="majorHAnsi" w:cstheme="majorHAnsi"/>
          <w:b/>
          <w:color w:val="000000"/>
          <w:u w:val="single"/>
          <w:lang w:eastAsia="en-US"/>
        </w:rPr>
        <w:t xml:space="preserve"> fiscal et social des indemnités</w:t>
      </w:r>
    </w:p>
    <w:p w14:paraId="1E6C3A67" w14:textId="77777777" w:rsidR="00FF4EDA" w:rsidRPr="003C002F" w:rsidRDefault="00FF4EDA" w:rsidP="00FF4EDA">
      <w:pPr>
        <w:pStyle w:val="para"/>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Les indemnités versées au salarié lors de l’utilisation ou de la liquidation du CET s’entendent d’indemnités brutes. Elles sont soumises régimes fiscal et social applicables au jour de leur versement.</w:t>
      </w:r>
    </w:p>
    <w:p w14:paraId="5DDF8F67" w14:textId="6D89688D" w:rsidR="002A025E" w:rsidRPr="003C002F" w:rsidRDefault="00C70968" w:rsidP="002A025E">
      <w:pPr>
        <w:pStyle w:val="art4"/>
        <w:jc w:val="both"/>
        <w:rPr>
          <w:rFonts w:asciiTheme="majorHAnsi" w:eastAsia="Calibri" w:hAnsiTheme="majorHAnsi" w:cstheme="majorHAnsi"/>
          <w:b/>
          <w:color w:val="000000"/>
          <w:u w:val="single"/>
          <w:lang w:eastAsia="en-US"/>
        </w:rPr>
      </w:pPr>
      <w:r w:rsidRPr="003C002F">
        <w:rPr>
          <w:rFonts w:asciiTheme="majorHAnsi" w:eastAsia="Calibri" w:hAnsiTheme="majorHAnsi" w:cstheme="majorHAnsi"/>
          <w:b/>
          <w:color w:val="000000"/>
          <w:u w:val="single"/>
          <w:lang w:eastAsia="en-US"/>
        </w:rPr>
        <w:t>1</w:t>
      </w:r>
      <w:r w:rsidR="002A025E" w:rsidRPr="003C002F">
        <w:rPr>
          <w:rFonts w:asciiTheme="majorHAnsi" w:eastAsia="Calibri" w:hAnsiTheme="majorHAnsi" w:cstheme="majorHAnsi"/>
          <w:b/>
          <w:color w:val="000000"/>
          <w:u w:val="single"/>
          <w:lang w:eastAsia="en-US"/>
        </w:rPr>
        <w:t>2</w:t>
      </w:r>
      <w:r w:rsidRPr="003C002F">
        <w:rPr>
          <w:rFonts w:asciiTheme="majorHAnsi" w:eastAsia="Calibri" w:hAnsiTheme="majorHAnsi" w:cstheme="majorHAnsi"/>
          <w:b/>
          <w:color w:val="000000"/>
          <w:u w:val="single"/>
          <w:lang w:eastAsia="en-US"/>
        </w:rPr>
        <w:t xml:space="preserve"> - Transfert du compte </w:t>
      </w:r>
    </w:p>
    <w:p w14:paraId="198EF9F0" w14:textId="77777777" w:rsidR="002A025E" w:rsidRPr="003C002F" w:rsidRDefault="002A025E" w:rsidP="002A025E">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En cas de mobilité dans le groupe, la valeur du compte peut être transférée par accord entre le salarié, l’entreprise et le nouvel employeur auprès de ce dernier si celui-ci dispose également d’un compte épargne-temps. Après le transfert, la gestion du compte s’effectue conformément aux règles prévues par l’accord collectif applicable dans la nouvelle entreprise.</w:t>
      </w:r>
    </w:p>
    <w:p w14:paraId="599B4F70" w14:textId="12028D20" w:rsidR="00C70968" w:rsidRPr="003C002F" w:rsidRDefault="00C70968" w:rsidP="00C70968">
      <w:pPr>
        <w:pStyle w:val="art4"/>
        <w:jc w:val="both"/>
        <w:rPr>
          <w:rFonts w:asciiTheme="majorHAnsi" w:eastAsia="Calibri" w:hAnsiTheme="majorHAnsi" w:cstheme="majorHAnsi"/>
          <w:b/>
          <w:color w:val="000000"/>
          <w:u w:val="single"/>
          <w:lang w:eastAsia="en-US"/>
        </w:rPr>
      </w:pPr>
      <w:r w:rsidRPr="003C002F">
        <w:rPr>
          <w:rFonts w:asciiTheme="majorHAnsi" w:eastAsia="Calibri" w:hAnsiTheme="majorHAnsi" w:cstheme="majorHAnsi"/>
          <w:b/>
          <w:color w:val="000000"/>
          <w:u w:val="single"/>
          <w:lang w:eastAsia="en-US"/>
        </w:rPr>
        <w:t>1</w:t>
      </w:r>
      <w:r w:rsidR="002A025E" w:rsidRPr="003C002F">
        <w:rPr>
          <w:rFonts w:asciiTheme="majorHAnsi" w:eastAsia="Calibri" w:hAnsiTheme="majorHAnsi" w:cstheme="majorHAnsi"/>
          <w:b/>
          <w:color w:val="000000"/>
          <w:u w:val="single"/>
          <w:lang w:eastAsia="en-US"/>
        </w:rPr>
        <w:t>3</w:t>
      </w:r>
      <w:r w:rsidRPr="003C002F">
        <w:rPr>
          <w:rFonts w:asciiTheme="majorHAnsi" w:eastAsia="Calibri" w:hAnsiTheme="majorHAnsi" w:cstheme="majorHAnsi"/>
          <w:b/>
          <w:color w:val="000000"/>
          <w:u w:val="single"/>
          <w:lang w:eastAsia="en-US"/>
        </w:rPr>
        <w:t xml:space="preserve"> – Garantie des droits</w:t>
      </w:r>
    </w:p>
    <w:p w14:paraId="60A1332C" w14:textId="4ECBF543" w:rsidR="002D5814" w:rsidRPr="003C002F" w:rsidRDefault="005B09E0" w:rsidP="00C74B81">
      <w:pPr>
        <w:spacing w:after="120"/>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En cas de défaillance de l’entreprise les droits acquis au titre du CET sont garantis par l’AGS selon les modalités, limites et plafonds propres à ce régime.</w:t>
      </w:r>
    </w:p>
    <w:p w14:paraId="68992618" w14:textId="414E7B67" w:rsidR="00293D0D" w:rsidRPr="003C002F" w:rsidRDefault="00293D0D" w:rsidP="00293D0D">
      <w:pPr>
        <w:pStyle w:val="art4"/>
        <w:jc w:val="both"/>
        <w:rPr>
          <w:rFonts w:asciiTheme="majorHAnsi" w:eastAsia="Calibri" w:hAnsiTheme="majorHAnsi" w:cstheme="majorHAnsi"/>
          <w:b/>
          <w:color w:val="000000"/>
          <w:u w:val="single"/>
          <w:lang w:eastAsia="en-US"/>
        </w:rPr>
      </w:pPr>
      <w:r w:rsidRPr="003C002F">
        <w:rPr>
          <w:rFonts w:asciiTheme="majorHAnsi" w:eastAsia="Calibri" w:hAnsiTheme="majorHAnsi" w:cstheme="majorHAnsi"/>
          <w:b/>
          <w:color w:val="000000"/>
          <w:u w:val="single"/>
          <w:lang w:eastAsia="en-US"/>
        </w:rPr>
        <w:t>1</w:t>
      </w:r>
      <w:r w:rsidR="002A025E" w:rsidRPr="003C002F">
        <w:rPr>
          <w:rFonts w:asciiTheme="majorHAnsi" w:eastAsia="Calibri" w:hAnsiTheme="majorHAnsi" w:cstheme="majorHAnsi"/>
          <w:b/>
          <w:color w:val="000000"/>
          <w:u w:val="single"/>
          <w:lang w:eastAsia="en-US"/>
        </w:rPr>
        <w:t>4</w:t>
      </w:r>
      <w:r w:rsidRPr="003C002F">
        <w:rPr>
          <w:rFonts w:asciiTheme="majorHAnsi" w:eastAsia="Calibri" w:hAnsiTheme="majorHAnsi" w:cstheme="majorHAnsi"/>
          <w:b/>
          <w:color w:val="000000"/>
          <w:u w:val="single"/>
          <w:lang w:eastAsia="en-US"/>
        </w:rPr>
        <w:t xml:space="preserve"> – Communication de l’accord</w:t>
      </w:r>
    </w:p>
    <w:p w14:paraId="18CA5769" w14:textId="13F65642" w:rsidR="00293D0D" w:rsidRPr="003C002F" w:rsidRDefault="00293D0D" w:rsidP="00293D0D">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Le texte du présent accord, une fois signé, sera affiché et communiqué à l’ensemble des collaborateurs.</w:t>
      </w:r>
    </w:p>
    <w:p w14:paraId="52D2AF95" w14:textId="24BD60D9" w:rsidR="00C70968" w:rsidRPr="003C002F" w:rsidRDefault="00C70968" w:rsidP="00C70968">
      <w:pPr>
        <w:pStyle w:val="art4"/>
        <w:jc w:val="both"/>
        <w:rPr>
          <w:rFonts w:asciiTheme="majorHAnsi" w:eastAsia="Calibri" w:hAnsiTheme="majorHAnsi" w:cstheme="majorHAnsi"/>
          <w:b/>
          <w:color w:val="000000"/>
          <w:u w:val="single"/>
          <w:lang w:eastAsia="en-US"/>
        </w:rPr>
      </w:pPr>
      <w:r w:rsidRPr="003C002F">
        <w:rPr>
          <w:rFonts w:asciiTheme="majorHAnsi" w:eastAsia="Calibri" w:hAnsiTheme="majorHAnsi" w:cstheme="majorHAnsi"/>
          <w:b/>
          <w:color w:val="000000"/>
          <w:u w:val="single"/>
          <w:lang w:eastAsia="en-US"/>
        </w:rPr>
        <w:t>1</w:t>
      </w:r>
      <w:r w:rsidR="002A025E" w:rsidRPr="003C002F">
        <w:rPr>
          <w:rFonts w:asciiTheme="majorHAnsi" w:eastAsia="Calibri" w:hAnsiTheme="majorHAnsi" w:cstheme="majorHAnsi"/>
          <w:b/>
          <w:color w:val="000000"/>
          <w:u w:val="single"/>
          <w:lang w:eastAsia="en-US"/>
        </w:rPr>
        <w:t>5</w:t>
      </w:r>
      <w:r w:rsidRPr="003C002F">
        <w:rPr>
          <w:rFonts w:asciiTheme="majorHAnsi" w:eastAsia="Calibri" w:hAnsiTheme="majorHAnsi" w:cstheme="majorHAnsi"/>
          <w:b/>
          <w:color w:val="000000"/>
          <w:u w:val="single"/>
          <w:lang w:eastAsia="en-US"/>
        </w:rPr>
        <w:t xml:space="preserve"> - Dépôt </w:t>
      </w:r>
      <w:r w:rsidR="00293D0D" w:rsidRPr="003C002F">
        <w:rPr>
          <w:rFonts w:asciiTheme="majorHAnsi" w:eastAsia="Calibri" w:hAnsiTheme="majorHAnsi" w:cstheme="majorHAnsi"/>
          <w:b/>
          <w:color w:val="000000"/>
          <w:u w:val="single"/>
          <w:lang w:eastAsia="en-US"/>
        </w:rPr>
        <w:t>de l’accord</w:t>
      </w:r>
    </w:p>
    <w:p w14:paraId="0A5249C3" w14:textId="77777777" w:rsidR="00293D0D" w:rsidRPr="003C002F" w:rsidRDefault="00293D0D" w:rsidP="00293D0D">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 xml:space="preserve">Le </w:t>
      </w:r>
      <w:bookmarkStart w:id="0" w:name="_Hlk13237097"/>
      <w:r w:rsidRPr="003C002F">
        <w:rPr>
          <w:rFonts w:asciiTheme="majorHAnsi" w:eastAsia="Calibri" w:hAnsiTheme="majorHAnsi" w:cstheme="majorHAnsi"/>
          <w:color w:val="000000"/>
          <w:lang w:eastAsia="en-US"/>
        </w:rPr>
        <w:t>présent accord donnera lieu à dépôt dans les conditions prévues aux articles L. 2231-6 et D. 2231-2 et suivants du Code du travail. Il sera déposé :</w:t>
      </w:r>
    </w:p>
    <w:p w14:paraId="11E47D28" w14:textId="14051B43" w:rsidR="00293D0D" w:rsidRPr="003C002F" w:rsidRDefault="00293D0D" w:rsidP="00293D0D">
      <w:pPr>
        <w:pStyle w:val="para"/>
        <w:numPr>
          <w:ilvl w:val="0"/>
          <w:numId w:val="9"/>
        </w:numPr>
        <w:jc w:val="both"/>
        <w:rPr>
          <w:rFonts w:asciiTheme="majorHAnsi" w:eastAsia="Calibri" w:hAnsiTheme="majorHAnsi" w:cstheme="majorHAnsi"/>
          <w:color w:val="000000"/>
          <w:lang w:eastAsia="en-US"/>
        </w:rPr>
      </w:pPr>
      <w:proofErr w:type="gramStart"/>
      <w:r w:rsidRPr="003C002F">
        <w:rPr>
          <w:rFonts w:asciiTheme="majorHAnsi" w:eastAsia="Calibri" w:hAnsiTheme="majorHAnsi" w:cstheme="majorHAnsi"/>
          <w:color w:val="000000"/>
          <w:lang w:eastAsia="en-US"/>
        </w:rPr>
        <w:t>sur</w:t>
      </w:r>
      <w:proofErr w:type="gramEnd"/>
      <w:r w:rsidRPr="003C002F">
        <w:rPr>
          <w:rFonts w:asciiTheme="majorHAnsi" w:eastAsia="Calibri" w:hAnsiTheme="majorHAnsi" w:cstheme="majorHAnsi"/>
          <w:color w:val="000000"/>
          <w:lang w:eastAsia="en-US"/>
        </w:rPr>
        <w:t xml:space="preserve"> la plateforme de téléprocédure dénommée « </w:t>
      </w:r>
      <w:proofErr w:type="spellStart"/>
      <w:r w:rsidRPr="003C002F">
        <w:rPr>
          <w:rFonts w:asciiTheme="majorHAnsi" w:eastAsia="Calibri" w:hAnsiTheme="majorHAnsi" w:cstheme="majorHAnsi"/>
          <w:color w:val="000000"/>
          <w:lang w:eastAsia="en-US"/>
        </w:rPr>
        <w:t>TéléAccords</w:t>
      </w:r>
      <w:proofErr w:type="spellEnd"/>
      <w:r w:rsidRPr="003C002F">
        <w:rPr>
          <w:rFonts w:asciiTheme="majorHAnsi" w:eastAsia="Calibri" w:hAnsiTheme="majorHAnsi" w:cstheme="majorHAnsi"/>
          <w:color w:val="000000"/>
          <w:lang w:eastAsia="en-US"/>
        </w:rPr>
        <w:t> » accompagné des pièces prévues à l’article D. 2231-7 du Code du travail ;</w:t>
      </w:r>
    </w:p>
    <w:p w14:paraId="05A22DAB" w14:textId="205EB990" w:rsidR="00293D0D" w:rsidRPr="003C002F" w:rsidRDefault="00293D0D" w:rsidP="00293D0D">
      <w:pPr>
        <w:pStyle w:val="para"/>
        <w:numPr>
          <w:ilvl w:val="0"/>
          <w:numId w:val="9"/>
        </w:numPr>
        <w:jc w:val="both"/>
        <w:rPr>
          <w:rFonts w:asciiTheme="majorHAnsi" w:eastAsia="Calibri" w:hAnsiTheme="majorHAnsi" w:cstheme="majorHAnsi"/>
          <w:color w:val="000000"/>
          <w:lang w:eastAsia="en-US"/>
        </w:rPr>
      </w:pPr>
      <w:proofErr w:type="gramStart"/>
      <w:r w:rsidRPr="003C002F">
        <w:rPr>
          <w:rFonts w:asciiTheme="majorHAnsi" w:eastAsia="Calibri" w:hAnsiTheme="majorHAnsi" w:cstheme="majorHAnsi"/>
          <w:color w:val="000000"/>
          <w:lang w:eastAsia="en-US"/>
        </w:rPr>
        <w:t>et</w:t>
      </w:r>
      <w:proofErr w:type="gramEnd"/>
      <w:r w:rsidRPr="003C002F">
        <w:rPr>
          <w:rFonts w:asciiTheme="majorHAnsi" w:eastAsia="Calibri" w:hAnsiTheme="majorHAnsi" w:cstheme="majorHAnsi"/>
          <w:color w:val="000000"/>
          <w:lang w:eastAsia="en-US"/>
        </w:rPr>
        <w:t xml:space="preserve"> en un exemplaire auprès du greffe du conseil de prud'hommes de </w:t>
      </w:r>
      <w:bookmarkEnd w:id="0"/>
      <w:r w:rsidRPr="003C002F">
        <w:rPr>
          <w:rFonts w:asciiTheme="majorHAnsi" w:eastAsia="Calibri" w:hAnsiTheme="majorHAnsi" w:cstheme="majorHAnsi"/>
          <w:color w:val="000000"/>
          <w:lang w:eastAsia="en-US"/>
        </w:rPr>
        <w:t>Montpellier.</w:t>
      </w:r>
    </w:p>
    <w:p w14:paraId="6D2F735A" w14:textId="2374DA65" w:rsidR="008F15D6" w:rsidRPr="003C002F" w:rsidRDefault="002A025E" w:rsidP="005003A2">
      <w:pPr>
        <w:pStyle w:val="art4"/>
        <w:jc w:val="both"/>
        <w:rPr>
          <w:rFonts w:asciiTheme="majorHAnsi" w:eastAsia="Calibri" w:hAnsiTheme="majorHAnsi" w:cstheme="majorHAnsi"/>
          <w:b/>
          <w:color w:val="000000"/>
          <w:u w:val="single"/>
          <w:lang w:eastAsia="en-US"/>
        </w:rPr>
      </w:pPr>
      <w:r w:rsidRPr="003C002F">
        <w:rPr>
          <w:rFonts w:asciiTheme="majorHAnsi" w:eastAsia="Calibri" w:hAnsiTheme="majorHAnsi" w:cstheme="majorHAnsi"/>
          <w:b/>
          <w:color w:val="000000"/>
          <w:u w:val="single"/>
          <w:lang w:eastAsia="en-US"/>
        </w:rPr>
        <w:t xml:space="preserve">16 - </w:t>
      </w:r>
      <w:r w:rsidR="008F15D6" w:rsidRPr="003C002F">
        <w:rPr>
          <w:rFonts w:asciiTheme="majorHAnsi" w:eastAsia="Calibri" w:hAnsiTheme="majorHAnsi" w:cstheme="majorHAnsi"/>
          <w:b/>
          <w:color w:val="000000"/>
          <w:u w:val="single"/>
          <w:lang w:eastAsia="en-US"/>
        </w:rPr>
        <w:t>Transmission de l’accord à la commission paritaire permanente de négociation et d'interprétation de branche</w:t>
      </w:r>
    </w:p>
    <w:p w14:paraId="0C07AE79" w14:textId="25CDC93E" w:rsidR="008F15D6" w:rsidRDefault="008F15D6" w:rsidP="00643595">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Après suppression des noms et prénoms des négociateurs et des signataires, la partie la plus diligente transmettra cet accord à la commission paritaire permanente de négociation et d'interprétation de branche et en informera les autres parties signataires.</w:t>
      </w:r>
    </w:p>
    <w:p w14:paraId="5605DAA4" w14:textId="77777777" w:rsidR="003C002F" w:rsidRPr="003C002F" w:rsidRDefault="003C002F" w:rsidP="00643595">
      <w:pPr>
        <w:pStyle w:val="para"/>
        <w:jc w:val="both"/>
        <w:rPr>
          <w:rFonts w:asciiTheme="majorHAnsi" w:eastAsia="Calibri" w:hAnsiTheme="majorHAnsi" w:cstheme="majorHAnsi"/>
          <w:color w:val="000000"/>
          <w:lang w:eastAsia="en-US"/>
        </w:rPr>
      </w:pPr>
    </w:p>
    <w:p w14:paraId="79E0C575" w14:textId="2360DA6B" w:rsidR="00643595" w:rsidRPr="003C002F" w:rsidRDefault="002A025E" w:rsidP="005003A2">
      <w:pPr>
        <w:pStyle w:val="art4"/>
        <w:jc w:val="both"/>
        <w:rPr>
          <w:rFonts w:asciiTheme="majorHAnsi" w:eastAsia="Calibri" w:hAnsiTheme="majorHAnsi" w:cstheme="majorHAnsi"/>
          <w:b/>
          <w:color w:val="000000"/>
          <w:u w:val="single"/>
          <w:lang w:eastAsia="en-US"/>
        </w:rPr>
      </w:pPr>
      <w:r w:rsidRPr="003C002F">
        <w:rPr>
          <w:rFonts w:asciiTheme="majorHAnsi" w:eastAsia="Calibri" w:hAnsiTheme="majorHAnsi" w:cstheme="majorHAnsi"/>
          <w:b/>
          <w:color w:val="000000"/>
          <w:u w:val="single"/>
          <w:lang w:eastAsia="en-US"/>
        </w:rPr>
        <w:lastRenderedPageBreak/>
        <w:t xml:space="preserve">17 - </w:t>
      </w:r>
      <w:r w:rsidR="00643595" w:rsidRPr="003C002F">
        <w:rPr>
          <w:rFonts w:asciiTheme="majorHAnsi" w:eastAsia="Calibri" w:hAnsiTheme="majorHAnsi" w:cstheme="majorHAnsi"/>
          <w:b/>
          <w:color w:val="000000"/>
          <w:u w:val="single"/>
          <w:lang w:eastAsia="en-US"/>
        </w:rPr>
        <w:t>Publication de l’accord</w:t>
      </w:r>
    </w:p>
    <w:p w14:paraId="7573E50E" w14:textId="3F0406D3" w:rsidR="00C74B81" w:rsidRPr="003C002F" w:rsidRDefault="00643595" w:rsidP="00643595">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Le présent accord fera l’objet d’une publication dans la base de données nationale visée à l’article L. 2231-5-1 du Code du travail dans une version ne comportant pas les noms et prénoms des négociateurs et des signataires.</w:t>
      </w:r>
    </w:p>
    <w:p w14:paraId="6CFC0094" w14:textId="67B9C6EB" w:rsidR="00BA6C5D" w:rsidRPr="003C002F" w:rsidRDefault="002A025E" w:rsidP="005003A2">
      <w:pPr>
        <w:pStyle w:val="art4"/>
        <w:jc w:val="both"/>
        <w:rPr>
          <w:rFonts w:asciiTheme="majorHAnsi" w:eastAsia="Calibri" w:hAnsiTheme="majorHAnsi" w:cstheme="majorHAnsi"/>
          <w:b/>
          <w:color w:val="000000"/>
          <w:u w:val="single"/>
          <w:lang w:eastAsia="en-US"/>
        </w:rPr>
      </w:pPr>
      <w:r w:rsidRPr="003C002F">
        <w:rPr>
          <w:rFonts w:asciiTheme="majorHAnsi" w:eastAsia="Calibri" w:hAnsiTheme="majorHAnsi" w:cstheme="majorHAnsi"/>
          <w:b/>
          <w:color w:val="000000"/>
          <w:u w:val="single"/>
          <w:lang w:eastAsia="en-US"/>
        </w:rPr>
        <w:t>18 -</w:t>
      </w:r>
      <w:r w:rsidR="00BA6C5D" w:rsidRPr="003C002F">
        <w:rPr>
          <w:rFonts w:asciiTheme="majorHAnsi" w:eastAsia="Calibri" w:hAnsiTheme="majorHAnsi" w:cstheme="majorHAnsi"/>
          <w:b/>
          <w:color w:val="000000"/>
          <w:u w:val="single"/>
          <w:lang w:eastAsia="en-US"/>
        </w:rPr>
        <w:t xml:space="preserve"> Entrée en vigueur de l’accord</w:t>
      </w:r>
    </w:p>
    <w:p w14:paraId="0E632423" w14:textId="404E4B8D" w:rsidR="00C74B81" w:rsidRPr="003C002F" w:rsidRDefault="00C74B81" w:rsidP="005003A2">
      <w:pPr>
        <w:pStyle w:val="para"/>
        <w:jc w:val="both"/>
        <w:rPr>
          <w:rFonts w:asciiTheme="majorHAnsi" w:eastAsia="Calibri" w:hAnsiTheme="majorHAnsi" w:cstheme="majorHAnsi"/>
          <w:color w:val="000000"/>
          <w:lang w:eastAsia="en-US"/>
        </w:rPr>
      </w:pPr>
      <w:r w:rsidRPr="003C002F">
        <w:rPr>
          <w:rFonts w:asciiTheme="majorHAnsi" w:eastAsia="Calibri" w:hAnsiTheme="majorHAnsi" w:cstheme="majorHAnsi"/>
          <w:color w:val="000000"/>
          <w:lang w:eastAsia="en-US"/>
        </w:rPr>
        <w:t xml:space="preserve">Le présent accord, signé le </w:t>
      </w:r>
      <w:r w:rsidR="00196149">
        <w:rPr>
          <w:rFonts w:asciiTheme="majorHAnsi" w:eastAsia="Calibri" w:hAnsiTheme="majorHAnsi" w:cstheme="majorHAnsi"/>
          <w:color w:val="000000"/>
          <w:lang w:eastAsia="en-US"/>
        </w:rPr>
        <w:t>21</w:t>
      </w:r>
      <w:r w:rsidR="001B2D7C" w:rsidRPr="003C002F">
        <w:rPr>
          <w:rFonts w:asciiTheme="majorHAnsi" w:eastAsia="Calibri" w:hAnsiTheme="majorHAnsi" w:cstheme="majorHAnsi"/>
          <w:color w:val="000000"/>
          <w:lang w:eastAsia="en-US"/>
        </w:rPr>
        <w:t xml:space="preserve"> novembre </w:t>
      </w:r>
      <w:r w:rsidRPr="003C002F">
        <w:rPr>
          <w:rFonts w:asciiTheme="majorHAnsi" w:eastAsia="Calibri" w:hAnsiTheme="majorHAnsi" w:cstheme="majorHAnsi"/>
          <w:color w:val="000000"/>
          <w:lang w:eastAsia="en-US"/>
        </w:rPr>
        <w:t xml:space="preserve">2025, prend effet rétroactivement au 1ier janvier 2025. Cette rétroactivité est expressément convenue entre les parties, qui la reconnaissent et l’acceptent sans réserve. </w:t>
      </w:r>
    </w:p>
    <w:p w14:paraId="4BEB8DC4" w14:textId="77777777" w:rsidR="00C70968" w:rsidRPr="003C002F" w:rsidRDefault="00C70968" w:rsidP="00C70968">
      <w:pPr>
        <w:pStyle w:val="texte"/>
        <w:rPr>
          <w:rFonts w:asciiTheme="majorHAnsi" w:eastAsia="Calibri" w:hAnsiTheme="majorHAnsi" w:cstheme="majorHAnsi"/>
          <w:color w:val="000000"/>
          <w:sz w:val="24"/>
          <w:szCs w:val="24"/>
          <w:lang w:eastAsia="en-US"/>
        </w:rPr>
      </w:pPr>
    </w:p>
    <w:p w14:paraId="26AA7497" w14:textId="642E2DF4" w:rsidR="00C70968" w:rsidRPr="003C002F" w:rsidRDefault="00C70968" w:rsidP="00C70968">
      <w:pPr>
        <w:pStyle w:val="texte"/>
        <w:rPr>
          <w:rFonts w:asciiTheme="majorHAnsi" w:eastAsia="Calibri" w:hAnsiTheme="majorHAnsi" w:cstheme="majorHAnsi"/>
          <w:color w:val="000000"/>
          <w:sz w:val="24"/>
          <w:szCs w:val="24"/>
          <w:lang w:eastAsia="en-US"/>
        </w:rPr>
      </w:pPr>
      <w:r w:rsidRPr="003C002F">
        <w:rPr>
          <w:rFonts w:asciiTheme="majorHAnsi" w:eastAsia="Calibri" w:hAnsiTheme="majorHAnsi" w:cstheme="majorHAnsi"/>
          <w:color w:val="000000"/>
          <w:sz w:val="24"/>
          <w:szCs w:val="24"/>
          <w:lang w:eastAsia="en-US"/>
        </w:rPr>
        <w:t xml:space="preserve">Fait à GRABELS, </w:t>
      </w:r>
    </w:p>
    <w:p w14:paraId="74479D45" w14:textId="77777777" w:rsidR="00C70968" w:rsidRPr="003C002F" w:rsidRDefault="00C70968" w:rsidP="00C70968">
      <w:pPr>
        <w:pStyle w:val="texte"/>
        <w:rPr>
          <w:rFonts w:asciiTheme="majorHAnsi" w:eastAsia="Calibri" w:hAnsiTheme="majorHAnsi" w:cstheme="majorHAnsi"/>
          <w:color w:val="000000"/>
          <w:sz w:val="24"/>
          <w:szCs w:val="24"/>
          <w:lang w:eastAsia="en-US"/>
        </w:rPr>
      </w:pPr>
      <w:r w:rsidRPr="003C002F">
        <w:rPr>
          <w:rFonts w:asciiTheme="majorHAnsi" w:eastAsia="Calibri" w:hAnsiTheme="majorHAnsi" w:cstheme="majorHAnsi"/>
          <w:color w:val="000000"/>
          <w:sz w:val="24"/>
          <w:szCs w:val="24"/>
          <w:lang w:eastAsia="en-US"/>
        </w:rPr>
        <w:t>En 3 exemplaires originaux</w:t>
      </w:r>
    </w:p>
    <w:p w14:paraId="33CDB4C9" w14:textId="77777777" w:rsidR="00C70968" w:rsidRPr="003C002F" w:rsidRDefault="00C70968" w:rsidP="00C70968">
      <w:pPr>
        <w:pStyle w:val="texte"/>
        <w:rPr>
          <w:rFonts w:asciiTheme="majorHAnsi" w:eastAsia="Calibri" w:hAnsiTheme="majorHAnsi" w:cstheme="majorHAnsi"/>
          <w:color w:val="000000"/>
          <w:sz w:val="24"/>
          <w:szCs w:val="24"/>
          <w:lang w:eastAsia="en-US"/>
        </w:rPr>
      </w:pPr>
    </w:p>
    <w:p w14:paraId="759D512B" w14:textId="770CB365" w:rsidR="00C70968" w:rsidRPr="003C002F" w:rsidRDefault="00C70968" w:rsidP="00C70968">
      <w:pPr>
        <w:pStyle w:val="texte"/>
        <w:rPr>
          <w:rFonts w:asciiTheme="majorHAnsi" w:eastAsia="Calibri" w:hAnsiTheme="majorHAnsi" w:cstheme="majorHAnsi"/>
          <w:b/>
          <w:bCs/>
          <w:color w:val="000000"/>
          <w:sz w:val="24"/>
          <w:szCs w:val="24"/>
          <w:lang w:eastAsia="en-US"/>
        </w:rPr>
      </w:pPr>
      <w:r w:rsidRPr="003C002F">
        <w:rPr>
          <w:rFonts w:asciiTheme="majorHAnsi" w:eastAsia="Calibri" w:hAnsiTheme="majorHAnsi" w:cstheme="majorHAnsi"/>
          <w:b/>
          <w:bCs/>
          <w:color w:val="000000"/>
          <w:sz w:val="24"/>
          <w:szCs w:val="24"/>
          <w:lang w:eastAsia="en-US"/>
        </w:rPr>
        <w:t>Pour l’UES A</w:t>
      </w:r>
      <w:r w:rsidR="00F40CF2" w:rsidRPr="003C002F">
        <w:rPr>
          <w:rFonts w:asciiTheme="majorHAnsi" w:eastAsia="Calibri" w:hAnsiTheme="majorHAnsi" w:cstheme="majorHAnsi"/>
          <w:b/>
          <w:bCs/>
          <w:color w:val="000000"/>
          <w:sz w:val="24"/>
          <w:szCs w:val="24"/>
          <w:lang w:eastAsia="en-US"/>
        </w:rPr>
        <w:t xml:space="preserve">S4 Holding </w:t>
      </w:r>
      <w:r w:rsidRPr="003C002F">
        <w:rPr>
          <w:rFonts w:asciiTheme="majorHAnsi" w:eastAsia="Calibri" w:hAnsiTheme="majorHAnsi" w:cstheme="majorHAnsi"/>
          <w:b/>
          <w:bCs/>
          <w:color w:val="000000"/>
          <w:sz w:val="24"/>
          <w:szCs w:val="24"/>
          <w:lang w:eastAsia="en-US"/>
        </w:rPr>
        <w:t>–AGYSOFT</w:t>
      </w:r>
    </w:p>
    <w:p w14:paraId="2F3FC9C5" w14:textId="07616E59" w:rsidR="00C70968" w:rsidRPr="003C002F" w:rsidRDefault="00716661" w:rsidP="00C70968">
      <w:pPr>
        <w:pStyle w:val="texte"/>
        <w:rPr>
          <w:rFonts w:asciiTheme="majorHAnsi" w:eastAsia="Calibri" w:hAnsiTheme="majorHAnsi" w:cstheme="majorHAnsi"/>
          <w:color w:val="000000"/>
          <w:sz w:val="24"/>
          <w:szCs w:val="24"/>
          <w:lang w:eastAsia="en-US"/>
        </w:rPr>
      </w:pPr>
      <w:r>
        <w:rPr>
          <w:rFonts w:asciiTheme="majorHAnsi" w:eastAsia="Calibri" w:hAnsiTheme="majorHAnsi" w:cstheme="majorHAnsi"/>
          <w:color w:val="000000"/>
          <w:sz w:val="24"/>
          <w:szCs w:val="24"/>
          <w:lang w:eastAsia="en-US"/>
        </w:rPr>
        <w:t>**</w:t>
      </w:r>
      <w:r w:rsidR="00C70968" w:rsidRPr="003C002F">
        <w:rPr>
          <w:rFonts w:asciiTheme="majorHAnsi" w:eastAsia="Calibri" w:hAnsiTheme="majorHAnsi" w:cstheme="majorHAnsi"/>
          <w:color w:val="000000"/>
          <w:sz w:val="24"/>
          <w:szCs w:val="24"/>
          <w:lang w:eastAsia="en-US"/>
        </w:rPr>
        <w:t xml:space="preserve">, </w:t>
      </w:r>
      <w:r w:rsidR="00190DE5" w:rsidRPr="003C002F">
        <w:rPr>
          <w:rFonts w:asciiTheme="majorHAnsi" w:eastAsia="Calibri" w:hAnsiTheme="majorHAnsi" w:cstheme="majorHAnsi"/>
          <w:color w:val="000000"/>
          <w:sz w:val="24"/>
          <w:szCs w:val="24"/>
          <w:lang w:eastAsia="en-US"/>
        </w:rPr>
        <w:t>Directrice Ressources Humaines Groupe</w:t>
      </w:r>
    </w:p>
    <w:p w14:paraId="72333886" w14:textId="77777777" w:rsidR="00C70968" w:rsidRPr="003C002F" w:rsidRDefault="00C70968" w:rsidP="00C70968">
      <w:pPr>
        <w:pStyle w:val="texte"/>
        <w:rPr>
          <w:rFonts w:asciiTheme="majorHAnsi" w:eastAsia="Calibri" w:hAnsiTheme="majorHAnsi" w:cstheme="majorHAnsi"/>
          <w:color w:val="000000"/>
          <w:sz w:val="24"/>
          <w:szCs w:val="24"/>
          <w:lang w:eastAsia="en-US"/>
        </w:rPr>
      </w:pPr>
    </w:p>
    <w:p w14:paraId="320C57AE" w14:textId="77777777" w:rsidR="00C70968" w:rsidRPr="003C002F" w:rsidRDefault="00C70968" w:rsidP="00C70968">
      <w:pPr>
        <w:pStyle w:val="texte"/>
        <w:rPr>
          <w:rFonts w:asciiTheme="majorHAnsi" w:eastAsia="Calibri" w:hAnsiTheme="majorHAnsi" w:cstheme="majorHAnsi"/>
          <w:color w:val="000000"/>
          <w:sz w:val="24"/>
          <w:szCs w:val="24"/>
          <w:lang w:eastAsia="en-US"/>
        </w:rPr>
      </w:pPr>
    </w:p>
    <w:p w14:paraId="1D04E86D" w14:textId="77777777" w:rsidR="00F40CF2" w:rsidRPr="003C002F" w:rsidRDefault="00F40CF2" w:rsidP="00C70968">
      <w:pPr>
        <w:pStyle w:val="texte"/>
        <w:rPr>
          <w:rFonts w:asciiTheme="majorHAnsi" w:eastAsia="Calibri" w:hAnsiTheme="majorHAnsi" w:cstheme="majorHAnsi"/>
          <w:color w:val="000000"/>
          <w:sz w:val="24"/>
          <w:szCs w:val="24"/>
          <w:lang w:eastAsia="en-US"/>
        </w:rPr>
      </w:pPr>
    </w:p>
    <w:p w14:paraId="0CBFD544" w14:textId="0191FC32" w:rsidR="00C70968" w:rsidRPr="003C002F" w:rsidRDefault="00F40CF2" w:rsidP="00F40CF2">
      <w:pPr>
        <w:pStyle w:val="texte"/>
        <w:rPr>
          <w:rFonts w:asciiTheme="majorHAnsi" w:eastAsia="Calibri" w:hAnsiTheme="majorHAnsi" w:cstheme="majorHAnsi"/>
          <w:color w:val="000000"/>
          <w:sz w:val="24"/>
          <w:szCs w:val="24"/>
          <w:lang w:eastAsia="en-US"/>
        </w:rPr>
      </w:pPr>
      <w:r w:rsidRPr="003C002F">
        <w:rPr>
          <w:rFonts w:asciiTheme="majorHAnsi" w:eastAsia="Calibri" w:hAnsiTheme="majorHAnsi" w:cstheme="majorHAnsi"/>
          <w:b/>
          <w:bCs/>
          <w:color w:val="000000"/>
          <w:sz w:val="24"/>
          <w:szCs w:val="24"/>
          <w:lang w:eastAsia="en-US"/>
        </w:rPr>
        <w:t>Les représentants du CSE dument mandatés</w:t>
      </w:r>
      <w:r w:rsidRPr="003C002F">
        <w:rPr>
          <w:rFonts w:asciiTheme="majorHAnsi" w:eastAsia="Calibri" w:hAnsiTheme="majorHAnsi" w:cstheme="majorHAnsi"/>
          <w:color w:val="000000"/>
          <w:sz w:val="24"/>
          <w:szCs w:val="24"/>
          <w:lang w:eastAsia="en-US"/>
        </w:rPr>
        <w:t> :</w:t>
      </w:r>
    </w:p>
    <w:p w14:paraId="774F4F8B" w14:textId="483A1B1A" w:rsidR="00F40CF2" w:rsidRPr="003C002F" w:rsidRDefault="00716661" w:rsidP="00F40CF2">
      <w:pPr>
        <w:pStyle w:val="texte"/>
        <w:rPr>
          <w:rFonts w:asciiTheme="majorHAnsi" w:eastAsia="Calibri" w:hAnsiTheme="majorHAnsi" w:cstheme="majorHAnsi"/>
          <w:color w:val="000000"/>
          <w:sz w:val="24"/>
          <w:szCs w:val="24"/>
          <w:lang w:eastAsia="en-US"/>
        </w:rPr>
      </w:pPr>
      <w:r>
        <w:rPr>
          <w:rFonts w:asciiTheme="majorHAnsi" w:eastAsia="Calibri" w:hAnsiTheme="majorHAnsi" w:cstheme="majorHAnsi"/>
          <w:color w:val="000000"/>
          <w:sz w:val="24"/>
          <w:szCs w:val="24"/>
          <w:lang w:eastAsia="en-US"/>
        </w:rPr>
        <w:t>**</w:t>
      </w:r>
    </w:p>
    <w:p w14:paraId="02DFFC4F" w14:textId="77777777" w:rsidR="00F40CF2" w:rsidRDefault="00F40CF2" w:rsidP="00F40CF2">
      <w:pPr>
        <w:pStyle w:val="texte"/>
        <w:rPr>
          <w:rFonts w:asciiTheme="majorHAnsi" w:eastAsia="Calibri" w:hAnsiTheme="majorHAnsi" w:cstheme="majorHAnsi"/>
          <w:color w:val="000000"/>
          <w:sz w:val="24"/>
          <w:szCs w:val="24"/>
          <w:lang w:eastAsia="en-US"/>
        </w:rPr>
      </w:pPr>
    </w:p>
    <w:p w14:paraId="08AFBA92" w14:textId="77777777" w:rsidR="003C002F" w:rsidRDefault="003C002F" w:rsidP="00F40CF2">
      <w:pPr>
        <w:pStyle w:val="texte"/>
        <w:rPr>
          <w:rFonts w:asciiTheme="majorHAnsi" w:eastAsia="Calibri" w:hAnsiTheme="majorHAnsi" w:cstheme="majorHAnsi"/>
          <w:color w:val="000000"/>
          <w:sz w:val="24"/>
          <w:szCs w:val="24"/>
          <w:lang w:eastAsia="en-US"/>
        </w:rPr>
      </w:pPr>
    </w:p>
    <w:p w14:paraId="78953FDA" w14:textId="77777777" w:rsidR="00196149" w:rsidRPr="003C002F" w:rsidRDefault="00196149" w:rsidP="00F40CF2">
      <w:pPr>
        <w:pStyle w:val="texte"/>
        <w:rPr>
          <w:rFonts w:asciiTheme="majorHAnsi" w:eastAsia="Calibri" w:hAnsiTheme="majorHAnsi" w:cstheme="majorHAnsi"/>
          <w:color w:val="000000"/>
          <w:sz w:val="24"/>
          <w:szCs w:val="24"/>
          <w:lang w:eastAsia="en-US"/>
        </w:rPr>
      </w:pPr>
    </w:p>
    <w:p w14:paraId="3A5CCE48" w14:textId="77777777" w:rsidR="00F40CF2" w:rsidRPr="003C002F" w:rsidRDefault="00F40CF2" w:rsidP="00F40CF2">
      <w:pPr>
        <w:pStyle w:val="texte"/>
        <w:rPr>
          <w:rFonts w:asciiTheme="majorHAnsi" w:eastAsia="Calibri" w:hAnsiTheme="majorHAnsi" w:cstheme="majorHAnsi"/>
          <w:color w:val="000000"/>
          <w:sz w:val="24"/>
          <w:szCs w:val="24"/>
          <w:lang w:eastAsia="en-US"/>
        </w:rPr>
      </w:pPr>
    </w:p>
    <w:p w14:paraId="7CCCAA5E" w14:textId="2668B4EA" w:rsidR="00F40CF2" w:rsidRPr="003C002F" w:rsidRDefault="00716661" w:rsidP="00F40CF2">
      <w:pPr>
        <w:pStyle w:val="texte"/>
        <w:rPr>
          <w:rFonts w:asciiTheme="majorHAnsi" w:eastAsia="Calibri" w:hAnsiTheme="majorHAnsi" w:cstheme="majorHAnsi"/>
          <w:color w:val="000000"/>
          <w:sz w:val="24"/>
          <w:szCs w:val="24"/>
          <w:lang w:eastAsia="en-US"/>
        </w:rPr>
      </w:pPr>
      <w:r>
        <w:rPr>
          <w:rFonts w:asciiTheme="majorHAnsi" w:eastAsia="Calibri" w:hAnsiTheme="majorHAnsi" w:cstheme="majorHAnsi"/>
          <w:color w:val="000000"/>
          <w:sz w:val="24"/>
          <w:szCs w:val="24"/>
          <w:lang w:eastAsia="en-US"/>
        </w:rPr>
        <w:t>**</w:t>
      </w:r>
    </w:p>
    <w:p w14:paraId="23D4167B" w14:textId="77777777" w:rsidR="00F40CF2" w:rsidRPr="003C002F" w:rsidRDefault="00F40CF2" w:rsidP="00F40CF2">
      <w:pPr>
        <w:pStyle w:val="texte"/>
        <w:rPr>
          <w:rFonts w:asciiTheme="majorHAnsi" w:eastAsia="Calibri" w:hAnsiTheme="majorHAnsi" w:cstheme="majorHAnsi"/>
          <w:color w:val="000000"/>
          <w:sz w:val="24"/>
          <w:szCs w:val="24"/>
          <w:lang w:eastAsia="en-US"/>
        </w:rPr>
      </w:pPr>
    </w:p>
    <w:p w14:paraId="34D28F53" w14:textId="77777777" w:rsidR="00F40CF2" w:rsidRDefault="00F40CF2" w:rsidP="00F40CF2">
      <w:pPr>
        <w:pStyle w:val="texte"/>
        <w:rPr>
          <w:rFonts w:asciiTheme="majorHAnsi" w:eastAsia="Calibri" w:hAnsiTheme="majorHAnsi" w:cstheme="majorHAnsi"/>
          <w:color w:val="000000"/>
          <w:sz w:val="24"/>
          <w:szCs w:val="24"/>
          <w:lang w:eastAsia="en-US"/>
        </w:rPr>
      </w:pPr>
    </w:p>
    <w:p w14:paraId="20C0C5A1" w14:textId="77777777" w:rsidR="00196149" w:rsidRDefault="00196149" w:rsidP="00F40CF2">
      <w:pPr>
        <w:pStyle w:val="texte"/>
        <w:rPr>
          <w:rFonts w:asciiTheme="majorHAnsi" w:eastAsia="Calibri" w:hAnsiTheme="majorHAnsi" w:cstheme="majorHAnsi"/>
          <w:color w:val="000000"/>
          <w:sz w:val="24"/>
          <w:szCs w:val="24"/>
          <w:lang w:eastAsia="en-US"/>
        </w:rPr>
      </w:pPr>
    </w:p>
    <w:p w14:paraId="6FED255A" w14:textId="77777777" w:rsidR="003C002F" w:rsidRPr="003C002F" w:rsidRDefault="003C002F" w:rsidP="00F40CF2">
      <w:pPr>
        <w:pStyle w:val="texte"/>
        <w:rPr>
          <w:rFonts w:asciiTheme="majorHAnsi" w:eastAsia="Calibri" w:hAnsiTheme="majorHAnsi" w:cstheme="majorHAnsi"/>
          <w:color w:val="000000"/>
          <w:sz w:val="24"/>
          <w:szCs w:val="24"/>
          <w:lang w:eastAsia="en-US"/>
        </w:rPr>
      </w:pPr>
    </w:p>
    <w:p w14:paraId="51F56FC1" w14:textId="1E05DEAB" w:rsidR="00F40CF2" w:rsidRPr="003C002F" w:rsidRDefault="00716661" w:rsidP="00F40CF2">
      <w:pPr>
        <w:pStyle w:val="texte"/>
        <w:rPr>
          <w:rFonts w:asciiTheme="majorHAnsi" w:eastAsia="Calibri" w:hAnsiTheme="majorHAnsi" w:cstheme="majorHAnsi"/>
          <w:color w:val="000000"/>
          <w:sz w:val="24"/>
          <w:szCs w:val="24"/>
          <w:lang w:eastAsia="en-US"/>
        </w:rPr>
      </w:pPr>
      <w:r>
        <w:rPr>
          <w:rFonts w:asciiTheme="majorHAnsi" w:eastAsia="Calibri" w:hAnsiTheme="majorHAnsi" w:cstheme="majorHAnsi"/>
          <w:color w:val="000000"/>
          <w:sz w:val="24"/>
          <w:szCs w:val="24"/>
          <w:lang w:eastAsia="en-US"/>
        </w:rPr>
        <w:t>**</w:t>
      </w:r>
    </w:p>
    <w:p w14:paraId="5EFAAE92" w14:textId="77777777" w:rsidR="00F40CF2" w:rsidRDefault="00F40CF2" w:rsidP="00F40CF2">
      <w:pPr>
        <w:pStyle w:val="texte"/>
        <w:rPr>
          <w:rFonts w:asciiTheme="majorHAnsi" w:eastAsia="Calibri" w:hAnsiTheme="majorHAnsi" w:cstheme="majorHAnsi"/>
          <w:color w:val="000000"/>
          <w:sz w:val="24"/>
          <w:szCs w:val="24"/>
          <w:lang w:eastAsia="en-US"/>
        </w:rPr>
      </w:pPr>
    </w:p>
    <w:p w14:paraId="6FF9220F" w14:textId="77777777" w:rsidR="003C002F" w:rsidRDefault="003C002F" w:rsidP="00F40CF2">
      <w:pPr>
        <w:pStyle w:val="texte"/>
        <w:rPr>
          <w:rFonts w:asciiTheme="majorHAnsi" w:eastAsia="Calibri" w:hAnsiTheme="majorHAnsi" w:cstheme="majorHAnsi"/>
          <w:color w:val="000000"/>
          <w:sz w:val="24"/>
          <w:szCs w:val="24"/>
          <w:lang w:eastAsia="en-US"/>
        </w:rPr>
      </w:pPr>
    </w:p>
    <w:p w14:paraId="72B8C903" w14:textId="77777777" w:rsidR="00196149" w:rsidRPr="003C002F" w:rsidRDefault="00196149" w:rsidP="00F40CF2">
      <w:pPr>
        <w:pStyle w:val="texte"/>
        <w:rPr>
          <w:rFonts w:asciiTheme="majorHAnsi" w:eastAsia="Calibri" w:hAnsiTheme="majorHAnsi" w:cstheme="majorHAnsi"/>
          <w:color w:val="000000"/>
          <w:sz w:val="24"/>
          <w:szCs w:val="24"/>
          <w:lang w:eastAsia="en-US"/>
        </w:rPr>
      </w:pPr>
    </w:p>
    <w:p w14:paraId="17854455" w14:textId="77777777" w:rsidR="00F40CF2" w:rsidRPr="003C002F" w:rsidRDefault="00F40CF2" w:rsidP="00F40CF2">
      <w:pPr>
        <w:pStyle w:val="texte"/>
        <w:rPr>
          <w:rFonts w:asciiTheme="majorHAnsi" w:eastAsia="Calibri" w:hAnsiTheme="majorHAnsi" w:cstheme="majorHAnsi"/>
          <w:color w:val="000000"/>
          <w:sz w:val="24"/>
          <w:szCs w:val="24"/>
          <w:lang w:eastAsia="en-US"/>
        </w:rPr>
      </w:pPr>
    </w:p>
    <w:p w14:paraId="023FC3BB" w14:textId="4E43BC14" w:rsidR="00C70968" w:rsidRPr="003C002F" w:rsidRDefault="00716661" w:rsidP="00F40CF2">
      <w:pPr>
        <w:pStyle w:val="texte"/>
        <w:rPr>
          <w:rFonts w:asciiTheme="majorHAnsi" w:eastAsia="Calibri" w:hAnsiTheme="majorHAnsi" w:cstheme="majorHAnsi"/>
          <w:color w:val="000000"/>
          <w:sz w:val="24"/>
          <w:szCs w:val="24"/>
          <w:lang w:eastAsia="en-US"/>
        </w:rPr>
      </w:pPr>
      <w:r>
        <w:rPr>
          <w:rFonts w:asciiTheme="majorHAnsi" w:eastAsia="Calibri" w:hAnsiTheme="majorHAnsi" w:cstheme="majorHAnsi"/>
          <w:color w:val="000000"/>
          <w:sz w:val="24"/>
          <w:szCs w:val="24"/>
          <w:lang w:eastAsia="en-US"/>
        </w:rPr>
        <w:t>**</w:t>
      </w:r>
    </w:p>
    <w:sectPr w:rsidR="00C70968" w:rsidRPr="003C002F" w:rsidSect="00AA52AD">
      <w:headerReference w:type="default" r:id="rId7"/>
      <w:footerReference w:type="even" r:id="rId8"/>
      <w:footerReference w:type="default" r:id="rId9"/>
      <w:pgSz w:w="11900" w:h="16840"/>
      <w:pgMar w:top="1417" w:right="985" w:bottom="1417" w:left="1417" w:header="708" w:footer="7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8C175" w14:textId="77777777" w:rsidR="00520A7B" w:rsidRDefault="00520A7B" w:rsidP="005A0DA0">
      <w:r>
        <w:separator/>
      </w:r>
    </w:p>
  </w:endnote>
  <w:endnote w:type="continuationSeparator" w:id="0">
    <w:p w14:paraId="6F8DDA17" w14:textId="77777777" w:rsidR="00520A7B" w:rsidRDefault="00520A7B" w:rsidP="005A0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04566" w14:textId="77777777" w:rsidR="004616C1" w:rsidRPr="00AA52AD" w:rsidRDefault="004616C1" w:rsidP="00AA52AD">
    <w:pPr>
      <w:pStyle w:val="Pieddepage"/>
      <w:tabs>
        <w:tab w:val="clear" w:pos="9072"/>
        <w:tab w:val="right" w:pos="9066"/>
      </w:tabs>
      <w:rPr>
        <w:sz w:val="15"/>
        <w:szCs w:val="15"/>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D4C10" w14:textId="77777777" w:rsidR="0048097D" w:rsidRDefault="0048097D" w:rsidP="0048097D">
    <w:pPr>
      <w:pStyle w:val="Pieddepage"/>
      <w:tabs>
        <w:tab w:val="clear" w:pos="9072"/>
        <w:tab w:val="right" w:pos="9781"/>
      </w:tabs>
      <w:ind w:left="-851" w:right="-432"/>
      <w:jc w:val="center"/>
      <w:rPr>
        <w:rFonts w:ascii="Arial" w:hAnsi="Arial" w:cs="Arial"/>
        <w:color w:val="F79646" w:themeColor="accent6"/>
        <w:sz w:val="18"/>
        <w:szCs w:val="16"/>
      </w:rPr>
    </w:pPr>
    <w:r>
      <w:rPr>
        <w:rFonts w:ascii="Arial" w:hAnsi="Arial" w:cs="Arial"/>
        <w:color w:val="7F7F7F" w:themeColor="text1" w:themeTint="80"/>
        <w:sz w:val="18"/>
        <w:szCs w:val="16"/>
      </w:rPr>
      <w:t xml:space="preserve">Groupe </w:t>
    </w:r>
    <w:proofErr w:type="spellStart"/>
    <w:r>
      <w:rPr>
        <w:rFonts w:ascii="Arial" w:hAnsi="Arial" w:cs="Arial"/>
        <w:color w:val="7F7F7F" w:themeColor="text1" w:themeTint="80"/>
        <w:sz w:val="18"/>
        <w:szCs w:val="16"/>
      </w:rPr>
      <w:t>Ach@t</w:t>
    </w:r>
    <w:proofErr w:type="spellEnd"/>
    <w:r>
      <w:rPr>
        <w:rFonts w:ascii="Arial" w:hAnsi="Arial" w:cs="Arial"/>
        <w:color w:val="7F7F7F" w:themeColor="text1" w:themeTint="80"/>
        <w:sz w:val="18"/>
        <w:szCs w:val="16"/>
      </w:rPr>
      <w:t xml:space="preserve"> Solutions </w:t>
    </w:r>
    <w:r>
      <w:rPr>
        <w:rFonts w:ascii="Arial" w:hAnsi="Arial" w:cs="Arial"/>
        <w:color w:val="F79646" w:themeColor="accent6"/>
        <w:sz w:val="18"/>
        <w:szCs w:val="16"/>
      </w:rPr>
      <w:t>– AS4 Holding -</w:t>
    </w:r>
    <w:r w:rsidRPr="00A9528E">
      <w:rPr>
        <w:rFonts w:ascii="Arial" w:hAnsi="Arial" w:cs="Arial"/>
        <w:color w:val="808080" w:themeColor="background1" w:themeShade="80"/>
        <w:sz w:val="18"/>
        <w:szCs w:val="16"/>
      </w:rPr>
      <w:t xml:space="preserve">Parc </w:t>
    </w:r>
    <w:proofErr w:type="spellStart"/>
    <w:r w:rsidRPr="00A9528E">
      <w:rPr>
        <w:rFonts w:ascii="Arial" w:hAnsi="Arial" w:cs="Arial"/>
        <w:color w:val="808080" w:themeColor="background1" w:themeShade="80"/>
        <w:sz w:val="18"/>
        <w:szCs w:val="16"/>
      </w:rPr>
      <w:t>Euromédecine</w:t>
    </w:r>
    <w:proofErr w:type="spellEnd"/>
    <w:r w:rsidRPr="00A9528E">
      <w:rPr>
        <w:rFonts w:ascii="Arial" w:hAnsi="Arial" w:cs="Arial"/>
        <w:color w:val="808080" w:themeColor="background1" w:themeShade="80"/>
        <w:sz w:val="18"/>
        <w:szCs w:val="16"/>
      </w:rPr>
      <w:t xml:space="preserve"> II </w:t>
    </w:r>
    <w:r>
      <w:rPr>
        <w:rFonts w:ascii="Arial" w:hAnsi="Arial" w:cs="Arial"/>
        <w:color w:val="F79646" w:themeColor="accent6"/>
        <w:sz w:val="18"/>
        <w:szCs w:val="16"/>
      </w:rPr>
      <w:t>-</w:t>
    </w:r>
    <w:r>
      <w:rPr>
        <w:rFonts w:ascii="Arial" w:hAnsi="Arial" w:cs="Arial"/>
        <w:color w:val="7F7F7F" w:themeColor="text1" w:themeTint="80"/>
        <w:sz w:val="18"/>
        <w:szCs w:val="16"/>
      </w:rPr>
      <w:t xml:space="preserve"> </w:t>
    </w:r>
    <w:r w:rsidRPr="00D72750">
      <w:rPr>
        <w:rFonts w:ascii="Arial" w:hAnsi="Arial" w:cs="Arial"/>
        <w:color w:val="7F7F7F" w:themeColor="text1" w:themeTint="80"/>
        <w:sz w:val="18"/>
        <w:szCs w:val="16"/>
      </w:rPr>
      <w:t>5</w:t>
    </w:r>
    <w:r>
      <w:rPr>
        <w:rFonts w:ascii="Arial" w:hAnsi="Arial" w:cs="Arial"/>
        <w:color w:val="7F7F7F" w:themeColor="text1" w:themeTint="80"/>
        <w:sz w:val="18"/>
        <w:szCs w:val="16"/>
      </w:rPr>
      <w:t xml:space="preserve">60 rue Louis Pasteur </w:t>
    </w:r>
    <w:r w:rsidRPr="00A9528E">
      <w:rPr>
        <w:rFonts w:ascii="Arial" w:hAnsi="Arial" w:cs="Arial"/>
        <w:color w:val="F79646" w:themeColor="accent6"/>
        <w:sz w:val="18"/>
        <w:szCs w:val="16"/>
      </w:rPr>
      <w:t>-</w:t>
    </w:r>
    <w:r w:rsidRPr="00D72750">
      <w:rPr>
        <w:rFonts w:ascii="Arial" w:hAnsi="Arial" w:cs="Arial"/>
        <w:color w:val="7F7F7F" w:themeColor="text1" w:themeTint="80"/>
        <w:sz w:val="18"/>
        <w:szCs w:val="16"/>
      </w:rPr>
      <w:t xml:space="preserve"> 34790 Grabels</w:t>
    </w:r>
  </w:p>
  <w:p w14:paraId="4BBBCCAA" w14:textId="77777777" w:rsidR="0048097D" w:rsidRPr="00D72750" w:rsidRDefault="0048097D" w:rsidP="0048097D">
    <w:pPr>
      <w:pStyle w:val="Pieddepage"/>
      <w:tabs>
        <w:tab w:val="clear" w:pos="9072"/>
        <w:tab w:val="right" w:pos="9781"/>
      </w:tabs>
      <w:ind w:left="-851" w:right="-432"/>
      <w:jc w:val="center"/>
      <w:rPr>
        <w:rFonts w:ascii="Arial" w:hAnsi="Arial" w:cs="Arial"/>
        <w:color w:val="7F7F7F" w:themeColor="text1" w:themeTint="80"/>
        <w:sz w:val="18"/>
        <w:szCs w:val="16"/>
      </w:rPr>
    </w:pPr>
    <w:r w:rsidRPr="00A9528E">
      <w:rPr>
        <w:rFonts w:ascii="Arial" w:hAnsi="Arial" w:cs="Arial"/>
        <w:color w:val="F79646" w:themeColor="accent6"/>
        <w:sz w:val="18"/>
        <w:szCs w:val="16"/>
      </w:rPr>
      <w:t xml:space="preserve">Tél. </w:t>
    </w:r>
    <w:r>
      <w:rPr>
        <w:rFonts w:ascii="Arial" w:hAnsi="Arial" w:cs="Arial"/>
        <w:color w:val="7F7F7F" w:themeColor="text1" w:themeTint="80"/>
        <w:sz w:val="18"/>
        <w:szCs w:val="16"/>
      </w:rPr>
      <w:t xml:space="preserve">04 67 10 78 10 </w:t>
    </w:r>
    <w:r>
      <w:rPr>
        <w:rFonts w:ascii="Arial" w:hAnsi="Arial" w:cs="Arial"/>
        <w:color w:val="F79646" w:themeColor="accent6"/>
        <w:sz w:val="18"/>
        <w:szCs w:val="16"/>
      </w:rPr>
      <w:t>-</w:t>
    </w:r>
    <w:r w:rsidRPr="00F54661">
      <w:rPr>
        <w:rFonts w:ascii="Arial" w:hAnsi="Arial" w:cs="Arial"/>
        <w:color w:val="F79646" w:themeColor="accent6"/>
        <w:sz w:val="18"/>
        <w:szCs w:val="16"/>
      </w:rPr>
      <w:t xml:space="preserve"> </w:t>
    </w:r>
    <w:r w:rsidRPr="00B22825">
      <w:rPr>
        <w:rFonts w:ascii="Arial" w:hAnsi="Arial" w:cs="Arial"/>
        <w:color w:val="7F7F7F" w:themeColor="text1" w:themeTint="80"/>
        <w:sz w:val="18"/>
        <w:szCs w:val="16"/>
      </w:rPr>
      <w:t>info@achatsolutions.com</w:t>
    </w:r>
    <w:r>
      <w:rPr>
        <w:rFonts w:ascii="Arial" w:hAnsi="Arial" w:cs="Arial"/>
        <w:color w:val="F79646" w:themeColor="accent6"/>
        <w:sz w:val="18"/>
        <w:szCs w:val="16"/>
      </w:rPr>
      <w:t xml:space="preserve"> - </w:t>
    </w:r>
    <w:r>
      <w:rPr>
        <w:rFonts w:ascii="Arial" w:hAnsi="Arial" w:cs="Arial"/>
        <w:color w:val="7F7F7F" w:themeColor="text1" w:themeTint="80"/>
        <w:sz w:val="18"/>
        <w:szCs w:val="16"/>
      </w:rPr>
      <w:t>www.</w:t>
    </w:r>
    <w:r w:rsidRPr="00705EA0">
      <w:rPr>
        <w:rFonts w:ascii="Arial" w:hAnsi="Arial" w:cs="Arial"/>
        <w:color w:val="7F7F7F" w:themeColor="text1" w:themeTint="80"/>
        <w:sz w:val="18"/>
        <w:szCs w:val="16"/>
      </w:rPr>
      <w:t>achatsolutions.com</w:t>
    </w:r>
  </w:p>
  <w:p w14:paraId="7EA78134" w14:textId="6AC6FA9F" w:rsidR="0048097D" w:rsidRDefault="0048097D" w:rsidP="0048097D">
    <w:pPr>
      <w:pStyle w:val="Pieddepage"/>
      <w:ind w:left="-851"/>
      <w:jc w:val="center"/>
      <w:rPr>
        <w:rFonts w:ascii="Arial" w:hAnsi="Arial" w:cs="Arial"/>
        <w:color w:val="F79646" w:themeColor="accent6"/>
        <w:sz w:val="18"/>
        <w:szCs w:val="16"/>
      </w:rPr>
    </w:pPr>
    <w:r w:rsidRPr="00B22825">
      <w:rPr>
        <w:rFonts w:ascii="Arial" w:hAnsi="Arial" w:cs="Arial"/>
        <w:color w:val="F79646" w:themeColor="accent6"/>
        <w:sz w:val="18"/>
        <w:szCs w:val="16"/>
      </w:rPr>
      <w:t xml:space="preserve">S.A.S au capital de </w:t>
    </w:r>
    <w:r>
      <w:rPr>
        <w:rFonts w:ascii="Arial" w:hAnsi="Arial" w:cs="Arial"/>
        <w:color w:val="F79646" w:themeColor="accent6"/>
        <w:sz w:val="18"/>
        <w:szCs w:val="16"/>
      </w:rPr>
      <w:t>56.332.571</w:t>
    </w:r>
    <w:r w:rsidRPr="00B22825">
      <w:rPr>
        <w:rFonts w:ascii="Arial" w:hAnsi="Arial" w:cs="Arial"/>
        <w:color w:val="F79646" w:themeColor="accent6"/>
        <w:sz w:val="18"/>
        <w:szCs w:val="16"/>
      </w:rPr>
      <w:t xml:space="preserve"> € - RCS Montpellier </w:t>
    </w:r>
    <w:r>
      <w:rPr>
        <w:rFonts w:ascii="Arial" w:hAnsi="Arial" w:cs="Arial"/>
        <w:color w:val="F79646" w:themeColor="accent6"/>
        <w:sz w:val="18"/>
        <w:szCs w:val="16"/>
      </w:rPr>
      <w:t>978</w:t>
    </w:r>
    <w:r w:rsidRPr="00B22825">
      <w:rPr>
        <w:rFonts w:ascii="Arial" w:hAnsi="Arial" w:cs="Arial"/>
        <w:color w:val="F79646" w:themeColor="accent6"/>
        <w:sz w:val="18"/>
        <w:szCs w:val="16"/>
      </w:rPr>
      <w:t> </w:t>
    </w:r>
    <w:r>
      <w:rPr>
        <w:rFonts w:ascii="Arial" w:hAnsi="Arial" w:cs="Arial"/>
        <w:color w:val="F79646" w:themeColor="accent6"/>
        <w:sz w:val="18"/>
        <w:szCs w:val="16"/>
      </w:rPr>
      <w:t>380 426</w:t>
    </w:r>
  </w:p>
  <w:p w14:paraId="4E31E9EE" w14:textId="4A51BD4C" w:rsidR="00080297" w:rsidRDefault="00080297" w:rsidP="00080297">
    <w:pPr>
      <w:pStyle w:val="Pieddepage"/>
      <w:ind w:left="-851"/>
      <w:rPr>
        <w:rFonts w:ascii="Arial" w:hAnsi="Arial" w:cs="Arial"/>
        <w:color w:val="0076B7"/>
        <w:sz w:val="14"/>
        <w:szCs w:val="10"/>
        <w:lang w:eastAsia="ja-JP"/>
      </w:rPr>
    </w:pPr>
  </w:p>
  <w:p w14:paraId="3CD7E5D9" w14:textId="77777777" w:rsidR="005E0DB6" w:rsidRDefault="005E0DB6" w:rsidP="00080297">
    <w:pPr>
      <w:pStyle w:val="Pieddepage"/>
      <w:ind w:left="-851"/>
      <w:rPr>
        <w:rFonts w:ascii="Arial" w:hAnsi="Arial" w:cs="Arial"/>
        <w:color w:val="0076B7"/>
        <w:sz w:val="14"/>
        <w:szCs w:val="10"/>
        <w:lang w:eastAsia="ja-JP"/>
      </w:rPr>
    </w:pPr>
  </w:p>
  <w:p w14:paraId="40B37F2E" w14:textId="77777777" w:rsidR="0086210C" w:rsidRDefault="0086210C" w:rsidP="0086210C">
    <w:pPr>
      <w:pStyle w:val="Pieddepage"/>
      <w:ind w:left="-851"/>
      <w:rPr>
        <w:rFonts w:ascii="Arial" w:hAnsi="Arial" w:cs="Arial"/>
        <w:color w:val="0076B7"/>
        <w:sz w:val="14"/>
        <w:szCs w:val="10"/>
        <w:lang w:eastAsia="ja-JP"/>
      </w:rPr>
    </w:pPr>
  </w:p>
  <w:p w14:paraId="4122E213" w14:textId="77777777" w:rsidR="0086210C" w:rsidRPr="0086210C" w:rsidRDefault="0086210C" w:rsidP="0086210C">
    <w:pPr>
      <w:pStyle w:val="Pieddepage"/>
      <w:ind w:left="-851"/>
      <w:rPr>
        <w:rFonts w:ascii="Arial" w:hAnsi="Arial" w:cs="Arial"/>
        <w:color w:val="F29400"/>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3ADA4" w14:textId="77777777" w:rsidR="00520A7B" w:rsidRDefault="00520A7B" w:rsidP="005A0DA0">
      <w:r>
        <w:separator/>
      </w:r>
    </w:p>
  </w:footnote>
  <w:footnote w:type="continuationSeparator" w:id="0">
    <w:p w14:paraId="184FA9F8" w14:textId="77777777" w:rsidR="00520A7B" w:rsidRDefault="00520A7B" w:rsidP="005A0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58D0B" w14:textId="0E9F1629" w:rsidR="00A03DA9" w:rsidRPr="00AA52AD" w:rsidRDefault="007E54A7" w:rsidP="007E54A7">
    <w:pPr>
      <w:pStyle w:val="En-tte"/>
      <w:tabs>
        <w:tab w:val="clear" w:pos="4536"/>
        <w:tab w:val="clear" w:pos="9072"/>
        <w:tab w:val="left" w:pos="3777"/>
      </w:tabs>
      <w:rPr>
        <w:sz w:val="15"/>
        <w:szCs w:val="15"/>
      </w:rPr>
    </w:pPr>
    <w:r>
      <w:rPr>
        <w:noProof/>
        <w:sz w:val="15"/>
        <w:szCs w:val="15"/>
      </w:rPr>
      <w:drawing>
        <wp:anchor distT="0" distB="0" distL="114300" distR="114300" simplePos="0" relativeHeight="251658240" behindDoc="0" locked="0" layoutInCell="1" allowOverlap="1" wp14:anchorId="66273BB3" wp14:editId="68D712E9">
          <wp:simplePos x="0" y="0"/>
          <wp:positionH relativeFrom="margin">
            <wp:posOffset>-651510</wp:posOffset>
          </wp:positionH>
          <wp:positionV relativeFrom="margin">
            <wp:posOffset>-512169</wp:posOffset>
          </wp:positionV>
          <wp:extent cx="2661920" cy="495300"/>
          <wp:effectExtent l="0" t="0" r="508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Achat Solutions.png"/>
                  <pic:cNvPicPr/>
                </pic:nvPicPr>
                <pic:blipFill>
                  <a:blip r:embed="rId1">
                    <a:extLst>
                      <a:ext uri="{28A0092B-C50C-407E-A947-70E740481C1C}">
                        <a14:useLocalDpi xmlns:a14="http://schemas.microsoft.com/office/drawing/2010/main" val="0"/>
                      </a:ext>
                    </a:extLst>
                  </a:blip>
                  <a:stretch>
                    <a:fillRect/>
                  </a:stretch>
                </pic:blipFill>
                <pic:spPr>
                  <a:xfrm>
                    <a:off x="0" y="0"/>
                    <a:ext cx="2661920" cy="495300"/>
                  </a:xfrm>
                  <a:prstGeom prst="rect">
                    <a:avLst/>
                  </a:prstGeom>
                </pic:spPr>
              </pic:pic>
            </a:graphicData>
          </a:graphic>
          <wp14:sizeRelH relativeFrom="margin">
            <wp14:pctWidth>0</wp14:pctWidth>
          </wp14:sizeRelH>
          <wp14:sizeRelV relativeFrom="margin">
            <wp14:pctHeight>0</wp14:pctHeight>
          </wp14:sizeRelV>
        </wp:anchor>
      </w:drawing>
    </w:r>
    <w:r w:rsidRPr="00AA52AD">
      <w:rPr>
        <w:noProof/>
        <w:sz w:val="15"/>
        <w:szCs w:val="15"/>
      </w:rPr>
      <w:drawing>
        <wp:anchor distT="0" distB="0" distL="114300" distR="114300" simplePos="0" relativeHeight="251660288" behindDoc="0" locked="0" layoutInCell="1" allowOverlap="1" wp14:anchorId="330D4614" wp14:editId="45EBBD17">
          <wp:simplePos x="0" y="0"/>
          <wp:positionH relativeFrom="column">
            <wp:posOffset>4180040</wp:posOffset>
          </wp:positionH>
          <wp:positionV relativeFrom="paragraph">
            <wp:posOffset>-449911</wp:posOffset>
          </wp:positionV>
          <wp:extent cx="2299335" cy="1045845"/>
          <wp:effectExtent l="0" t="0" r="5715" b="1905"/>
          <wp:wrapTight wrapText="bothSides">
            <wp:wrapPolygon edited="0">
              <wp:start x="0" y="0"/>
              <wp:lineTo x="0" y="21246"/>
              <wp:lineTo x="21475" y="21246"/>
              <wp:lineTo x="21475" y="0"/>
              <wp:lineTo x="0" y="0"/>
            </wp:wrapPolygon>
          </wp:wrapTight>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agysoft_couleur_RVB.jpg"/>
                  <pic:cNvPicPr/>
                </pic:nvPicPr>
                <pic:blipFill>
                  <a:blip r:embed="rId2">
                    <a:extLst>
                      <a:ext uri="{28A0092B-C50C-407E-A947-70E740481C1C}">
                        <a14:useLocalDpi xmlns:a14="http://schemas.microsoft.com/office/drawing/2010/main" val="0"/>
                      </a:ext>
                    </a:extLst>
                  </a:blip>
                  <a:stretch>
                    <a:fillRect/>
                  </a:stretch>
                </pic:blipFill>
                <pic:spPr>
                  <a:xfrm>
                    <a:off x="0" y="0"/>
                    <a:ext cx="2299335" cy="104584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sz w:val="15"/>
        <w:szCs w:val="15"/>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46967834"/>
    <w:lvl w:ilvl="0" w:tplc="E5A47536">
      <w:start w:val="1"/>
      <w:numFmt w:val="decimal"/>
      <w:lvlText w:val="%1."/>
      <w:lvlJc w:val="left"/>
      <w:pPr>
        <w:ind w:left="720" w:hanging="360"/>
      </w:pPr>
      <w:rPr>
        <w:rFonts w:asciiTheme="minorHAnsi" w:eastAsiaTheme="minorEastAsia" w:hAnsiTheme="minorHAnsi" w:cstheme="minorBidi"/>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593900"/>
    <w:multiLevelType w:val="hybridMultilevel"/>
    <w:tmpl w:val="9434FCC4"/>
    <w:lvl w:ilvl="0" w:tplc="39A84272">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 w15:restartNumberingAfterBreak="0">
    <w:nsid w:val="237B54A6"/>
    <w:multiLevelType w:val="hybridMultilevel"/>
    <w:tmpl w:val="55644FF0"/>
    <w:lvl w:ilvl="0" w:tplc="EBD02B9A">
      <w:numFmt w:val="bullet"/>
      <w:lvlText w:val="-"/>
      <w:lvlJc w:val="left"/>
      <w:pPr>
        <w:ind w:left="720" w:hanging="360"/>
      </w:pPr>
      <w:rPr>
        <w:rFonts w:ascii="Lucida Sans Unicode" w:eastAsia="PMingLiU" w:hAnsi="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19B5624"/>
    <w:multiLevelType w:val="hybridMultilevel"/>
    <w:tmpl w:val="E64CA8D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354F5CB5"/>
    <w:multiLevelType w:val="multilevel"/>
    <w:tmpl w:val="B470C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507600"/>
    <w:multiLevelType w:val="hybridMultilevel"/>
    <w:tmpl w:val="6AC210A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77A7085"/>
    <w:multiLevelType w:val="multilevel"/>
    <w:tmpl w:val="F6A0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C672B6"/>
    <w:multiLevelType w:val="hybridMultilevel"/>
    <w:tmpl w:val="92740A90"/>
    <w:lvl w:ilvl="0" w:tplc="9918DA20">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6D772F"/>
    <w:multiLevelType w:val="hybridMultilevel"/>
    <w:tmpl w:val="60A4E3E0"/>
    <w:lvl w:ilvl="0" w:tplc="0142B4FA">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B500680"/>
    <w:multiLevelType w:val="multilevel"/>
    <w:tmpl w:val="136EBF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2205CB0"/>
    <w:multiLevelType w:val="multilevel"/>
    <w:tmpl w:val="301A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D61670"/>
    <w:multiLevelType w:val="hybridMultilevel"/>
    <w:tmpl w:val="FA86AC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ED11A8D"/>
    <w:multiLevelType w:val="hybridMultilevel"/>
    <w:tmpl w:val="CCA67C02"/>
    <w:lvl w:ilvl="0" w:tplc="6D8CFAA2">
      <w:start w:val="1"/>
      <w:numFmt w:val="bullet"/>
      <w:lvlText w:val="-"/>
      <w:lvlJc w:val="left"/>
      <w:pPr>
        <w:ind w:left="1068" w:hanging="360"/>
      </w:pPr>
      <w:rPr>
        <w:rFonts w:ascii="Cambria" w:eastAsiaTheme="minorEastAsia" w:hAnsi="Cambria" w:cstheme="minorBidi" w:hint="default"/>
      </w:rPr>
    </w:lvl>
    <w:lvl w:ilvl="1" w:tplc="040C0003">
      <w:start w:val="1"/>
      <w:numFmt w:val="bullet"/>
      <w:lvlText w:val="o"/>
      <w:lvlJc w:val="left"/>
      <w:pPr>
        <w:ind w:left="1788" w:hanging="360"/>
      </w:pPr>
      <w:rPr>
        <w:rFonts w:ascii="Courier New" w:hAnsi="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353306808">
    <w:abstractNumId w:val="0"/>
  </w:num>
  <w:num w:numId="2" w16cid:durableId="1978029599">
    <w:abstractNumId w:val="12"/>
  </w:num>
  <w:num w:numId="3" w16cid:durableId="1249582392">
    <w:abstractNumId w:val="8"/>
  </w:num>
  <w:num w:numId="4" w16cid:durableId="1792086469">
    <w:abstractNumId w:val="11"/>
  </w:num>
  <w:num w:numId="5" w16cid:durableId="571433219">
    <w:abstractNumId w:val="5"/>
  </w:num>
  <w:num w:numId="6" w16cid:durableId="182060847">
    <w:abstractNumId w:val="3"/>
  </w:num>
  <w:num w:numId="7" w16cid:durableId="82604738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9932876">
    <w:abstractNumId w:val="1"/>
  </w:num>
  <w:num w:numId="9" w16cid:durableId="2102528667">
    <w:abstractNumId w:val="7"/>
  </w:num>
  <w:num w:numId="10" w16cid:durableId="1307007788">
    <w:abstractNumId w:val="2"/>
  </w:num>
  <w:num w:numId="11" w16cid:durableId="1806463948">
    <w:abstractNumId w:val="10"/>
  </w:num>
  <w:num w:numId="12" w16cid:durableId="1776943235">
    <w:abstractNumId w:val="6"/>
  </w:num>
  <w:num w:numId="13" w16cid:durableId="8683747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DA0"/>
    <w:rsid w:val="00033B83"/>
    <w:rsid w:val="000663BD"/>
    <w:rsid w:val="00080297"/>
    <w:rsid w:val="000A0418"/>
    <w:rsid w:val="000C0D92"/>
    <w:rsid w:val="000D48A8"/>
    <w:rsid w:val="000F15A1"/>
    <w:rsid w:val="000F7FA8"/>
    <w:rsid w:val="0010047B"/>
    <w:rsid w:val="00105ED7"/>
    <w:rsid w:val="00121F2C"/>
    <w:rsid w:val="00136C9B"/>
    <w:rsid w:val="00143F01"/>
    <w:rsid w:val="0016514D"/>
    <w:rsid w:val="00190DE5"/>
    <w:rsid w:val="00193399"/>
    <w:rsid w:val="001937D4"/>
    <w:rsid w:val="00196149"/>
    <w:rsid w:val="001961F2"/>
    <w:rsid w:val="001B2D7C"/>
    <w:rsid w:val="001B4321"/>
    <w:rsid w:val="001D0637"/>
    <w:rsid w:val="00216A21"/>
    <w:rsid w:val="00224CFF"/>
    <w:rsid w:val="00264D01"/>
    <w:rsid w:val="00293D0D"/>
    <w:rsid w:val="002A025E"/>
    <w:rsid w:val="002A2C24"/>
    <w:rsid w:val="002B32E5"/>
    <w:rsid w:val="002D5814"/>
    <w:rsid w:val="002E56A9"/>
    <w:rsid w:val="00394A5F"/>
    <w:rsid w:val="003C002F"/>
    <w:rsid w:val="003C5DB9"/>
    <w:rsid w:val="003D363F"/>
    <w:rsid w:val="003F1B05"/>
    <w:rsid w:val="00401EBF"/>
    <w:rsid w:val="00420C60"/>
    <w:rsid w:val="0043667D"/>
    <w:rsid w:val="004449F9"/>
    <w:rsid w:val="004616C1"/>
    <w:rsid w:val="0048097D"/>
    <w:rsid w:val="004836E5"/>
    <w:rsid w:val="004F4A0F"/>
    <w:rsid w:val="005003A2"/>
    <w:rsid w:val="00520A7B"/>
    <w:rsid w:val="0054406B"/>
    <w:rsid w:val="005524E5"/>
    <w:rsid w:val="005558DC"/>
    <w:rsid w:val="0057597E"/>
    <w:rsid w:val="005A0DA0"/>
    <w:rsid w:val="005B09E0"/>
    <w:rsid w:val="005B16FF"/>
    <w:rsid w:val="005B59CD"/>
    <w:rsid w:val="005C5522"/>
    <w:rsid w:val="005E0DB6"/>
    <w:rsid w:val="005E2C79"/>
    <w:rsid w:val="00622D65"/>
    <w:rsid w:val="00622D8C"/>
    <w:rsid w:val="00627577"/>
    <w:rsid w:val="00643595"/>
    <w:rsid w:val="0066038A"/>
    <w:rsid w:val="00685604"/>
    <w:rsid w:val="006B7BB1"/>
    <w:rsid w:val="00716661"/>
    <w:rsid w:val="0075359C"/>
    <w:rsid w:val="00765F5B"/>
    <w:rsid w:val="00780B8D"/>
    <w:rsid w:val="007A665F"/>
    <w:rsid w:val="007E54A7"/>
    <w:rsid w:val="007E5F7E"/>
    <w:rsid w:val="007E7EA3"/>
    <w:rsid w:val="0080047E"/>
    <w:rsid w:val="00837712"/>
    <w:rsid w:val="0086210C"/>
    <w:rsid w:val="00867788"/>
    <w:rsid w:val="00873E29"/>
    <w:rsid w:val="00893BF4"/>
    <w:rsid w:val="008B0647"/>
    <w:rsid w:val="008E2AA3"/>
    <w:rsid w:val="008F15D6"/>
    <w:rsid w:val="0092198E"/>
    <w:rsid w:val="009D7D3B"/>
    <w:rsid w:val="009F7DCC"/>
    <w:rsid w:val="00A03DA9"/>
    <w:rsid w:val="00A129FE"/>
    <w:rsid w:val="00A14428"/>
    <w:rsid w:val="00AA231C"/>
    <w:rsid w:val="00AA52AD"/>
    <w:rsid w:val="00AB010E"/>
    <w:rsid w:val="00AB62E1"/>
    <w:rsid w:val="00AC1988"/>
    <w:rsid w:val="00AD75FC"/>
    <w:rsid w:val="00AE55E4"/>
    <w:rsid w:val="00AE5720"/>
    <w:rsid w:val="00B10177"/>
    <w:rsid w:val="00B3190F"/>
    <w:rsid w:val="00B74445"/>
    <w:rsid w:val="00B964FB"/>
    <w:rsid w:val="00BA6C5D"/>
    <w:rsid w:val="00BA7D74"/>
    <w:rsid w:val="00BC537A"/>
    <w:rsid w:val="00BE38C9"/>
    <w:rsid w:val="00C12582"/>
    <w:rsid w:val="00C249EB"/>
    <w:rsid w:val="00C70968"/>
    <w:rsid w:val="00C74B81"/>
    <w:rsid w:val="00D86D6C"/>
    <w:rsid w:val="00DC6D87"/>
    <w:rsid w:val="00E27454"/>
    <w:rsid w:val="00E536D8"/>
    <w:rsid w:val="00E7036B"/>
    <w:rsid w:val="00EC1CF3"/>
    <w:rsid w:val="00ED76AC"/>
    <w:rsid w:val="00F14B90"/>
    <w:rsid w:val="00F16E35"/>
    <w:rsid w:val="00F40CF2"/>
    <w:rsid w:val="00F776CB"/>
    <w:rsid w:val="00FA5546"/>
    <w:rsid w:val="00FD5CCA"/>
    <w:rsid w:val="00FD6236"/>
    <w:rsid w:val="00FE1E47"/>
    <w:rsid w:val="00FF4E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B5F1658"/>
  <w14:defaultImageDpi w14:val="300"/>
  <w15:docId w15:val="{DC47C2A1-A9D1-4045-9A3F-2E5DC6D92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fr-FR" w:eastAsia="fr-FR"/>
    </w:rPr>
  </w:style>
  <w:style w:type="paragraph" w:styleId="Titre1">
    <w:name w:val="heading 1"/>
    <w:basedOn w:val="Normal"/>
    <w:next w:val="Normal"/>
    <w:link w:val="Titre1Car"/>
    <w:uiPriority w:val="9"/>
    <w:qFormat/>
    <w:rsid w:val="003C002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5">
    <w:name w:val="heading 5"/>
    <w:basedOn w:val="Normal"/>
    <w:next w:val="Normal"/>
    <w:link w:val="Titre5Car"/>
    <w:qFormat/>
    <w:rsid w:val="00C70968"/>
    <w:pPr>
      <w:keepNext/>
      <w:outlineLvl w:val="4"/>
    </w:pPr>
    <w:rPr>
      <w:rFonts w:eastAsia="Times New Roman"/>
      <w:bCs/>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rsid w:val="00384224"/>
    <w:rPr>
      <w:rFonts w:ascii="Lucida Grande" w:hAnsi="Lucida Grande"/>
      <w:sz w:val="18"/>
      <w:szCs w:val="18"/>
    </w:rPr>
  </w:style>
  <w:style w:type="paragraph" w:styleId="En-tte">
    <w:name w:val="header"/>
    <w:basedOn w:val="Normal"/>
    <w:link w:val="En-tteCar"/>
    <w:unhideWhenUsed/>
    <w:rsid w:val="005A0DA0"/>
    <w:pPr>
      <w:tabs>
        <w:tab w:val="center" w:pos="4536"/>
        <w:tab w:val="right" w:pos="9072"/>
      </w:tabs>
    </w:pPr>
  </w:style>
  <w:style w:type="character" w:customStyle="1" w:styleId="En-tteCar">
    <w:name w:val="En-tête Car"/>
    <w:basedOn w:val="Policepardfaut"/>
    <w:link w:val="En-tte"/>
    <w:rsid w:val="005A0DA0"/>
    <w:rPr>
      <w:sz w:val="24"/>
      <w:szCs w:val="24"/>
      <w:lang w:val="fr-FR" w:eastAsia="fr-FR"/>
    </w:rPr>
  </w:style>
  <w:style w:type="paragraph" w:styleId="Pieddepage">
    <w:name w:val="footer"/>
    <w:basedOn w:val="Normal"/>
    <w:link w:val="PieddepageCar"/>
    <w:uiPriority w:val="99"/>
    <w:unhideWhenUsed/>
    <w:rsid w:val="005A0DA0"/>
    <w:pPr>
      <w:tabs>
        <w:tab w:val="center" w:pos="4536"/>
        <w:tab w:val="right" w:pos="9072"/>
      </w:tabs>
    </w:pPr>
  </w:style>
  <w:style w:type="character" w:customStyle="1" w:styleId="PieddepageCar">
    <w:name w:val="Pied de page Car"/>
    <w:basedOn w:val="Policepardfaut"/>
    <w:link w:val="Pieddepage"/>
    <w:uiPriority w:val="99"/>
    <w:rsid w:val="005A0DA0"/>
    <w:rPr>
      <w:sz w:val="24"/>
      <w:szCs w:val="24"/>
      <w:lang w:val="fr-FR" w:eastAsia="fr-FR"/>
    </w:rPr>
  </w:style>
  <w:style w:type="character" w:styleId="Lienhypertexte">
    <w:name w:val="Hyperlink"/>
    <w:basedOn w:val="Policepardfaut"/>
    <w:uiPriority w:val="99"/>
    <w:unhideWhenUsed/>
    <w:rsid w:val="00216A21"/>
    <w:rPr>
      <w:color w:val="0000FF" w:themeColor="hyperlink"/>
      <w:u w:val="single"/>
    </w:rPr>
  </w:style>
  <w:style w:type="character" w:styleId="Lienhypertextesuivivisit">
    <w:name w:val="FollowedHyperlink"/>
    <w:basedOn w:val="Policepardfaut"/>
    <w:uiPriority w:val="99"/>
    <w:semiHidden/>
    <w:unhideWhenUsed/>
    <w:rsid w:val="00216A21"/>
    <w:rPr>
      <w:color w:val="800080" w:themeColor="followedHyperlink"/>
      <w:u w:val="single"/>
    </w:rPr>
  </w:style>
  <w:style w:type="character" w:styleId="lev">
    <w:name w:val="Strong"/>
    <w:qFormat/>
    <w:rsid w:val="00BE38C9"/>
    <w:rPr>
      <w:b/>
      <w:bCs/>
    </w:rPr>
  </w:style>
  <w:style w:type="paragraph" w:styleId="NormalWeb">
    <w:name w:val="Normal (Web)"/>
    <w:basedOn w:val="Normal"/>
    <w:uiPriority w:val="99"/>
    <w:semiHidden/>
    <w:unhideWhenUsed/>
    <w:rsid w:val="00BE38C9"/>
    <w:pPr>
      <w:spacing w:before="100" w:beforeAutospacing="1" w:after="100" w:afterAutospacing="1"/>
    </w:pPr>
    <w:rPr>
      <w:rFonts w:eastAsia="Times New Roman"/>
    </w:rPr>
  </w:style>
  <w:style w:type="paragraph" w:styleId="Paragraphedeliste">
    <w:name w:val="List Paragraph"/>
    <w:basedOn w:val="Normal"/>
    <w:uiPriority w:val="34"/>
    <w:qFormat/>
    <w:rsid w:val="00136C9B"/>
    <w:pPr>
      <w:ind w:left="720"/>
      <w:contextualSpacing/>
    </w:pPr>
    <w:rPr>
      <w:rFonts w:asciiTheme="minorHAnsi" w:hAnsiTheme="minorHAnsi" w:cstheme="minorBidi"/>
    </w:rPr>
  </w:style>
  <w:style w:type="paragraph" w:styleId="Corpsdetexte">
    <w:name w:val="Body Text"/>
    <w:basedOn w:val="Normal"/>
    <w:link w:val="CorpsdetexteCar"/>
    <w:semiHidden/>
    <w:rsid w:val="00136C9B"/>
    <w:pPr>
      <w:jc w:val="both"/>
    </w:pPr>
    <w:rPr>
      <w:rFonts w:eastAsia="Times New Roman"/>
      <w:szCs w:val="20"/>
    </w:rPr>
  </w:style>
  <w:style w:type="character" w:customStyle="1" w:styleId="CorpsdetexteCar">
    <w:name w:val="Corps de texte Car"/>
    <w:basedOn w:val="Policepardfaut"/>
    <w:link w:val="Corpsdetexte"/>
    <w:semiHidden/>
    <w:rsid w:val="00136C9B"/>
    <w:rPr>
      <w:rFonts w:eastAsia="Times New Roman"/>
      <w:sz w:val="24"/>
      <w:lang w:val="fr-FR" w:eastAsia="fr-FR"/>
    </w:rPr>
  </w:style>
  <w:style w:type="paragraph" w:styleId="Corpsdetexte3">
    <w:name w:val="Body Text 3"/>
    <w:basedOn w:val="Normal"/>
    <w:link w:val="Corpsdetexte3Car"/>
    <w:rsid w:val="003D363F"/>
    <w:pPr>
      <w:spacing w:after="120"/>
    </w:pPr>
    <w:rPr>
      <w:rFonts w:ascii="Times" w:eastAsia="Times" w:hAnsi="Times"/>
      <w:sz w:val="16"/>
      <w:szCs w:val="16"/>
    </w:rPr>
  </w:style>
  <w:style w:type="character" w:customStyle="1" w:styleId="Corpsdetexte3Car">
    <w:name w:val="Corps de texte 3 Car"/>
    <w:basedOn w:val="Policepardfaut"/>
    <w:link w:val="Corpsdetexte3"/>
    <w:rsid w:val="003D363F"/>
    <w:rPr>
      <w:rFonts w:ascii="Times" w:eastAsia="Times" w:hAnsi="Times"/>
      <w:sz w:val="16"/>
      <w:szCs w:val="16"/>
      <w:lang w:val="fr-FR" w:eastAsia="fr-FR"/>
    </w:rPr>
  </w:style>
  <w:style w:type="paragraph" w:styleId="Notedebasdepage">
    <w:name w:val="footnote text"/>
    <w:basedOn w:val="Normal"/>
    <w:link w:val="NotedebasdepageCar"/>
    <w:rsid w:val="007E7EA3"/>
    <w:rPr>
      <w:rFonts w:eastAsia="Times New Roman"/>
      <w:sz w:val="20"/>
      <w:szCs w:val="20"/>
    </w:rPr>
  </w:style>
  <w:style w:type="character" w:customStyle="1" w:styleId="NotedebasdepageCar">
    <w:name w:val="Note de bas de page Car"/>
    <w:basedOn w:val="Policepardfaut"/>
    <w:link w:val="Notedebasdepage"/>
    <w:rsid w:val="007E7EA3"/>
    <w:rPr>
      <w:rFonts w:eastAsia="Times New Roman"/>
      <w:lang w:val="fr-FR" w:eastAsia="fr-FR"/>
    </w:rPr>
  </w:style>
  <w:style w:type="character" w:styleId="Appelnotedebasdep">
    <w:name w:val="footnote reference"/>
    <w:rsid w:val="007E7EA3"/>
    <w:rPr>
      <w:vertAlign w:val="superscript"/>
    </w:rPr>
  </w:style>
  <w:style w:type="character" w:customStyle="1" w:styleId="Titre5Car">
    <w:name w:val="Titre 5 Car"/>
    <w:basedOn w:val="Policepardfaut"/>
    <w:link w:val="Titre5"/>
    <w:rsid w:val="00C70968"/>
    <w:rPr>
      <w:rFonts w:eastAsia="Times New Roman"/>
      <w:bCs/>
      <w:sz w:val="24"/>
      <w:lang w:val="fr-FR" w:eastAsia="fr-FR"/>
    </w:rPr>
  </w:style>
  <w:style w:type="paragraph" w:customStyle="1" w:styleId="para">
    <w:name w:val="para"/>
    <w:basedOn w:val="Normal"/>
    <w:rsid w:val="00C70968"/>
    <w:pPr>
      <w:spacing w:before="100" w:after="100"/>
    </w:pPr>
    <w:rPr>
      <w:rFonts w:eastAsiaTheme="minorHAnsi"/>
    </w:rPr>
  </w:style>
  <w:style w:type="paragraph" w:customStyle="1" w:styleId="art4">
    <w:name w:val="art4"/>
    <w:basedOn w:val="Normal"/>
    <w:rsid w:val="00C70968"/>
    <w:pPr>
      <w:spacing w:before="100" w:beforeAutospacing="1" w:after="100" w:afterAutospacing="1"/>
    </w:pPr>
    <w:rPr>
      <w:rFonts w:eastAsiaTheme="minorHAnsi"/>
    </w:rPr>
  </w:style>
  <w:style w:type="paragraph" w:customStyle="1" w:styleId="denom">
    <w:name w:val="denom"/>
    <w:basedOn w:val="Normal"/>
    <w:rsid w:val="00C70968"/>
    <w:pPr>
      <w:spacing w:before="100" w:after="100"/>
    </w:pPr>
    <w:rPr>
      <w:rFonts w:eastAsia="Times New Roman"/>
    </w:rPr>
  </w:style>
  <w:style w:type="paragraph" w:customStyle="1" w:styleId="alvar">
    <w:name w:val="al_var"/>
    <w:basedOn w:val="Normal"/>
    <w:rsid w:val="00C70968"/>
    <w:pPr>
      <w:spacing w:before="100" w:beforeAutospacing="1" w:after="100" w:afterAutospacing="1"/>
    </w:pPr>
    <w:rPr>
      <w:rFonts w:eastAsia="Times New Roman"/>
    </w:rPr>
  </w:style>
  <w:style w:type="paragraph" w:customStyle="1" w:styleId="texte">
    <w:name w:val="texte"/>
    <w:basedOn w:val="Textebrut"/>
    <w:rsid w:val="00C70968"/>
    <w:pPr>
      <w:jc w:val="both"/>
    </w:pPr>
    <w:rPr>
      <w:rFonts w:ascii="Arial" w:eastAsia="MS Mincho" w:hAnsi="Arial" w:cs="Arial"/>
      <w:sz w:val="22"/>
      <w:szCs w:val="20"/>
    </w:rPr>
  </w:style>
  <w:style w:type="paragraph" w:styleId="Textebrut">
    <w:name w:val="Plain Text"/>
    <w:basedOn w:val="Normal"/>
    <w:link w:val="TextebrutCar"/>
    <w:uiPriority w:val="99"/>
    <w:semiHidden/>
    <w:unhideWhenUsed/>
    <w:rsid w:val="00C70968"/>
    <w:rPr>
      <w:rFonts w:ascii="Consolas" w:hAnsi="Consolas"/>
      <w:sz w:val="21"/>
      <w:szCs w:val="21"/>
    </w:rPr>
  </w:style>
  <w:style w:type="character" w:customStyle="1" w:styleId="TextebrutCar">
    <w:name w:val="Texte brut Car"/>
    <w:basedOn w:val="Policepardfaut"/>
    <w:link w:val="Textebrut"/>
    <w:uiPriority w:val="99"/>
    <w:semiHidden/>
    <w:rsid w:val="00C70968"/>
    <w:rPr>
      <w:rFonts w:ascii="Consolas" w:hAnsi="Consolas"/>
      <w:sz w:val="21"/>
      <w:szCs w:val="21"/>
      <w:lang w:val="fr-FR" w:eastAsia="fr-FR"/>
    </w:rPr>
  </w:style>
  <w:style w:type="character" w:styleId="Marquedecommentaire">
    <w:name w:val="annotation reference"/>
    <w:basedOn w:val="Policepardfaut"/>
    <w:uiPriority w:val="99"/>
    <w:semiHidden/>
    <w:unhideWhenUsed/>
    <w:rsid w:val="001937D4"/>
    <w:rPr>
      <w:sz w:val="16"/>
      <w:szCs w:val="16"/>
    </w:rPr>
  </w:style>
  <w:style w:type="paragraph" w:styleId="Commentaire">
    <w:name w:val="annotation text"/>
    <w:basedOn w:val="Normal"/>
    <w:link w:val="CommentaireCar"/>
    <w:uiPriority w:val="99"/>
    <w:unhideWhenUsed/>
    <w:rsid w:val="001937D4"/>
    <w:rPr>
      <w:sz w:val="20"/>
      <w:szCs w:val="20"/>
    </w:rPr>
  </w:style>
  <w:style w:type="character" w:customStyle="1" w:styleId="CommentaireCar">
    <w:name w:val="Commentaire Car"/>
    <w:basedOn w:val="Policepardfaut"/>
    <w:link w:val="Commentaire"/>
    <w:uiPriority w:val="99"/>
    <w:rsid w:val="001937D4"/>
    <w:rPr>
      <w:lang w:val="fr-FR" w:eastAsia="fr-FR"/>
    </w:rPr>
  </w:style>
  <w:style w:type="paragraph" w:styleId="Objetducommentaire">
    <w:name w:val="annotation subject"/>
    <w:basedOn w:val="Commentaire"/>
    <w:next w:val="Commentaire"/>
    <w:link w:val="ObjetducommentaireCar"/>
    <w:uiPriority w:val="99"/>
    <w:semiHidden/>
    <w:unhideWhenUsed/>
    <w:rsid w:val="001937D4"/>
    <w:rPr>
      <w:b/>
      <w:bCs/>
    </w:rPr>
  </w:style>
  <w:style w:type="character" w:customStyle="1" w:styleId="ObjetducommentaireCar">
    <w:name w:val="Objet du commentaire Car"/>
    <w:basedOn w:val="CommentaireCar"/>
    <w:link w:val="Objetducommentaire"/>
    <w:uiPriority w:val="99"/>
    <w:semiHidden/>
    <w:rsid w:val="001937D4"/>
    <w:rPr>
      <w:b/>
      <w:bCs/>
      <w:lang w:val="fr-FR" w:eastAsia="fr-FR"/>
    </w:rPr>
  </w:style>
  <w:style w:type="character" w:customStyle="1" w:styleId="Titre1Car">
    <w:name w:val="Titre 1 Car"/>
    <w:basedOn w:val="Policepardfaut"/>
    <w:link w:val="Titre1"/>
    <w:uiPriority w:val="9"/>
    <w:rsid w:val="003C002F"/>
    <w:rPr>
      <w:rFonts w:asciiTheme="majorHAnsi" w:eastAsiaTheme="majorEastAsia" w:hAnsiTheme="majorHAnsi" w:cstheme="majorBidi"/>
      <w:color w:val="365F91" w:themeColor="accent1" w:themeShade="BF"/>
      <w:sz w:val="32"/>
      <w:szCs w:val="3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308079">
      <w:bodyDiv w:val="1"/>
      <w:marLeft w:val="0"/>
      <w:marRight w:val="0"/>
      <w:marTop w:val="0"/>
      <w:marBottom w:val="0"/>
      <w:divBdr>
        <w:top w:val="none" w:sz="0" w:space="0" w:color="auto"/>
        <w:left w:val="none" w:sz="0" w:space="0" w:color="auto"/>
        <w:bottom w:val="none" w:sz="0" w:space="0" w:color="auto"/>
        <w:right w:val="none" w:sz="0" w:space="0" w:color="auto"/>
      </w:divBdr>
    </w:div>
    <w:div w:id="146866676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3033</Words>
  <Characters>16682</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
    </vt:vector>
  </TitlesOfParts>
  <Company>AGYSOFT</Company>
  <LinksUpToDate>false</LinksUpToDate>
  <CharactersWithSpaces>19676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Emmanuelle BENOIT</dc:creator>
  <cp:keywords/>
  <dc:description/>
  <cp:lastModifiedBy>Aurélie DUBROC</cp:lastModifiedBy>
  <cp:revision>2</cp:revision>
  <cp:lastPrinted>2025-10-28T14:14:00Z</cp:lastPrinted>
  <dcterms:created xsi:type="dcterms:W3CDTF">2025-11-25T11:00:00Z</dcterms:created>
  <dcterms:modified xsi:type="dcterms:W3CDTF">2025-11-25T11:00:00Z</dcterms:modified>
</cp:coreProperties>
</file>