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6E69FF" w:rsidRDefault="00CA5B7D" w:rsidP="00CA5B7D">
      <w:pPr>
        <w:jc w:val="both"/>
        <w:rPr>
          <w:rFonts w:ascii="Roboto" w:hAnsi="Roboto" w:cs="Tahoma"/>
          <w:sz w:val="22"/>
          <w:szCs w:val="22"/>
        </w:rPr>
      </w:pPr>
    </w:p>
    <w:p w14:paraId="01C1BED7" w14:textId="77777777" w:rsidR="00977B76" w:rsidRPr="006E69FF" w:rsidRDefault="00977B76" w:rsidP="00CA5B7D">
      <w:pPr>
        <w:jc w:val="both"/>
        <w:rPr>
          <w:rFonts w:ascii="Roboto" w:hAnsi="Roboto" w:cs="Tahoma"/>
          <w:sz w:val="22"/>
          <w:szCs w:val="22"/>
        </w:rPr>
      </w:pPr>
    </w:p>
    <w:p w14:paraId="0B12FE21" w14:textId="77777777" w:rsidR="00CA5B7D" w:rsidRPr="006E69FF"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79850606" w14:textId="1577699A" w:rsidR="00CA5B7D" w:rsidRPr="006E69FF"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6E69FF">
        <w:rPr>
          <w:rFonts w:ascii="Roboto" w:hAnsi="Roboto" w:cs="Tahoma"/>
          <w:b/>
          <w:bCs/>
          <w:sz w:val="22"/>
          <w:szCs w:val="22"/>
        </w:rPr>
        <w:t xml:space="preserve">ACCORD </w:t>
      </w:r>
      <w:r w:rsidR="00594B7E" w:rsidRPr="006E69FF">
        <w:rPr>
          <w:rFonts w:ascii="Roboto" w:hAnsi="Roboto" w:cs="Tahoma"/>
          <w:b/>
          <w:bCs/>
          <w:sz w:val="22"/>
          <w:szCs w:val="22"/>
        </w:rPr>
        <w:t>D’ENTREPRISE RELATIF AU COMPTE EPARGNE TEMPS</w:t>
      </w:r>
    </w:p>
    <w:p w14:paraId="7F4513B4" w14:textId="77777777" w:rsidR="00CA5B7D" w:rsidRPr="006E69FF"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6E69FF" w:rsidRDefault="00CA5B7D" w:rsidP="00CA5B7D">
      <w:pPr>
        <w:rPr>
          <w:rFonts w:ascii="Roboto" w:hAnsi="Roboto" w:cs="Tahoma"/>
          <w:sz w:val="22"/>
          <w:szCs w:val="22"/>
        </w:rPr>
      </w:pPr>
    </w:p>
    <w:p w14:paraId="01C7EEA0" w14:textId="77777777" w:rsidR="00CA5B7D" w:rsidRPr="006E69FF" w:rsidRDefault="00CA5B7D" w:rsidP="00CA5B7D">
      <w:pPr>
        <w:rPr>
          <w:rFonts w:ascii="Roboto" w:hAnsi="Roboto" w:cs="Tahoma"/>
          <w:sz w:val="22"/>
          <w:szCs w:val="22"/>
        </w:rPr>
      </w:pPr>
    </w:p>
    <w:p w14:paraId="6E1A1357" w14:textId="77777777" w:rsidR="00CA5B7D" w:rsidRPr="006E69FF" w:rsidRDefault="00CA5B7D" w:rsidP="00CA5B7D">
      <w:pPr>
        <w:rPr>
          <w:rFonts w:ascii="Roboto" w:hAnsi="Roboto" w:cs="Tahoma"/>
          <w:sz w:val="22"/>
          <w:szCs w:val="22"/>
        </w:rPr>
      </w:pPr>
    </w:p>
    <w:p w14:paraId="7964D8AE" w14:textId="77777777" w:rsidR="00CA5B7D" w:rsidRPr="006E69FF" w:rsidRDefault="00CA5B7D" w:rsidP="00CA5B7D">
      <w:pPr>
        <w:rPr>
          <w:rFonts w:ascii="Roboto" w:hAnsi="Roboto" w:cs="Tahoma"/>
          <w:sz w:val="22"/>
          <w:szCs w:val="22"/>
        </w:rPr>
      </w:pPr>
    </w:p>
    <w:p w14:paraId="2CD98785" w14:textId="77777777" w:rsidR="00CA5B7D" w:rsidRPr="006E69FF" w:rsidRDefault="00CA5B7D" w:rsidP="00CA5B7D">
      <w:pPr>
        <w:pStyle w:val="Titre1"/>
        <w:spacing w:before="0"/>
        <w:jc w:val="both"/>
        <w:rPr>
          <w:rFonts w:ascii="Roboto" w:hAnsi="Roboto" w:cs="Arial"/>
          <w:spacing w:val="0"/>
          <w:sz w:val="22"/>
          <w:szCs w:val="22"/>
        </w:rPr>
      </w:pPr>
      <w:r w:rsidRPr="006E69FF">
        <w:rPr>
          <w:rFonts w:ascii="Roboto" w:hAnsi="Roboto" w:cs="Arial"/>
          <w:spacing w:val="0"/>
          <w:sz w:val="22"/>
          <w:szCs w:val="22"/>
        </w:rPr>
        <w:t>ENTRE LES SOUSSIGNES</w:t>
      </w:r>
    </w:p>
    <w:p w14:paraId="3030B9FB" w14:textId="77777777" w:rsidR="00CA5B7D" w:rsidRPr="006E69FF" w:rsidRDefault="00CA5B7D" w:rsidP="00CA5B7D">
      <w:pPr>
        <w:pStyle w:val="En-tte"/>
        <w:widowControl w:val="0"/>
        <w:tabs>
          <w:tab w:val="left" w:pos="708"/>
        </w:tabs>
        <w:jc w:val="both"/>
        <w:rPr>
          <w:rFonts w:ascii="Roboto" w:hAnsi="Roboto" w:cs="Arial"/>
          <w:sz w:val="22"/>
          <w:szCs w:val="22"/>
        </w:rPr>
      </w:pPr>
    </w:p>
    <w:p w14:paraId="585BA2A8" w14:textId="3E0B3AD1" w:rsidR="005C2D7D" w:rsidRPr="006E69FF" w:rsidRDefault="005C2D7D" w:rsidP="005C2D7D">
      <w:pPr>
        <w:widowControl w:val="0"/>
        <w:jc w:val="both"/>
        <w:rPr>
          <w:rFonts w:ascii="Roboto" w:hAnsi="Roboto" w:cs="Arial"/>
          <w:b/>
          <w:sz w:val="22"/>
          <w:szCs w:val="22"/>
        </w:rPr>
      </w:pPr>
      <w:r w:rsidRPr="006E69FF">
        <w:rPr>
          <w:rFonts w:ascii="Roboto" w:hAnsi="Roboto" w:cs="Arial"/>
          <w:b/>
          <w:sz w:val="22"/>
          <w:szCs w:val="22"/>
        </w:rPr>
        <w:t xml:space="preserve">La </w:t>
      </w:r>
      <w:r w:rsidR="007F662D" w:rsidRPr="006E69FF">
        <w:rPr>
          <w:rFonts w:ascii="Roboto" w:hAnsi="Roboto" w:cs="Arial"/>
          <w:b/>
          <w:sz w:val="22"/>
          <w:szCs w:val="22"/>
        </w:rPr>
        <w:t xml:space="preserve">société </w:t>
      </w:r>
      <w:r w:rsidR="00705272">
        <w:rPr>
          <w:rFonts w:ascii="Roboto" w:hAnsi="Roboto" w:cs="Arial"/>
          <w:b/>
          <w:sz w:val="22"/>
          <w:szCs w:val="22"/>
        </w:rPr>
        <w:t>___________</w:t>
      </w:r>
      <w:r w:rsidR="00BF2909" w:rsidRPr="006E69FF">
        <w:rPr>
          <w:rFonts w:ascii="Roboto" w:hAnsi="Roboto" w:cs="Arial"/>
          <w:b/>
          <w:sz w:val="22"/>
          <w:szCs w:val="22"/>
        </w:rPr>
        <w:t> ;</w:t>
      </w:r>
    </w:p>
    <w:p w14:paraId="4E7BE404" w14:textId="3255C013" w:rsidR="005C2D7D" w:rsidRPr="006E69FF" w:rsidRDefault="005E5ECD" w:rsidP="005C2D7D">
      <w:pPr>
        <w:widowControl w:val="0"/>
        <w:jc w:val="both"/>
        <w:rPr>
          <w:rFonts w:ascii="Roboto" w:hAnsi="Roboto" w:cs="Arial"/>
          <w:sz w:val="22"/>
          <w:szCs w:val="22"/>
        </w:rPr>
      </w:pPr>
      <w:r w:rsidRPr="006E69FF">
        <w:rPr>
          <w:rFonts w:ascii="Roboto" w:hAnsi="Roboto" w:cs="Arial"/>
          <w:sz w:val="22"/>
          <w:szCs w:val="22"/>
        </w:rPr>
        <w:t xml:space="preserve">Société </w:t>
      </w:r>
      <w:r w:rsidR="00CC5587" w:rsidRPr="006E69FF">
        <w:rPr>
          <w:rFonts w:ascii="Roboto" w:hAnsi="Roboto" w:cs="Arial"/>
          <w:sz w:val="22"/>
          <w:szCs w:val="22"/>
        </w:rPr>
        <w:t>par actions simplifiée</w:t>
      </w:r>
      <w:r w:rsidRPr="006E69FF">
        <w:rPr>
          <w:rFonts w:ascii="Roboto" w:hAnsi="Roboto" w:cs="Arial"/>
          <w:sz w:val="22"/>
          <w:szCs w:val="22"/>
        </w:rPr>
        <w:t> ;</w:t>
      </w:r>
    </w:p>
    <w:p w14:paraId="01E75742" w14:textId="106487E5" w:rsidR="005C2D7D" w:rsidRPr="006E69FF" w:rsidRDefault="005C2D7D" w:rsidP="005C2D7D">
      <w:pPr>
        <w:widowControl w:val="0"/>
        <w:jc w:val="both"/>
        <w:rPr>
          <w:rFonts w:ascii="Roboto" w:hAnsi="Roboto" w:cs="Arial"/>
          <w:sz w:val="22"/>
          <w:szCs w:val="22"/>
        </w:rPr>
      </w:pPr>
      <w:r w:rsidRPr="006E69FF">
        <w:rPr>
          <w:rFonts w:ascii="Roboto" w:hAnsi="Roboto" w:cs="Arial"/>
          <w:sz w:val="22"/>
          <w:szCs w:val="22"/>
        </w:rPr>
        <w:t xml:space="preserve">Dont le siège social est situé </w:t>
      </w:r>
      <w:r w:rsidR="00705272">
        <w:rPr>
          <w:rFonts w:ascii="Roboto" w:hAnsi="Roboto" w:cs="Arial"/>
          <w:b/>
          <w:sz w:val="22"/>
          <w:szCs w:val="22"/>
        </w:rPr>
        <w:t>___________</w:t>
      </w:r>
      <w:r w:rsidR="00CC5587" w:rsidRPr="006E69FF">
        <w:rPr>
          <w:rFonts w:ascii="Roboto" w:hAnsi="Roboto" w:cs="Arial"/>
          <w:sz w:val="22"/>
          <w:szCs w:val="22"/>
        </w:rPr>
        <w:t>, 34000 Montpellier</w:t>
      </w:r>
      <w:r w:rsidR="005E5ECD" w:rsidRPr="006E69FF">
        <w:rPr>
          <w:rFonts w:ascii="Roboto" w:hAnsi="Roboto" w:cs="Arial"/>
          <w:sz w:val="22"/>
          <w:szCs w:val="22"/>
        </w:rPr>
        <w:t>;</w:t>
      </w:r>
    </w:p>
    <w:p w14:paraId="230B1E60" w14:textId="47B92A48" w:rsidR="005C2D7D" w:rsidRPr="006E69FF" w:rsidRDefault="005C2D7D" w:rsidP="005C2D7D">
      <w:pPr>
        <w:widowControl w:val="0"/>
        <w:jc w:val="both"/>
        <w:rPr>
          <w:rFonts w:ascii="Roboto" w:hAnsi="Roboto" w:cs="Arial"/>
          <w:sz w:val="22"/>
          <w:szCs w:val="22"/>
        </w:rPr>
      </w:pPr>
      <w:r w:rsidRPr="006E69FF">
        <w:rPr>
          <w:rFonts w:ascii="Roboto" w:hAnsi="Roboto" w:cs="Arial"/>
          <w:sz w:val="22"/>
          <w:szCs w:val="22"/>
        </w:rPr>
        <w:t xml:space="preserve">Immatriculée au RCS de MONTPELLIER sous le numéro : </w:t>
      </w:r>
      <w:r w:rsidR="00705272">
        <w:rPr>
          <w:rFonts w:ascii="Roboto" w:hAnsi="Roboto" w:cs="Arial"/>
          <w:b/>
          <w:sz w:val="22"/>
          <w:szCs w:val="22"/>
        </w:rPr>
        <w:t>___________</w:t>
      </w:r>
      <w:r w:rsidR="008239B4" w:rsidRPr="006E69FF">
        <w:rPr>
          <w:rFonts w:ascii="Roboto" w:hAnsi="Roboto" w:cs="Arial"/>
          <w:sz w:val="22"/>
          <w:szCs w:val="22"/>
        </w:rPr>
        <w:t> ;</w:t>
      </w:r>
    </w:p>
    <w:p w14:paraId="7C990079" w14:textId="592837B3" w:rsidR="005C2D7D" w:rsidRPr="006E69FF" w:rsidRDefault="005C2D7D" w:rsidP="005C2D7D">
      <w:pPr>
        <w:widowControl w:val="0"/>
        <w:jc w:val="both"/>
        <w:rPr>
          <w:rFonts w:ascii="Roboto" w:hAnsi="Roboto" w:cs="Arial"/>
          <w:sz w:val="22"/>
          <w:szCs w:val="22"/>
        </w:rPr>
      </w:pPr>
      <w:r w:rsidRPr="006E69FF">
        <w:rPr>
          <w:rFonts w:ascii="Roboto" w:hAnsi="Roboto" w:cs="Arial"/>
          <w:sz w:val="22"/>
          <w:szCs w:val="22"/>
        </w:rPr>
        <w:t xml:space="preserve">Représentée par </w:t>
      </w:r>
      <w:r w:rsidR="00CC5587" w:rsidRPr="006E69FF">
        <w:rPr>
          <w:rFonts w:ascii="Roboto" w:hAnsi="Roboto" w:cs="Arial"/>
          <w:sz w:val="22"/>
          <w:szCs w:val="22"/>
        </w:rPr>
        <w:t>son représentant légal en exercice</w:t>
      </w:r>
      <w:r w:rsidRPr="006E69FF">
        <w:rPr>
          <w:rFonts w:ascii="Roboto" w:hAnsi="Roboto" w:cs="Arial"/>
          <w:sz w:val="22"/>
          <w:szCs w:val="22"/>
        </w:rPr>
        <w:t>.</w:t>
      </w:r>
    </w:p>
    <w:p w14:paraId="14B40A43" w14:textId="77777777" w:rsidR="00CA5B7D" w:rsidRPr="006E69FF" w:rsidRDefault="00CA5B7D" w:rsidP="00CA5B7D">
      <w:pPr>
        <w:widowControl w:val="0"/>
        <w:jc w:val="both"/>
        <w:rPr>
          <w:rFonts w:ascii="Roboto" w:hAnsi="Roboto" w:cs="Arial"/>
          <w:sz w:val="22"/>
          <w:szCs w:val="22"/>
        </w:rPr>
      </w:pPr>
    </w:p>
    <w:p w14:paraId="59FA59D2" w14:textId="77777777" w:rsidR="00CA5B7D" w:rsidRPr="006E69FF" w:rsidRDefault="00052CEC" w:rsidP="00CA5B7D">
      <w:pPr>
        <w:widowControl w:val="0"/>
        <w:jc w:val="both"/>
        <w:rPr>
          <w:rFonts w:ascii="Roboto" w:hAnsi="Roboto" w:cs="Arial"/>
          <w:sz w:val="22"/>
          <w:szCs w:val="22"/>
        </w:rPr>
      </w:pPr>
      <w:r w:rsidRPr="006E69FF">
        <w:rPr>
          <w:rFonts w:ascii="Roboto" w:hAnsi="Roboto" w:cs="Arial"/>
          <w:sz w:val="22"/>
          <w:szCs w:val="22"/>
        </w:rPr>
        <w:t>Ci-après dénommée : « </w:t>
      </w:r>
      <w:r w:rsidRPr="006E69FF">
        <w:rPr>
          <w:rFonts w:ascii="Roboto" w:hAnsi="Roboto" w:cs="Arial"/>
          <w:b/>
          <w:sz w:val="22"/>
          <w:szCs w:val="22"/>
        </w:rPr>
        <w:t>la Société</w:t>
      </w:r>
      <w:r w:rsidRPr="006E69FF">
        <w:rPr>
          <w:rFonts w:ascii="Roboto" w:hAnsi="Roboto" w:cs="Arial"/>
          <w:sz w:val="22"/>
          <w:szCs w:val="22"/>
        </w:rPr>
        <w:t> »,</w:t>
      </w:r>
    </w:p>
    <w:p w14:paraId="7454B0F1" w14:textId="77777777" w:rsidR="00052CEC" w:rsidRPr="006E69FF" w:rsidRDefault="00052CEC" w:rsidP="00CA5B7D">
      <w:pPr>
        <w:widowControl w:val="0"/>
        <w:jc w:val="both"/>
        <w:rPr>
          <w:rFonts w:ascii="Roboto" w:hAnsi="Roboto" w:cs="Arial"/>
          <w:sz w:val="22"/>
          <w:szCs w:val="22"/>
        </w:rPr>
      </w:pPr>
    </w:p>
    <w:p w14:paraId="7014FDB7" w14:textId="77777777" w:rsidR="00052CEC" w:rsidRPr="006E69FF" w:rsidRDefault="00052CEC" w:rsidP="00CA5B7D">
      <w:pPr>
        <w:widowControl w:val="0"/>
        <w:jc w:val="both"/>
        <w:rPr>
          <w:rFonts w:ascii="Roboto" w:hAnsi="Roboto" w:cs="Arial"/>
          <w:sz w:val="22"/>
          <w:szCs w:val="22"/>
        </w:rPr>
      </w:pPr>
    </w:p>
    <w:p w14:paraId="70565288" w14:textId="77777777" w:rsidR="00CA5B7D" w:rsidRPr="006E69FF" w:rsidRDefault="00CA5B7D" w:rsidP="00CA5B7D">
      <w:pPr>
        <w:pStyle w:val="Titre1"/>
        <w:spacing w:before="0"/>
        <w:jc w:val="both"/>
        <w:rPr>
          <w:rFonts w:ascii="Roboto" w:hAnsi="Roboto" w:cs="Arial"/>
          <w:spacing w:val="0"/>
          <w:sz w:val="22"/>
          <w:szCs w:val="22"/>
        </w:rPr>
      </w:pPr>
      <w:r w:rsidRPr="006E69FF">
        <w:rPr>
          <w:rFonts w:ascii="Roboto" w:hAnsi="Roboto" w:cs="Arial"/>
          <w:spacing w:val="0"/>
          <w:sz w:val="22"/>
          <w:szCs w:val="22"/>
        </w:rPr>
        <w:t>ET</w:t>
      </w:r>
    </w:p>
    <w:p w14:paraId="3AA931C1" w14:textId="77777777" w:rsidR="00CA5B7D" w:rsidRPr="006E69FF" w:rsidRDefault="00CA5B7D" w:rsidP="00CA5B7D">
      <w:pPr>
        <w:widowControl w:val="0"/>
        <w:jc w:val="both"/>
        <w:rPr>
          <w:rFonts w:ascii="Roboto" w:hAnsi="Roboto" w:cs="Arial"/>
          <w:sz w:val="22"/>
          <w:szCs w:val="22"/>
        </w:rPr>
      </w:pPr>
    </w:p>
    <w:p w14:paraId="07E686D1" w14:textId="77777777" w:rsidR="00E400E7" w:rsidRPr="006E69FF" w:rsidRDefault="00E400E7" w:rsidP="00E400E7">
      <w:pPr>
        <w:widowControl w:val="0"/>
        <w:jc w:val="both"/>
        <w:rPr>
          <w:rFonts w:ascii="Roboto" w:hAnsi="Roboto" w:cs="Arial"/>
          <w:sz w:val="22"/>
          <w:szCs w:val="22"/>
        </w:rPr>
      </w:pPr>
    </w:p>
    <w:p w14:paraId="31CEC144" w14:textId="7424835D" w:rsidR="00B21816" w:rsidRPr="006E69FF" w:rsidRDefault="00B21816" w:rsidP="00B21816">
      <w:pPr>
        <w:widowControl w:val="0"/>
        <w:jc w:val="both"/>
        <w:rPr>
          <w:rFonts w:ascii="Roboto" w:hAnsi="Roboto" w:cs="Arial"/>
          <w:sz w:val="22"/>
          <w:szCs w:val="22"/>
        </w:rPr>
      </w:pPr>
      <w:r w:rsidRPr="006E69FF">
        <w:rPr>
          <w:rFonts w:ascii="Roboto" w:hAnsi="Roboto" w:cs="Arial"/>
          <w:b/>
          <w:bCs/>
          <w:sz w:val="22"/>
          <w:szCs w:val="22"/>
        </w:rPr>
        <w:t xml:space="preserve">Les </w:t>
      </w:r>
      <w:r w:rsidR="008440E8" w:rsidRPr="006E69FF">
        <w:rPr>
          <w:rFonts w:ascii="Roboto" w:hAnsi="Roboto" w:cs="Arial"/>
          <w:b/>
          <w:bCs/>
          <w:sz w:val="22"/>
          <w:szCs w:val="22"/>
        </w:rPr>
        <w:t>salariés de la Société</w:t>
      </w:r>
      <w:r w:rsidR="008440E8" w:rsidRPr="006E69FF">
        <w:rPr>
          <w:rFonts w:ascii="Roboto" w:hAnsi="Roboto" w:cs="Arial"/>
          <w:sz w:val="22"/>
          <w:szCs w:val="22"/>
        </w:rPr>
        <w:t>, par voie de consultation</w:t>
      </w:r>
    </w:p>
    <w:p w14:paraId="63D9102A" w14:textId="77777777" w:rsidR="00254941" w:rsidRPr="006E69FF" w:rsidRDefault="00254941" w:rsidP="00B21816">
      <w:pPr>
        <w:widowControl w:val="0"/>
        <w:jc w:val="both"/>
        <w:rPr>
          <w:rFonts w:ascii="Roboto" w:hAnsi="Roboto" w:cs="Arial"/>
          <w:sz w:val="22"/>
          <w:szCs w:val="22"/>
        </w:rPr>
      </w:pPr>
    </w:p>
    <w:p w14:paraId="2E60090E" w14:textId="77777777" w:rsidR="00CA5B7D" w:rsidRPr="006E69FF" w:rsidRDefault="00CA5B7D" w:rsidP="00CA5B7D">
      <w:pPr>
        <w:jc w:val="both"/>
        <w:rPr>
          <w:rFonts w:ascii="Roboto" w:hAnsi="Roboto" w:cs="Arial"/>
          <w:sz w:val="22"/>
          <w:szCs w:val="22"/>
        </w:rPr>
      </w:pPr>
    </w:p>
    <w:p w14:paraId="354819E1" w14:textId="29C0BC2C" w:rsidR="00CA5B7D" w:rsidRPr="006E69FF" w:rsidRDefault="00052CEC" w:rsidP="00CA5B7D">
      <w:pPr>
        <w:jc w:val="both"/>
        <w:rPr>
          <w:rFonts w:ascii="Roboto" w:hAnsi="Roboto" w:cs="Arial"/>
          <w:sz w:val="22"/>
          <w:szCs w:val="22"/>
        </w:rPr>
      </w:pPr>
      <w:r w:rsidRPr="006E69FF">
        <w:rPr>
          <w:rFonts w:ascii="Roboto" w:hAnsi="Roboto" w:cs="Arial"/>
          <w:sz w:val="22"/>
          <w:szCs w:val="22"/>
        </w:rPr>
        <w:t>Ci-après dénommés « </w:t>
      </w:r>
      <w:r w:rsidRPr="006E69FF">
        <w:rPr>
          <w:rFonts w:ascii="Roboto" w:hAnsi="Roboto" w:cs="Arial"/>
          <w:b/>
          <w:sz w:val="22"/>
          <w:szCs w:val="22"/>
        </w:rPr>
        <w:t xml:space="preserve">les </w:t>
      </w:r>
      <w:r w:rsidR="000B4966" w:rsidRPr="006E69FF">
        <w:rPr>
          <w:rFonts w:ascii="Roboto" w:hAnsi="Roboto" w:cs="Arial"/>
          <w:b/>
          <w:sz w:val="22"/>
          <w:szCs w:val="22"/>
        </w:rPr>
        <w:t>Salariés</w:t>
      </w:r>
      <w:r w:rsidR="000B4966" w:rsidRPr="006E69FF">
        <w:rPr>
          <w:rFonts w:ascii="Roboto" w:hAnsi="Roboto" w:cs="Arial"/>
          <w:sz w:val="22"/>
          <w:szCs w:val="22"/>
        </w:rPr>
        <w:t xml:space="preserve"> »</w:t>
      </w:r>
      <w:r w:rsidRPr="006E69FF">
        <w:rPr>
          <w:rFonts w:ascii="Roboto" w:hAnsi="Roboto" w:cs="Arial"/>
          <w:sz w:val="22"/>
          <w:szCs w:val="22"/>
        </w:rPr>
        <w:t>,</w:t>
      </w:r>
    </w:p>
    <w:p w14:paraId="2A15A4A1" w14:textId="77777777" w:rsidR="00052CEC" w:rsidRPr="006E69FF" w:rsidRDefault="00052CEC" w:rsidP="00CA5B7D">
      <w:pPr>
        <w:jc w:val="both"/>
        <w:rPr>
          <w:rFonts w:ascii="Roboto" w:hAnsi="Roboto" w:cs="Arial"/>
          <w:sz w:val="22"/>
          <w:szCs w:val="22"/>
        </w:rPr>
      </w:pPr>
    </w:p>
    <w:p w14:paraId="1B5990CD" w14:textId="77777777" w:rsidR="00052CEC" w:rsidRPr="006E69FF" w:rsidRDefault="00052CEC" w:rsidP="00CA5B7D">
      <w:pPr>
        <w:jc w:val="both"/>
        <w:rPr>
          <w:rFonts w:ascii="Roboto" w:hAnsi="Roboto" w:cs="Arial"/>
          <w:sz w:val="22"/>
          <w:szCs w:val="22"/>
        </w:rPr>
      </w:pPr>
      <w:r w:rsidRPr="006E69FF">
        <w:rPr>
          <w:rFonts w:ascii="Roboto" w:hAnsi="Roboto" w:cs="Arial"/>
          <w:sz w:val="22"/>
          <w:szCs w:val="22"/>
        </w:rPr>
        <w:t>Ensemble dénommés « </w:t>
      </w:r>
      <w:r w:rsidRPr="006E69FF">
        <w:rPr>
          <w:rFonts w:ascii="Roboto" w:hAnsi="Roboto" w:cs="Arial"/>
          <w:b/>
          <w:sz w:val="22"/>
          <w:szCs w:val="22"/>
        </w:rPr>
        <w:t>les Parties</w:t>
      </w:r>
      <w:r w:rsidRPr="006E69FF">
        <w:rPr>
          <w:rFonts w:ascii="Roboto" w:hAnsi="Roboto" w:cs="Arial"/>
          <w:sz w:val="22"/>
          <w:szCs w:val="22"/>
        </w:rPr>
        <w:t> »,</w:t>
      </w:r>
    </w:p>
    <w:p w14:paraId="5614D9EB" w14:textId="77777777" w:rsidR="00CA5B7D" w:rsidRPr="006E69FF" w:rsidRDefault="00CA5B7D" w:rsidP="00CA5B7D">
      <w:pPr>
        <w:jc w:val="both"/>
        <w:rPr>
          <w:rFonts w:ascii="Roboto" w:hAnsi="Roboto" w:cs="Arial"/>
          <w:sz w:val="22"/>
          <w:szCs w:val="22"/>
        </w:rPr>
      </w:pPr>
    </w:p>
    <w:p w14:paraId="78F8F737" w14:textId="77777777" w:rsidR="00CA5B7D" w:rsidRPr="006E69FF" w:rsidRDefault="00052CEC" w:rsidP="00CA5B7D">
      <w:pPr>
        <w:jc w:val="both"/>
        <w:rPr>
          <w:rFonts w:ascii="Roboto" w:hAnsi="Roboto" w:cs="Arial"/>
          <w:sz w:val="22"/>
          <w:szCs w:val="22"/>
        </w:rPr>
      </w:pPr>
      <w:r w:rsidRPr="006E69FF">
        <w:rPr>
          <w:rFonts w:ascii="Roboto" w:hAnsi="Roboto" w:cs="Arial"/>
          <w:sz w:val="22"/>
          <w:szCs w:val="22"/>
        </w:rPr>
        <w:t>Le présent accord étant dénommé « </w:t>
      </w:r>
      <w:r w:rsidRPr="006E69FF">
        <w:rPr>
          <w:rFonts w:ascii="Roboto" w:hAnsi="Roboto" w:cs="Arial"/>
          <w:b/>
          <w:sz w:val="22"/>
          <w:szCs w:val="22"/>
        </w:rPr>
        <w:t>l’Accord</w:t>
      </w:r>
      <w:r w:rsidRPr="006E69FF">
        <w:rPr>
          <w:rFonts w:ascii="Roboto" w:hAnsi="Roboto" w:cs="Arial"/>
          <w:sz w:val="22"/>
          <w:szCs w:val="22"/>
        </w:rPr>
        <w:t> ».</w:t>
      </w:r>
    </w:p>
    <w:p w14:paraId="0230F9F0" w14:textId="77777777" w:rsidR="00CA5B7D" w:rsidRPr="006E69FF" w:rsidRDefault="00CA5B7D" w:rsidP="00CA5B7D">
      <w:pPr>
        <w:jc w:val="both"/>
        <w:rPr>
          <w:rFonts w:ascii="Roboto" w:hAnsi="Roboto" w:cs="Arial"/>
          <w:sz w:val="22"/>
          <w:szCs w:val="22"/>
        </w:rPr>
      </w:pPr>
    </w:p>
    <w:p w14:paraId="2BF11087" w14:textId="77777777" w:rsidR="00E05F8B" w:rsidRPr="006E69FF" w:rsidRDefault="00E05F8B" w:rsidP="00CA5B7D">
      <w:pPr>
        <w:jc w:val="both"/>
        <w:rPr>
          <w:rFonts w:ascii="Roboto" w:hAnsi="Roboto" w:cs="Arial"/>
          <w:sz w:val="22"/>
          <w:szCs w:val="22"/>
        </w:rPr>
      </w:pPr>
    </w:p>
    <w:p w14:paraId="5A13E88E" w14:textId="77777777" w:rsidR="00E05F8B" w:rsidRPr="006E69FF" w:rsidRDefault="00051C6A" w:rsidP="00CA5B7D">
      <w:pPr>
        <w:jc w:val="both"/>
        <w:rPr>
          <w:rFonts w:ascii="Roboto" w:hAnsi="Roboto" w:cs="Arial"/>
          <w:sz w:val="22"/>
          <w:szCs w:val="22"/>
        </w:rPr>
      </w:pPr>
      <w:r w:rsidRPr="006E69FF">
        <w:rPr>
          <w:rFonts w:ascii="Roboto" w:hAnsi="Roboto" w:cs="Arial"/>
          <w:sz w:val="22"/>
          <w:szCs w:val="22"/>
        </w:rPr>
        <w:br w:type="page"/>
      </w:r>
    </w:p>
    <w:p w14:paraId="58E2EF00" w14:textId="77777777" w:rsidR="006E69FF" w:rsidRPr="006E69FF" w:rsidRDefault="00892E30" w:rsidP="00A57775">
      <w:pPr>
        <w:pStyle w:val="Titre2"/>
        <w:rPr>
          <w:rFonts w:ascii="Roboto" w:eastAsia="Arial" w:hAnsi="Roboto"/>
          <w:szCs w:val="22"/>
        </w:rPr>
      </w:pPr>
      <w:r w:rsidRPr="006E69FF">
        <w:rPr>
          <w:rFonts w:ascii="Roboto" w:hAnsi="Roboto"/>
          <w:spacing w:val="0"/>
          <w:szCs w:val="22"/>
        </w:rPr>
        <w:lastRenderedPageBreak/>
        <w:t>PREAMBULE</w:t>
      </w:r>
      <w:r w:rsidRPr="006E69FF">
        <w:rPr>
          <w:rFonts w:ascii="Roboto" w:eastAsia="Arial" w:hAnsi="Roboto"/>
          <w:szCs w:val="22"/>
        </w:rPr>
        <w:t xml:space="preserve"> </w:t>
      </w:r>
    </w:p>
    <w:p w14:paraId="20498E48" w14:textId="390D9391"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Les parties signataires ont souhaité mettre en place le compte épargne-temps pour permettre aux salariés d'épargner du temps ou des éléments de salaire afin de financer des congés ou d'obtenir un complément de rémunération et à l'entreprise d'aménager le temps de travail en cas de baisse d'activité.</w:t>
      </w:r>
    </w:p>
    <w:p w14:paraId="44E6EE48" w14:textId="77777777" w:rsidR="006E69FF" w:rsidRPr="006E69FF" w:rsidRDefault="006E69FF" w:rsidP="006E69FF">
      <w:pPr>
        <w:pStyle w:val="Style2"/>
        <w:rPr>
          <w:rFonts w:ascii="Roboto" w:hAnsi="Roboto" w:cs="Arial"/>
          <w:color w:val="auto"/>
          <w:sz w:val="22"/>
          <w:szCs w:val="22"/>
        </w:rPr>
      </w:pPr>
    </w:p>
    <w:p w14:paraId="40E420DB" w14:textId="77777777"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 présent accord définit les modalités de mise en œuvre du compte épargne-temps au sein de l'entreprise et particulièrement les bénéficiaires, les conditions et limites d'alimentation, les modalités de gestion et les conditions d'utilisation, de liquidation et de transfert des droits.</w:t>
      </w:r>
    </w:p>
    <w:p w14:paraId="1F247040" w14:textId="77777777" w:rsidR="006E69FF" w:rsidRPr="006E69FF" w:rsidRDefault="006E69FF" w:rsidP="006E69FF">
      <w:pPr>
        <w:pStyle w:val="Style2"/>
        <w:rPr>
          <w:rFonts w:ascii="Roboto" w:hAnsi="Roboto" w:cs="Arial"/>
          <w:color w:val="auto"/>
          <w:sz w:val="22"/>
          <w:szCs w:val="22"/>
        </w:rPr>
      </w:pPr>
    </w:p>
    <w:p w14:paraId="0ACD58B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 xml:space="preserve">Champ d’application </w:t>
      </w:r>
    </w:p>
    <w:p w14:paraId="02D092D0" w14:textId="77777777" w:rsidR="00A57775" w:rsidRPr="006E69FF" w:rsidRDefault="00A57775" w:rsidP="00A57775">
      <w:pPr>
        <w:pStyle w:val="Titre2"/>
        <w:rPr>
          <w:rFonts w:ascii="Roboto" w:hAnsi="Roboto"/>
          <w:b w:val="0"/>
          <w:bCs w:val="0"/>
          <w:caps w:val="0"/>
          <w:noProof/>
          <w:spacing w:val="0"/>
          <w:szCs w:val="22"/>
          <w:u w:val="none"/>
        </w:rPr>
      </w:pPr>
      <w:bookmarkStart w:id="0" w:name="_heading=h.3znysh7" w:colFirst="0" w:colLast="0"/>
      <w:bookmarkEnd w:id="0"/>
      <w:r w:rsidRPr="006E69FF">
        <w:rPr>
          <w:rFonts w:ascii="Roboto" w:hAnsi="Roboto"/>
          <w:b w:val="0"/>
          <w:bCs w:val="0"/>
          <w:caps w:val="0"/>
          <w:noProof/>
          <w:spacing w:val="0"/>
          <w:szCs w:val="22"/>
          <w:u w:val="none"/>
        </w:rPr>
        <w:t>Tous les salariés sont susceptibles de bénéficier d'un compte épargne-temps.</w:t>
      </w:r>
    </w:p>
    <w:p w14:paraId="393ED8F7" w14:textId="77777777" w:rsidR="006E69FF" w:rsidRPr="006E69FF" w:rsidRDefault="006E69FF" w:rsidP="006E69FF">
      <w:pPr>
        <w:rPr>
          <w:rFonts w:ascii="Roboto" w:eastAsia="Arial" w:hAnsi="Roboto"/>
          <w:sz w:val="22"/>
          <w:szCs w:val="22"/>
        </w:rPr>
      </w:pPr>
    </w:p>
    <w:p w14:paraId="169CE97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Ouverture de compte</w:t>
      </w:r>
    </w:p>
    <w:p w14:paraId="1CB63589"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compte épargne-temps est ouvert lors de la première affectation d'éléments par le salarié.</w:t>
      </w:r>
    </w:p>
    <w:p w14:paraId="7728B02F" w14:textId="77777777" w:rsidR="006E69FF" w:rsidRPr="006E69FF" w:rsidRDefault="006E69FF" w:rsidP="00A57775">
      <w:pPr>
        <w:jc w:val="both"/>
        <w:rPr>
          <w:rFonts w:ascii="Roboto" w:eastAsia="Arial" w:hAnsi="Roboto" w:cs="Arial"/>
          <w:i/>
          <w:sz w:val="22"/>
          <w:szCs w:val="22"/>
        </w:rPr>
      </w:pPr>
    </w:p>
    <w:p w14:paraId="15307A13" w14:textId="77777777" w:rsidR="00A57775" w:rsidRPr="006E69FF" w:rsidRDefault="00A57775" w:rsidP="00A57775">
      <w:pPr>
        <w:pStyle w:val="Titre2"/>
        <w:rPr>
          <w:rFonts w:ascii="Roboto" w:eastAsia="Arial" w:hAnsi="Roboto"/>
          <w:b w:val="0"/>
          <w:color w:val="000000"/>
          <w:szCs w:val="22"/>
        </w:rPr>
      </w:pPr>
      <w:bookmarkStart w:id="1" w:name="_heading=h.2et92p0" w:colFirst="0" w:colLast="0"/>
      <w:bookmarkEnd w:id="1"/>
      <w:r w:rsidRPr="006E69FF">
        <w:rPr>
          <w:rFonts w:ascii="Roboto" w:eastAsia="Arial" w:hAnsi="Roboto"/>
          <w:color w:val="000000"/>
          <w:szCs w:val="22"/>
        </w:rPr>
        <w:t xml:space="preserve">Alimentation du compte </w:t>
      </w:r>
    </w:p>
    <w:p w14:paraId="7FC7F24E"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Procédure d’alimentation du compte</w:t>
      </w:r>
    </w:p>
    <w:p w14:paraId="34A79E83" w14:textId="2FE34F88"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Pour alimenter le compte épargne-temps, le salarié doit adresser une demande par courriel à la Direction des Ressources Humaines, au moyen du formulaire disponible sur le serveur. Il sera alors possible d’alimenter le compte en transmettant ce formulaire entre le 1</w:t>
      </w:r>
      <w:r w:rsidRPr="006E69FF">
        <w:rPr>
          <w:rFonts w:ascii="Roboto" w:eastAsia="Arial" w:hAnsi="Roboto" w:cs="Arial"/>
          <w:sz w:val="22"/>
          <w:szCs w:val="22"/>
          <w:vertAlign w:val="superscript"/>
        </w:rPr>
        <w:t>er</w:t>
      </w:r>
      <w:r w:rsidRPr="006E69FF">
        <w:rPr>
          <w:rFonts w:ascii="Roboto" w:eastAsia="Arial" w:hAnsi="Roboto" w:cs="Arial"/>
          <w:sz w:val="22"/>
          <w:szCs w:val="22"/>
        </w:rPr>
        <w:t xml:space="preserve"> Décembre et le 31 Décembre. En dehors de ces périodes, les demandes transmises ne seront pas prises en compte.</w:t>
      </w:r>
    </w:p>
    <w:p w14:paraId="40076ED6" w14:textId="77777777" w:rsidR="00090046" w:rsidRPr="006E69FF" w:rsidRDefault="00090046" w:rsidP="00A57775">
      <w:pPr>
        <w:jc w:val="both"/>
        <w:rPr>
          <w:rFonts w:ascii="Roboto" w:eastAsia="Arial" w:hAnsi="Roboto" w:cs="Arial"/>
          <w:sz w:val="22"/>
          <w:szCs w:val="22"/>
        </w:rPr>
      </w:pPr>
    </w:p>
    <w:p w14:paraId="1D78CAF4"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Alimentation du compte à l'initiative du salarié</w:t>
      </w:r>
    </w:p>
    <w:p w14:paraId="3E0EB16E"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salariés peuvent décider de porter sur leur compte épargne-temps les jours de congés et de repos suivants :</w:t>
      </w:r>
    </w:p>
    <w:p w14:paraId="54B9AB0B"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 xml:space="preserve">Jours de congés payés acquis au titre de la période précédente excédant 20 jours ouvrés </w:t>
      </w:r>
    </w:p>
    <w:p w14:paraId="71E395EA"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congés d'ancienneté</w:t>
      </w:r>
    </w:p>
    <w:p w14:paraId="42FB38CE"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 de fin de carrière</w:t>
      </w:r>
    </w:p>
    <w:p w14:paraId="3ABF07FC"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accordés aux salariés ayant conclu une convention individuelle de forfait en jours, dans la limite des jours travaillés fixée par accord d’entreprise</w:t>
      </w:r>
    </w:p>
    <w:p w14:paraId="4DA21D85"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dits « RTT » acquis par les salariés soumis à un décompte horaire du temps de travail sur une base hebdomadaire de 39h.</w:t>
      </w:r>
    </w:p>
    <w:p w14:paraId="5F536263" w14:textId="1A69D003" w:rsidR="00A57775" w:rsidRPr="006E69FF" w:rsidRDefault="00A57775" w:rsidP="00A57775">
      <w:pPr>
        <w:jc w:val="both"/>
        <w:rPr>
          <w:rFonts w:ascii="Roboto" w:eastAsia="Arial" w:hAnsi="Roboto" w:cs="Arial"/>
          <w:sz w:val="22"/>
          <w:szCs w:val="22"/>
        </w:rPr>
      </w:pPr>
    </w:p>
    <w:p w14:paraId="1CF25F76" w14:textId="77777777" w:rsidR="00A57775" w:rsidRPr="006E69FF" w:rsidRDefault="00A57775" w:rsidP="00A57775">
      <w:pPr>
        <w:pStyle w:val="Titre2"/>
        <w:rPr>
          <w:rFonts w:ascii="Roboto" w:eastAsia="Arial" w:hAnsi="Roboto"/>
          <w:b w:val="0"/>
          <w:color w:val="000000"/>
          <w:szCs w:val="22"/>
          <w:highlight w:val="yellow"/>
        </w:rPr>
      </w:pPr>
    </w:p>
    <w:p w14:paraId="1944F02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Plafonds du compte épargne-temps</w:t>
      </w:r>
    </w:p>
    <w:p w14:paraId="04BD2006"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annuel</w:t>
      </w:r>
    </w:p>
    <w:p w14:paraId="66822739"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affectés chaque année au compte épargne-temps ne peuvent pas dépasser le plafond suivant :</w:t>
      </w:r>
    </w:p>
    <w:p w14:paraId="2A27938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 nombre maximum de jours épargnés annuellement par le salarié ne peut pas excéder 5 (cinq) jours.</w:t>
      </w:r>
    </w:p>
    <w:p w14:paraId="4F0981F8" w14:textId="77777777" w:rsidR="00163E12" w:rsidRPr="006E69FF" w:rsidRDefault="00163E12" w:rsidP="00A57775">
      <w:pPr>
        <w:jc w:val="both"/>
        <w:rPr>
          <w:rFonts w:ascii="Roboto" w:eastAsia="Arial" w:hAnsi="Roboto" w:cs="Arial"/>
          <w:sz w:val="22"/>
          <w:szCs w:val="22"/>
        </w:rPr>
      </w:pPr>
    </w:p>
    <w:p w14:paraId="4B5318AD"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global</w:t>
      </w:r>
    </w:p>
    <w:p w14:paraId="4DE68A00"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épargnés sur le compte ne peuvent pas dépasser le plafond suivant :</w:t>
      </w:r>
    </w:p>
    <w:p w14:paraId="2049041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les droits épargnés inscrits au compte, convertis en temps, ne peuvent excéder la limite absolue de 40 (quarante) jours.</w:t>
      </w:r>
    </w:p>
    <w:p w14:paraId="3D8BFF73" w14:textId="77777777" w:rsidR="00163E12" w:rsidRPr="006E69FF" w:rsidRDefault="00163E12" w:rsidP="00A57775">
      <w:pPr>
        <w:jc w:val="both"/>
        <w:rPr>
          <w:rFonts w:ascii="Roboto" w:eastAsia="Arial" w:hAnsi="Roboto" w:cs="Arial"/>
          <w:sz w:val="22"/>
          <w:szCs w:val="22"/>
        </w:rPr>
      </w:pPr>
    </w:p>
    <w:p w14:paraId="2C2E6A8E"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Dès lors que l'une de ces limites est atteinte, le salarié ne peut plus alimenter son compte épargne-temps en jours tant qu'il n'a pas utilisé tout ou partie de ses droits épargnés afin que leur valeur soit réduite en deçà du plafond.</w:t>
      </w:r>
    </w:p>
    <w:p w14:paraId="514FF7DF" w14:textId="77777777" w:rsidR="007A7B6A" w:rsidRPr="006E69FF" w:rsidRDefault="007A7B6A" w:rsidP="00A57775">
      <w:pPr>
        <w:jc w:val="both"/>
        <w:rPr>
          <w:rFonts w:ascii="Roboto" w:eastAsia="Arial" w:hAnsi="Roboto" w:cs="Arial"/>
          <w:sz w:val="22"/>
          <w:szCs w:val="22"/>
        </w:rPr>
      </w:pPr>
    </w:p>
    <w:p w14:paraId="0BBA83A9"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Gestion du compte</w:t>
      </w:r>
    </w:p>
    <w:p w14:paraId="0D59951B"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inscrits sur le compte sont exprimés en jours ouvrés.</w:t>
      </w:r>
    </w:p>
    <w:p w14:paraId="06939934" w14:textId="77777777" w:rsidR="007A7B6A" w:rsidRPr="006E69FF" w:rsidRDefault="007A7B6A" w:rsidP="00A57775">
      <w:pPr>
        <w:jc w:val="both"/>
        <w:rPr>
          <w:rFonts w:ascii="Roboto" w:eastAsia="Arial" w:hAnsi="Roboto" w:cs="Arial"/>
          <w:sz w:val="22"/>
          <w:szCs w:val="22"/>
        </w:rPr>
      </w:pPr>
    </w:p>
    <w:p w14:paraId="40B9F4D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jours ouvrés inscrits au compte sont valorisés à la date de leur utilisation par le salarié, de la cessation du compte épargne-temps ou de transfert des droits en cas de changement d'entreprise selon la formule suivante : Montant des droits = nombre de jours ouvrés à convertir × [(rémunération mensuelle au jour de la valorisation × 12) / nombre de jours ouvrés dans l'année].</w:t>
      </w:r>
    </w:p>
    <w:p w14:paraId="093322AD" w14:textId="77777777" w:rsidR="00760D5A" w:rsidRPr="006E69FF" w:rsidRDefault="00760D5A" w:rsidP="00A57775">
      <w:pPr>
        <w:jc w:val="both"/>
        <w:rPr>
          <w:rFonts w:ascii="Roboto" w:eastAsia="Arial" w:hAnsi="Roboto" w:cs="Arial"/>
          <w:sz w:val="22"/>
          <w:szCs w:val="22"/>
        </w:rPr>
      </w:pPr>
    </w:p>
    <w:p w14:paraId="38F1BEC2"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Garantie des éléments inscrits au </w:t>
      </w:r>
      <w:bookmarkStart w:id="2" w:name="JVHIT_171"/>
      <w:bookmarkEnd w:id="2"/>
      <w:r w:rsidRPr="006E69FF">
        <w:rPr>
          <w:rFonts w:ascii="Roboto" w:eastAsia="Arial" w:hAnsi="Roboto" w:cs="Arial"/>
          <w:b/>
          <w:color w:val="000000"/>
          <w:sz w:val="22"/>
          <w:szCs w:val="22"/>
        </w:rPr>
        <w:t>compte</w:t>
      </w:r>
    </w:p>
    <w:p w14:paraId="2D2FE13C"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acquis figurant sur le compte épargne-temps sont garantis par l'Association pour la gestion du régime de garantie des créances des salariés (AGS) dans les conditions prévues par la loi.</w:t>
      </w:r>
    </w:p>
    <w:p w14:paraId="08F36CEB" w14:textId="77777777" w:rsidR="00760D5A" w:rsidRPr="006E69FF" w:rsidRDefault="00760D5A" w:rsidP="00A57775">
      <w:pPr>
        <w:jc w:val="both"/>
        <w:rPr>
          <w:rFonts w:ascii="Roboto" w:eastAsia="Arial" w:hAnsi="Roboto" w:cs="Arial"/>
          <w:sz w:val="22"/>
          <w:szCs w:val="22"/>
        </w:rPr>
      </w:pPr>
    </w:p>
    <w:p w14:paraId="20E07C96" w14:textId="77777777" w:rsidR="00A57775" w:rsidRPr="006E69FF" w:rsidRDefault="00A57775" w:rsidP="00A57775">
      <w:pPr>
        <w:jc w:val="both"/>
        <w:rPr>
          <w:rFonts w:ascii="Roboto" w:eastAsia="Arial" w:hAnsi="Roboto" w:cs="Arial"/>
          <w:b/>
          <w:color w:val="000000"/>
          <w:sz w:val="22"/>
          <w:szCs w:val="22"/>
        </w:rPr>
      </w:pPr>
      <w:bookmarkStart w:id="3" w:name="_heading=h.tyjcwt" w:colFirst="0" w:colLast="0"/>
      <w:bookmarkEnd w:id="3"/>
      <w:r w:rsidRPr="006E69FF">
        <w:rPr>
          <w:rFonts w:ascii="Roboto" w:eastAsia="Arial" w:hAnsi="Roboto" w:cs="Arial"/>
          <w:b/>
          <w:color w:val="000000"/>
          <w:sz w:val="22"/>
          <w:szCs w:val="22"/>
        </w:rPr>
        <w:t>Information du salarié</w:t>
      </w:r>
    </w:p>
    <w:p w14:paraId="5F184C66"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salarié est informé des droits dont il dispose sur son compte épargne-temps à chaque fin d’année civile.</w:t>
      </w:r>
    </w:p>
    <w:p w14:paraId="69302FE2" w14:textId="77777777" w:rsidR="00760D5A" w:rsidRPr="006E69FF" w:rsidRDefault="00760D5A" w:rsidP="00A57775">
      <w:pPr>
        <w:jc w:val="both"/>
        <w:rPr>
          <w:rFonts w:ascii="Roboto" w:eastAsia="Arial" w:hAnsi="Roboto" w:cs="Arial"/>
          <w:sz w:val="22"/>
          <w:szCs w:val="22"/>
        </w:rPr>
      </w:pPr>
    </w:p>
    <w:p w14:paraId="4237D0F4" w14:textId="77777777" w:rsidR="00A57775" w:rsidRPr="006E69FF" w:rsidRDefault="00A57775" w:rsidP="00A57775">
      <w:pPr>
        <w:jc w:val="both"/>
        <w:rPr>
          <w:rFonts w:ascii="Roboto" w:eastAsia="Arial" w:hAnsi="Roboto" w:cs="Arial"/>
          <w:b/>
          <w:color w:val="000000"/>
          <w:sz w:val="22"/>
          <w:szCs w:val="22"/>
        </w:rPr>
      </w:pPr>
      <w:bookmarkStart w:id="4" w:name="_heading=h.3dy6vkm" w:colFirst="0" w:colLast="0"/>
      <w:bookmarkEnd w:id="4"/>
      <w:r w:rsidRPr="006E69FF">
        <w:rPr>
          <w:rFonts w:ascii="Roboto" w:eastAsia="Arial" w:hAnsi="Roboto" w:cs="Arial"/>
          <w:b/>
          <w:color w:val="000000"/>
          <w:sz w:val="22"/>
          <w:szCs w:val="22"/>
        </w:rPr>
        <w:t>Utilisation du </w:t>
      </w:r>
      <w:bookmarkStart w:id="5" w:name="JVHIT_184"/>
      <w:bookmarkEnd w:id="5"/>
      <w:r w:rsidRPr="006E69FF">
        <w:rPr>
          <w:rFonts w:ascii="Roboto" w:eastAsia="Arial" w:hAnsi="Roboto" w:cs="Arial"/>
          <w:b/>
          <w:color w:val="000000"/>
          <w:sz w:val="22"/>
          <w:szCs w:val="22"/>
        </w:rPr>
        <w:t>compte </w:t>
      </w:r>
    </w:p>
    <w:p w14:paraId="7257E9B1" w14:textId="26F249BE"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Chaque salarié peut</w:t>
      </w:r>
      <w:r w:rsidR="000D15A8">
        <w:rPr>
          <w:rFonts w:ascii="Roboto" w:eastAsia="Arial" w:hAnsi="Roboto" w:cs="Arial"/>
          <w:bCs/>
          <w:color w:val="000000"/>
          <w:sz w:val="22"/>
          <w:szCs w:val="22"/>
        </w:rPr>
        <w:t xml:space="preserve"> notamment</w:t>
      </w:r>
      <w:r w:rsidRPr="006E69FF">
        <w:rPr>
          <w:rFonts w:ascii="Roboto" w:eastAsia="Arial" w:hAnsi="Roboto" w:cs="Arial"/>
          <w:bCs/>
          <w:color w:val="000000"/>
          <w:sz w:val="22"/>
          <w:szCs w:val="22"/>
        </w:rPr>
        <w:t xml:space="preserve"> utiliser les droits </w:t>
      </w:r>
      <w:bookmarkStart w:id="6" w:name="JVHIT_188"/>
      <w:bookmarkEnd w:id="6"/>
      <w:r w:rsidRPr="006E69FF">
        <w:rPr>
          <w:rFonts w:ascii="Roboto" w:eastAsia="Arial" w:hAnsi="Roboto" w:cs="Arial"/>
          <w:bCs/>
          <w:color w:val="000000"/>
          <w:sz w:val="22"/>
          <w:szCs w:val="22"/>
        </w:rPr>
        <w:t>épargnés pour financer toute ou partie des congés ou des périodes de </w:t>
      </w:r>
      <w:bookmarkStart w:id="7" w:name="JVHIT_189"/>
      <w:bookmarkEnd w:id="7"/>
      <w:r w:rsidRPr="006E69FF">
        <w:rPr>
          <w:rFonts w:ascii="Roboto" w:eastAsia="Arial" w:hAnsi="Roboto" w:cs="Arial"/>
          <w:bCs/>
          <w:color w:val="000000"/>
          <w:sz w:val="22"/>
          <w:szCs w:val="22"/>
        </w:rPr>
        <w:t>temps partiel suivants : </w:t>
      </w:r>
    </w:p>
    <w:p w14:paraId="31AD2F53"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sans solde ou passage à </w:t>
      </w:r>
      <w:bookmarkStart w:id="8" w:name="JVHIT_193"/>
      <w:bookmarkEnd w:id="8"/>
      <w:r w:rsidRPr="006E69FF">
        <w:rPr>
          <w:rFonts w:ascii="Roboto" w:eastAsia="Arial" w:hAnsi="Roboto" w:cs="Arial"/>
          <w:bCs/>
          <w:color w:val="000000"/>
          <w:sz w:val="22"/>
          <w:szCs w:val="22"/>
        </w:rPr>
        <w:t>temps partiel pour convenances personnelles ;</w:t>
      </w:r>
    </w:p>
    <w:p w14:paraId="5BFD5F17"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de longue durée ;</w:t>
      </w:r>
    </w:p>
    <w:p w14:paraId="2235CA54"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familial (congé parental d'éducation, congé de proche aidant, congé de solidarité familiale, congé de présence parentale, congé pour enfant malade, …) ;</w:t>
      </w:r>
    </w:p>
    <w:p w14:paraId="049FAB3F"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Le salarié peut également utiliser ses droits </w:t>
      </w:r>
      <w:bookmarkStart w:id="9" w:name="JVHIT_195"/>
      <w:bookmarkEnd w:id="9"/>
      <w:r w:rsidRPr="006E69FF">
        <w:rPr>
          <w:rFonts w:ascii="Roboto" w:eastAsia="Arial" w:hAnsi="Roboto" w:cs="Arial"/>
          <w:bCs/>
          <w:color w:val="000000"/>
          <w:sz w:val="22"/>
          <w:szCs w:val="22"/>
        </w:rPr>
        <w:t>épargnés pour faire des dons de jours de congés à un autre salarié de l'entreprise :</w:t>
      </w:r>
    </w:p>
    <w:p w14:paraId="7C79423C"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qui assume la charge d'un enfant âgé de moins de 20 ans atteint d'une maladie, d'un handicap ou victime d'un accident d'une particulière gravité rendant indispensables une présence soutenue et des soins contraignants ;</w:t>
      </w:r>
    </w:p>
    <w:p w14:paraId="52EEFA65" w14:textId="77777777" w:rsidR="00A57775"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ayant souscrit un engagement à servir dans la réserve opérationnelle pour lui permettre d'effectuer une période d'activité dans la réserve opérationnelle.</w:t>
      </w:r>
    </w:p>
    <w:p w14:paraId="5233B3D8" w14:textId="77777777" w:rsidR="004101DC" w:rsidRPr="006E69FF" w:rsidRDefault="004101DC" w:rsidP="00A57775">
      <w:pPr>
        <w:jc w:val="both"/>
        <w:rPr>
          <w:rFonts w:ascii="Roboto" w:eastAsia="Arial" w:hAnsi="Roboto" w:cs="Arial"/>
          <w:bCs/>
          <w:color w:val="000000"/>
          <w:sz w:val="22"/>
          <w:szCs w:val="22"/>
        </w:rPr>
      </w:pPr>
    </w:p>
    <w:p w14:paraId="3508E59C"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bCs/>
          <w:color w:val="000000"/>
          <w:sz w:val="22"/>
          <w:szCs w:val="22"/>
        </w:rPr>
        <w:t xml:space="preserve">La prise de ces congés doit se faire </w:t>
      </w:r>
      <w:r w:rsidRPr="006E69FF">
        <w:rPr>
          <w:rFonts w:ascii="Roboto" w:eastAsia="Arial" w:hAnsi="Roboto" w:cs="Arial"/>
          <w:sz w:val="22"/>
          <w:szCs w:val="22"/>
        </w:rPr>
        <w:t>avec l'accord de sa hiérarchie et dans le respect des règles applicables dans l'entreprise pour la prise des congés.</w:t>
      </w:r>
    </w:p>
    <w:p w14:paraId="315D613F" w14:textId="77777777" w:rsidR="00A57775" w:rsidRPr="006E69FF" w:rsidRDefault="00A57775" w:rsidP="00A57775">
      <w:pPr>
        <w:jc w:val="both"/>
        <w:rPr>
          <w:rFonts w:ascii="Roboto" w:eastAsia="Arial" w:hAnsi="Roboto" w:cs="Arial"/>
          <w:bCs/>
          <w:color w:val="000000"/>
          <w:sz w:val="22"/>
          <w:szCs w:val="22"/>
        </w:rPr>
      </w:pPr>
    </w:p>
    <w:p w14:paraId="666883FA"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Cessation et transfert du compte</w:t>
      </w:r>
    </w:p>
    <w:p w14:paraId="529C02B5" w14:textId="77777777" w:rsidR="00A57775" w:rsidRDefault="00A57775" w:rsidP="00A57775">
      <w:pPr>
        <w:jc w:val="both"/>
        <w:rPr>
          <w:rFonts w:ascii="Roboto" w:eastAsia="Arial" w:hAnsi="Roboto" w:cs="Arial"/>
          <w:sz w:val="22"/>
          <w:szCs w:val="22"/>
        </w:rPr>
      </w:pPr>
      <w:bookmarkStart w:id="10" w:name="_heading=h.1t3h5sf" w:colFirst="0" w:colLast="0"/>
      <w:bookmarkEnd w:id="10"/>
      <w:r w:rsidRPr="006E69FF">
        <w:rPr>
          <w:rFonts w:ascii="Roboto" w:eastAsia="Arial" w:hAnsi="Roboto" w:cs="Arial"/>
          <w:sz w:val="22"/>
          <w:szCs w:val="22"/>
        </w:rPr>
        <w:t>Le compte épargne-temps est clôturé en cas de rupture du contrat de travail, quel qu'en soit le motif, sauf en cas de transfert.</w:t>
      </w:r>
    </w:p>
    <w:p w14:paraId="7651EBD0" w14:textId="77777777" w:rsidR="004101DC" w:rsidRPr="006E69FF" w:rsidRDefault="004101DC" w:rsidP="00A57775">
      <w:pPr>
        <w:jc w:val="both"/>
        <w:rPr>
          <w:rFonts w:ascii="Roboto" w:eastAsia="Arial" w:hAnsi="Roboto" w:cs="Arial"/>
          <w:sz w:val="22"/>
          <w:szCs w:val="22"/>
        </w:rPr>
      </w:pPr>
    </w:p>
    <w:p w14:paraId="4620C16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3D20A1B2" w14:textId="77777777" w:rsidR="004101DC" w:rsidRPr="006E69FF" w:rsidRDefault="004101DC" w:rsidP="00A57775">
      <w:pPr>
        <w:jc w:val="both"/>
        <w:rPr>
          <w:rFonts w:ascii="Roboto" w:eastAsia="Arial" w:hAnsi="Roboto" w:cs="Arial"/>
          <w:sz w:val="22"/>
          <w:szCs w:val="22"/>
        </w:rPr>
      </w:pPr>
    </w:p>
    <w:p w14:paraId="71A78818"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En cas de décès du salarié, les droits épargnés sur le compte épargne-temps sont versés aux ayants droits du salarié décédé.</w:t>
      </w:r>
    </w:p>
    <w:p w14:paraId="431CE31A"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En cas de mobilité du salarié à l'intérieur du groupe, le compte épargne-temps est transféré à sa demande dans l'entreprise d'accueil, également pourvue d'un dispositif de compte épargne-temps.</w:t>
      </w:r>
    </w:p>
    <w:p w14:paraId="077FC435" w14:textId="77777777" w:rsidR="004101DC" w:rsidRPr="006E69FF" w:rsidRDefault="004101DC" w:rsidP="00A57775">
      <w:pPr>
        <w:jc w:val="both"/>
        <w:rPr>
          <w:rFonts w:ascii="Roboto" w:eastAsia="Arial" w:hAnsi="Roboto" w:cs="Arial"/>
          <w:sz w:val="22"/>
          <w:szCs w:val="22"/>
        </w:rPr>
      </w:pPr>
    </w:p>
    <w:p w14:paraId="464122F4"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La valorisation des droits est réalisée à la date du changement.</w:t>
      </w:r>
    </w:p>
    <w:p w14:paraId="75A3687D" w14:textId="77777777" w:rsidR="004101DC" w:rsidRPr="006E69FF" w:rsidRDefault="004101DC" w:rsidP="00A57775">
      <w:pPr>
        <w:jc w:val="both"/>
        <w:rPr>
          <w:rFonts w:ascii="Roboto" w:eastAsia="Arial" w:hAnsi="Roboto" w:cs="Arial"/>
          <w:sz w:val="22"/>
          <w:szCs w:val="22"/>
        </w:rPr>
      </w:pPr>
    </w:p>
    <w:p w14:paraId="4BE6C18F" w14:textId="77777777" w:rsidR="00A57775" w:rsidRPr="006E69FF" w:rsidRDefault="00A57775" w:rsidP="00A57775">
      <w:pPr>
        <w:pStyle w:val="Titre2"/>
        <w:rPr>
          <w:rFonts w:ascii="Roboto" w:eastAsia="Arial" w:hAnsi="Roboto"/>
          <w:b w:val="0"/>
          <w:color w:val="000000"/>
          <w:szCs w:val="22"/>
        </w:rPr>
      </w:pPr>
      <w:bookmarkStart w:id="11" w:name="_heading=h.35nkun2" w:colFirst="0" w:colLast="0"/>
      <w:bookmarkEnd w:id="11"/>
      <w:r w:rsidRPr="006E69FF">
        <w:rPr>
          <w:rFonts w:ascii="Roboto" w:eastAsia="Arial" w:hAnsi="Roboto"/>
          <w:color w:val="000000"/>
          <w:szCs w:val="22"/>
        </w:rPr>
        <w:t>Date d’application et durée de l’accord</w:t>
      </w:r>
    </w:p>
    <w:p w14:paraId="2E70F8B8" w14:textId="1A7F26A4" w:rsidR="004D27FD" w:rsidRDefault="00A57775" w:rsidP="00A57775">
      <w:pPr>
        <w:jc w:val="both"/>
        <w:rPr>
          <w:rFonts w:ascii="Roboto" w:eastAsia="Arial" w:hAnsi="Roboto" w:cs="Arial"/>
          <w:sz w:val="22"/>
          <w:szCs w:val="22"/>
        </w:rPr>
      </w:pPr>
      <w:r w:rsidRPr="006E69FF">
        <w:rPr>
          <w:rFonts w:ascii="Roboto" w:eastAsia="Arial" w:hAnsi="Roboto" w:cs="Arial"/>
          <w:sz w:val="22"/>
          <w:szCs w:val="22"/>
        </w:rPr>
        <w:t>Cet accord est conclu pour une durée indéterminée</w:t>
      </w:r>
      <w:r w:rsidR="004D27FD">
        <w:rPr>
          <w:rFonts w:ascii="Roboto" w:eastAsia="Arial" w:hAnsi="Roboto" w:cs="Arial"/>
          <w:sz w:val="22"/>
          <w:szCs w:val="22"/>
        </w:rPr>
        <w:t>.</w:t>
      </w:r>
      <w:r w:rsidR="0015109D">
        <w:rPr>
          <w:rFonts w:ascii="Roboto" w:eastAsia="Arial" w:hAnsi="Roboto" w:cs="Arial"/>
          <w:sz w:val="22"/>
          <w:szCs w:val="22"/>
        </w:rPr>
        <w:t xml:space="preserve"> </w:t>
      </w:r>
      <w:r w:rsidR="0015109D" w:rsidRPr="003E69E5">
        <w:rPr>
          <w:rFonts w:ascii="Roboto" w:hAnsi="Roboto" w:cs="Arial"/>
          <w:sz w:val="22"/>
          <w:szCs w:val="22"/>
        </w:rPr>
        <w:t>Les dispositions de l’Accord entrent en vigueur à compter du jour suivant l’approbation de ce dernier par la majorité des 2/3 des salariés</w:t>
      </w:r>
      <w:r w:rsidR="0015109D">
        <w:rPr>
          <w:rFonts w:ascii="Roboto" w:hAnsi="Roboto" w:cs="Arial"/>
          <w:sz w:val="22"/>
          <w:szCs w:val="22"/>
        </w:rPr>
        <w:t>.</w:t>
      </w:r>
    </w:p>
    <w:p w14:paraId="290B56EB" w14:textId="77777777" w:rsidR="00AB3EB5" w:rsidRDefault="00AB3EB5" w:rsidP="00A57775">
      <w:pPr>
        <w:jc w:val="both"/>
        <w:rPr>
          <w:rFonts w:ascii="Roboto" w:eastAsia="Arial" w:hAnsi="Roboto" w:cs="Arial"/>
          <w:sz w:val="22"/>
          <w:szCs w:val="22"/>
        </w:rPr>
      </w:pPr>
    </w:p>
    <w:p w14:paraId="7F1E7EB5" w14:textId="55B8AE80"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Des mesures transitoires peuvent être mises en place par note de service pour l’année de sa mise en place.</w:t>
      </w:r>
    </w:p>
    <w:p w14:paraId="5CCF6652" w14:textId="77777777" w:rsidR="00AB3EB5" w:rsidRPr="006E69FF" w:rsidRDefault="00AB3EB5" w:rsidP="00A57775">
      <w:pPr>
        <w:jc w:val="both"/>
        <w:rPr>
          <w:rFonts w:ascii="Roboto" w:eastAsia="Arial" w:hAnsi="Roboto" w:cs="Arial"/>
          <w:sz w:val="22"/>
          <w:szCs w:val="22"/>
        </w:rPr>
      </w:pPr>
    </w:p>
    <w:p w14:paraId="4FEFF23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Dénonciation et révision de l’accord</w:t>
      </w:r>
    </w:p>
    <w:p w14:paraId="432D248B"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450B25C1" w14:textId="77777777" w:rsidR="00AB3EB5" w:rsidRPr="006E69FF" w:rsidRDefault="00AB3EB5" w:rsidP="00A57775">
      <w:pPr>
        <w:jc w:val="both"/>
        <w:rPr>
          <w:rFonts w:ascii="Roboto" w:eastAsia="Arial" w:hAnsi="Roboto" w:cs="Arial"/>
          <w:sz w:val="22"/>
          <w:szCs w:val="22"/>
        </w:rPr>
      </w:pPr>
    </w:p>
    <w:p w14:paraId="35DFB12D"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La demande d’engagement de la procédure de révision est formulée par lettre recommandée avec accusé de réception ou lettre recommandée électronique, par lettre remise en main propre, ou par courriel.</w:t>
      </w:r>
    </w:p>
    <w:p w14:paraId="3A5C0167" w14:textId="77777777" w:rsidR="00AB3EB5" w:rsidRPr="006E69FF" w:rsidRDefault="00AB3EB5" w:rsidP="00A57775">
      <w:pPr>
        <w:jc w:val="both"/>
        <w:rPr>
          <w:rFonts w:ascii="Roboto" w:eastAsia="Arial" w:hAnsi="Roboto" w:cs="Arial"/>
          <w:sz w:val="22"/>
          <w:szCs w:val="22"/>
        </w:rPr>
      </w:pPr>
    </w:p>
    <w:p w14:paraId="21B6BF04" w14:textId="77777777" w:rsidR="00A57775" w:rsidRPr="006E69FF" w:rsidRDefault="00A57775" w:rsidP="00A57775">
      <w:pPr>
        <w:pStyle w:val="Titre2"/>
        <w:rPr>
          <w:rFonts w:ascii="Roboto" w:eastAsia="Arial" w:hAnsi="Roboto"/>
          <w:color w:val="2F5496"/>
          <w:szCs w:val="22"/>
        </w:rPr>
      </w:pPr>
      <w:r w:rsidRPr="006E69FF">
        <w:rPr>
          <w:rFonts w:ascii="Roboto" w:eastAsia="Arial" w:hAnsi="Roboto"/>
          <w:color w:val="000000"/>
          <w:szCs w:val="22"/>
        </w:rPr>
        <w:t xml:space="preserve">Publicité et dépôt </w:t>
      </w:r>
    </w:p>
    <w:p w14:paraId="689675B9" w14:textId="77777777"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L’Accord donnera lieu à dépôt dans les conditions prévues aux articles L.2231-5 et suivants, et D. 2231-1 et suivants du Code du travail, à savoir un dépôt sur la plateforme de téléprocédure du ministère du travail, et un exemplaire au greffe du conseil de prud'hommes du lieu de conclusion.</w:t>
      </w:r>
    </w:p>
    <w:p w14:paraId="6F2F3769" w14:textId="77777777" w:rsidR="00B919F1" w:rsidRPr="006E69FF" w:rsidRDefault="00B919F1" w:rsidP="00B919F1">
      <w:pPr>
        <w:widowControl w:val="0"/>
        <w:jc w:val="both"/>
        <w:rPr>
          <w:rFonts w:ascii="Roboto" w:hAnsi="Roboto" w:cs="Arial"/>
          <w:sz w:val="22"/>
          <w:szCs w:val="22"/>
        </w:rPr>
      </w:pPr>
    </w:p>
    <w:p w14:paraId="016DA4FE" w14:textId="77777777"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En outre, un exemplaire de l'Accord sera tenu à disposition de l’ensemble du personnel dans chaque établissement.</w:t>
      </w:r>
    </w:p>
    <w:p w14:paraId="5F985719" w14:textId="77777777" w:rsidR="00552DE2" w:rsidRPr="006E69FF" w:rsidRDefault="00552DE2" w:rsidP="00552DE2">
      <w:pPr>
        <w:widowControl w:val="0"/>
        <w:jc w:val="both"/>
        <w:rPr>
          <w:rFonts w:ascii="Roboto" w:hAnsi="Roboto" w:cs="Arial"/>
          <w:sz w:val="22"/>
          <w:szCs w:val="22"/>
        </w:rPr>
      </w:pPr>
    </w:p>
    <w:p w14:paraId="4F751135" w14:textId="77777777" w:rsidR="00274C76" w:rsidRPr="006E69FF" w:rsidRDefault="00274C76" w:rsidP="00CA5B7D">
      <w:pPr>
        <w:widowControl w:val="0"/>
        <w:jc w:val="both"/>
        <w:rPr>
          <w:rFonts w:ascii="Roboto" w:hAnsi="Roboto" w:cs="Arial"/>
          <w:sz w:val="22"/>
          <w:szCs w:val="22"/>
        </w:rPr>
      </w:pPr>
    </w:p>
    <w:p w14:paraId="0491E964" w14:textId="77777777" w:rsidR="00C02F11" w:rsidRPr="003E69E5" w:rsidRDefault="00C02F11" w:rsidP="00C02F11">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6CB3473D" w14:textId="77777777" w:rsidR="00C02F11" w:rsidRDefault="00C02F11" w:rsidP="00C02F11">
      <w:pPr>
        <w:widowControl w:val="0"/>
        <w:jc w:val="both"/>
        <w:rPr>
          <w:rFonts w:ascii="Roboto" w:hAnsi="Roboto" w:cs="Arial"/>
          <w:sz w:val="22"/>
          <w:szCs w:val="22"/>
        </w:rPr>
      </w:pPr>
      <w:r w:rsidRPr="003E69E5">
        <w:rPr>
          <w:rFonts w:ascii="Roboto" w:hAnsi="Roboto" w:cs="Arial"/>
          <w:sz w:val="22"/>
          <w:szCs w:val="22"/>
        </w:rPr>
        <w:t>En 3 exemplaires originaux,</w:t>
      </w:r>
    </w:p>
    <w:p w14:paraId="34C0EBEB" w14:textId="77777777" w:rsidR="00C02F11" w:rsidRDefault="00C02F11" w:rsidP="00C02F11">
      <w:pPr>
        <w:widowControl w:val="0"/>
        <w:jc w:val="both"/>
        <w:rPr>
          <w:rFonts w:ascii="Roboto" w:hAnsi="Roboto" w:cs="Arial"/>
          <w:sz w:val="22"/>
          <w:szCs w:val="22"/>
        </w:rPr>
      </w:pPr>
    </w:p>
    <w:p w14:paraId="68275A7B" w14:textId="4F313B61" w:rsidR="00C02F11" w:rsidRDefault="00705272" w:rsidP="00C02F11">
      <w:pPr>
        <w:widowControl w:val="0"/>
        <w:tabs>
          <w:tab w:val="left" w:pos="5245"/>
        </w:tabs>
        <w:jc w:val="both"/>
        <w:rPr>
          <w:rFonts w:ascii="Roboto" w:hAnsi="Roboto" w:cs="Arial"/>
          <w:sz w:val="22"/>
          <w:szCs w:val="22"/>
        </w:rPr>
      </w:pPr>
      <w:r>
        <w:rPr>
          <w:rFonts w:ascii="Roboto" w:hAnsi="Roboto" w:cs="Arial"/>
          <w:b/>
          <w:sz w:val="22"/>
          <w:szCs w:val="22"/>
        </w:rPr>
        <w:t>___________</w:t>
      </w:r>
      <w:r w:rsidR="00C02F11">
        <w:rPr>
          <w:rFonts w:ascii="Roboto" w:hAnsi="Roboto" w:cs="Arial"/>
          <w:sz w:val="22"/>
          <w:szCs w:val="22"/>
        </w:rPr>
        <w:tab/>
      </w:r>
    </w:p>
    <w:p w14:paraId="48C6FECB" w14:textId="77777777" w:rsidR="00C02F11" w:rsidRPr="004005F6" w:rsidRDefault="00C02F11" w:rsidP="00C02F11">
      <w:pPr>
        <w:widowControl w:val="0"/>
        <w:jc w:val="both"/>
        <w:rPr>
          <w:rFonts w:ascii="Roboto" w:hAnsi="Roboto" w:cs="Arial"/>
          <w:sz w:val="22"/>
          <w:szCs w:val="22"/>
        </w:rPr>
      </w:pPr>
      <w:r>
        <w:rPr>
          <w:rFonts w:ascii="Roboto" w:hAnsi="Roboto" w:cs="Arial"/>
          <w:sz w:val="22"/>
          <w:szCs w:val="22"/>
        </w:rPr>
        <w:t>Gérante</w:t>
      </w:r>
    </w:p>
    <w:p w14:paraId="1B135A74" w14:textId="53F105D4" w:rsidR="00CA5B7D" w:rsidRPr="006E69FF" w:rsidRDefault="00CA5B7D" w:rsidP="00CA5B7D">
      <w:pPr>
        <w:widowControl w:val="0"/>
        <w:jc w:val="both"/>
        <w:rPr>
          <w:rFonts w:ascii="Roboto" w:hAnsi="Roboto" w:cs="Arial"/>
          <w:sz w:val="22"/>
          <w:szCs w:val="22"/>
        </w:rPr>
      </w:pPr>
    </w:p>
    <w:p w14:paraId="5081C358" w14:textId="77777777" w:rsidR="00ED7B14" w:rsidRPr="006E69FF" w:rsidRDefault="00ED7B14" w:rsidP="00CA5B7D">
      <w:pPr>
        <w:widowControl w:val="0"/>
        <w:jc w:val="both"/>
        <w:rPr>
          <w:rFonts w:ascii="Roboto" w:hAnsi="Roboto" w:cs="Arial"/>
          <w:sz w:val="22"/>
          <w:szCs w:val="22"/>
        </w:rPr>
      </w:pPr>
    </w:p>
    <w:p w14:paraId="1D2FF172" w14:textId="77777777" w:rsidR="00ED7B14" w:rsidRPr="006E69FF" w:rsidRDefault="00ED7B14" w:rsidP="00CA5B7D">
      <w:pPr>
        <w:widowControl w:val="0"/>
        <w:jc w:val="both"/>
        <w:rPr>
          <w:rFonts w:ascii="Roboto" w:hAnsi="Roboto" w:cs="Arial"/>
          <w:sz w:val="22"/>
          <w:szCs w:val="22"/>
        </w:rPr>
      </w:pPr>
    </w:p>
    <w:p w14:paraId="443EA288" w14:textId="0DB5C76E" w:rsidR="00293584" w:rsidRPr="006E69FF" w:rsidRDefault="00293584" w:rsidP="00681781">
      <w:pPr>
        <w:widowControl w:val="0"/>
        <w:jc w:val="center"/>
        <w:rPr>
          <w:rFonts w:ascii="Roboto" w:hAnsi="Roboto" w:cs="Tahoma"/>
          <w:spacing w:val="4"/>
          <w:sz w:val="22"/>
          <w:szCs w:val="22"/>
        </w:rPr>
      </w:pPr>
    </w:p>
    <w:sectPr w:rsidR="00293584" w:rsidRPr="006E69FF">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7638" w14:textId="77777777" w:rsidR="00514EF2" w:rsidRDefault="00514EF2">
      <w:r>
        <w:separator/>
      </w:r>
    </w:p>
  </w:endnote>
  <w:endnote w:type="continuationSeparator" w:id="0">
    <w:p w14:paraId="23655472" w14:textId="77777777" w:rsidR="00514EF2" w:rsidRDefault="0051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DCB0" w14:textId="77777777" w:rsidR="00514EF2" w:rsidRDefault="00514EF2">
      <w:r>
        <w:separator/>
      </w:r>
    </w:p>
  </w:footnote>
  <w:footnote w:type="continuationSeparator" w:id="0">
    <w:p w14:paraId="64CAD2B1" w14:textId="77777777" w:rsidR="00514EF2" w:rsidRDefault="0051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705272">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705272">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8"/>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39"/>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3065B"/>
    <w:rsid w:val="000318F1"/>
    <w:rsid w:val="000319BC"/>
    <w:rsid w:val="000347C1"/>
    <w:rsid w:val="00040306"/>
    <w:rsid w:val="00040856"/>
    <w:rsid w:val="00044116"/>
    <w:rsid w:val="00047361"/>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721AF"/>
    <w:rsid w:val="00493E98"/>
    <w:rsid w:val="004955BD"/>
    <w:rsid w:val="004A4130"/>
    <w:rsid w:val="004B15F1"/>
    <w:rsid w:val="004B1CEB"/>
    <w:rsid w:val="004B39A9"/>
    <w:rsid w:val="004B51A8"/>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AE"/>
    <w:rsid w:val="005830EF"/>
    <w:rsid w:val="0058386B"/>
    <w:rsid w:val="00590D1D"/>
    <w:rsid w:val="00594B7E"/>
    <w:rsid w:val="00595A67"/>
    <w:rsid w:val="005A07F9"/>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05272"/>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40C3"/>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57775"/>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C6BEE"/>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2F11"/>
    <w:rsid w:val="00C05C38"/>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625F"/>
    <w:rsid w:val="00ED669E"/>
    <w:rsid w:val="00ED7B14"/>
    <w:rsid w:val="00EE2212"/>
    <w:rsid w:val="00EE3B53"/>
    <w:rsid w:val="00EE46D4"/>
    <w:rsid w:val="00EE4988"/>
    <w:rsid w:val="00EE5CE2"/>
    <w:rsid w:val="00EE6A20"/>
    <w:rsid w:val="00EF37CB"/>
    <w:rsid w:val="00EF7D19"/>
    <w:rsid w:val="00F00F53"/>
    <w:rsid w:val="00F01D4C"/>
    <w:rsid w:val="00F03405"/>
    <w:rsid w:val="00F0544A"/>
    <w:rsid w:val="00F06533"/>
    <w:rsid w:val="00F14BD1"/>
    <w:rsid w:val="00F212BB"/>
    <w:rsid w:val="00F2598A"/>
    <w:rsid w:val="00F26739"/>
    <w:rsid w:val="00F27711"/>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Props1.xml><?xml version="1.0" encoding="utf-8"?>
<ds:datastoreItem xmlns:ds="http://schemas.openxmlformats.org/officeDocument/2006/customXml" ds:itemID="{D77231DF-8F8A-4D99-B12D-18CF4FA4E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customXml/itemProps3.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4.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Pages>
  <Words>1146</Words>
  <Characters>6084</Characters>
  <Application>Microsoft Office Word</Application>
  <DocSecurity>0</DocSecurity>
  <Lines>50</Lines>
  <Paragraphs>14</Paragraphs>
  <ScaleCrop>false</ScaleCrop>
  <Company>Microsoft</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98</cp:revision>
  <cp:lastPrinted>2025-11-10T16:45:00Z</cp:lastPrinted>
  <dcterms:created xsi:type="dcterms:W3CDTF">2025-10-06T14:06:00Z</dcterms:created>
  <dcterms:modified xsi:type="dcterms:W3CDTF">2025-12-12T12:12:00Z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