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customXml/itemProps1.xml" ContentType="application/vnd.openxmlformats-officedocument.customXmlPropertie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docProps/custom.xml" ContentType="application/vnd.openxmlformats-officedocument.custom-propertie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74637299" w14:textId="77777777">
      <w:pPr>
        <w:pBdr/>
        <w:spacing/>
        <w:ind/>
        <w:jc w:val="both"/>
        <w:rPr>
          <w:rFonts w:ascii="Calibri" w:hAnsi="Calibri" w:cs="Calibri"/>
          <w:b/>
          <w:bCs/>
        </w:rPr>
      </w:pPr>
      <w:r>
        <w:rPr>
          <w:rFonts w:ascii="Calibri" w:hAnsi="Calibri" w:cs="Calibri"/>
          <w:b/>
          <w:bCs/>
        </w:rPr>
      </w:r>
      <w:r>
        <w:rPr>
          <w:rFonts w:ascii="Calibri" w:hAnsi="Calibri" w:cs="Calibri"/>
          <w:b/>
          <w:bCs/>
        </w:rPr>
      </w:r>
      <w:r>
        <w:rPr>
          <w:rFonts w:ascii="Calibri" w:hAnsi="Calibri" w:cs="Calibri"/>
          <w:b/>
          <w:bCs/>
        </w:rPr>
      </w:r>
    </w:p>
    <w:p w14:paraId="26304DF8" w14:textId="77777777">
      <w:pPr>
        <w:pBdr>
          <w:top w:val="single" w:color="000000" w:sz="4" w:space="1"/>
          <w:left w:val="single" w:color="000000" w:sz="4" w:space="4"/>
          <w:bottom w:val="single" w:color="000000" w:sz="4" w:space="1"/>
          <w:right w:val="single" w:color="000000" w:sz="4" w:space="4"/>
        </w:pBdr>
        <w:spacing/>
        <w:ind/>
        <w:jc w:val="center"/>
        <w:rPr>
          <w:rFonts w:ascii="Calibri" w:hAnsi="Calibri" w:cs="Calibri"/>
          <w:b/>
          <w:bCs/>
        </w:rPr>
      </w:pPr>
      <w:r>
        <w:rPr>
          <w:rFonts w:ascii="Calibri" w:hAnsi="Calibri" w:cs="Calibri"/>
          <w:b/>
          <w:bCs/>
        </w:rPr>
        <w:t xml:space="preserve">ACCORD PORTANT SUR</w:t>
      </w:r>
      <w:r>
        <w:rPr>
          <w:rFonts w:ascii="Calibri" w:hAnsi="Calibri" w:cs="Calibri"/>
          <w:b/>
          <w:bCs/>
        </w:rPr>
      </w:r>
      <w:r>
        <w:rPr>
          <w:rFonts w:ascii="Calibri" w:hAnsi="Calibri" w:cs="Calibri"/>
          <w:b/>
          <w:bCs/>
        </w:rPr>
      </w:r>
    </w:p>
    <w:p w14:paraId="262BFCA3" w14:textId="77777777">
      <w:pPr>
        <w:pBdr>
          <w:top w:val="single" w:color="000000" w:sz="4" w:space="1"/>
          <w:left w:val="single" w:color="000000" w:sz="4" w:space="4"/>
          <w:bottom w:val="single" w:color="000000" w:sz="4" w:space="1"/>
          <w:right w:val="single" w:color="000000" w:sz="4" w:space="4"/>
        </w:pBdr>
        <w:spacing/>
        <w:ind/>
        <w:jc w:val="center"/>
        <w:rPr>
          <w:rFonts w:ascii="Calibri" w:hAnsi="Calibri" w:cs="Calibri"/>
          <w:b/>
          <w:bCs/>
        </w:rPr>
      </w:pPr>
      <w:r>
        <w:rPr>
          <w:rFonts w:ascii="Calibri" w:hAnsi="Calibri" w:cs="Calibri"/>
          <w:b/>
          <w:bCs/>
        </w:rPr>
        <w:t xml:space="preserve">LA DUREE ET L’AMENAGEMENT</w:t>
      </w:r>
      <w:r>
        <w:rPr>
          <w:rFonts w:ascii="Calibri" w:hAnsi="Calibri" w:cs="Calibri"/>
          <w:b/>
          <w:bCs/>
        </w:rPr>
      </w:r>
      <w:r>
        <w:rPr>
          <w:rFonts w:ascii="Calibri" w:hAnsi="Calibri" w:cs="Calibri"/>
          <w:b/>
          <w:bCs/>
        </w:rPr>
      </w:r>
    </w:p>
    <w:p w14:paraId="0087AF04" w14:textId="77777777">
      <w:pPr>
        <w:pBdr>
          <w:top w:val="single" w:color="000000" w:sz="4" w:space="1"/>
          <w:left w:val="single" w:color="000000" w:sz="4" w:space="4"/>
          <w:bottom w:val="single" w:color="000000" w:sz="4" w:space="1"/>
          <w:right w:val="single" w:color="000000" w:sz="4" w:space="4"/>
        </w:pBdr>
        <w:spacing/>
        <w:ind/>
        <w:jc w:val="center"/>
        <w:rPr>
          <w:rFonts w:ascii="Calibri" w:hAnsi="Calibri" w:cs="Calibri"/>
          <w:b/>
          <w:bCs/>
          <w:u w:val="single"/>
        </w:rPr>
      </w:pPr>
      <w:r>
        <w:rPr>
          <w:rFonts w:ascii="Calibri" w:hAnsi="Calibri" w:cs="Calibri"/>
          <w:b/>
          <w:bCs/>
        </w:rPr>
        <w:t xml:space="preserve">DU TEMPS DE TRAVAIL</w:t>
      </w:r>
      <w:r>
        <w:rPr>
          <w:rFonts w:ascii="Calibri" w:hAnsi="Calibri" w:cs="Calibri"/>
          <w:b/>
          <w:bCs/>
          <w:u w:val="single"/>
        </w:rPr>
      </w:r>
      <w:r>
        <w:rPr>
          <w:rFonts w:ascii="Calibri" w:hAnsi="Calibri" w:cs="Calibri"/>
          <w:b/>
          <w:bCs/>
          <w:u w:val="single"/>
        </w:rPr>
      </w:r>
    </w:p>
    <w:p w14:paraId="7015CD9A" w14:textId="77777777">
      <w:pPr>
        <w:pBdr/>
        <w:spacing/>
        <w:ind/>
        <w:rPr>
          <w:rFonts w:ascii="Calibri" w:hAnsi="Calibri" w:cs="Calibri"/>
        </w:rPr>
      </w:pPr>
      <w:r>
        <w:rPr>
          <w:rFonts w:ascii="Calibri" w:hAnsi="Calibri" w:cs="Calibri"/>
        </w:rPr>
      </w:r>
      <w:r>
        <w:rPr>
          <w:rFonts w:ascii="Calibri" w:hAnsi="Calibri" w:cs="Calibri"/>
        </w:rPr>
      </w:r>
      <w:r>
        <w:rPr>
          <w:rFonts w:ascii="Calibri" w:hAnsi="Calibri" w:cs="Calibri"/>
        </w:rPr>
      </w:r>
    </w:p>
    <w:p w14:paraId="742E28B6">
      <w:pPr>
        <w:pBdr/>
        <w:spacing/>
        <w:ind/>
        <w:rPr/>
      </w:pPr>
      <w:r/>
      <w:r/>
    </w:p>
    <w:p w14:paraId="28300D81" w14:textId="5FDEA4E1">
      <w:pPr>
        <w:pBdr/>
        <w:spacing/>
        <w:ind/>
        <w:rPr>
          <w:rFonts w:ascii="Calibri" w:hAnsi="Calibri" w:cs="Calibri"/>
        </w:rPr>
      </w:pPr>
      <w:r>
        <w:rPr>
          <w:rFonts w:ascii="Calibri" w:hAnsi="Calibri" w:cs="Calibri"/>
          <w:b/>
          <w:bCs/>
          <w:u w:val="single"/>
        </w:rPr>
      </w:r>
      <w:r>
        <w:rPr>
          <w:rFonts w:ascii="Calibri" w:hAnsi="Calibri" w:cs="Calibri"/>
          <w:b/>
          <w:bCs/>
          <w:u w:val="single"/>
        </w:rPr>
        <w:t xml:space="preserve">ENTRE</w:t>
      </w:r>
      <w:r>
        <w:rPr>
          <w:rFonts w:ascii="Calibri" w:hAnsi="Calibri" w:cs="Calibri"/>
        </w:rPr>
        <w:t xml:space="preserve"> :</w:t>
      </w:r>
      <w:r>
        <w:rPr>
          <w:rFonts w:ascii="Calibri" w:hAnsi="Calibri" w:cs="Calibri"/>
        </w:rPr>
      </w:r>
      <w:r>
        <w:rPr>
          <w:rFonts w:ascii="Calibri" w:hAnsi="Calibri" w:cs="Calibri"/>
        </w:rPr>
      </w:r>
    </w:p>
    <w:p w14:paraId="7187D50B" w14:textId="26FC144F">
      <w:pPr>
        <w:pBdr/>
        <w:spacing/>
        <w:ind/>
        <w:rPr>
          <w:rFonts w:ascii="Calibri" w:hAnsi="Calibri" w:cs="Calibri"/>
          <w14:ligatures w14:val="none"/>
        </w:rPr>
      </w:pPr>
      <w:r>
        <w:rPr>
          <w:rFonts w:ascii="Calibri" w:hAnsi="Calibri" w:cs="Calibri"/>
        </w:rPr>
      </w:r>
      <w:r>
        <w:rPr>
          <w:rFonts w:ascii="Calibri" w:hAnsi="Calibri" w:cs="Calibri"/>
        </w:rPr>
        <w:t xml:space="preserve">La société, située [adresse], immatriculée au RCS sous le numéro […], représentée par son représentant légal,</w:t>
      </w:r>
      <w:r>
        <w:rPr>
          <w:rFonts w:ascii="Calibri" w:hAnsi="Calibri" w:cs="Calibri"/>
          <w14:ligatures w14:val="none"/>
        </w:rPr>
      </w:r>
      <w:r>
        <w:rPr>
          <w:rFonts w:ascii="Calibri" w:hAnsi="Calibri" w:cs="Calibri"/>
          <w14:ligatures w14:val="none"/>
        </w:rPr>
      </w:r>
    </w:p>
    <w:p w14:paraId="0304EC74" w14:textId="77777777">
      <w:pPr>
        <w:pBdr/>
        <w:spacing/>
        <w:ind/>
        <w:rPr>
          <w:rFonts w:ascii="Calibri" w:hAnsi="Calibri" w:cs="Calibri"/>
        </w:rPr>
      </w:pPr>
      <w:r>
        <w:rPr>
          <w:rFonts w:ascii="Calibri" w:hAnsi="Calibri" w:cs="Calibri"/>
        </w:rPr>
        <w:t xml:space="preserve">Ci-après désignée « l’entreprise » ou « la Société »</w:t>
      </w:r>
      <w:r>
        <w:rPr>
          <w:rFonts w:ascii="Calibri" w:hAnsi="Calibri" w:cs="Calibri"/>
        </w:rPr>
      </w:r>
      <w:r>
        <w:rPr>
          <w:rFonts w:ascii="Calibri" w:hAnsi="Calibri" w:cs="Calibri"/>
        </w:rPr>
      </w:r>
    </w:p>
    <w:p w14:paraId="63CED7AE">
      <w:pPr>
        <w:pBdr/>
        <w:spacing/>
        <w:ind/>
        <w:rPr/>
      </w:pPr>
      <w:r/>
      <w:r/>
    </w:p>
    <w:p w14:paraId="6EEFCF84" w14:textId="77777777">
      <w:pPr>
        <w:pBdr/>
        <w:spacing/>
        <w:ind/>
        <w:rPr>
          <w:rFonts w:ascii="Calibri" w:hAnsi="Calibri" w:cs="Calibri"/>
        </w:rPr>
      </w:pPr>
      <w:r>
        <w:rPr>
          <w:rFonts w:ascii="Calibri" w:hAnsi="Calibri" w:cs="Calibri"/>
        </w:rPr>
      </w:r>
      <w:r>
        <w:rPr>
          <w:rFonts w:ascii="Calibri" w:hAnsi="Calibri" w:cs="Calibri"/>
        </w:rPr>
      </w:r>
      <w:r>
        <w:rPr>
          <w:rFonts w:ascii="Calibri" w:hAnsi="Calibri" w:cs="Calibri"/>
        </w:rPr>
      </w:r>
    </w:p>
    <w:p w14:paraId="00F8EFB3" w14:textId="77777777">
      <w:pPr>
        <w:pBdr/>
        <w:spacing/>
        <w:ind/>
        <w:jc w:val="right"/>
        <w:rPr>
          <w:rFonts w:ascii="Calibri" w:hAnsi="Calibri" w:cs="Calibri"/>
          <w:b/>
          <w:bCs/>
          <w:u w:val="single"/>
        </w:rPr>
      </w:pPr>
      <w:r>
        <w:rPr>
          <w:rFonts w:ascii="Calibri" w:hAnsi="Calibri" w:cs="Calibri"/>
          <w:b/>
          <w:bCs/>
          <w:u w:val="single"/>
        </w:rPr>
        <w:t xml:space="preserve">D’une part,</w:t>
      </w:r>
      <w:r>
        <w:rPr>
          <w:rFonts w:ascii="Calibri" w:hAnsi="Calibri" w:cs="Calibri"/>
          <w:b/>
          <w:bCs/>
          <w:u w:val="single"/>
        </w:rPr>
      </w:r>
      <w:r>
        <w:rPr>
          <w:rFonts w:ascii="Calibri" w:hAnsi="Calibri" w:cs="Calibri"/>
          <w:b/>
          <w:bCs/>
          <w:u w:val="single"/>
        </w:rPr>
      </w:r>
    </w:p>
    <w:p w14:paraId="69104A11" w14:textId="77777777">
      <w:pPr>
        <w:pBdr/>
        <w:spacing/>
        <w:ind/>
        <w:rPr>
          <w:rFonts w:ascii="Calibri" w:hAnsi="Calibri" w:cs="Calibri"/>
        </w:rPr>
      </w:pPr>
      <w:r>
        <w:rPr>
          <w:rFonts w:ascii="Calibri" w:hAnsi="Calibri" w:cs="Calibri"/>
        </w:rPr>
      </w:r>
      <w:r>
        <w:rPr>
          <w:rFonts w:ascii="Calibri" w:hAnsi="Calibri" w:cs="Calibri"/>
        </w:rPr>
      </w:r>
      <w:r>
        <w:rPr>
          <w:rFonts w:ascii="Calibri" w:hAnsi="Calibri" w:cs="Calibri"/>
        </w:rPr>
      </w:r>
    </w:p>
    <w:p w14:paraId="7554E625" w14:textId="69D49E21">
      <w:pPr>
        <w:pBdr/>
        <w:spacing/>
        <w:ind/>
        <w:rPr>
          <w:rFonts w:ascii="Calibri" w:hAnsi="Calibri" w:cs="Calibri"/>
          <w:b/>
          <w:bCs/>
          <w:u w:val="single"/>
        </w:rPr>
      </w:pPr>
      <w:r>
        <w:rPr>
          <w:rFonts w:ascii="Calibri" w:hAnsi="Calibri" w:cs="Calibri"/>
          <w:b/>
          <w:bCs/>
          <w:u w:val="single"/>
        </w:rPr>
        <w:t xml:space="preserve">ET</w:t>
      </w:r>
      <w:r>
        <w:rPr>
          <w:rFonts w:ascii="Calibri" w:hAnsi="Calibri" w:cs="Calibri"/>
        </w:rPr>
        <w:t xml:space="preserve"> :</w:t>
      </w:r>
      <w:r>
        <w:rPr>
          <w:rFonts w:ascii="Calibri" w:hAnsi="Calibri" w:cs="Calibri"/>
          <w:b/>
          <w:bCs/>
          <w:u w:val="single"/>
        </w:rPr>
      </w:r>
      <w:r>
        <w:rPr>
          <w:rFonts w:ascii="Calibri" w:hAnsi="Calibri" w:cs="Calibri"/>
          <w:b/>
          <w:bCs/>
          <w:u w:val="single"/>
        </w:rPr>
      </w:r>
    </w:p>
    <w:p w14:paraId="550E0590" w14:textId="77777777">
      <w:pPr>
        <w:pBdr/>
        <w:spacing/>
        <w:ind/>
        <w:rPr>
          <w:rFonts w:ascii="Calibri" w:hAnsi="Calibri" w:cs="Calibri"/>
        </w:rPr>
      </w:pPr>
      <w:r>
        <w:rPr>
          <w:rFonts w:ascii="Calibri" w:hAnsi="Calibri" w:cs="Calibri"/>
        </w:rPr>
      </w:r>
      <w:r>
        <w:rPr>
          <w:rFonts w:ascii="Calibri" w:hAnsi="Calibri" w:cs="Calibri"/>
        </w:rPr>
      </w:r>
      <w:r>
        <w:rPr>
          <w:rFonts w:ascii="Calibri" w:hAnsi="Calibri" w:cs="Calibri"/>
        </w:rPr>
      </w:r>
    </w:p>
    <w:p w14:paraId="1F5755CE" w14:textId="1847AD89">
      <w:pPr>
        <w:pBdr/>
        <w:spacing/>
        <w:ind/>
        <w:rPr>
          <w:rFonts w:ascii="Calibri" w:hAnsi="Calibri" w:cs="Calibri"/>
        </w:rPr>
      </w:pPr>
      <w:r>
        <w:rPr>
          <w:rFonts w:ascii="Calibri" w:hAnsi="Calibri" w:cs="Calibri"/>
        </w:rPr>
      </w:r>
      <w:r>
        <w:rPr>
          <w:rFonts w:ascii="Calibri" w:hAnsi="Calibri" w:cs="Calibri"/>
        </w:rPr>
        <w:t xml:space="preserve">Les membres élus titulaires du Comité Social et Economique représentant la majorité des suffrages exprimés lors des dernières élections professionnelles (selon procès-verbal des élections en date du </w:t>
      </w:r>
      <w:r>
        <w:rPr>
          <w:rFonts w:ascii="Calibri" w:hAnsi="Calibri" w:cs="Calibri"/>
        </w:rPr>
        <w:t xml:space="preserve">[...]</w:t>
      </w:r>
      <w:r>
        <w:rPr>
          <w:rFonts w:ascii="Calibri" w:hAnsi="Calibri" w:cs="Calibri"/>
        </w:rPr>
        <w:t xml:space="preserve"> annexé aux présentes), ci-après </w:t>
      </w:r>
      <w:r>
        <w:rPr>
          <w:rFonts w:ascii="Calibri" w:hAnsi="Calibri" w:cs="Calibri"/>
        </w:rPr>
        <w:t xml:space="preserve">désignés</w:t>
      </w:r>
      <w:r>
        <w:rPr>
          <w:rFonts w:ascii="Calibri" w:hAnsi="Calibri" w:cs="Calibri"/>
        </w:rPr>
        <w:t xml:space="preserve"> :</w:t>
      </w:r>
      <w:r>
        <w:rPr>
          <w:rFonts w:ascii="Calibri" w:hAnsi="Calibri" w:cs="Calibri"/>
        </w:rPr>
      </w:r>
      <w:r>
        <w:rPr>
          <w:rFonts w:ascii="Calibri" w:hAnsi="Calibri" w:cs="Calibri"/>
        </w:rPr>
      </w:r>
    </w:p>
    <w:p w14:paraId="4D83F557" w14:textId="196ECA1B">
      <w:pPr>
        <w:pStyle w:val="890"/>
        <w:numPr>
          <w:ilvl w:val="0"/>
          <w:numId w:val="3"/>
        </w:numPr>
        <w:pBdr/>
        <w:spacing/>
        <w:ind/>
        <w:rPr>
          <w:rFonts w:ascii="Calibri" w:hAnsi="Calibri" w:cs="Calibri"/>
        </w:rPr>
      </w:pPr>
      <w:r>
        <w:rPr>
          <w:rFonts w:ascii="Calibri" w:hAnsi="Calibri" w:cs="Calibri"/>
        </w:rPr>
        <w:t xml:space="preserve">Les délélegués syndicaux</w:t>
      </w:r>
      <w:r>
        <w:rPr>
          <w:rFonts w:ascii="Calibri" w:hAnsi="Calibri" w:cs="Calibri"/>
        </w:rPr>
      </w:r>
      <w:r>
        <w:rPr>
          <w:rFonts w:ascii="Calibri" w:hAnsi="Calibri" w:cs="Calibri"/>
        </w:rPr>
      </w:r>
    </w:p>
    <w:p w14:paraId="04FA8B13" w14:textId="77777777">
      <w:pPr>
        <w:pBdr/>
        <w:spacing/>
        <w:ind/>
        <w:rPr>
          <w:rFonts w:ascii="Calibri" w:hAnsi="Calibri" w:cs="Calibri"/>
        </w:rPr>
      </w:pPr>
      <w:r>
        <w:rPr>
          <w:rFonts w:ascii="Calibri" w:hAnsi="Calibri" w:cs="Calibri"/>
        </w:rPr>
      </w:r>
      <w:r>
        <w:rPr>
          <w:rFonts w:ascii="Calibri" w:hAnsi="Calibri" w:cs="Calibri"/>
        </w:rPr>
      </w:r>
      <w:r>
        <w:rPr>
          <w:rFonts w:ascii="Calibri" w:hAnsi="Calibri" w:cs="Calibri"/>
        </w:rPr>
      </w:r>
    </w:p>
    <w:p w14:paraId="1AB61CC4" w14:textId="77777777">
      <w:pPr>
        <w:pBdr/>
        <w:spacing/>
        <w:ind/>
        <w:jc w:val="right"/>
        <w:rPr>
          <w:rFonts w:ascii="Calibri" w:hAnsi="Calibri" w:cs="Calibri"/>
        </w:rPr>
      </w:pPr>
      <w:r>
        <w:rPr>
          <w:rFonts w:ascii="Calibri" w:hAnsi="Calibri" w:cs="Calibri"/>
          <w:b/>
          <w:bCs/>
          <w:u w:val="single"/>
        </w:rPr>
        <w:t xml:space="preserve">D’autre part</w:t>
      </w:r>
      <w:r>
        <w:rPr>
          <w:rFonts w:ascii="Calibri" w:hAnsi="Calibri" w:cs="Calibri"/>
        </w:rPr>
        <w:t xml:space="preserve">,</w:t>
      </w:r>
      <w:r>
        <w:rPr>
          <w:rFonts w:ascii="Calibri" w:hAnsi="Calibri" w:cs="Calibri"/>
        </w:rPr>
      </w:r>
      <w:r>
        <w:rPr>
          <w:rFonts w:ascii="Calibri" w:hAnsi="Calibri" w:cs="Calibri"/>
        </w:rPr>
      </w:r>
    </w:p>
    <w:p w14:paraId="577A3BE8" w14:textId="77777777">
      <w:pPr>
        <w:pBdr/>
        <w:spacing/>
        <w:ind/>
        <w:rPr>
          <w:rFonts w:ascii="Calibri" w:hAnsi="Calibri" w:cs="Calibri"/>
        </w:rPr>
      </w:pPr>
      <w:r>
        <w:rPr>
          <w:rFonts w:ascii="Calibri" w:hAnsi="Calibri" w:cs="Calibri"/>
        </w:rPr>
      </w:r>
      <w:r>
        <w:rPr>
          <w:rFonts w:ascii="Calibri" w:hAnsi="Calibri" w:cs="Calibri"/>
        </w:rPr>
      </w:r>
      <w:r>
        <w:rPr>
          <w:rFonts w:ascii="Calibri" w:hAnsi="Calibri" w:cs="Calibri"/>
        </w:rPr>
      </w:r>
    </w:p>
    <w:p w14:paraId="07590FAC" w14:textId="77777777">
      <w:pPr>
        <w:pBdr/>
        <w:spacing/>
        <w:ind/>
        <w:rPr>
          <w:rFonts w:ascii="Calibri" w:hAnsi="Calibri" w:cs="Calibri"/>
        </w:rPr>
      </w:pPr>
      <w:r>
        <w:rPr>
          <w:rFonts w:ascii="Calibri" w:hAnsi="Calibri" w:cs="Calibri"/>
        </w:rPr>
      </w:r>
      <w:r>
        <w:rPr>
          <w:rFonts w:ascii="Calibri" w:hAnsi="Calibri" w:cs="Calibri"/>
        </w:rPr>
      </w:r>
      <w:r>
        <w:rPr>
          <w:rFonts w:ascii="Calibri" w:hAnsi="Calibri" w:cs="Calibri"/>
        </w:rPr>
      </w:r>
    </w:p>
    <w:p w14:paraId="37FB5454" w14:textId="77777777">
      <w:pPr>
        <w:pBdr/>
        <w:spacing/>
        <w:ind/>
        <w:rPr>
          <w:rFonts w:ascii="Calibri" w:hAnsi="Calibri" w:cs="Calibri"/>
        </w:rPr>
      </w:pPr>
      <w:r>
        <w:rPr>
          <w:rFonts w:ascii="Calibri" w:hAnsi="Calibri" w:cs="Calibri"/>
        </w:rPr>
      </w:r>
      <w:r>
        <w:rPr>
          <w:rFonts w:ascii="Calibri" w:hAnsi="Calibri" w:cs="Calibri"/>
        </w:rPr>
      </w:r>
      <w:r>
        <w:rPr>
          <w:rFonts w:ascii="Calibri" w:hAnsi="Calibri" w:cs="Calibri"/>
        </w:rPr>
      </w:r>
    </w:p>
    <w:p w14:paraId="0886563E" w14:textId="77777777">
      <w:pPr>
        <w:pBdr/>
        <w:spacing/>
        <w:ind/>
        <w:rPr>
          <w:rFonts w:ascii="Calibri" w:hAnsi="Calibri" w:cs="Calibri"/>
        </w:rPr>
      </w:pPr>
      <w:r>
        <w:rPr>
          <w:rFonts w:ascii="Calibri" w:hAnsi="Calibri" w:cs="Calibri"/>
        </w:rPr>
      </w:r>
      <w:r>
        <w:rPr>
          <w:rFonts w:ascii="Calibri" w:hAnsi="Calibri" w:cs="Calibri"/>
        </w:rPr>
      </w:r>
      <w:r>
        <w:rPr>
          <w:rFonts w:ascii="Calibri" w:hAnsi="Calibri" w:cs="Calibri"/>
        </w:rPr>
      </w:r>
    </w:p>
    <w:p w14:paraId="64D29E3B" w14:textId="77777777">
      <w:pPr>
        <w:pBdr/>
        <w:spacing/>
        <w:ind/>
        <w:rPr>
          <w:rFonts w:ascii="Calibri" w:hAnsi="Calibri" w:cs="Calibri"/>
        </w:rPr>
      </w:pPr>
      <w:r>
        <w:rPr>
          <w:rFonts w:ascii="Calibri" w:hAnsi="Calibri" w:cs="Calibri"/>
        </w:rPr>
      </w:r>
      <w:r>
        <w:rPr>
          <w:rFonts w:ascii="Calibri" w:hAnsi="Calibri" w:cs="Calibri"/>
        </w:rPr>
      </w:r>
      <w:r>
        <w:rPr>
          <w:rFonts w:ascii="Calibri" w:hAnsi="Calibri" w:cs="Calibri"/>
        </w:rPr>
      </w:r>
    </w:p>
    <w:p w14:paraId="370B8A08" w14:textId="77777777">
      <w:pPr>
        <w:pBdr/>
        <w:spacing/>
        <w:ind/>
        <w:rPr>
          <w:rFonts w:ascii="Calibri" w:hAnsi="Calibri" w:cs="Calibri"/>
        </w:rPr>
      </w:pPr>
      <w:r>
        <w:rPr>
          <w:rFonts w:ascii="Calibri" w:hAnsi="Calibri" w:cs="Calibri"/>
        </w:rPr>
      </w:r>
      <w:r>
        <w:rPr>
          <w:rFonts w:ascii="Calibri" w:hAnsi="Calibri" w:cs="Calibri"/>
        </w:rPr>
      </w:r>
      <w:r>
        <w:rPr>
          <w:rFonts w:ascii="Calibri" w:hAnsi="Calibri" w:cs="Calibri"/>
        </w:rPr>
      </w:r>
    </w:p>
    <w:p w14:paraId="3442D1FF" w14:textId="77777777">
      <w:pPr>
        <w:pBdr/>
        <w:spacing/>
        <w:ind/>
        <w:rPr>
          <w:rFonts w:ascii="Calibri" w:hAnsi="Calibri" w:cs="Calibri"/>
        </w:rPr>
      </w:pPr>
      <w:r>
        <w:rPr>
          <w:rFonts w:ascii="Calibri" w:hAnsi="Calibri" w:cs="Calibri"/>
        </w:rPr>
      </w:r>
      <w:r>
        <w:rPr>
          <w:rFonts w:ascii="Calibri" w:hAnsi="Calibri" w:cs="Calibri"/>
        </w:rPr>
      </w:r>
      <w:r>
        <w:rPr>
          <w:rFonts w:ascii="Calibri" w:hAnsi="Calibri" w:cs="Calibri"/>
        </w:rPr>
      </w:r>
    </w:p>
    <w:p w14:paraId="5ACF5A03" w14:textId="77777777">
      <w:pPr>
        <w:pBdr/>
        <w:spacing/>
        <w:ind/>
        <w:rPr>
          <w:rFonts w:ascii="Calibri" w:hAnsi="Calibri" w:cs="Calibri"/>
        </w:rPr>
      </w:pPr>
      <w:r>
        <w:rPr>
          <w:rFonts w:ascii="Calibri" w:hAnsi="Calibri" w:cs="Calibri"/>
        </w:rPr>
      </w:r>
      <w:r>
        <w:rPr>
          <w:rFonts w:ascii="Calibri" w:hAnsi="Calibri" w:cs="Calibri"/>
        </w:rPr>
      </w:r>
      <w:r>
        <w:rPr>
          <w:rFonts w:ascii="Calibri" w:hAnsi="Calibri" w:cs="Calibri"/>
        </w:rPr>
      </w:r>
    </w:p>
    <w:p w14:paraId="712DD1E4" w14:textId="77777777">
      <w:pPr>
        <w:pBdr/>
        <w:spacing/>
        <w:ind/>
        <w:rPr>
          <w:rFonts w:ascii="Calibri" w:hAnsi="Calibri" w:cs="Calibri"/>
        </w:rPr>
      </w:pPr>
      <w:r>
        <w:rPr>
          <w:rFonts w:ascii="Calibri" w:hAnsi="Calibri" w:cs="Calibri"/>
        </w:rPr>
      </w:r>
      <w:r>
        <w:rPr>
          <w:rFonts w:ascii="Calibri" w:hAnsi="Calibri" w:cs="Calibri"/>
        </w:rPr>
      </w:r>
      <w:r>
        <w:rPr>
          <w:rFonts w:ascii="Calibri" w:hAnsi="Calibri" w:cs="Calibri"/>
        </w:rPr>
      </w:r>
    </w:p>
    <w:p w14:paraId="689C9D0C" w14:textId="77777777">
      <w:pPr>
        <w:pBdr/>
        <w:spacing/>
        <w:ind/>
        <w:jc w:val="center"/>
        <w:rPr>
          <w:rFonts w:ascii="Calibri" w:hAnsi="Calibri" w:cs="Calibri"/>
          <w:b/>
          <w:bCs/>
          <w:u w:val="single"/>
        </w:rPr>
      </w:pPr>
      <w:r>
        <w:rPr>
          <w:rFonts w:ascii="Calibri" w:hAnsi="Calibri" w:cs="Calibri"/>
          <w:b/>
          <w:bCs/>
          <w:u w:val="single"/>
        </w:rPr>
        <w:br w:type="page" w:clear="all"/>
      </w:r>
      <w:r>
        <w:rPr>
          <w:rFonts w:ascii="Calibri" w:hAnsi="Calibri" w:cs="Calibri"/>
          <w:b/>
          <w:bCs/>
          <w:sz w:val="28"/>
          <w:szCs w:val="28"/>
          <w:u w:val="single"/>
        </w:rPr>
        <w:t xml:space="preserve">SOMMAIRE</w:t>
      </w:r>
      <w:r>
        <w:rPr>
          <w:rFonts w:ascii="Calibri" w:hAnsi="Calibri" w:cs="Calibri"/>
          <w:b/>
          <w:bCs/>
          <w:u w:val="single"/>
        </w:rPr>
      </w:r>
      <w:r>
        <w:rPr>
          <w:rFonts w:ascii="Calibri" w:hAnsi="Calibri" w:cs="Calibri"/>
          <w:b/>
          <w:bCs/>
          <w:u w:val="single"/>
        </w:rPr>
      </w:r>
    </w:p>
    <w:p w14:paraId="4F4E16E4" w14:textId="097B35A7">
      <w:pPr>
        <w:pBdr/>
        <w:spacing/>
        <w:ind/>
        <w:rPr>
          <w:rFonts w:ascii="Calibri" w:hAnsi="Calibri" w:cs="Calibri"/>
        </w:rPr>
      </w:pPr>
      <w:r>
        <w:rPr>
          <w:rFonts w:ascii="Calibri" w:hAnsi="Calibri" w:cs="Calibri"/>
        </w:rPr>
      </w:r>
      <w:r>
        <w:rPr>
          <w:rFonts w:ascii="Calibri" w:hAnsi="Calibri" w:cs="Calibri"/>
        </w:rPr>
      </w:r>
      <w:r>
        <w:rPr>
          <w:rFonts w:ascii="Calibri" w:hAnsi="Calibri" w:cs="Calibri"/>
        </w:rPr>
      </w:r>
    </w:p>
    <w:p w14:paraId="1D79977C" w14:textId="205504E7">
      <w:pPr>
        <w:pStyle w:val="903"/>
        <w:pBdr/>
        <w:tabs>
          <w:tab w:val="right" w:leader="dot" w:pos="9062"/>
        </w:tabs>
        <w:spacing/>
        <w:ind/>
        <w:rPr>
          <w:rFonts w:eastAsiaTheme="minorEastAsia"/>
          <w:b w:val="0"/>
          <w:bCs w:val="0"/>
          <w:caps w:val="0"/>
          <w:sz w:val="24"/>
          <w:szCs w:val="24"/>
          <w:lang w:eastAsia="fr-FR"/>
        </w:rPr>
      </w:pPr>
      <w:r>
        <w:rPr>
          <w:rFonts w:ascii="Calibri" w:hAnsi="Calibri" w:cs="Calibri"/>
        </w:rPr>
        <w:fldChar w:fldCharType="begin"/>
      </w:r>
      <w:r>
        <w:rPr>
          <w:rFonts w:ascii="Calibri" w:hAnsi="Calibri" w:cs="Calibri"/>
        </w:rPr>
        <w:instrText xml:space="preserve"> TOC \o "1-4" \h \z \u </w:instrText>
      </w:r>
      <w:r>
        <w:rPr>
          <w:rFonts w:ascii="Calibri" w:hAnsi="Calibri" w:cs="Calibri"/>
        </w:rPr>
        <w:fldChar w:fldCharType="separate"/>
      </w:r>
      <w:hyperlink w:tooltip="#_Toc222407079" w:anchor="_Toc222407079" w:history="1">
        <w:r>
          <w:rPr>
            <w:rStyle w:val="913"/>
            <w:rFonts w:ascii="Calibri" w:hAnsi="Calibri" w:cs="Calibri"/>
          </w:rPr>
          <w:t xml:space="preserve">PREAMBULE</w:t>
        </w:r>
        <w:r>
          <w:tab/>
        </w:r>
        <w:r>
          <w:fldChar w:fldCharType="begin"/>
        </w:r>
        <w:r>
          <w:instrText xml:space="preserve"> PAGEREF _Toc222407079 \h </w:instrText>
        </w:r>
        <w:r>
          <w:fldChar w:fldCharType="separate"/>
        </w:r>
        <w:r>
          <w:t xml:space="preserve">5</w:t>
        </w:r>
        <w:r>
          <w:fldChar w:fldCharType="end"/>
        </w:r>
      </w:hyperlink>
      <w:r>
        <w:rPr>
          <w:rFonts w:eastAsiaTheme="minorEastAsia"/>
          <w:b w:val="0"/>
          <w:bCs w:val="0"/>
          <w:caps w:val="0"/>
          <w:sz w:val="24"/>
          <w:szCs w:val="24"/>
          <w:lang w:eastAsia="fr-FR"/>
        </w:rPr>
      </w:r>
      <w:r>
        <w:rPr>
          <w:rFonts w:eastAsiaTheme="minorEastAsia"/>
          <w:b w:val="0"/>
          <w:bCs w:val="0"/>
          <w:caps w:val="0"/>
          <w:sz w:val="24"/>
          <w:szCs w:val="24"/>
          <w:lang w:eastAsia="fr-FR"/>
        </w:rPr>
      </w:r>
    </w:p>
    <w:p w14:paraId="5CB52758" w14:textId="66925A3E">
      <w:pPr>
        <w:pStyle w:val="903"/>
        <w:pBdr/>
        <w:tabs>
          <w:tab w:val="right" w:leader="dot" w:pos="9062"/>
        </w:tabs>
        <w:spacing/>
        <w:ind/>
        <w:rPr>
          <w:rFonts w:eastAsiaTheme="minorEastAsia"/>
          <w:b w:val="0"/>
          <w:bCs w:val="0"/>
          <w:caps w:val="0"/>
          <w:sz w:val="24"/>
          <w:szCs w:val="24"/>
          <w:lang w:eastAsia="fr-FR"/>
        </w:rPr>
      </w:pPr>
      <w:r/>
      <w:hyperlink w:tooltip="#_Toc222407080" w:anchor="_Toc222407080" w:history="1">
        <w:r>
          <w:rPr>
            <w:rStyle w:val="913"/>
            <w:rFonts w:ascii="Calibri" w:hAnsi="Calibri" w:cs="Calibri"/>
          </w:rPr>
          <w:t xml:space="preserve">CHAPITRE 1 : DISPOSITIONS LIMINAIRES</w:t>
        </w:r>
        <w:r>
          <w:tab/>
        </w:r>
        <w:r>
          <w:fldChar w:fldCharType="begin"/>
        </w:r>
        <w:r>
          <w:instrText xml:space="preserve"> PAGEREF _Toc222407080 \h </w:instrText>
        </w:r>
        <w:r>
          <w:fldChar w:fldCharType="separate"/>
        </w:r>
        <w:r>
          <w:t xml:space="preserve">6</w:t>
        </w:r>
        <w:r>
          <w:fldChar w:fldCharType="end"/>
        </w:r>
      </w:hyperlink>
      <w:r>
        <w:rPr>
          <w:rFonts w:eastAsiaTheme="minorEastAsia"/>
          <w:b w:val="0"/>
          <w:bCs w:val="0"/>
          <w:caps w:val="0"/>
          <w:sz w:val="24"/>
          <w:szCs w:val="24"/>
          <w:lang w:eastAsia="fr-FR"/>
        </w:rPr>
      </w:r>
      <w:r>
        <w:rPr>
          <w:rFonts w:eastAsiaTheme="minorEastAsia"/>
          <w:b w:val="0"/>
          <w:bCs w:val="0"/>
          <w:caps w:val="0"/>
          <w:sz w:val="24"/>
          <w:szCs w:val="24"/>
          <w:lang w:eastAsia="fr-FR"/>
        </w:rPr>
      </w:r>
    </w:p>
    <w:p w14:paraId="2CB336C2" w14:textId="78231095">
      <w:pPr>
        <w:pStyle w:val="904"/>
        <w:pBdr/>
        <w:tabs>
          <w:tab w:val="right" w:leader="dot" w:pos="9062"/>
        </w:tabs>
        <w:spacing/>
        <w:ind/>
        <w:rPr>
          <w:rFonts w:eastAsiaTheme="minorEastAsia"/>
          <w:smallCaps w:val="0"/>
          <w:sz w:val="24"/>
          <w:szCs w:val="24"/>
          <w:lang w:eastAsia="fr-FR"/>
        </w:rPr>
      </w:pPr>
      <w:r/>
      <w:hyperlink w:tooltip="#_Toc222407081" w:anchor="_Toc222407081" w:history="1">
        <w:r>
          <w:rPr>
            <w:rStyle w:val="913"/>
            <w:rFonts w:ascii="Calibri" w:hAnsi="Calibri" w:cs="Calibri"/>
            <w:b/>
            <w:bCs/>
          </w:rPr>
          <w:t xml:space="preserve">ARTICLE 1 – Cadre juridique du présent accord</w:t>
        </w:r>
        <w:r>
          <w:tab/>
        </w:r>
        <w:r>
          <w:fldChar w:fldCharType="begin"/>
        </w:r>
        <w:r>
          <w:instrText xml:space="preserve"> PAGEREF _Toc222407081 \h </w:instrText>
        </w:r>
        <w:r>
          <w:fldChar w:fldCharType="separate"/>
        </w:r>
        <w:r>
          <w:t xml:space="preserve">6</w:t>
        </w:r>
        <w:r>
          <w:fldChar w:fldCharType="end"/>
        </w:r>
      </w:hyperlink>
      <w:r>
        <w:rPr>
          <w:rFonts w:eastAsiaTheme="minorEastAsia"/>
          <w:smallCaps w:val="0"/>
          <w:sz w:val="24"/>
          <w:szCs w:val="24"/>
          <w:lang w:eastAsia="fr-FR"/>
        </w:rPr>
      </w:r>
      <w:r>
        <w:rPr>
          <w:rFonts w:eastAsiaTheme="minorEastAsia"/>
          <w:smallCaps w:val="0"/>
          <w:sz w:val="24"/>
          <w:szCs w:val="24"/>
          <w:lang w:eastAsia="fr-FR"/>
        </w:rPr>
      </w:r>
    </w:p>
    <w:p w14:paraId="72487781" w14:textId="59A51ABC">
      <w:pPr>
        <w:pStyle w:val="904"/>
        <w:pBdr/>
        <w:tabs>
          <w:tab w:val="right" w:leader="dot" w:pos="9062"/>
        </w:tabs>
        <w:spacing/>
        <w:ind/>
        <w:rPr>
          <w:rFonts w:eastAsiaTheme="minorEastAsia"/>
          <w:smallCaps w:val="0"/>
          <w:sz w:val="24"/>
          <w:szCs w:val="24"/>
          <w:lang w:eastAsia="fr-FR"/>
        </w:rPr>
      </w:pPr>
      <w:r/>
      <w:hyperlink w:tooltip="#_Toc222407082" w:anchor="_Toc222407082" w:history="1">
        <w:r>
          <w:rPr>
            <w:rStyle w:val="913"/>
            <w:rFonts w:ascii="Calibri" w:hAnsi="Calibri" w:cs="Calibri"/>
            <w:b/>
            <w:bCs/>
          </w:rPr>
          <w:t xml:space="preserve">ARTICLE 2 – Primauté du présent accord pour l’avenir</w:t>
        </w:r>
        <w:r>
          <w:tab/>
        </w:r>
        <w:r>
          <w:fldChar w:fldCharType="begin"/>
        </w:r>
        <w:r>
          <w:instrText xml:space="preserve"> PAGEREF _Toc222407082 \h </w:instrText>
        </w:r>
        <w:r>
          <w:fldChar w:fldCharType="separate"/>
        </w:r>
        <w:r>
          <w:t xml:space="preserve">6</w:t>
        </w:r>
        <w:r>
          <w:fldChar w:fldCharType="end"/>
        </w:r>
      </w:hyperlink>
      <w:r>
        <w:rPr>
          <w:rFonts w:eastAsiaTheme="minorEastAsia"/>
          <w:smallCaps w:val="0"/>
          <w:sz w:val="24"/>
          <w:szCs w:val="24"/>
          <w:lang w:eastAsia="fr-FR"/>
        </w:rPr>
      </w:r>
      <w:r>
        <w:rPr>
          <w:rFonts w:eastAsiaTheme="minorEastAsia"/>
          <w:smallCaps w:val="0"/>
          <w:sz w:val="24"/>
          <w:szCs w:val="24"/>
          <w:lang w:eastAsia="fr-FR"/>
        </w:rPr>
      </w:r>
    </w:p>
    <w:p w14:paraId="611D978F" w14:textId="3D23A337">
      <w:pPr>
        <w:pStyle w:val="904"/>
        <w:pBdr/>
        <w:tabs>
          <w:tab w:val="right" w:leader="dot" w:pos="9062"/>
        </w:tabs>
        <w:spacing/>
        <w:ind/>
        <w:rPr>
          <w:rFonts w:eastAsiaTheme="minorEastAsia"/>
          <w:smallCaps w:val="0"/>
          <w:sz w:val="24"/>
          <w:szCs w:val="24"/>
          <w:lang w:eastAsia="fr-FR"/>
        </w:rPr>
      </w:pPr>
      <w:r/>
      <w:hyperlink w:tooltip="#_Toc222407083" w:anchor="_Toc222407083" w:history="1">
        <w:r>
          <w:rPr>
            <w:rStyle w:val="913"/>
            <w:rFonts w:ascii="Calibri" w:hAnsi="Calibri" w:cs="Calibri"/>
            <w:b/>
            <w:bCs/>
          </w:rPr>
          <w:t xml:space="preserve">ARTICLE 3 – Champ d’application</w:t>
        </w:r>
        <w:r>
          <w:tab/>
        </w:r>
        <w:r>
          <w:fldChar w:fldCharType="begin"/>
        </w:r>
        <w:r>
          <w:instrText xml:space="preserve"> PAGEREF _Toc222407083 \h </w:instrText>
        </w:r>
        <w:r>
          <w:fldChar w:fldCharType="separate"/>
        </w:r>
        <w:r>
          <w:t xml:space="preserve">6</w:t>
        </w:r>
        <w:r>
          <w:fldChar w:fldCharType="end"/>
        </w:r>
      </w:hyperlink>
      <w:r>
        <w:rPr>
          <w:rFonts w:eastAsiaTheme="minorEastAsia"/>
          <w:smallCaps w:val="0"/>
          <w:sz w:val="24"/>
          <w:szCs w:val="24"/>
          <w:lang w:eastAsia="fr-FR"/>
        </w:rPr>
      </w:r>
      <w:r>
        <w:rPr>
          <w:rFonts w:eastAsiaTheme="minorEastAsia"/>
          <w:smallCaps w:val="0"/>
          <w:sz w:val="24"/>
          <w:szCs w:val="24"/>
          <w:lang w:eastAsia="fr-FR"/>
        </w:rPr>
      </w:r>
    </w:p>
    <w:p w14:paraId="474C20FD" w14:textId="7ECB7464">
      <w:pPr>
        <w:pStyle w:val="903"/>
        <w:pBdr/>
        <w:tabs>
          <w:tab w:val="right" w:leader="dot" w:pos="9062"/>
        </w:tabs>
        <w:spacing/>
        <w:ind/>
        <w:rPr>
          <w:rFonts w:eastAsiaTheme="minorEastAsia"/>
          <w:b w:val="0"/>
          <w:bCs w:val="0"/>
          <w:caps w:val="0"/>
          <w:sz w:val="24"/>
          <w:szCs w:val="24"/>
          <w:lang w:eastAsia="fr-FR"/>
        </w:rPr>
      </w:pPr>
      <w:r/>
      <w:hyperlink w:tooltip="#_Toc222407084" w:anchor="_Toc222407084" w:history="1">
        <w:r>
          <w:rPr>
            <w:rStyle w:val="913"/>
            <w:rFonts w:ascii="Calibri" w:hAnsi="Calibri" w:cs="Calibri"/>
          </w:rPr>
          <w:t xml:space="preserve">CHAPITRE 2 : DISPOSITIONS COMMUNES</w:t>
        </w:r>
        <w:r>
          <w:tab/>
        </w:r>
        <w:r>
          <w:fldChar w:fldCharType="begin"/>
        </w:r>
        <w:r>
          <w:instrText xml:space="preserve"> PAGEREF _Toc222407084 \h </w:instrText>
        </w:r>
        <w:r>
          <w:fldChar w:fldCharType="separate"/>
        </w:r>
        <w:r>
          <w:t xml:space="preserve">7</w:t>
        </w:r>
        <w:r>
          <w:fldChar w:fldCharType="end"/>
        </w:r>
      </w:hyperlink>
      <w:r>
        <w:rPr>
          <w:rFonts w:eastAsiaTheme="minorEastAsia"/>
          <w:b w:val="0"/>
          <w:bCs w:val="0"/>
          <w:caps w:val="0"/>
          <w:sz w:val="24"/>
          <w:szCs w:val="24"/>
          <w:lang w:eastAsia="fr-FR"/>
        </w:rPr>
      </w:r>
      <w:r>
        <w:rPr>
          <w:rFonts w:eastAsiaTheme="minorEastAsia"/>
          <w:b w:val="0"/>
          <w:bCs w:val="0"/>
          <w:caps w:val="0"/>
          <w:sz w:val="24"/>
          <w:szCs w:val="24"/>
          <w:lang w:eastAsia="fr-FR"/>
        </w:rPr>
      </w:r>
    </w:p>
    <w:p w14:paraId="4E9A7428" w14:textId="69DC55BD">
      <w:pPr>
        <w:pStyle w:val="904"/>
        <w:pBdr/>
        <w:tabs>
          <w:tab w:val="right" w:leader="dot" w:pos="9062"/>
        </w:tabs>
        <w:spacing/>
        <w:ind/>
        <w:rPr>
          <w:rFonts w:eastAsiaTheme="minorEastAsia"/>
          <w:smallCaps w:val="0"/>
          <w:sz w:val="24"/>
          <w:szCs w:val="24"/>
          <w:lang w:eastAsia="fr-FR"/>
        </w:rPr>
      </w:pPr>
      <w:r/>
      <w:hyperlink w:tooltip="#_Toc222407085" w:anchor="_Toc222407085" w:history="1">
        <w:r>
          <w:rPr>
            <w:rStyle w:val="913"/>
            <w:rFonts w:ascii="Calibri" w:hAnsi="Calibri" w:cs="Calibri"/>
            <w:b/>
            <w:bCs/>
          </w:rPr>
          <w:t xml:space="preserve">ARTICLE 4 – Temps de travail effectif</w:t>
        </w:r>
        <w:r>
          <w:tab/>
        </w:r>
        <w:r>
          <w:fldChar w:fldCharType="begin"/>
        </w:r>
        <w:r>
          <w:instrText xml:space="preserve"> PAGEREF _Toc222407085 \h </w:instrText>
        </w:r>
        <w:r>
          <w:fldChar w:fldCharType="separate"/>
        </w:r>
        <w:r>
          <w:t xml:space="preserve">7</w:t>
        </w:r>
        <w:r>
          <w:fldChar w:fldCharType="end"/>
        </w:r>
      </w:hyperlink>
      <w:r>
        <w:rPr>
          <w:rFonts w:eastAsiaTheme="minorEastAsia"/>
          <w:smallCaps w:val="0"/>
          <w:sz w:val="24"/>
          <w:szCs w:val="24"/>
          <w:lang w:eastAsia="fr-FR"/>
        </w:rPr>
      </w:r>
      <w:r>
        <w:rPr>
          <w:rFonts w:eastAsiaTheme="minorEastAsia"/>
          <w:smallCaps w:val="0"/>
          <w:sz w:val="24"/>
          <w:szCs w:val="24"/>
          <w:lang w:eastAsia="fr-FR"/>
        </w:rPr>
      </w:r>
    </w:p>
    <w:p w14:paraId="1667121A" w14:textId="4B314417">
      <w:pPr>
        <w:pStyle w:val="904"/>
        <w:pBdr/>
        <w:tabs>
          <w:tab w:val="right" w:leader="dot" w:pos="9062"/>
        </w:tabs>
        <w:spacing/>
        <w:ind/>
        <w:rPr>
          <w:rFonts w:eastAsiaTheme="minorEastAsia"/>
          <w:smallCaps w:val="0"/>
          <w:sz w:val="24"/>
          <w:szCs w:val="24"/>
          <w:lang w:eastAsia="fr-FR"/>
        </w:rPr>
      </w:pPr>
      <w:r/>
      <w:hyperlink w:tooltip="#_Toc222407086" w:anchor="_Toc222407086" w:history="1">
        <w:r>
          <w:rPr>
            <w:rStyle w:val="913"/>
            <w:rFonts w:ascii="Calibri" w:hAnsi="Calibri" w:cs="Calibri"/>
            <w:b/>
            <w:bCs/>
          </w:rPr>
          <w:t xml:space="preserve">ARTICLE 5 – Accomplissement d’heures supplémentaires ou d’heures complémentaires (temps partiel)</w:t>
        </w:r>
        <w:r>
          <w:tab/>
        </w:r>
        <w:r>
          <w:fldChar w:fldCharType="begin"/>
        </w:r>
        <w:r>
          <w:instrText xml:space="preserve"> PAGEREF _Toc222407086 \h </w:instrText>
        </w:r>
        <w:r>
          <w:fldChar w:fldCharType="separate"/>
        </w:r>
        <w:r>
          <w:t xml:space="preserve">7</w:t>
        </w:r>
        <w:r>
          <w:fldChar w:fldCharType="end"/>
        </w:r>
      </w:hyperlink>
      <w:r>
        <w:rPr>
          <w:rFonts w:eastAsiaTheme="minorEastAsia"/>
          <w:smallCaps w:val="0"/>
          <w:sz w:val="24"/>
          <w:szCs w:val="24"/>
          <w:lang w:eastAsia="fr-FR"/>
        </w:rPr>
      </w:r>
      <w:r>
        <w:rPr>
          <w:rFonts w:eastAsiaTheme="minorEastAsia"/>
          <w:smallCaps w:val="0"/>
          <w:sz w:val="24"/>
          <w:szCs w:val="24"/>
          <w:lang w:eastAsia="fr-FR"/>
        </w:rPr>
      </w:r>
    </w:p>
    <w:p w14:paraId="0B2E34AF" w14:textId="02EA9028">
      <w:pPr>
        <w:pStyle w:val="904"/>
        <w:pBdr/>
        <w:tabs>
          <w:tab w:val="right" w:leader="dot" w:pos="9062"/>
        </w:tabs>
        <w:spacing/>
        <w:ind/>
        <w:rPr>
          <w:rFonts w:eastAsiaTheme="minorEastAsia"/>
          <w:smallCaps w:val="0"/>
          <w:sz w:val="24"/>
          <w:szCs w:val="24"/>
          <w:lang w:eastAsia="fr-FR"/>
        </w:rPr>
      </w:pPr>
      <w:r/>
      <w:hyperlink w:tooltip="#_Toc222407087" w:anchor="_Toc222407087" w:history="1">
        <w:r>
          <w:rPr>
            <w:rStyle w:val="913"/>
            <w:rFonts w:ascii="Calibri" w:hAnsi="Calibri" w:cs="Calibri"/>
            <w:b/>
            <w:bCs/>
          </w:rPr>
          <w:t xml:space="preserve">ARTICLE 6 – Contingent d’heures supplémentaires</w:t>
        </w:r>
        <w:r>
          <w:tab/>
        </w:r>
        <w:r>
          <w:fldChar w:fldCharType="begin"/>
        </w:r>
        <w:r>
          <w:instrText xml:space="preserve"> PAGEREF _Toc222407087 \h </w:instrText>
        </w:r>
        <w:r>
          <w:fldChar w:fldCharType="separate"/>
        </w:r>
        <w:r>
          <w:t xml:space="preserve">7</w:t>
        </w:r>
        <w:r>
          <w:fldChar w:fldCharType="end"/>
        </w:r>
      </w:hyperlink>
      <w:r>
        <w:rPr>
          <w:rFonts w:eastAsiaTheme="minorEastAsia"/>
          <w:smallCaps w:val="0"/>
          <w:sz w:val="24"/>
          <w:szCs w:val="24"/>
          <w:lang w:eastAsia="fr-FR"/>
        </w:rPr>
      </w:r>
      <w:r>
        <w:rPr>
          <w:rFonts w:eastAsiaTheme="minorEastAsia"/>
          <w:smallCaps w:val="0"/>
          <w:sz w:val="24"/>
          <w:szCs w:val="24"/>
          <w:lang w:eastAsia="fr-FR"/>
        </w:rPr>
      </w:r>
    </w:p>
    <w:p w14:paraId="06A7CAC3" w14:textId="1BD90E42">
      <w:pPr>
        <w:pStyle w:val="904"/>
        <w:pBdr/>
        <w:tabs>
          <w:tab w:val="right" w:leader="dot" w:pos="9062"/>
        </w:tabs>
        <w:spacing/>
        <w:ind/>
        <w:rPr>
          <w:rFonts w:eastAsiaTheme="minorEastAsia"/>
          <w:smallCaps w:val="0"/>
          <w:sz w:val="24"/>
          <w:szCs w:val="24"/>
          <w:lang w:eastAsia="fr-FR"/>
        </w:rPr>
      </w:pPr>
      <w:r/>
      <w:hyperlink w:tooltip="#_Toc222407088" w:anchor="_Toc222407088" w:history="1">
        <w:r>
          <w:rPr>
            <w:rStyle w:val="913"/>
            <w:rFonts w:ascii="Calibri" w:hAnsi="Calibri" w:cs="Calibri"/>
            <w:b/>
            <w:bCs/>
          </w:rPr>
          <w:t xml:space="preserve">ARTICLE 7 – Temps de pause</w:t>
        </w:r>
        <w:r>
          <w:tab/>
        </w:r>
        <w:r>
          <w:fldChar w:fldCharType="begin"/>
        </w:r>
        <w:r>
          <w:instrText xml:space="preserve"> PAGEREF _Toc222407088 \h </w:instrText>
        </w:r>
        <w:r>
          <w:fldChar w:fldCharType="separate"/>
        </w:r>
        <w:r>
          <w:t xml:space="preserve">7</w:t>
        </w:r>
        <w:r>
          <w:fldChar w:fldCharType="end"/>
        </w:r>
      </w:hyperlink>
      <w:r>
        <w:rPr>
          <w:rFonts w:eastAsiaTheme="minorEastAsia"/>
          <w:smallCaps w:val="0"/>
          <w:sz w:val="24"/>
          <w:szCs w:val="24"/>
          <w:lang w:eastAsia="fr-FR"/>
        </w:rPr>
      </w:r>
      <w:r>
        <w:rPr>
          <w:rFonts w:eastAsiaTheme="minorEastAsia"/>
          <w:smallCaps w:val="0"/>
          <w:sz w:val="24"/>
          <w:szCs w:val="24"/>
          <w:lang w:eastAsia="fr-FR"/>
        </w:rPr>
      </w:r>
    </w:p>
    <w:p w14:paraId="6E1A3C41" w14:textId="5FC35BAB">
      <w:pPr>
        <w:pStyle w:val="904"/>
        <w:pBdr/>
        <w:tabs>
          <w:tab w:val="right" w:leader="dot" w:pos="9062"/>
        </w:tabs>
        <w:spacing/>
        <w:ind/>
        <w:rPr>
          <w:rFonts w:eastAsiaTheme="minorEastAsia"/>
          <w:smallCaps w:val="0"/>
          <w:sz w:val="24"/>
          <w:szCs w:val="24"/>
          <w:lang w:eastAsia="fr-FR"/>
        </w:rPr>
      </w:pPr>
      <w:r/>
      <w:hyperlink w:tooltip="#_Toc222407089" w:anchor="_Toc222407089" w:history="1">
        <w:r>
          <w:rPr>
            <w:rStyle w:val="913"/>
            <w:rFonts w:ascii="Calibri" w:hAnsi="Calibri" w:cs="Calibri"/>
            <w:b/>
            <w:bCs/>
          </w:rPr>
          <w:t xml:space="preserve">ARTICLE 8 – Durées maximales de travail</w:t>
        </w:r>
        <w:r>
          <w:tab/>
        </w:r>
        <w:r>
          <w:fldChar w:fldCharType="begin"/>
        </w:r>
        <w:r>
          <w:instrText xml:space="preserve"> PAGEREF _Toc222407089 \h </w:instrText>
        </w:r>
        <w:r>
          <w:fldChar w:fldCharType="separate"/>
        </w:r>
        <w:r>
          <w:t xml:space="preserve">8</w:t>
        </w:r>
        <w:r>
          <w:fldChar w:fldCharType="end"/>
        </w:r>
      </w:hyperlink>
      <w:r>
        <w:rPr>
          <w:rFonts w:eastAsiaTheme="minorEastAsia"/>
          <w:smallCaps w:val="0"/>
          <w:sz w:val="24"/>
          <w:szCs w:val="24"/>
          <w:lang w:eastAsia="fr-FR"/>
        </w:rPr>
      </w:r>
      <w:r>
        <w:rPr>
          <w:rFonts w:eastAsiaTheme="minorEastAsia"/>
          <w:smallCaps w:val="0"/>
          <w:sz w:val="24"/>
          <w:szCs w:val="24"/>
          <w:lang w:eastAsia="fr-FR"/>
        </w:rPr>
      </w:r>
    </w:p>
    <w:p w14:paraId="7F868A43" w14:textId="7EB00BA8">
      <w:pPr>
        <w:pStyle w:val="904"/>
        <w:pBdr/>
        <w:tabs>
          <w:tab w:val="right" w:leader="dot" w:pos="9062"/>
        </w:tabs>
        <w:spacing/>
        <w:ind/>
        <w:rPr>
          <w:rFonts w:eastAsiaTheme="minorEastAsia"/>
          <w:smallCaps w:val="0"/>
          <w:sz w:val="24"/>
          <w:szCs w:val="24"/>
          <w:lang w:eastAsia="fr-FR"/>
        </w:rPr>
      </w:pPr>
      <w:r/>
      <w:hyperlink w:tooltip="#_Toc222407090" w:anchor="_Toc222407090" w:history="1">
        <w:r>
          <w:rPr>
            <w:rStyle w:val="913"/>
            <w:rFonts w:ascii="Calibri" w:hAnsi="Calibri" w:cs="Calibri"/>
            <w:b/>
            <w:bCs/>
          </w:rPr>
          <w:t xml:space="preserve">ARTICLE 9 – Repos quotidien</w:t>
        </w:r>
        <w:r>
          <w:tab/>
        </w:r>
        <w:r>
          <w:fldChar w:fldCharType="begin"/>
        </w:r>
        <w:r>
          <w:instrText xml:space="preserve"> PAGEREF _Toc222407090 \h </w:instrText>
        </w:r>
        <w:r>
          <w:fldChar w:fldCharType="separate"/>
        </w:r>
        <w:r>
          <w:t xml:space="preserve">8</w:t>
        </w:r>
        <w:r>
          <w:fldChar w:fldCharType="end"/>
        </w:r>
      </w:hyperlink>
      <w:r>
        <w:rPr>
          <w:rFonts w:eastAsiaTheme="minorEastAsia"/>
          <w:smallCaps w:val="0"/>
          <w:sz w:val="24"/>
          <w:szCs w:val="24"/>
          <w:lang w:eastAsia="fr-FR"/>
        </w:rPr>
      </w:r>
      <w:r>
        <w:rPr>
          <w:rFonts w:eastAsiaTheme="minorEastAsia"/>
          <w:smallCaps w:val="0"/>
          <w:sz w:val="24"/>
          <w:szCs w:val="24"/>
          <w:lang w:eastAsia="fr-FR"/>
        </w:rPr>
      </w:r>
    </w:p>
    <w:p w14:paraId="677327E5" w14:textId="454DAA53">
      <w:pPr>
        <w:pStyle w:val="904"/>
        <w:pBdr/>
        <w:tabs>
          <w:tab w:val="right" w:leader="dot" w:pos="9062"/>
        </w:tabs>
        <w:spacing/>
        <w:ind/>
        <w:rPr>
          <w:rFonts w:eastAsiaTheme="minorEastAsia"/>
          <w:smallCaps w:val="0"/>
          <w:sz w:val="24"/>
          <w:szCs w:val="24"/>
          <w:lang w:eastAsia="fr-FR"/>
        </w:rPr>
      </w:pPr>
      <w:r/>
      <w:hyperlink w:tooltip="#_Toc222407091" w:anchor="_Toc222407091" w:history="1">
        <w:r>
          <w:rPr>
            <w:rStyle w:val="913"/>
            <w:rFonts w:ascii="Calibri" w:hAnsi="Calibri" w:cs="Calibri"/>
            <w:b/>
            <w:bCs/>
          </w:rPr>
          <w:t xml:space="preserve">ARTICLE 10 – Repos hebdomadaire</w:t>
        </w:r>
        <w:r>
          <w:tab/>
        </w:r>
        <w:r>
          <w:fldChar w:fldCharType="begin"/>
        </w:r>
        <w:r>
          <w:instrText xml:space="preserve"> PAGEREF _Toc222407091 \h </w:instrText>
        </w:r>
        <w:r>
          <w:fldChar w:fldCharType="separate"/>
        </w:r>
        <w:r>
          <w:t xml:space="preserve">8</w:t>
        </w:r>
        <w:r>
          <w:fldChar w:fldCharType="end"/>
        </w:r>
      </w:hyperlink>
      <w:r>
        <w:rPr>
          <w:rFonts w:eastAsiaTheme="minorEastAsia"/>
          <w:smallCaps w:val="0"/>
          <w:sz w:val="24"/>
          <w:szCs w:val="24"/>
          <w:lang w:eastAsia="fr-FR"/>
        </w:rPr>
      </w:r>
      <w:r>
        <w:rPr>
          <w:rFonts w:eastAsiaTheme="minorEastAsia"/>
          <w:smallCaps w:val="0"/>
          <w:sz w:val="24"/>
          <w:szCs w:val="24"/>
          <w:lang w:eastAsia="fr-FR"/>
        </w:rPr>
      </w:r>
    </w:p>
    <w:p w14:paraId="47CE6A43" w14:textId="4930D267">
      <w:pPr>
        <w:pStyle w:val="904"/>
        <w:pBdr/>
        <w:tabs>
          <w:tab w:val="right" w:leader="dot" w:pos="9062"/>
        </w:tabs>
        <w:spacing/>
        <w:ind/>
        <w:rPr>
          <w:rFonts w:eastAsiaTheme="minorEastAsia"/>
          <w:smallCaps w:val="0"/>
          <w:sz w:val="24"/>
          <w:szCs w:val="24"/>
          <w:lang w:eastAsia="fr-FR"/>
        </w:rPr>
      </w:pPr>
      <w:r/>
      <w:hyperlink w:tooltip="#_Toc222407092" w:anchor="_Toc222407092" w:history="1">
        <w:r>
          <w:rPr>
            <w:rStyle w:val="913"/>
            <w:rFonts w:ascii="Calibri" w:hAnsi="Calibri" w:cs="Calibri"/>
            <w:b/>
            <w:bCs/>
          </w:rPr>
          <w:t xml:space="preserve">ARTICLE 11 – Droit à la déconnexion</w:t>
        </w:r>
        <w:r>
          <w:tab/>
        </w:r>
        <w:r>
          <w:fldChar w:fldCharType="begin"/>
        </w:r>
        <w:r>
          <w:instrText xml:space="preserve"> PAGEREF _Toc222407092 \h </w:instrText>
        </w:r>
        <w:r>
          <w:fldChar w:fldCharType="separate"/>
        </w:r>
        <w:r>
          <w:t xml:space="preserve">8</w:t>
        </w:r>
        <w:r>
          <w:fldChar w:fldCharType="end"/>
        </w:r>
      </w:hyperlink>
      <w:r>
        <w:rPr>
          <w:rFonts w:eastAsiaTheme="minorEastAsia"/>
          <w:smallCaps w:val="0"/>
          <w:sz w:val="24"/>
          <w:szCs w:val="24"/>
          <w:lang w:eastAsia="fr-FR"/>
        </w:rPr>
      </w:r>
      <w:r>
        <w:rPr>
          <w:rFonts w:eastAsiaTheme="minorEastAsia"/>
          <w:smallCaps w:val="0"/>
          <w:sz w:val="24"/>
          <w:szCs w:val="24"/>
          <w:lang w:eastAsia="fr-FR"/>
        </w:rPr>
      </w:r>
    </w:p>
    <w:p w14:paraId="54CF5FA9" w14:textId="5A639C30">
      <w:pPr>
        <w:pStyle w:val="903"/>
        <w:pBdr/>
        <w:tabs>
          <w:tab w:val="right" w:leader="dot" w:pos="9062"/>
        </w:tabs>
        <w:spacing/>
        <w:ind/>
        <w:rPr>
          <w:rFonts w:eastAsiaTheme="minorEastAsia"/>
          <w:b w:val="0"/>
          <w:bCs w:val="0"/>
          <w:caps w:val="0"/>
          <w:sz w:val="24"/>
          <w:szCs w:val="24"/>
          <w:lang w:eastAsia="fr-FR"/>
        </w:rPr>
      </w:pPr>
      <w:r/>
      <w:hyperlink w:tooltip="#_Toc222407093" w:anchor="_Toc222407093" w:history="1">
        <w:r>
          <w:rPr>
            <w:rStyle w:val="913"/>
            <w:rFonts w:ascii="Calibri" w:hAnsi="Calibri" w:cs="Calibri"/>
          </w:rPr>
          <w:t xml:space="preserve">CHAPITRE 3 : MODALITE D’AMENAGEMENT ET D’ORGANISATION DE LA DUREE DU TRAVAIL SUR LE MOIS POUR L’ENSEMBLE DU PERSONNEL A L’EXCEPTION DES SALARIES EN FORFAIT ANNUEL EN JOURS</w:t>
        </w:r>
        <w:r>
          <w:tab/>
        </w:r>
        <w:r>
          <w:fldChar w:fldCharType="begin"/>
        </w:r>
        <w:r>
          <w:instrText xml:space="preserve"> PAGEREF _Toc222407093 \h </w:instrText>
        </w:r>
        <w:r>
          <w:fldChar w:fldCharType="separate"/>
        </w:r>
        <w:r>
          <w:t xml:space="preserve">9</w:t>
        </w:r>
        <w:r>
          <w:fldChar w:fldCharType="end"/>
        </w:r>
      </w:hyperlink>
      <w:r>
        <w:rPr>
          <w:rFonts w:eastAsiaTheme="minorEastAsia"/>
          <w:b w:val="0"/>
          <w:bCs w:val="0"/>
          <w:caps w:val="0"/>
          <w:sz w:val="24"/>
          <w:szCs w:val="24"/>
          <w:lang w:eastAsia="fr-FR"/>
        </w:rPr>
      </w:r>
      <w:r>
        <w:rPr>
          <w:rFonts w:eastAsiaTheme="minorEastAsia"/>
          <w:b w:val="0"/>
          <w:bCs w:val="0"/>
          <w:caps w:val="0"/>
          <w:sz w:val="24"/>
          <w:szCs w:val="24"/>
          <w:lang w:eastAsia="fr-FR"/>
        </w:rPr>
      </w:r>
    </w:p>
    <w:p w14:paraId="3295AFA3" w14:textId="518B2EA7">
      <w:pPr>
        <w:pStyle w:val="904"/>
        <w:pBdr/>
        <w:tabs>
          <w:tab w:val="right" w:leader="dot" w:pos="9062"/>
        </w:tabs>
        <w:spacing/>
        <w:ind/>
        <w:rPr>
          <w:rFonts w:eastAsiaTheme="minorEastAsia"/>
          <w:smallCaps w:val="0"/>
          <w:sz w:val="24"/>
          <w:szCs w:val="24"/>
          <w:lang w:eastAsia="fr-FR"/>
        </w:rPr>
      </w:pPr>
      <w:r/>
      <w:hyperlink w:tooltip="#_Toc222407094" w:anchor="_Toc222407094" w:history="1">
        <w:r>
          <w:rPr>
            <w:rStyle w:val="913"/>
            <w:rFonts w:ascii="Calibri" w:hAnsi="Calibri" w:cs="Calibri"/>
            <w:b/>
            <w:bCs/>
          </w:rPr>
          <w:t xml:space="preserve">ARTICLE 12 – Personnel assujetti</w:t>
        </w:r>
        <w:r>
          <w:tab/>
        </w:r>
        <w:r>
          <w:fldChar w:fldCharType="begin"/>
        </w:r>
        <w:r>
          <w:instrText xml:space="preserve"> PAGEREF _Toc222407094 \h </w:instrText>
        </w:r>
        <w:r>
          <w:fldChar w:fldCharType="separate"/>
        </w:r>
        <w:r>
          <w:t xml:space="preserve">9</w:t>
        </w:r>
        <w:r>
          <w:fldChar w:fldCharType="end"/>
        </w:r>
      </w:hyperlink>
      <w:r>
        <w:rPr>
          <w:rFonts w:eastAsiaTheme="minorEastAsia"/>
          <w:smallCaps w:val="0"/>
          <w:sz w:val="24"/>
          <w:szCs w:val="24"/>
          <w:lang w:eastAsia="fr-FR"/>
        </w:rPr>
      </w:r>
      <w:r>
        <w:rPr>
          <w:rFonts w:eastAsiaTheme="minorEastAsia"/>
          <w:smallCaps w:val="0"/>
          <w:sz w:val="24"/>
          <w:szCs w:val="24"/>
          <w:lang w:eastAsia="fr-FR"/>
        </w:rPr>
      </w:r>
    </w:p>
    <w:p w14:paraId="337FC081" w14:textId="3328AAD4">
      <w:pPr>
        <w:pStyle w:val="904"/>
        <w:pBdr/>
        <w:tabs>
          <w:tab w:val="right" w:leader="dot" w:pos="9062"/>
        </w:tabs>
        <w:spacing/>
        <w:ind/>
        <w:rPr>
          <w:rFonts w:eastAsiaTheme="minorEastAsia"/>
          <w:smallCaps w:val="0"/>
          <w:sz w:val="24"/>
          <w:szCs w:val="24"/>
          <w:lang w:eastAsia="fr-FR"/>
        </w:rPr>
      </w:pPr>
      <w:r/>
      <w:hyperlink w:tooltip="#_Toc222407095" w:anchor="_Toc222407095" w:history="1">
        <w:r>
          <w:rPr>
            <w:rStyle w:val="913"/>
            <w:rFonts w:ascii="Calibri" w:hAnsi="Calibri" w:cs="Calibri"/>
            <w:b/>
            <w:bCs/>
          </w:rPr>
          <w:t xml:space="preserve">ARTICLE 13 – Période de référence</w:t>
        </w:r>
        <w:r>
          <w:tab/>
        </w:r>
        <w:r>
          <w:fldChar w:fldCharType="begin"/>
        </w:r>
        <w:r>
          <w:instrText xml:space="preserve"> PAGEREF _Toc222407095 \h </w:instrText>
        </w:r>
        <w:r>
          <w:fldChar w:fldCharType="separate"/>
        </w:r>
        <w:r>
          <w:t xml:space="preserve">9</w:t>
        </w:r>
        <w:r>
          <w:fldChar w:fldCharType="end"/>
        </w:r>
      </w:hyperlink>
      <w:r>
        <w:rPr>
          <w:rFonts w:eastAsiaTheme="minorEastAsia"/>
          <w:smallCaps w:val="0"/>
          <w:sz w:val="24"/>
          <w:szCs w:val="24"/>
          <w:lang w:eastAsia="fr-FR"/>
        </w:rPr>
      </w:r>
      <w:r>
        <w:rPr>
          <w:rFonts w:eastAsiaTheme="minorEastAsia"/>
          <w:smallCaps w:val="0"/>
          <w:sz w:val="24"/>
          <w:szCs w:val="24"/>
          <w:lang w:eastAsia="fr-FR"/>
        </w:rPr>
      </w:r>
    </w:p>
    <w:p w14:paraId="4708E8DC" w14:textId="1C866E6E">
      <w:pPr>
        <w:pStyle w:val="904"/>
        <w:pBdr/>
        <w:tabs>
          <w:tab w:val="right" w:leader="dot" w:pos="9062"/>
        </w:tabs>
        <w:spacing/>
        <w:ind/>
        <w:rPr>
          <w:rFonts w:eastAsiaTheme="minorEastAsia"/>
          <w:smallCaps w:val="0"/>
          <w:sz w:val="24"/>
          <w:szCs w:val="24"/>
          <w:lang w:eastAsia="fr-FR"/>
        </w:rPr>
      </w:pPr>
      <w:r/>
      <w:hyperlink w:tooltip="#_Toc222407096" w:anchor="_Toc222407096" w:history="1">
        <w:r>
          <w:rPr>
            <w:rStyle w:val="913"/>
            <w:rFonts w:ascii="Calibri" w:hAnsi="Calibri" w:cs="Calibri"/>
            <w:b/>
            <w:bCs/>
          </w:rPr>
          <w:t xml:space="preserve">ARTICLE 14 – Répartition de la durée du travail sur le mois</w:t>
        </w:r>
        <w:r>
          <w:tab/>
        </w:r>
        <w:r>
          <w:fldChar w:fldCharType="begin"/>
        </w:r>
        <w:r>
          <w:instrText xml:space="preserve"> PAGEREF _Toc222407096 \h </w:instrText>
        </w:r>
        <w:r>
          <w:fldChar w:fldCharType="separate"/>
        </w:r>
        <w:r>
          <w:t xml:space="preserve">9</w:t>
        </w:r>
        <w:r>
          <w:fldChar w:fldCharType="end"/>
        </w:r>
      </w:hyperlink>
      <w:r>
        <w:rPr>
          <w:rFonts w:eastAsiaTheme="minorEastAsia"/>
          <w:smallCaps w:val="0"/>
          <w:sz w:val="24"/>
          <w:szCs w:val="24"/>
          <w:lang w:eastAsia="fr-FR"/>
        </w:rPr>
      </w:r>
      <w:r>
        <w:rPr>
          <w:rFonts w:eastAsiaTheme="minorEastAsia"/>
          <w:smallCaps w:val="0"/>
          <w:sz w:val="24"/>
          <w:szCs w:val="24"/>
          <w:lang w:eastAsia="fr-FR"/>
        </w:rPr>
      </w:r>
    </w:p>
    <w:p w14:paraId="3BDA0B27" w14:textId="7FB09426">
      <w:pPr>
        <w:pStyle w:val="904"/>
        <w:pBdr/>
        <w:tabs>
          <w:tab w:val="right" w:leader="dot" w:pos="9062"/>
        </w:tabs>
        <w:spacing/>
        <w:ind/>
        <w:rPr>
          <w:rFonts w:eastAsiaTheme="minorEastAsia"/>
          <w:smallCaps w:val="0"/>
          <w:sz w:val="24"/>
          <w:szCs w:val="24"/>
          <w:lang w:eastAsia="fr-FR"/>
        </w:rPr>
      </w:pPr>
      <w:r/>
      <w:hyperlink w:tooltip="#_Toc222407097" w:anchor="_Toc222407097" w:history="1">
        <w:r>
          <w:rPr>
            <w:rStyle w:val="913"/>
            <w:rFonts w:ascii="Calibri" w:hAnsi="Calibri" w:cs="Calibri"/>
            <w:b/>
            <w:bCs/>
          </w:rPr>
          <w:t xml:space="preserve">ARTICLE 15 – Conditions et délais de prévenance des changements de durée ou d’horaires de travail</w:t>
        </w:r>
        <w:r>
          <w:tab/>
        </w:r>
        <w:r>
          <w:fldChar w:fldCharType="begin"/>
        </w:r>
        <w:r>
          <w:instrText xml:space="preserve"> PAGEREF _Toc222407097 \h </w:instrText>
        </w:r>
        <w:r>
          <w:fldChar w:fldCharType="separate"/>
        </w:r>
        <w:r>
          <w:t xml:space="preserve">9</w:t>
        </w:r>
        <w:r>
          <w:fldChar w:fldCharType="end"/>
        </w:r>
      </w:hyperlink>
      <w:r>
        <w:rPr>
          <w:rFonts w:eastAsiaTheme="minorEastAsia"/>
          <w:smallCaps w:val="0"/>
          <w:sz w:val="24"/>
          <w:szCs w:val="24"/>
          <w:lang w:eastAsia="fr-FR"/>
        </w:rPr>
      </w:r>
      <w:r>
        <w:rPr>
          <w:rFonts w:eastAsiaTheme="minorEastAsia"/>
          <w:smallCaps w:val="0"/>
          <w:sz w:val="24"/>
          <w:szCs w:val="24"/>
          <w:lang w:eastAsia="fr-FR"/>
        </w:rPr>
      </w:r>
    </w:p>
    <w:p w14:paraId="36EA98BB" w14:textId="43E0E8D1">
      <w:pPr>
        <w:pStyle w:val="904"/>
        <w:pBdr/>
        <w:tabs>
          <w:tab w:val="right" w:leader="dot" w:pos="9062"/>
        </w:tabs>
        <w:spacing/>
        <w:ind/>
        <w:rPr>
          <w:rFonts w:eastAsiaTheme="minorEastAsia"/>
          <w:smallCaps w:val="0"/>
          <w:sz w:val="24"/>
          <w:szCs w:val="24"/>
          <w:lang w:eastAsia="fr-FR"/>
        </w:rPr>
      </w:pPr>
      <w:r/>
      <w:hyperlink w:tooltip="#_Toc222407098" w:anchor="_Toc222407098" w:history="1">
        <w:r>
          <w:rPr>
            <w:rStyle w:val="913"/>
            <w:rFonts w:ascii="Calibri" w:hAnsi="Calibri" w:cs="Calibri"/>
            <w:b/>
            <w:bCs/>
          </w:rPr>
          <w:t xml:space="preserve">ARTICLE 16 – Heures supplémentaires</w:t>
        </w:r>
        <w:r>
          <w:tab/>
        </w:r>
        <w:r>
          <w:fldChar w:fldCharType="begin"/>
        </w:r>
        <w:r>
          <w:instrText xml:space="preserve"> PAGEREF _Toc222407098 \h </w:instrText>
        </w:r>
        <w:r>
          <w:fldChar w:fldCharType="separate"/>
        </w:r>
        <w:r>
          <w:t xml:space="preserve">10</w:t>
        </w:r>
        <w:r>
          <w:fldChar w:fldCharType="end"/>
        </w:r>
      </w:hyperlink>
      <w:r>
        <w:rPr>
          <w:rFonts w:eastAsiaTheme="minorEastAsia"/>
          <w:smallCaps w:val="0"/>
          <w:sz w:val="24"/>
          <w:szCs w:val="24"/>
          <w:lang w:eastAsia="fr-FR"/>
        </w:rPr>
      </w:r>
      <w:r>
        <w:rPr>
          <w:rFonts w:eastAsiaTheme="minorEastAsia"/>
          <w:smallCaps w:val="0"/>
          <w:sz w:val="24"/>
          <w:szCs w:val="24"/>
          <w:lang w:eastAsia="fr-FR"/>
        </w:rPr>
      </w:r>
    </w:p>
    <w:p w14:paraId="60F2154C" w14:textId="768D2259">
      <w:pPr>
        <w:pStyle w:val="904"/>
        <w:pBdr/>
        <w:tabs>
          <w:tab w:val="right" w:leader="dot" w:pos="9062"/>
        </w:tabs>
        <w:spacing/>
        <w:ind/>
        <w:rPr>
          <w:rFonts w:eastAsiaTheme="minorEastAsia"/>
          <w:smallCaps w:val="0"/>
          <w:sz w:val="24"/>
          <w:szCs w:val="24"/>
          <w:lang w:eastAsia="fr-FR"/>
        </w:rPr>
      </w:pPr>
      <w:r/>
      <w:hyperlink w:tooltip="#_Toc222407099" w:anchor="_Toc222407099" w:history="1">
        <w:r>
          <w:rPr>
            <w:rStyle w:val="913"/>
            <w:rFonts w:ascii="Calibri" w:hAnsi="Calibri" w:cs="Calibri"/>
            <w:b/>
            <w:bCs/>
          </w:rPr>
          <w:t xml:space="preserve">16.1. Décompte des heures supplémentaires</w:t>
        </w:r>
        <w:r>
          <w:tab/>
        </w:r>
        <w:r>
          <w:fldChar w:fldCharType="begin"/>
        </w:r>
        <w:r>
          <w:instrText xml:space="preserve"> PAGEREF _Toc222407099 \h </w:instrText>
        </w:r>
        <w:r>
          <w:fldChar w:fldCharType="separate"/>
        </w:r>
        <w:r>
          <w:t xml:space="preserve">10</w:t>
        </w:r>
        <w:r>
          <w:fldChar w:fldCharType="end"/>
        </w:r>
      </w:hyperlink>
      <w:r>
        <w:rPr>
          <w:rFonts w:eastAsiaTheme="minorEastAsia"/>
          <w:smallCaps w:val="0"/>
          <w:sz w:val="24"/>
          <w:szCs w:val="24"/>
          <w:lang w:eastAsia="fr-FR"/>
        </w:rPr>
      </w:r>
      <w:r>
        <w:rPr>
          <w:rFonts w:eastAsiaTheme="minorEastAsia"/>
          <w:smallCaps w:val="0"/>
          <w:sz w:val="24"/>
          <w:szCs w:val="24"/>
          <w:lang w:eastAsia="fr-FR"/>
        </w:rPr>
      </w:r>
    </w:p>
    <w:p w14:paraId="4227FCDF" w14:textId="7F973E00">
      <w:pPr>
        <w:pStyle w:val="904"/>
        <w:pBdr/>
        <w:tabs>
          <w:tab w:val="right" w:leader="dot" w:pos="9062"/>
        </w:tabs>
        <w:spacing/>
        <w:ind/>
        <w:rPr>
          <w:rFonts w:eastAsiaTheme="minorEastAsia"/>
          <w:smallCaps w:val="0"/>
          <w:sz w:val="24"/>
          <w:szCs w:val="24"/>
          <w:lang w:eastAsia="fr-FR"/>
        </w:rPr>
      </w:pPr>
      <w:r/>
      <w:hyperlink w:tooltip="#_Toc222407100" w:anchor="_Toc222407100" w:history="1">
        <w:r>
          <w:rPr>
            <w:rStyle w:val="913"/>
            <w:rFonts w:ascii="Calibri" w:hAnsi="Calibri" w:cs="Calibri"/>
            <w:b/>
            <w:bCs/>
          </w:rPr>
          <w:t xml:space="preserve">16.2. Paiement des heures supplémentaires</w:t>
        </w:r>
        <w:r>
          <w:tab/>
        </w:r>
        <w:r>
          <w:fldChar w:fldCharType="begin"/>
        </w:r>
        <w:r>
          <w:instrText xml:space="preserve"> PAGEREF _Toc222407100 \h </w:instrText>
        </w:r>
        <w:r>
          <w:fldChar w:fldCharType="separate"/>
        </w:r>
        <w:r>
          <w:t xml:space="preserve">10</w:t>
        </w:r>
        <w:r>
          <w:fldChar w:fldCharType="end"/>
        </w:r>
      </w:hyperlink>
      <w:r>
        <w:rPr>
          <w:rFonts w:eastAsiaTheme="minorEastAsia"/>
          <w:smallCaps w:val="0"/>
          <w:sz w:val="24"/>
          <w:szCs w:val="24"/>
          <w:lang w:eastAsia="fr-FR"/>
        </w:rPr>
      </w:r>
      <w:r>
        <w:rPr>
          <w:rFonts w:eastAsiaTheme="minorEastAsia"/>
          <w:smallCaps w:val="0"/>
          <w:sz w:val="24"/>
          <w:szCs w:val="24"/>
          <w:lang w:eastAsia="fr-FR"/>
        </w:rPr>
      </w:r>
    </w:p>
    <w:p w14:paraId="131CBEF2" w14:textId="75B7E62F">
      <w:pPr>
        <w:pStyle w:val="904"/>
        <w:pBdr/>
        <w:tabs>
          <w:tab w:val="right" w:leader="dot" w:pos="9062"/>
        </w:tabs>
        <w:spacing/>
        <w:ind/>
        <w:rPr>
          <w:rFonts w:eastAsiaTheme="minorEastAsia"/>
          <w:smallCaps w:val="0"/>
          <w:sz w:val="24"/>
          <w:szCs w:val="24"/>
          <w:lang w:eastAsia="fr-FR"/>
        </w:rPr>
      </w:pPr>
      <w:r/>
      <w:hyperlink w:tooltip="#_Toc222407101" w:anchor="_Toc222407101" w:history="1">
        <w:r>
          <w:rPr>
            <w:rStyle w:val="913"/>
            <w:rFonts w:ascii="Calibri" w:hAnsi="Calibri" w:cs="Calibri"/>
            <w:b/>
            <w:bCs/>
          </w:rPr>
          <w:t xml:space="preserve">ARTICLE 17 – Conditions de prise en compte des absences sur la rémunération</w:t>
        </w:r>
        <w:r>
          <w:tab/>
        </w:r>
        <w:r>
          <w:fldChar w:fldCharType="begin"/>
        </w:r>
        <w:r>
          <w:instrText xml:space="preserve"> PAGEREF _Toc222407101 \h </w:instrText>
        </w:r>
        <w:r>
          <w:fldChar w:fldCharType="separate"/>
        </w:r>
        <w:r>
          <w:t xml:space="preserve">10</w:t>
        </w:r>
        <w:r>
          <w:fldChar w:fldCharType="end"/>
        </w:r>
      </w:hyperlink>
      <w:r>
        <w:rPr>
          <w:rFonts w:eastAsiaTheme="minorEastAsia"/>
          <w:smallCaps w:val="0"/>
          <w:sz w:val="24"/>
          <w:szCs w:val="24"/>
          <w:lang w:eastAsia="fr-FR"/>
        </w:rPr>
      </w:r>
      <w:r>
        <w:rPr>
          <w:rFonts w:eastAsiaTheme="minorEastAsia"/>
          <w:smallCaps w:val="0"/>
          <w:sz w:val="24"/>
          <w:szCs w:val="24"/>
          <w:lang w:eastAsia="fr-FR"/>
        </w:rPr>
      </w:r>
    </w:p>
    <w:p w14:paraId="50D60BC6" w14:textId="34DA45A5">
      <w:pPr>
        <w:pStyle w:val="904"/>
        <w:pBdr/>
        <w:tabs>
          <w:tab w:val="right" w:leader="dot" w:pos="9062"/>
        </w:tabs>
        <w:spacing/>
        <w:ind/>
        <w:rPr>
          <w:rFonts w:eastAsiaTheme="minorEastAsia"/>
          <w:smallCaps w:val="0"/>
          <w:sz w:val="24"/>
          <w:szCs w:val="24"/>
          <w:lang w:eastAsia="fr-FR"/>
        </w:rPr>
      </w:pPr>
      <w:r/>
      <w:hyperlink w:tooltip="#_Toc222407102" w:anchor="_Toc222407102" w:history="1">
        <w:r>
          <w:rPr>
            <w:rStyle w:val="913"/>
            <w:rFonts w:ascii="Calibri" w:hAnsi="Calibri" w:cs="Calibri"/>
            <w:b/>
            <w:bCs/>
          </w:rPr>
          <w:t xml:space="preserve">ARTICLE 18 – Conditions de prise en compte des embauches ou ruptures de contrat de travail sur la rémunération</w:t>
        </w:r>
        <w:r>
          <w:tab/>
        </w:r>
        <w:r>
          <w:fldChar w:fldCharType="begin"/>
        </w:r>
        <w:r>
          <w:instrText xml:space="preserve"> PAGEREF _Toc222407102 \h </w:instrText>
        </w:r>
        <w:r>
          <w:fldChar w:fldCharType="separate"/>
        </w:r>
        <w:r>
          <w:t xml:space="preserve">11</w:t>
        </w:r>
        <w:r>
          <w:fldChar w:fldCharType="end"/>
        </w:r>
      </w:hyperlink>
      <w:r>
        <w:rPr>
          <w:rFonts w:eastAsiaTheme="minorEastAsia"/>
          <w:smallCaps w:val="0"/>
          <w:sz w:val="24"/>
          <w:szCs w:val="24"/>
          <w:lang w:eastAsia="fr-FR"/>
        </w:rPr>
      </w:r>
      <w:r>
        <w:rPr>
          <w:rFonts w:eastAsiaTheme="minorEastAsia"/>
          <w:smallCaps w:val="0"/>
          <w:sz w:val="24"/>
          <w:szCs w:val="24"/>
          <w:lang w:eastAsia="fr-FR"/>
        </w:rPr>
      </w:r>
    </w:p>
    <w:p w14:paraId="3E8E9E2B" w14:textId="29D20B64">
      <w:pPr>
        <w:pStyle w:val="904"/>
        <w:pBdr/>
        <w:tabs>
          <w:tab w:val="right" w:leader="dot" w:pos="9062"/>
        </w:tabs>
        <w:spacing/>
        <w:ind/>
        <w:rPr>
          <w:rFonts w:eastAsiaTheme="minorEastAsia"/>
          <w:smallCaps w:val="0"/>
          <w:sz w:val="24"/>
          <w:szCs w:val="24"/>
          <w:lang w:eastAsia="fr-FR"/>
        </w:rPr>
      </w:pPr>
      <w:r/>
      <w:hyperlink w:tooltip="#_Toc222407103" w:anchor="_Toc222407103" w:history="1">
        <w:r>
          <w:rPr>
            <w:rStyle w:val="913"/>
            <w:rFonts w:ascii="Calibri" w:hAnsi="Calibri" w:cs="Calibri"/>
            <w:b/>
            <w:bCs/>
          </w:rPr>
          <w:t xml:space="preserve">ARTICLE 19 – Incidences des absences sur la rémunération</w:t>
        </w:r>
        <w:r>
          <w:tab/>
        </w:r>
        <w:r>
          <w:fldChar w:fldCharType="begin"/>
        </w:r>
        <w:r>
          <w:instrText xml:space="preserve"> PAGEREF _Toc222407103 \h </w:instrText>
        </w:r>
        <w:r>
          <w:fldChar w:fldCharType="separate"/>
        </w:r>
        <w:r>
          <w:t xml:space="preserve">11</w:t>
        </w:r>
        <w:r>
          <w:fldChar w:fldCharType="end"/>
        </w:r>
      </w:hyperlink>
      <w:r>
        <w:rPr>
          <w:rFonts w:eastAsiaTheme="minorEastAsia"/>
          <w:smallCaps w:val="0"/>
          <w:sz w:val="24"/>
          <w:szCs w:val="24"/>
          <w:lang w:eastAsia="fr-FR"/>
        </w:rPr>
      </w:r>
      <w:r>
        <w:rPr>
          <w:rFonts w:eastAsiaTheme="minorEastAsia"/>
          <w:smallCaps w:val="0"/>
          <w:sz w:val="24"/>
          <w:szCs w:val="24"/>
          <w:lang w:eastAsia="fr-FR"/>
        </w:rPr>
      </w:r>
    </w:p>
    <w:p w14:paraId="0056BF67" w14:textId="320F0F07">
      <w:pPr>
        <w:pStyle w:val="903"/>
        <w:pBdr/>
        <w:tabs>
          <w:tab w:val="right" w:leader="dot" w:pos="9062"/>
        </w:tabs>
        <w:spacing/>
        <w:ind/>
        <w:rPr>
          <w:rFonts w:eastAsiaTheme="minorEastAsia"/>
          <w:b w:val="0"/>
          <w:bCs w:val="0"/>
          <w:caps w:val="0"/>
          <w:sz w:val="24"/>
          <w:szCs w:val="24"/>
          <w:lang w:eastAsia="fr-FR"/>
        </w:rPr>
      </w:pPr>
      <w:r/>
      <w:hyperlink w:tooltip="#_Toc222407104" w:anchor="_Toc222407104" w:history="1">
        <w:r>
          <w:rPr>
            <w:rStyle w:val="913"/>
            <w:rFonts w:ascii="Calibri" w:hAnsi="Calibri" w:cs="Calibri"/>
          </w:rPr>
          <w:t xml:space="preserve">CHAPITRE 4 : CONVENTION DE FORFAIT ANNUEL EN JOURS</w:t>
        </w:r>
        <w:r>
          <w:tab/>
        </w:r>
        <w:r>
          <w:fldChar w:fldCharType="begin"/>
        </w:r>
        <w:r>
          <w:instrText xml:space="preserve"> PAGEREF _Toc222407104 \h </w:instrText>
        </w:r>
        <w:r>
          <w:fldChar w:fldCharType="separate"/>
        </w:r>
        <w:r>
          <w:t xml:space="preserve">13</w:t>
        </w:r>
        <w:r>
          <w:fldChar w:fldCharType="end"/>
        </w:r>
      </w:hyperlink>
      <w:r>
        <w:rPr>
          <w:rFonts w:eastAsiaTheme="minorEastAsia"/>
          <w:b w:val="0"/>
          <w:bCs w:val="0"/>
          <w:caps w:val="0"/>
          <w:sz w:val="24"/>
          <w:szCs w:val="24"/>
          <w:lang w:eastAsia="fr-FR"/>
        </w:rPr>
      </w:r>
      <w:r>
        <w:rPr>
          <w:rFonts w:eastAsiaTheme="minorEastAsia"/>
          <w:b w:val="0"/>
          <w:bCs w:val="0"/>
          <w:caps w:val="0"/>
          <w:sz w:val="24"/>
          <w:szCs w:val="24"/>
          <w:lang w:eastAsia="fr-FR"/>
        </w:rPr>
      </w:r>
    </w:p>
    <w:p w14:paraId="1AF9757D" w14:textId="1BA7DC7C">
      <w:pPr>
        <w:pStyle w:val="904"/>
        <w:pBdr/>
        <w:tabs>
          <w:tab w:val="right" w:leader="dot" w:pos="9062"/>
        </w:tabs>
        <w:spacing/>
        <w:ind/>
        <w:rPr>
          <w:rFonts w:eastAsiaTheme="minorEastAsia"/>
          <w:smallCaps w:val="0"/>
          <w:sz w:val="24"/>
          <w:szCs w:val="24"/>
          <w:lang w:eastAsia="fr-FR"/>
        </w:rPr>
      </w:pPr>
      <w:r/>
      <w:hyperlink w:tooltip="#_Toc222407105" w:anchor="_Toc222407105" w:history="1">
        <w:r>
          <w:rPr>
            <w:rStyle w:val="913"/>
            <w:rFonts w:ascii="Calibri" w:hAnsi="Calibri" w:cs="Calibri"/>
            <w:b/>
            <w:bCs/>
          </w:rPr>
          <w:t xml:space="preserve">ARTICLE 20 – Personnel assujetti</w:t>
        </w:r>
        <w:r>
          <w:tab/>
        </w:r>
        <w:r>
          <w:fldChar w:fldCharType="begin"/>
        </w:r>
        <w:r>
          <w:instrText xml:space="preserve"> PAGEREF _Toc222407105 \h </w:instrText>
        </w:r>
        <w:r>
          <w:fldChar w:fldCharType="separate"/>
        </w:r>
        <w:r>
          <w:t xml:space="preserve">13</w:t>
        </w:r>
        <w:r>
          <w:fldChar w:fldCharType="end"/>
        </w:r>
      </w:hyperlink>
      <w:r>
        <w:rPr>
          <w:rFonts w:eastAsiaTheme="minorEastAsia"/>
          <w:smallCaps w:val="0"/>
          <w:sz w:val="24"/>
          <w:szCs w:val="24"/>
          <w:lang w:eastAsia="fr-FR"/>
        </w:rPr>
      </w:r>
      <w:r>
        <w:rPr>
          <w:rFonts w:eastAsiaTheme="minorEastAsia"/>
          <w:smallCaps w:val="0"/>
          <w:sz w:val="24"/>
          <w:szCs w:val="24"/>
          <w:lang w:eastAsia="fr-FR"/>
        </w:rPr>
      </w:r>
    </w:p>
    <w:p w14:paraId="6F1CF02F" w14:textId="633A80C8">
      <w:pPr>
        <w:pStyle w:val="904"/>
        <w:pBdr/>
        <w:tabs>
          <w:tab w:val="right" w:leader="dot" w:pos="9062"/>
        </w:tabs>
        <w:spacing/>
        <w:ind/>
        <w:rPr>
          <w:rFonts w:eastAsiaTheme="minorEastAsia"/>
          <w:smallCaps w:val="0"/>
          <w:sz w:val="24"/>
          <w:szCs w:val="24"/>
          <w:lang w:eastAsia="fr-FR"/>
        </w:rPr>
      </w:pPr>
      <w:r/>
      <w:hyperlink w:tooltip="#_Toc222407106" w:anchor="_Toc222407106" w:history="1">
        <w:r>
          <w:rPr>
            <w:rStyle w:val="913"/>
            <w:rFonts w:ascii="Calibri" w:hAnsi="Calibri" w:cs="Calibri"/>
            <w:b/>
            <w:bCs/>
          </w:rPr>
          <w:t xml:space="preserve">ARTICLE 21 - Mise en place du forfait</w:t>
        </w:r>
        <w:r>
          <w:tab/>
        </w:r>
        <w:r>
          <w:fldChar w:fldCharType="begin"/>
        </w:r>
        <w:r>
          <w:instrText xml:space="preserve"> PAGEREF _Toc222407106 \h </w:instrText>
        </w:r>
        <w:r>
          <w:fldChar w:fldCharType="separate"/>
        </w:r>
        <w:r>
          <w:t xml:space="preserve">13</w:t>
        </w:r>
        <w:r>
          <w:fldChar w:fldCharType="end"/>
        </w:r>
      </w:hyperlink>
      <w:r>
        <w:rPr>
          <w:rFonts w:eastAsiaTheme="minorEastAsia"/>
          <w:smallCaps w:val="0"/>
          <w:sz w:val="24"/>
          <w:szCs w:val="24"/>
          <w:lang w:eastAsia="fr-FR"/>
        </w:rPr>
      </w:r>
      <w:r>
        <w:rPr>
          <w:rFonts w:eastAsiaTheme="minorEastAsia"/>
          <w:smallCaps w:val="0"/>
          <w:sz w:val="24"/>
          <w:szCs w:val="24"/>
          <w:lang w:eastAsia="fr-FR"/>
        </w:rPr>
      </w:r>
    </w:p>
    <w:p w14:paraId="44373701" w14:textId="6E822138">
      <w:pPr>
        <w:pStyle w:val="904"/>
        <w:pBdr/>
        <w:tabs>
          <w:tab w:val="right" w:leader="dot" w:pos="9062"/>
        </w:tabs>
        <w:spacing/>
        <w:ind/>
        <w:rPr>
          <w:rFonts w:eastAsiaTheme="minorEastAsia"/>
          <w:smallCaps w:val="0"/>
          <w:sz w:val="24"/>
          <w:szCs w:val="24"/>
          <w:lang w:eastAsia="fr-FR"/>
        </w:rPr>
      </w:pPr>
      <w:r/>
      <w:hyperlink w:tooltip="#_Toc222407107" w:anchor="_Toc222407107" w:history="1">
        <w:r>
          <w:rPr>
            <w:rStyle w:val="913"/>
            <w:rFonts w:ascii="Calibri" w:hAnsi="Calibri" w:cs="Calibri"/>
            <w:b/>
            <w:bCs/>
          </w:rPr>
          <w:t xml:space="preserve">ARTICLE 22 – Fonctionnement du forfait en jours</w:t>
        </w:r>
        <w:r>
          <w:tab/>
        </w:r>
        <w:r>
          <w:fldChar w:fldCharType="begin"/>
        </w:r>
        <w:r>
          <w:instrText xml:space="preserve"> PAGEREF _Toc222407107 \h </w:instrText>
        </w:r>
        <w:r>
          <w:fldChar w:fldCharType="separate"/>
        </w:r>
        <w:r>
          <w:t xml:space="preserve">13</w:t>
        </w:r>
        <w:r>
          <w:fldChar w:fldCharType="end"/>
        </w:r>
      </w:hyperlink>
      <w:r>
        <w:rPr>
          <w:rFonts w:eastAsiaTheme="minorEastAsia"/>
          <w:smallCaps w:val="0"/>
          <w:sz w:val="24"/>
          <w:szCs w:val="24"/>
          <w:lang w:eastAsia="fr-FR"/>
        </w:rPr>
      </w:r>
      <w:r>
        <w:rPr>
          <w:rFonts w:eastAsiaTheme="minorEastAsia"/>
          <w:smallCaps w:val="0"/>
          <w:sz w:val="24"/>
          <w:szCs w:val="24"/>
          <w:lang w:eastAsia="fr-FR"/>
        </w:rPr>
      </w:r>
    </w:p>
    <w:p w14:paraId="15460BFD" w14:textId="135C5437">
      <w:pPr>
        <w:pStyle w:val="905"/>
        <w:pBdr/>
        <w:tabs>
          <w:tab w:val="right" w:leader="dot" w:pos="9062"/>
        </w:tabs>
        <w:spacing/>
        <w:ind/>
        <w:rPr>
          <w:rFonts w:eastAsiaTheme="minorEastAsia"/>
          <w:i w:val="0"/>
          <w:iCs w:val="0"/>
          <w:sz w:val="24"/>
          <w:szCs w:val="24"/>
          <w:lang w:eastAsia="fr-FR"/>
        </w:rPr>
      </w:pPr>
      <w:r/>
      <w:hyperlink w:tooltip="#_Toc222407108" w:anchor="_Toc222407108" w:history="1">
        <w:r>
          <w:rPr>
            <w:rStyle w:val="913"/>
            <w:rFonts w:ascii="Calibri" w:hAnsi="Calibri" w:cs="Calibri"/>
            <w:b/>
            <w:bCs/>
          </w:rPr>
          <w:t xml:space="preserve">22.1. Période annuelle de référence du forfait</w:t>
        </w:r>
        <w:r>
          <w:tab/>
        </w:r>
        <w:r>
          <w:fldChar w:fldCharType="begin"/>
        </w:r>
        <w:r>
          <w:instrText xml:space="preserve"> PAGEREF _Toc222407108 \h </w:instrText>
        </w:r>
        <w:r>
          <w:fldChar w:fldCharType="separate"/>
        </w:r>
        <w:r>
          <w:t xml:space="preserve">13</w:t>
        </w:r>
        <w:r>
          <w:fldChar w:fldCharType="end"/>
        </w:r>
      </w:hyperlink>
      <w:r>
        <w:rPr>
          <w:rFonts w:eastAsiaTheme="minorEastAsia"/>
          <w:i w:val="0"/>
          <w:iCs w:val="0"/>
          <w:sz w:val="24"/>
          <w:szCs w:val="24"/>
          <w:lang w:eastAsia="fr-FR"/>
        </w:rPr>
      </w:r>
      <w:r>
        <w:rPr>
          <w:rFonts w:eastAsiaTheme="minorEastAsia"/>
          <w:i w:val="0"/>
          <w:iCs w:val="0"/>
          <w:sz w:val="24"/>
          <w:szCs w:val="24"/>
          <w:lang w:eastAsia="fr-FR"/>
        </w:rPr>
      </w:r>
    </w:p>
    <w:p w14:paraId="3B46AE98" w14:textId="16E23C9A">
      <w:pPr>
        <w:pStyle w:val="905"/>
        <w:pBdr/>
        <w:tabs>
          <w:tab w:val="right" w:leader="dot" w:pos="9062"/>
        </w:tabs>
        <w:spacing/>
        <w:ind/>
        <w:rPr>
          <w:rFonts w:eastAsiaTheme="minorEastAsia"/>
          <w:i w:val="0"/>
          <w:iCs w:val="0"/>
          <w:sz w:val="24"/>
          <w:szCs w:val="24"/>
          <w:lang w:eastAsia="fr-FR"/>
        </w:rPr>
      </w:pPr>
      <w:r/>
      <w:hyperlink w:tooltip="#_Toc222407109" w:anchor="_Toc222407109" w:history="1">
        <w:r>
          <w:rPr>
            <w:rStyle w:val="913"/>
            <w:rFonts w:ascii="Calibri" w:hAnsi="Calibri" w:cs="Calibri"/>
            <w:b/>
            <w:bCs/>
          </w:rPr>
          <w:t xml:space="preserve">22.2. Volume du forfait annuel en jours</w:t>
        </w:r>
        <w:r>
          <w:tab/>
        </w:r>
        <w:r>
          <w:fldChar w:fldCharType="begin"/>
        </w:r>
        <w:r>
          <w:instrText xml:space="preserve"> PAGEREF _Toc222407109 \h </w:instrText>
        </w:r>
        <w:r>
          <w:fldChar w:fldCharType="separate"/>
        </w:r>
        <w:r>
          <w:t xml:space="preserve">13</w:t>
        </w:r>
        <w:r>
          <w:fldChar w:fldCharType="end"/>
        </w:r>
      </w:hyperlink>
      <w:r>
        <w:rPr>
          <w:rFonts w:eastAsiaTheme="minorEastAsia"/>
          <w:i w:val="0"/>
          <w:iCs w:val="0"/>
          <w:sz w:val="24"/>
          <w:szCs w:val="24"/>
          <w:lang w:eastAsia="fr-FR"/>
        </w:rPr>
      </w:r>
      <w:r>
        <w:rPr>
          <w:rFonts w:eastAsiaTheme="minorEastAsia"/>
          <w:i w:val="0"/>
          <w:iCs w:val="0"/>
          <w:sz w:val="24"/>
          <w:szCs w:val="24"/>
          <w:lang w:eastAsia="fr-FR"/>
        </w:rPr>
      </w:r>
    </w:p>
    <w:p w14:paraId="21A4D436" w14:textId="098D7CA9">
      <w:pPr>
        <w:pStyle w:val="905"/>
        <w:pBdr/>
        <w:tabs>
          <w:tab w:val="right" w:leader="dot" w:pos="9062"/>
        </w:tabs>
        <w:spacing/>
        <w:ind/>
        <w:rPr>
          <w:rFonts w:eastAsiaTheme="minorEastAsia"/>
          <w:i w:val="0"/>
          <w:iCs w:val="0"/>
          <w:sz w:val="24"/>
          <w:szCs w:val="24"/>
          <w:lang w:eastAsia="fr-FR"/>
        </w:rPr>
      </w:pPr>
      <w:r/>
      <w:hyperlink w:tooltip="#_Toc222407110" w:anchor="_Toc222407110" w:history="1">
        <w:r>
          <w:rPr>
            <w:rStyle w:val="913"/>
            <w:rFonts w:ascii="Calibri" w:hAnsi="Calibri" w:cs="Calibri"/>
            <w:b/>
            <w:bCs/>
          </w:rPr>
          <w:t xml:space="preserve">22.3. Jours de repos supplémentaires liés au forfait en jours</w:t>
        </w:r>
        <w:r>
          <w:tab/>
        </w:r>
        <w:r>
          <w:fldChar w:fldCharType="begin"/>
        </w:r>
        <w:r>
          <w:instrText xml:space="preserve"> PAGEREF _Toc222407110 \h </w:instrText>
        </w:r>
        <w:r>
          <w:fldChar w:fldCharType="separate"/>
        </w:r>
        <w:r>
          <w:t xml:space="preserve">13</w:t>
        </w:r>
        <w:r>
          <w:fldChar w:fldCharType="end"/>
        </w:r>
      </w:hyperlink>
      <w:r>
        <w:rPr>
          <w:rFonts w:eastAsiaTheme="minorEastAsia"/>
          <w:i w:val="0"/>
          <w:iCs w:val="0"/>
          <w:sz w:val="24"/>
          <w:szCs w:val="24"/>
          <w:lang w:eastAsia="fr-FR"/>
        </w:rPr>
      </w:r>
      <w:r>
        <w:rPr>
          <w:rFonts w:eastAsiaTheme="minorEastAsia"/>
          <w:i w:val="0"/>
          <w:iCs w:val="0"/>
          <w:sz w:val="24"/>
          <w:szCs w:val="24"/>
          <w:lang w:eastAsia="fr-FR"/>
        </w:rPr>
      </w:r>
    </w:p>
    <w:p w14:paraId="4B6DF109" w14:textId="1376CCBB">
      <w:pPr>
        <w:pStyle w:val="904"/>
        <w:pBdr/>
        <w:tabs>
          <w:tab w:val="right" w:leader="dot" w:pos="9062"/>
        </w:tabs>
        <w:spacing/>
        <w:ind/>
        <w:rPr>
          <w:rFonts w:eastAsiaTheme="minorEastAsia"/>
          <w:smallCaps w:val="0"/>
          <w:sz w:val="24"/>
          <w:szCs w:val="24"/>
          <w:lang w:eastAsia="fr-FR"/>
        </w:rPr>
      </w:pPr>
      <w:r/>
      <w:hyperlink w:tooltip="#_Toc222407111" w:anchor="_Toc222407111" w:history="1">
        <w:r>
          <w:rPr>
            <w:rStyle w:val="913"/>
            <w:rFonts w:ascii="Calibri" w:hAnsi="Calibri" w:cs="Calibri"/>
            <w:b/>
            <w:bCs/>
          </w:rPr>
          <w:t xml:space="preserve">ARTICLE  23 – Conséquences des absences, des entrées et des sorties en cours de période de référence sur le nombre de jours travaillés et le nombre de jours de repos supplémentaires</w:t>
        </w:r>
        <w:r>
          <w:tab/>
        </w:r>
        <w:r>
          <w:fldChar w:fldCharType="begin"/>
        </w:r>
        <w:r>
          <w:instrText xml:space="preserve"> PAGEREF _Toc222407111 \h </w:instrText>
        </w:r>
        <w:r>
          <w:fldChar w:fldCharType="separate"/>
        </w:r>
        <w:r>
          <w:t xml:space="preserve">14</w:t>
        </w:r>
        <w:r>
          <w:fldChar w:fldCharType="end"/>
        </w:r>
      </w:hyperlink>
      <w:r>
        <w:rPr>
          <w:rFonts w:eastAsiaTheme="minorEastAsia"/>
          <w:smallCaps w:val="0"/>
          <w:sz w:val="24"/>
          <w:szCs w:val="24"/>
          <w:lang w:eastAsia="fr-FR"/>
        </w:rPr>
      </w:r>
      <w:r>
        <w:rPr>
          <w:rFonts w:eastAsiaTheme="minorEastAsia"/>
          <w:smallCaps w:val="0"/>
          <w:sz w:val="24"/>
          <w:szCs w:val="24"/>
          <w:lang w:eastAsia="fr-FR"/>
        </w:rPr>
      </w:r>
    </w:p>
    <w:p w14:paraId="53C4C2CE" w14:textId="35F6769B">
      <w:pPr>
        <w:pStyle w:val="904"/>
        <w:pBdr/>
        <w:tabs>
          <w:tab w:val="right" w:leader="dot" w:pos="9062"/>
        </w:tabs>
        <w:spacing/>
        <w:ind/>
        <w:rPr>
          <w:rFonts w:eastAsiaTheme="minorEastAsia"/>
          <w:smallCaps w:val="0"/>
          <w:sz w:val="24"/>
          <w:szCs w:val="24"/>
          <w:lang w:eastAsia="fr-FR"/>
        </w:rPr>
      </w:pPr>
      <w:r/>
      <w:hyperlink w:tooltip="#_Toc222407112" w:anchor="_Toc222407112" w:history="1">
        <w:r>
          <w:rPr>
            <w:rStyle w:val="913"/>
            <w:rFonts w:ascii="Calibri" w:hAnsi="Calibri" w:cs="Calibri"/>
            <w:b/>
            <w:bCs/>
          </w:rPr>
          <w:t xml:space="preserve">ARTICLE 24 – Incidences des absences sur la rémunération</w:t>
        </w:r>
        <w:r>
          <w:tab/>
        </w:r>
        <w:r>
          <w:fldChar w:fldCharType="begin"/>
        </w:r>
        <w:r>
          <w:instrText xml:space="preserve"> PAGEREF _Toc222407112 \h </w:instrText>
        </w:r>
        <w:r>
          <w:fldChar w:fldCharType="separate"/>
        </w:r>
        <w:r>
          <w:t xml:space="preserve">15</w:t>
        </w:r>
        <w:r>
          <w:fldChar w:fldCharType="end"/>
        </w:r>
      </w:hyperlink>
      <w:r>
        <w:rPr>
          <w:rFonts w:eastAsiaTheme="minorEastAsia"/>
          <w:smallCaps w:val="0"/>
          <w:sz w:val="24"/>
          <w:szCs w:val="24"/>
          <w:lang w:eastAsia="fr-FR"/>
        </w:rPr>
      </w:r>
      <w:r>
        <w:rPr>
          <w:rFonts w:eastAsiaTheme="minorEastAsia"/>
          <w:smallCaps w:val="0"/>
          <w:sz w:val="24"/>
          <w:szCs w:val="24"/>
          <w:lang w:eastAsia="fr-FR"/>
        </w:rPr>
      </w:r>
    </w:p>
    <w:p w14:paraId="3E723F30" w14:textId="2DDAE398">
      <w:pPr>
        <w:pStyle w:val="904"/>
        <w:pBdr/>
        <w:tabs>
          <w:tab w:val="right" w:leader="dot" w:pos="9062"/>
        </w:tabs>
        <w:spacing/>
        <w:ind/>
        <w:rPr>
          <w:rFonts w:eastAsiaTheme="minorEastAsia"/>
          <w:smallCaps w:val="0"/>
          <w:sz w:val="24"/>
          <w:szCs w:val="24"/>
          <w:lang w:eastAsia="fr-FR"/>
        </w:rPr>
      </w:pPr>
      <w:r/>
      <w:hyperlink w:tooltip="#_Toc222407113" w:anchor="_Toc222407113" w:history="1">
        <w:r>
          <w:rPr>
            <w:rStyle w:val="913"/>
            <w:rFonts w:ascii="Calibri" w:hAnsi="Calibri" w:cs="Calibri"/>
            <w:b/>
            <w:bCs/>
          </w:rPr>
          <w:t xml:space="preserve">ARTICLE 25 – Organisation des jours de travail</w:t>
        </w:r>
        <w:r>
          <w:tab/>
        </w:r>
        <w:r>
          <w:fldChar w:fldCharType="begin"/>
        </w:r>
        <w:r>
          <w:instrText xml:space="preserve"> PAGEREF _Toc222407113 \h </w:instrText>
        </w:r>
        <w:r>
          <w:fldChar w:fldCharType="separate"/>
        </w:r>
        <w:r>
          <w:t xml:space="preserve">15</w:t>
        </w:r>
        <w:r>
          <w:fldChar w:fldCharType="end"/>
        </w:r>
      </w:hyperlink>
      <w:r>
        <w:rPr>
          <w:rFonts w:eastAsiaTheme="minorEastAsia"/>
          <w:smallCaps w:val="0"/>
          <w:sz w:val="24"/>
          <w:szCs w:val="24"/>
          <w:lang w:eastAsia="fr-FR"/>
        </w:rPr>
      </w:r>
      <w:r>
        <w:rPr>
          <w:rFonts w:eastAsiaTheme="minorEastAsia"/>
          <w:smallCaps w:val="0"/>
          <w:sz w:val="24"/>
          <w:szCs w:val="24"/>
          <w:lang w:eastAsia="fr-FR"/>
        </w:rPr>
      </w:r>
    </w:p>
    <w:p w14:paraId="3FEEF2EC" w14:textId="34A813AC">
      <w:pPr>
        <w:pStyle w:val="904"/>
        <w:pBdr/>
        <w:tabs>
          <w:tab w:val="right" w:leader="dot" w:pos="9062"/>
        </w:tabs>
        <w:spacing/>
        <w:ind/>
        <w:rPr>
          <w:rFonts w:eastAsiaTheme="minorEastAsia"/>
          <w:smallCaps w:val="0"/>
          <w:sz w:val="24"/>
          <w:szCs w:val="24"/>
          <w:lang w:eastAsia="fr-FR"/>
        </w:rPr>
      </w:pPr>
      <w:r/>
      <w:hyperlink w:tooltip="#_Toc222407114" w:anchor="_Toc222407114" w:history="1">
        <w:r>
          <w:rPr>
            <w:rStyle w:val="913"/>
            <w:rFonts w:ascii="Calibri" w:hAnsi="Calibri" w:cs="Calibri"/>
            <w:b/>
            <w:bCs/>
          </w:rPr>
          <w:t xml:space="preserve">ARTICLE 26 – Modalités de décompte et de prise des jours de repos supplémentaires</w:t>
        </w:r>
        <w:r>
          <w:tab/>
        </w:r>
        <w:r>
          <w:fldChar w:fldCharType="begin"/>
        </w:r>
        <w:r>
          <w:instrText xml:space="preserve"> PAGEREF _Toc222407114 \h </w:instrText>
        </w:r>
        <w:r>
          <w:fldChar w:fldCharType="separate"/>
        </w:r>
        <w:r>
          <w:t xml:space="preserve">16</w:t>
        </w:r>
        <w:r>
          <w:fldChar w:fldCharType="end"/>
        </w:r>
      </w:hyperlink>
      <w:r>
        <w:rPr>
          <w:rFonts w:eastAsiaTheme="minorEastAsia"/>
          <w:smallCaps w:val="0"/>
          <w:sz w:val="24"/>
          <w:szCs w:val="24"/>
          <w:lang w:eastAsia="fr-FR"/>
        </w:rPr>
      </w:r>
      <w:r>
        <w:rPr>
          <w:rFonts w:eastAsiaTheme="minorEastAsia"/>
          <w:smallCaps w:val="0"/>
          <w:sz w:val="24"/>
          <w:szCs w:val="24"/>
          <w:lang w:eastAsia="fr-FR"/>
        </w:rPr>
      </w:r>
    </w:p>
    <w:p w14:paraId="4CEA2372" w14:textId="4B05592F">
      <w:pPr>
        <w:pStyle w:val="904"/>
        <w:pBdr/>
        <w:tabs>
          <w:tab w:val="right" w:leader="dot" w:pos="9062"/>
        </w:tabs>
        <w:spacing/>
        <w:ind/>
        <w:rPr>
          <w:rFonts w:eastAsiaTheme="minorEastAsia"/>
          <w:smallCaps w:val="0"/>
          <w:sz w:val="24"/>
          <w:szCs w:val="24"/>
          <w:lang w:eastAsia="fr-FR"/>
        </w:rPr>
      </w:pPr>
      <w:r/>
      <w:hyperlink w:tooltip="#_Toc222407115" w:anchor="_Toc222407115" w:history="1">
        <w:r>
          <w:rPr>
            <w:rStyle w:val="913"/>
            <w:rFonts w:ascii="Calibri" w:hAnsi="Calibri" w:cs="Calibri"/>
            <w:b/>
            <w:bCs/>
          </w:rPr>
          <w:t xml:space="preserve">ARTICLE 27 – Le forfait en jours réduits</w:t>
        </w:r>
        <w:r>
          <w:tab/>
        </w:r>
        <w:r>
          <w:fldChar w:fldCharType="begin"/>
        </w:r>
        <w:r>
          <w:instrText xml:space="preserve"> PAGEREF _Toc222407115 \h </w:instrText>
        </w:r>
        <w:r>
          <w:fldChar w:fldCharType="separate"/>
        </w:r>
        <w:r>
          <w:t xml:space="preserve">16</w:t>
        </w:r>
        <w:r>
          <w:fldChar w:fldCharType="end"/>
        </w:r>
      </w:hyperlink>
      <w:r>
        <w:rPr>
          <w:rFonts w:eastAsiaTheme="minorEastAsia"/>
          <w:smallCaps w:val="0"/>
          <w:sz w:val="24"/>
          <w:szCs w:val="24"/>
          <w:lang w:eastAsia="fr-FR"/>
        </w:rPr>
      </w:r>
      <w:r>
        <w:rPr>
          <w:rFonts w:eastAsiaTheme="minorEastAsia"/>
          <w:smallCaps w:val="0"/>
          <w:sz w:val="24"/>
          <w:szCs w:val="24"/>
          <w:lang w:eastAsia="fr-FR"/>
        </w:rPr>
      </w:r>
    </w:p>
    <w:p w14:paraId="4D5EB2D7" w14:textId="253542AD">
      <w:pPr>
        <w:pStyle w:val="904"/>
        <w:pBdr/>
        <w:tabs>
          <w:tab w:val="right" w:leader="dot" w:pos="9062"/>
        </w:tabs>
        <w:spacing/>
        <w:ind/>
        <w:rPr>
          <w:rFonts w:eastAsiaTheme="minorEastAsia"/>
          <w:smallCaps w:val="0"/>
          <w:sz w:val="24"/>
          <w:szCs w:val="24"/>
          <w:lang w:eastAsia="fr-FR"/>
        </w:rPr>
      </w:pPr>
      <w:r/>
      <w:hyperlink w:tooltip="#_Toc222407116" w:anchor="_Toc222407116" w:history="1">
        <w:r>
          <w:rPr>
            <w:rStyle w:val="913"/>
            <w:rFonts w:ascii="Calibri" w:hAnsi="Calibri" w:cs="Calibri"/>
            <w:b/>
            <w:bCs/>
          </w:rPr>
          <w:t xml:space="preserve">ARTICLE 28 - Garanties</w:t>
        </w:r>
        <w:r>
          <w:tab/>
        </w:r>
        <w:r>
          <w:fldChar w:fldCharType="begin"/>
        </w:r>
        <w:r>
          <w:instrText xml:space="preserve"> PAGEREF _Toc222407116 \h </w:instrText>
        </w:r>
        <w:r>
          <w:fldChar w:fldCharType="separate"/>
        </w:r>
        <w:r>
          <w:t xml:space="preserve">16</w:t>
        </w:r>
        <w:r>
          <w:fldChar w:fldCharType="end"/>
        </w:r>
      </w:hyperlink>
      <w:r>
        <w:rPr>
          <w:rFonts w:eastAsiaTheme="minorEastAsia"/>
          <w:smallCaps w:val="0"/>
          <w:sz w:val="24"/>
          <w:szCs w:val="24"/>
          <w:lang w:eastAsia="fr-FR"/>
        </w:rPr>
      </w:r>
      <w:r>
        <w:rPr>
          <w:rFonts w:eastAsiaTheme="minorEastAsia"/>
          <w:smallCaps w:val="0"/>
          <w:sz w:val="24"/>
          <w:szCs w:val="24"/>
          <w:lang w:eastAsia="fr-FR"/>
        </w:rPr>
      </w:r>
    </w:p>
    <w:p w14:paraId="44FFC78F" w14:textId="7B1B8BEF">
      <w:pPr>
        <w:pStyle w:val="905"/>
        <w:pBdr/>
        <w:tabs>
          <w:tab w:val="right" w:leader="dot" w:pos="9062"/>
        </w:tabs>
        <w:spacing/>
        <w:ind/>
        <w:rPr>
          <w:rFonts w:eastAsiaTheme="minorEastAsia"/>
          <w:i w:val="0"/>
          <w:iCs w:val="0"/>
          <w:sz w:val="24"/>
          <w:szCs w:val="24"/>
          <w:lang w:eastAsia="fr-FR"/>
        </w:rPr>
      </w:pPr>
      <w:r/>
      <w:hyperlink w:tooltip="#_Toc222407117" w:anchor="_Toc222407117" w:history="1">
        <w:r>
          <w:rPr>
            <w:rStyle w:val="913"/>
            <w:rFonts w:ascii="Calibri" w:hAnsi="Calibri" w:cs="Calibri"/>
            <w:b/>
            <w:bCs/>
          </w:rPr>
          <w:t xml:space="preserve">28.1. Temps de repos</w:t>
        </w:r>
        <w:r>
          <w:tab/>
        </w:r>
        <w:r>
          <w:fldChar w:fldCharType="begin"/>
        </w:r>
        <w:r>
          <w:instrText xml:space="preserve"> PAGEREF _Toc222407117 \h </w:instrText>
        </w:r>
        <w:r>
          <w:fldChar w:fldCharType="separate"/>
        </w:r>
        <w:r>
          <w:t xml:space="preserve">16</w:t>
        </w:r>
        <w:r>
          <w:fldChar w:fldCharType="end"/>
        </w:r>
      </w:hyperlink>
      <w:r>
        <w:rPr>
          <w:rFonts w:eastAsiaTheme="minorEastAsia"/>
          <w:i w:val="0"/>
          <w:iCs w:val="0"/>
          <w:sz w:val="24"/>
          <w:szCs w:val="24"/>
          <w:lang w:eastAsia="fr-FR"/>
        </w:rPr>
      </w:r>
      <w:r>
        <w:rPr>
          <w:rFonts w:eastAsiaTheme="minorEastAsia"/>
          <w:i w:val="0"/>
          <w:iCs w:val="0"/>
          <w:sz w:val="24"/>
          <w:szCs w:val="24"/>
          <w:lang w:eastAsia="fr-FR"/>
        </w:rPr>
      </w:r>
    </w:p>
    <w:p w14:paraId="2397908B" w14:textId="6AD033BD">
      <w:pPr>
        <w:pStyle w:val="905"/>
        <w:pBdr/>
        <w:tabs>
          <w:tab w:val="right" w:leader="dot" w:pos="9062"/>
        </w:tabs>
        <w:spacing/>
        <w:ind/>
        <w:rPr>
          <w:rFonts w:eastAsiaTheme="minorEastAsia"/>
          <w:i w:val="0"/>
          <w:iCs w:val="0"/>
          <w:sz w:val="24"/>
          <w:szCs w:val="24"/>
          <w:lang w:eastAsia="fr-FR"/>
        </w:rPr>
      </w:pPr>
      <w:r/>
      <w:hyperlink w:tooltip="#_Toc222407118" w:anchor="_Toc222407118" w:history="1">
        <w:r>
          <w:rPr>
            <w:rStyle w:val="913"/>
            <w:rFonts w:ascii="Calibri" w:hAnsi="Calibri" w:cs="Calibri"/>
            <w:b/>
            <w:bCs/>
          </w:rPr>
          <w:t xml:space="preserve">28.2. Suivi</w:t>
        </w:r>
        <w:r>
          <w:tab/>
        </w:r>
        <w:r>
          <w:fldChar w:fldCharType="begin"/>
        </w:r>
        <w:r>
          <w:instrText xml:space="preserve"> PAGEREF _Toc222407118 \h </w:instrText>
        </w:r>
        <w:r>
          <w:fldChar w:fldCharType="separate"/>
        </w:r>
        <w:r>
          <w:t xml:space="preserve">17</w:t>
        </w:r>
        <w:r>
          <w:fldChar w:fldCharType="end"/>
        </w:r>
      </w:hyperlink>
      <w:r>
        <w:rPr>
          <w:rFonts w:eastAsiaTheme="minorEastAsia"/>
          <w:i w:val="0"/>
          <w:iCs w:val="0"/>
          <w:sz w:val="24"/>
          <w:szCs w:val="24"/>
          <w:lang w:eastAsia="fr-FR"/>
        </w:rPr>
      </w:r>
      <w:r>
        <w:rPr>
          <w:rFonts w:eastAsiaTheme="minorEastAsia"/>
          <w:i w:val="0"/>
          <w:iCs w:val="0"/>
          <w:sz w:val="24"/>
          <w:szCs w:val="24"/>
          <w:lang w:eastAsia="fr-FR"/>
        </w:rPr>
      </w:r>
    </w:p>
    <w:p w14:paraId="0890E4F0" w14:textId="38066CDD">
      <w:pPr>
        <w:pStyle w:val="905"/>
        <w:pBdr/>
        <w:tabs>
          <w:tab w:val="right" w:leader="dot" w:pos="9062"/>
        </w:tabs>
        <w:spacing/>
        <w:ind/>
        <w:rPr>
          <w:rFonts w:eastAsiaTheme="minorEastAsia"/>
          <w:i w:val="0"/>
          <w:iCs w:val="0"/>
          <w:sz w:val="24"/>
          <w:szCs w:val="24"/>
          <w:lang w:eastAsia="fr-FR"/>
        </w:rPr>
      </w:pPr>
      <w:r/>
      <w:hyperlink w:tooltip="#_Toc222407119" w:anchor="_Toc222407119" w:history="1">
        <w:r>
          <w:rPr>
            <w:rStyle w:val="913"/>
            <w:rFonts w:ascii="Calibri" w:hAnsi="Calibri" w:cs="Calibri"/>
            <w:b/>
            <w:bCs/>
          </w:rPr>
          <w:t xml:space="preserve">28.3. Dispositif d’alerte pour le salarié</w:t>
        </w:r>
        <w:r>
          <w:tab/>
        </w:r>
        <w:r>
          <w:fldChar w:fldCharType="begin"/>
        </w:r>
        <w:r>
          <w:instrText xml:space="preserve"> PAGEREF _Toc222407119 \h </w:instrText>
        </w:r>
        <w:r>
          <w:fldChar w:fldCharType="separate"/>
        </w:r>
        <w:r>
          <w:t xml:space="preserve">18</w:t>
        </w:r>
        <w:r>
          <w:fldChar w:fldCharType="end"/>
        </w:r>
      </w:hyperlink>
      <w:r>
        <w:rPr>
          <w:rFonts w:eastAsiaTheme="minorEastAsia"/>
          <w:i w:val="0"/>
          <w:iCs w:val="0"/>
          <w:sz w:val="24"/>
          <w:szCs w:val="24"/>
          <w:lang w:eastAsia="fr-FR"/>
        </w:rPr>
      </w:r>
      <w:r>
        <w:rPr>
          <w:rFonts w:eastAsiaTheme="minorEastAsia"/>
          <w:i w:val="0"/>
          <w:iCs w:val="0"/>
          <w:sz w:val="24"/>
          <w:szCs w:val="24"/>
          <w:lang w:eastAsia="fr-FR"/>
        </w:rPr>
      </w:r>
    </w:p>
    <w:p w14:paraId="39AB86C2" w14:textId="1DD4105C">
      <w:pPr>
        <w:pStyle w:val="905"/>
        <w:pBdr/>
        <w:tabs>
          <w:tab w:val="right" w:leader="dot" w:pos="9062"/>
        </w:tabs>
        <w:spacing/>
        <w:ind/>
        <w:rPr>
          <w:rFonts w:eastAsiaTheme="minorEastAsia"/>
          <w:i w:val="0"/>
          <w:iCs w:val="0"/>
          <w:sz w:val="24"/>
          <w:szCs w:val="24"/>
          <w:lang w:eastAsia="fr-FR"/>
        </w:rPr>
      </w:pPr>
      <w:r/>
      <w:hyperlink w:tooltip="#_Toc222407120" w:anchor="_Toc222407120" w:history="1">
        <w:r>
          <w:rPr>
            <w:rStyle w:val="913"/>
            <w:rFonts w:ascii="Calibri" w:hAnsi="Calibri" w:cs="Calibri"/>
            <w:b/>
            <w:bCs/>
          </w:rPr>
          <w:t xml:space="preserve">28.4. Entretiens semestriels et annuels</w:t>
        </w:r>
        <w:r>
          <w:tab/>
        </w:r>
        <w:r>
          <w:fldChar w:fldCharType="begin"/>
        </w:r>
        <w:r>
          <w:instrText xml:space="preserve"> PAGEREF _Toc222407120 \h </w:instrText>
        </w:r>
        <w:r>
          <w:fldChar w:fldCharType="separate"/>
        </w:r>
        <w:r>
          <w:t xml:space="preserve">18</w:t>
        </w:r>
        <w:r>
          <w:fldChar w:fldCharType="end"/>
        </w:r>
      </w:hyperlink>
      <w:r>
        <w:rPr>
          <w:rFonts w:eastAsiaTheme="minorEastAsia"/>
          <w:i w:val="0"/>
          <w:iCs w:val="0"/>
          <w:sz w:val="24"/>
          <w:szCs w:val="24"/>
          <w:lang w:eastAsia="fr-FR"/>
        </w:rPr>
      </w:r>
      <w:r>
        <w:rPr>
          <w:rFonts w:eastAsiaTheme="minorEastAsia"/>
          <w:i w:val="0"/>
          <w:iCs w:val="0"/>
          <w:sz w:val="24"/>
          <w:szCs w:val="24"/>
          <w:lang w:eastAsia="fr-FR"/>
        </w:rPr>
      </w:r>
    </w:p>
    <w:p w14:paraId="045D8377" w14:textId="4D0B4AC9">
      <w:pPr>
        <w:pStyle w:val="904"/>
        <w:pBdr/>
        <w:tabs>
          <w:tab w:val="right" w:leader="dot" w:pos="9062"/>
        </w:tabs>
        <w:spacing/>
        <w:ind/>
        <w:rPr>
          <w:rFonts w:eastAsiaTheme="minorEastAsia"/>
          <w:smallCaps w:val="0"/>
          <w:sz w:val="24"/>
          <w:szCs w:val="24"/>
          <w:lang w:eastAsia="fr-FR"/>
        </w:rPr>
      </w:pPr>
      <w:r/>
      <w:hyperlink w:tooltip="#_Toc222407121" w:anchor="_Toc222407121" w:history="1">
        <w:r>
          <w:rPr>
            <w:rStyle w:val="913"/>
            <w:rFonts w:ascii="Calibri" w:hAnsi="Calibri" w:cs="Calibri"/>
            <w:b/>
            <w:bCs/>
          </w:rPr>
          <w:t xml:space="preserve">ARTICLE 29 - Rémunération</w:t>
        </w:r>
        <w:r>
          <w:tab/>
        </w:r>
        <w:r>
          <w:fldChar w:fldCharType="begin"/>
        </w:r>
        <w:r>
          <w:instrText xml:space="preserve"> PAGEREF _Toc222407121 \h </w:instrText>
        </w:r>
        <w:r>
          <w:fldChar w:fldCharType="separate"/>
        </w:r>
        <w:r>
          <w:t xml:space="preserve">18</w:t>
        </w:r>
        <w:r>
          <w:fldChar w:fldCharType="end"/>
        </w:r>
      </w:hyperlink>
      <w:r>
        <w:rPr>
          <w:rFonts w:eastAsiaTheme="minorEastAsia"/>
          <w:smallCaps w:val="0"/>
          <w:sz w:val="24"/>
          <w:szCs w:val="24"/>
          <w:lang w:eastAsia="fr-FR"/>
        </w:rPr>
      </w:r>
      <w:r>
        <w:rPr>
          <w:rFonts w:eastAsiaTheme="minorEastAsia"/>
          <w:smallCaps w:val="0"/>
          <w:sz w:val="24"/>
          <w:szCs w:val="24"/>
          <w:lang w:eastAsia="fr-FR"/>
        </w:rPr>
      </w:r>
    </w:p>
    <w:p w14:paraId="12892E8C" w14:textId="6799D33E">
      <w:pPr>
        <w:pStyle w:val="904"/>
        <w:pBdr/>
        <w:tabs>
          <w:tab w:val="right" w:leader="dot" w:pos="9062"/>
        </w:tabs>
        <w:spacing/>
        <w:ind/>
        <w:rPr>
          <w:rFonts w:eastAsiaTheme="minorEastAsia"/>
          <w:smallCaps w:val="0"/>
          <w:sz w:val="24"/>
          <w:szCs w:val="24"/>
          <w:lang w:eastAsia="fr-FR"/>
        </w:rPr>
      </w:pPr>
      <w:r/>
      <w:hyperlink w:tooltip="#_Toc222407122" w:anchor="_Toc222407122" w:history="1">
        <w:r>
          <w:rPr>
            <w:rStyle w:val="913"/>
            <w:rFonts w:ascii="Calibri" w:hAnsi="Calibri" w:cs="Calibri"/>
            <w:b/>
            <w:bCs/>
          </w:rPr>
          <w:t xml:space="preserve">ARTICLE  30 – Renonciation à des jours de repos</w:t>
        </w:r>
        <w:r>
          <w:tab/>
        </w:r>
        <w:r>
          <w:fldChar w:fldCharType="begin"/>
        </w:r>
        <w:r>
          <w:instrText xml:space="preserve"> PAGEREF _Toc222407122 \h </w:instrText>
        </w:r>
        <w:r>
          <w:fldChar w:fldCharType="separate"/>
        </w:r>
        <w:r>
          <w:t xml:space="preserve">18</w:t>
        </w:r>
        <w:r>
          <w:fldChar w:fldCharType="end"/>
        </w:r>
      </w:hyperlink>
      <w:r>
        <w:rPr>
          <w:rFonts w:eastAsiaTheme="minorEastAsia"/>
          <w:smallCaps w:val="0"/>
          <w:sz w:val="24"/>
          <w:szCs w:val="24"/>
          <w:lang w:eastAsia="fr-FR"/>
        </w:rPr>
      </w:r>
      <w:r>
        <w:rPr>
          <w:rFonts w:eastAsiaTheme="minorEastAsia"/>
          <w:smallCaps w:val="0"/>
          <w:sz w:val="24"/>
          <w:szCs w:val="24"/>
          <w:lang w:eastAsia="fr-FR"/>
        </w:rPr>
      </w:r>
    </w:p>
    <w:p w14:paraId="33CB5AD2" w14:textId="13C3212A">
      <w:pPr>
        <w:pStyle w:val="903"/>
        <w:pBdr/>
        <w:tabs>
          <w:tab w:val="right" w:leader="dot" w:pos="9062"/>
        </w:tabs>
        <w:spacing/>
        <w:ind/>
        <w:rPr>
          <w:rFonts w:eastAsiaTheme="minorEastAsia"/>
          <w:b w:val="0"/>
          <w:bCs w:val="0"/>
          <w:caps w:val="0"/>
          <w:sz w:val="24"/>
          <w:szCs w:val="24"/>
          <w:lang w:eastAsia="fr-FR"/>
        </w:rPr>
      </w:pPr>
      <w:r/>
      <w:hyperlink w:tooltip="#_Toc222407123" w:anchor="_Toc222407123" w:history="1">
        <w:r>
          <w:rPr>
            <w:rStyle w:val="913"/>
            <w:rFonts w:ascii="Calibri" w:hAnsi="Calibri" w:cs="Calibri"/>
          </w:rPr>
          <w:t xml:space="preserve">CHAPITRE 5 : DISPOSITIONS FINALES</w:t>
        </w:r>
        <w:r>
          <w:tab/>
        </w:r>
        <w:r>
          <w:fldChar w:fldCharType="begin"/>
        </w:r>
        <w:r>
          <w:instrText xml:space="preserve"> PAGEREF _Toc222407123 \h </w:instrText>
        </w:r>
        <w:r>
          <w:fldChar w:fldCharType="separate"/>
        </w:r>
        <w:r>
          <w:t xml:space="preserve">20</w:t>
        </w:r>
        <w:r>
          <w:fldChar w:fldCharType="end"/>
        </w:r>
      </w:hyperlink>
      <w:r>
        <w:rPr>
          <w:rFonts w:eastAsiaTheme="minorEastAsia"/>
          <w:b w:val="0"/>
          <w:bCs w:val="0"/>
          <w:caps w:val="0"/>
          <w:sz w:val="24"/>
          <w:szCs w:val="24"/>
          <w:lang w:eastAsia="fr-FR"/>
        </w:rPr>
      </w:r>
      <w:r>
        <w:rPr>
          <w:rFonts w:eastAsiaTheme="minorEastAsia"/>
          <w:b w:val="0"/>
          <w:bCs w:val="0"/>
          <w:caps w:val="0"/>
          <w:sz w:val="24"/>
          <w:szCs w:val="24"/>
          <w:lang w:eastAsia="fr-FR"/>
        </w:rPr>
      </w:r>
    </w:p>
    <w:p w14:paraId="1B67F957" w14:textId="7549AD7C">
      <w:pPr>
        <w:pStyle w:val="904"/>
        <w:pBdr/>
        <w:tabs>
          <w:tab w:val="right" w:leader="dot" w:pos="9062"/>
        </w:tabs>
        <w:spacing/>
        <w:ind/>
        <w:rPr>
          <w:rFonts w:eastAsiaTheme="minorEastAsia"/>
          <w:smallCaps w:val="0"/>
          <w:sz w:val="24"/>
          <w:szCs w:val="24"/>
          <w:lang w:eastAsia="fr-FR"/>
        </w:rPr>
      </w:pPr>
      <w:r/>
      <w:hyperlink w:tooltip="#_Toc222407124" w:anchor="_Toc222407124" w:history="1">
        <w:r>
          <w:rPr>
            <w:rStyle w:val="913"/>
            <w:rFonts w:ascii="Calibri" w:hAnsi="Calibri" w:cs="Calibri"/>
            <w:b/>
            <w:bCs/>
          </w:rPr>
          <w:t xml:space="preserve">ARTICLE 31 – Durée et entrée en vigueur</w:t>
        </w:r>
        <w:r>
          <w:tab/>
        </w:r>
        <w:r>
          <w:fldChar w:fldCharType="begin"/>
        </w:r>
        <w:r>
          <w:instrText xml:space="preserve"> PAGEREF _Toc222407124 \h </w:instrText>
        </w:r>
        <w:r>
          <w:fldChar w:fldCharType="separate"/>
        </w:r>
        <w:r>
          <w:t xml:space="preserve">20</w:t>
        </w:r>
        <w:r>
          <w:fldChar w:fldCharType="end"/>
        </w:r>
      </w:hyperlink>
      <w:r>
        <w:rPr>
          <w:rFonts w:eastAsiaTheme="minorEastAsia"/>
          <w:smallCaps w:val="0"/>
          <w:sz w:val="24"/>
          <w:szCs w:val="24"/>
          <w:lang w:eastAsia="fr-FR"/>
        </w:rPr>
      </w:r>
      <w:r>
        <w:rPr>
          <w:rFonts w:eastAsiaTheme="minorEastAsia"/>
          <w:smallCaps w:val="0"/>
          <w:sz w:val="24"/>
          <w:szCs w:val="24"/>
          <w:lang w:eastAsia="fr-FR"/>
        </w:rPr>
      </w:r>
    </w:p>
    <w:p w14:paraId="7ED54A48" w14:textId="30E6C58A">
      <w:pPr>
        <w:pStyle w:val="904"/>
        <w:pBdr/>
        <w:tabs>
          <w:tab w:val="right" w:leader="dot" w:pos="9062"/>
        </w:tabs>
        <w:spacing/>
        <w:ind/>
        <w:rPr>
          <w:rFonts w:eastAsiaTheme="minorEastAsia"/>
          <w:smallCaps w:val="0"/>
          <w:sz w:val="24"/>
          <w:szCs w:val="24"/>
          <w:lang w:eastAsia="fr-FR"/>
        </w:rPr>
      </w:pPr>
      <w:r/>
      <w:hyperlink w:tooltip="#_Toc222407125" w:anchor="_Toc222407125" w:history="1">
        <w:r>
          <w:rPr>
            <w:rStyle w:val="913"/>
            <w:rFonts w:ascii="Calibri" w:hAnsi="Calibri" w:cs="Calibri"/>
            <w:b/>
            <w:bCs/>
          </w:rPr>
          <w:t xml:space="preserve">ARTICLE 32 – Suivi de l’accord et clause de rendez-vous</w:t>
        </w:r>
        <w:r>
          <w:tab/>
        </w:r>
        <w:r>
          <w:fldChar w:fldCharType="begin"/>
        </w:r>
        <w:r>
          <w:instrText xml:space="preserve"> PAGEREF _Toc222407125 \h </w:instrText>
        </w:r>
        <w:r>
          <w:fldChar w:fldCharType="separate"/>
        </w:r>
        <w:r>
          <w:t xml:space="preserve">20</w:t>
        </w:r>
        <w:r>
          <w:fldChar w:fldCharType="end"/>
        </w:r>
      </w:hyperlink>
      <w:r>
        <w:rPr>
          <w:rFonts w:eastAsiaTheme="minorEastAsia"/>
          <w:smallCaps w:val="0"/>
          <w:sz w:val="24"/>
          <w:szCs w:val="24"/>
          <w:lang w:eastAsia="fr-FR"/>
        </w:rPr>
      </w:r>
      <w:r>
        <w:rPr>
          <w:rFonts w:eastAsiaTheme="minorEastAsia"/>
          <w:smallCaps w:val="0"/>
          <w:sz w:val="24"/>
          <w:szCs w:val="24"/>
          <w:lang w:eastAsia="fr-FR"/>
        </w:rPr>
      </w:r>
    </w:p>
    <w:p w14:paraId="578F9787" w14:textId="2B577051">
      <w:pPr>
        <w:pStyle w:val="904"/>
        <w:pBdr/>
        <w:tabs>
          <w:tab w:val="right" w:leader="dot" w:pos="9062"/>
        </w:tabs>
        <w:spacing/>
        <w:ind/>
        <w:rPr>
          <w:rFonts w:eastAsiaTheme="minorEastAsia"/>
          <w:smallCaps w:val="0"/>
          <w:sz w:val="24"/>
          <w:szCs w:val="24"/>
          <w:lang w:eastAsia="fr-FR"/>
        </w:rPr>
      </w:pPr>
      <w:r/>
      <w:hyperlink w:tooltip="#_Toc222407126" w:anchor="_Toc222407126" w:history="1">
        <w:r>
          <w:rPr>
            <w:rStyle w:val="913"/>
            <w:rFonts w:ascii="Calibri" w:hAnsi="Calibri" w:cs="Calibri"/>
            <w:b/>
            <w:bCs/>
          </w:rPr>
          <w:t xml:space="preserve">ARTICLE 33 – Révision</w:t>
        </w:r>
        <w:r>
          <w:tab/>
        </w:r>
        <w:r>
          <w:fldChar w:fldCharType="begin"/>
        </w:r>
        <w:r>
          <w:instrText xml:space="preserve"> PAGEREF _Toc222407126 \h </w:instrText>
        </w:r>
        <w:r>
          <w:fldChar w:fldCharType="separate"/>
        </w:r>
        <w:r>
          <w:t xml:space="preserve">20</w:t>
        </w:r>
        <w:r>
          <w:fldChar w:fldCharType="end"/>
        </w:r>
      </w:hyperlink>
      <w:r>
        <w:rPr>
          <w:rFonts w:eastAsiaTheme="minorEastAsia"/>
          <w:smallCaps w:val="0"/>
          <w:sz w:val="24"/>
          <w:szCs w:val="24"/>
          <w:lang w:eastAsia="fr-FR"/>
        </w:rPr>
      </w:r>
      <w:r>
        <w:rPr>
          <w:rFonts w:eastAsiaTheme="minorEastAsia"/>
          <w:smallCaps w:val="0"/>
          <w:sz w:val="24"/>
          <w:szCs w:val="24"/>
          <w:lang w:eastAsia="fr-FR"/>
        </w:rPr>
      </w:r>
    </w:p>
    <w:p w14:paraId="3AB4FB1F" w14:textId="4E0CFB81">
      <w:pPr>
        <w:pStyle w:val="904"/>
        <w:pBdr/>
        <w:tabs>
          <w:tab w:val="right" w:leader="dot" w:pos="9062"/>
        </w:tabs>
        <w:spacing/>
        <w:ind/>
        <w:rPr>
          <w:rFonts w:eastAsiaTheme="minorEastAsia"/>
          <w:smallCaps w:val="0"/>
          <w:sz w:val="24"/>
          <w:szCs w:val="24"/>
          <w:lang w:eastAsia="fr-FR"/>
        </w:rPr>
      </w:pPr>
      <w:r/>
      <w:hyperlink w:tooltip="#_Toc222407127" w:anchor="_Toc222407127" w:history="1">
        <w:r>
          <w:rPr>
            <w:rStyle w:val="913"/>
            <w:rFonts w:ascii="Calibri" w:hAnsi="Calibri" w:cs="Calibri"/>
            <w:b/>
            <w:bCs/>
          </w:rPr>
          <w:t xml:space="preserve">ARTICLE 34 – Dénonciation</w:t>
        </w:r>
        <w:r>
          <w:tab/>
        </w:r>
        <w:r>
          <w:fldChar w:fldCharType="begin"/>
        </w:r>
        <w:r>
          <w:instrText xml:space="preserve"> PAGEREF _Toc222407127 \h </w:instrText>
        </w:r>
        <w:r>
          <w:fldChar w:fldCharType="separate"/>
        </w:r>
        <w:r>
          <w:t xml:space="preserve">20</w:t>
        </w:r>
        <w:r>
          <w:fldChar w:fldCharType="end"/>
        </w:r>
      </w:hyperlink>
      <w:r>
        <w:rPr>
          <w:rFonts w:eastAsiaTheme="minorEastAsia"/>
          <w:smallCaps w:val="0"/>
          <w:sz w:val="24"/>
          <w:szCs w:val="24"/>
          <w:lang w:eastAsia="fr-FR"/>
        </w:rPr>
      </w:r>
      <w:r>
        <w:rPr>
          <w:rFonts w:eastAsiaTheme="minorEastAsia"/>
          <w:smallCaps w:val="0"/>
          <w:sz w:val="24"/>
          <w:szCs w:val="24"/>
          <w:lang w:eastAsia="fr-FR"/>
        </w:rPr>
      </w:r>
    </w:p>
    <w:p w14:paraId="4C12AF60" w14:textId="5FB96DB9">
      <w:pPr>
        <w:pStyle w:val="904"/>
        <w:pBdr/>
        <w:tabs>
          <w:tab w:val="right" w:leader="dot" w:pos="9062"/>
        </w:tabs>
        <w:spacing/>
        <w:ind/>
        <w:rPr>
          <w:rFonts w:eastAsiaTheme="minorEastAsia"/>
          <w:smallCaps w:val="0"/>
          <w:sz w:val="24"/>
          <w:szCs w:val="24"/>
          <w:lang w:eastAsia="fr-FR"/>
        </w:rPr>
      </w:pPr>
      <w:r/>
      <w:hyperlink w:tooltip="#_Toc222407128" w:anchor="_Toc222407128" w:history="1">
        <w:r>
          <w:rPr>
            <w:rStyle w:val="913"/>
            <w:rFonts w:ascii="Calibri" w:hAnsi="Calibri" w:cs="Calibri"/>
            <w:b/>
            <w:bCs/>
          </w:rPr>
          <w:t xml:space="preserve">ARTICLE 35 – Consultation et dépôt</w:t>
        </w:r>
        <w:r>
          <w:tab/>
        </w:r>
        <w:r>
          <w:fldChar w:fldCharType="begin"/>
        </w:r>
        <w:r>
          <w:instrText xml:space="preserve"> PAGEREF _Toc222407128 \h </w:instrText>
        </w:r>
        <w:r>
          <w:fldChar w:fldCharType="separate"/>
        </w:r>
        <w:r>
          <w:t xml:space="preserve">20</w:t>
        </w:r>
        <w:r>
          <w:fldChar w:fldCharType="end"/>
        </w:r>
      </w:hyperlink>
      <w:r>
        <w:rPr>
          <w:rFonts w:eastAsiaTheme="minorEastAsia"/>
          <w:smallCaps w:val="0"/>
          <w:sz w:val="24"/>
          <w:szCs w:val="24"/>
          <w:lang w:eastAsia="fr-FR"/>
        </w:rPr>
      </w:r>
      <w:r>
        <w:rPr>
          <w:rFonts w:eastAsiaTheme="minorEastAsia"/>
          <w:smallCaps w:val="0"/>
          <w:sz w:val="24"/>
          <w:szCs w:val="24"/>
          <w:lang w:eastAsia="fr-FR"/>
        </w:rPr>
      </w:r>
    </w:p>
    <w:p w14:paraId="03DECAEC" w14:textId="63D80A0D">
      <w:pPr>
        <w:pStyle w:val="904"/>
        <w:pBdr/>
        <w:tabs>
          <w:tab w:val="right" w:leader="dot" w:pos="9062"/>
        </w:tabs>
        <w:spacing/>
        <w:ind/>
        <w:rPr>
          <w:rFonts w:eastAsiaTheme="minorEastAsia"/>
          <w:smallCaps w:val="0"/>
          <w:sz w:val="24"/>
          <w:szCs w:val="24"/>
          <w:lang w:eastAsia="fr-FR"/>
        </w:rPr>
      </w:pPr>
      <w:r/>
      <w:hyperlink w:tooltip="#_Toc222407129" w:anchor="_Toc222407129" w:history="1">
        <w:r>
          <w:rPr>
            <w:rStyle w:val="913"/>
            <w:rFonts w:ascii="Calibri" w:hAnsi="Calibri" w:cs="Calibri"/>
            <w:b/>
            <w:bCs/>
          </w:rPr>
          <w:t xml:space="preserve">ARTICLE 36 – Information</w:t>
        </w:r>
        <w:r>
          <w:tab/>
        </w:r>
        <w:r>
          <w:fldChar w:fldCharType="begin"/>
        </w:r>
        <w:r>
          <w:instrText xml:space="preserve"> PAGEREF _Toc222407129 \h </w:instrText>
        </w:r>
        <w:r>
          <w:fldChar w:fldCharType="separate"/>
        </w:r>
        <w:r>
          <w:t xml:space="preserve">21</w:t>
        </w:r>
        <w:r>
          <w:fldChar w:fldCharType="end"/>
        </w:r>
      </w:hyperlink>
      <w:r>
        <w:rPr>
          <w:rFonts w:eastAsiaTheme="minorEastAsia"/>
          <w:smallCaps w:val="0"/>
          <w:sz w:val="24"/>
          <w:szCs w:val="24"/>
          <w:lang w:eastAsia="fr-FR"/>
        </w:rPr>
      </w:r>
      <w:r>
        <w:rPr>
          <w:rFonts w:eastAsiaTheme="minorEastAsia"/>
          <w:smallCaps w:val="0"/>
          <w:sz w:val="24"/>
          <w:szCs w:val="24"/>
          <w:lang w:eastAsia="fr-FR"/>
        </w:rPr>
      </w:r>
    </w:p>
    <w:p w14:paraId="151B796F" w14:textId="7C92B30F">
      <w:pPr>
        <w:pStyle w:val="904"/>
        <w:pBdr/>
        <w:tabs>
          <w:tab w:val="right" w:leader="dot" w:pos="9062"/>
        </w:tabs>
        <w:spacing/>
        <w:ind/>
        <w:rPr>
          <w:rFonts w:eastAsiaTheme="minorEastAsia"/>
          <w:smallCaps w:val="0"/>
          <w:sz w:val="24"/>
          <w:szCs w:val="24"/>
          <w:lang w:eastAsia="fr-FR"/>
        </w:rPr>
      </w:pPr>
      <w:r/>
      <w:hyperlink w:tooltip="#_Toc222407130" w:anchor="_Toc222407130" w:history="1">
        <w:r>
          <w:rPr>
            <w:rStyle w:val="913"/>
            <w:rFonts w:ascii="Calibri" w:hAnsi="Calibri" w:cs="Calibri"/>
            <w:b/>
            <w:bCs/>
          </w:rPr>
          <w:t xml:space="preserve">ARTICLE 37 – Communication</w:t>
        </w:r>
        <w:r>
          <w:tab/>
        </w:r>
        <w:r>
          <w:fldChar w:fldCharType="begin"/>
        </w:r>
        <w:r>
          <w:instrText xml:space="preserve"> PAGEREF _Toc222407130 \h </w:instrText>
        </w:r>
        <w:r>
          <w:fldChar w:fldCharType="separate"/>
        </w:r>
        <w:r>
          <w:t xml:space="preserve">21</w:t>
        </w:r>
        <w:r>
          <w:fldChar w:fldCharType="end"/>
        </w:r>
      </w:hyperlink>
      <w:r>
        <w:rPr>
          <w:rFonts w:eastAsiaTheme="minorEastAsia"/>
          <w:smallCaps w:val="0"/>
          <w:sz w:val="24"/>
          <w:szCs w:val="24"/>
          <w:lang w:eastAsia="fr-FR"/>
        </w:rPr>
      </w:r>
      <w:r>
        <w:rPr>
          <w:rFonts w:eastAsiaTheme="minorEastAsia"/>
          <w:smallCaps w:val="0"/>
          <w:sz w:val="24"/>
          <w:szCs w:val="24"/>
          <w:lang w:eastAsia="fr-FR"/>
        </w:rPr>
      </w:r>
    </w:p>
    <w:p w14:paraId="5A0E458E" w14:textId="5AF26259">
      <w:pPr>
        <w:pStyle w:val="903"/>
        <w:pBdr/>
        <w:tabs>
          <w:tab w:val="right" w:leader="dot" w:pos="9062"/>
        </w:tabs>
        <w:spacing/>
        <w:ind/>
        <w:rPr>
          <w:rFonts w:eastAsiaTheme="minorEastAsia"/>
          <w:b w:val="0"/>
          <w:bCs w:val="0"/>
          <w:caps w:val="0"/>
          <w:sz w:val="24"/>
          <w:szCs w:val="24"/>
          <w:lang w:eastAsia="fr-FR"/>
        </w:rPr>
      </w:pPr>
      <w:r/>
      <w:hyperlink w:tooltip="#_Toc222407131" w:anchor="_Toc222407131" w:history="1">
        <w:r>
          <w:rPr>
            <w:rStyle w:val="913"/>
            <w:rFonts w:ascii="Calibri" w:hAnsi="Calibri" w:cs="Calibri"/>
          </w:rPr>
          <w:t xml:space="preserve">Annexe 1 : Incidences sur le nombre de jours dus au titre du forfait en cas d’absence, d’arrivée ou de départ en cours de période</w:t>
        </w:r>
        <w:r>
          <w:tab/>
        </w:r>
        <w:r>
          <w:fldChar w:fldCharType="begin"/>
        </w:r>
        <w:r>
          <w:instrText xml:space="preserve"> PAGEREF _Toc222407131 \h </w:instrText>
        </w:r>
        <w:r>
          <w:fldChar w:fldCharType="separate"/>
        </w:r>
        <w:r>
          <w:t xml:space="preserve">22</w:t>
        </w:r>
        <w:r>
          <w:fldChar w:fldCharType="end"/>
        </w:r>
      </w:hyperlink>
      <w:r>
        <w:rPr>
          <w:rFonts w:eastAsiaTheme="minorEastAsia"/>
          <w:b w:val="0"/>
          <w:bCs w:val="0"/>
          <w:caps w:val="0"/>
          <w:sz w:val="24"/>
          <w:szCs w:val="24"/>
          <w:lang w:eastAsia="fr-FR"/>
        </w:rPr>
      </w:r>
      <w:r>
        <w:rPr>
          <w:rFonts w:eastAsiaTheme="minorEastAsia"/>
          <w:b w:val="0"/>
          <w:bCs w:val="0"/>
          <w:caps w:val="0"/>
          <w:sz w:val="24"/>
          <w:szCs w:val="24"/>
          <w:lang w:eastAsia="fr-FR"/>
        </w:rPr>
      </w:r>
    </w:p>
    <w:p w14:paraId="708F3532" w14:textId="5184D2F4">
      <w:pPr>
        <w:pStyle w:val="903"/>
        <w:pBdr/>
        <w:tabs>
          <w:tab w:val="right" w:leader="dot" w:pos="9062"/>
        </w:tabs>
        <w:spacing/>
        <w:ind/>
        <w:rPr>
          <w:rFonts w:eastAsiaTheme="minorEastAsia"/>
          <w:b w:val="0"/>
          <w:bCs w:val="0"/>
          <w:caps w:val="0"/>
          <w:sz w:val="24"/>
          <w:szCs w:val="24"/>
          <w:lang w:eastAsia="fr-FR"/>
        </w:rPr>
      </w:pPr>
      <w:r/>
      <w:hyperlink w:tooltip="#_Toc222407132" w:anchor="_Toc222407132" w:history="1">
        <w:r>
          <w:rPr>
            <w:rStyle w:val="913"/>
            <w:rFonts w:ascii="Calibri" w:hAnsi="Calibri" w:cs="Calibri"/>
          </w:rPr>
          <w:t xml:space="preserve">Annexe 2 : Attestations des élus titulaires du CSE</w:t>
        </w:r>
        <w:r>
          <w:tab/>
        </w:r>
        <w:r>
          <w:fldChar w:fldCharType="begin"/>
        </w:r>
        <w:r>
          <w:instrText xml:space="preserve"> PAGEREF _Toc222407132 \h </w:instrText>
        </w:r>
        <w:r>
          <w:fldChar w:fldCharType="separate"/>
        </w:r>
        <w:r>
          <w:t xml:space="preserve">23</w:t>
        </w:r>
        <w:r>
          <w:fldChar w:fldCharType="end"/>
        </w:r>
      </w:hyperlink>
      <w:r>
        <w:rPr>
          <w:rFonts w:eastAsiaTheme="minorEastAsia"/>
          <w:b w:val="0"/>
          <w:bCs w:val="0"/>
          <w:caps w:val="0"/>
          <w:sz w:val="24"/>
          <w:szCs w:val="24"/>
          <w:lang w:eastAsia="fr-FR"/>
        </w:rPr>
      </w:r>
      <w:r>
        <w:rPr>
          <w:rFonts w:eastAsiaTheme="minorEastAsia"/>
          <w:b w:val="0"/>
          <w:bCs w:val="0"/>
          <w:caps w:val="0"/>
          <w:sz w:val="24"/>
          <w:szCs w:val="24"/>
          <w:lang w:eastAsia="fr-FR"/>
        </w:rPr>
      </w:r>
    </w:p>
    <w:p w14:paraId="40F8AC7C" w14:textId="12D66531">
      <w:pPr>
        <w:pStyle w:val="903"/>
        <w:pBdr/>
        <w:tabs>
          <w:tab w:val="right" w:leader="dot" w:pos="9062"/>
        </w:tabs>
        <w:spacing/>
        <w:ind/>
        <w:rPr>
          <w:rFonts w:eastAsiaTheme="minorEastAsia"/>
          <w:b w:val="0"/>
          <w:bCs w:val="0"/>
          <w:caps w:val="0"/>
          <w:sz w:val="24"/>
          <w:szCs w:val="24"/>
          <w:lang w:eastAsia="fr-FR"/>
        </w:rPr>
      </w:pPr>
      <w:r/>
      <w:hyperlink w:tooltip="#_Toc222407133" w:anchor="_Toc222407133" w:history="1">
        <w:r>
          <w:rPr>
            <w:rStyle w:val="913"/>
            <w:rFonts w:ascii="Calibri" w:hAnsi="Calibri" w:cs="Calibri"/>
          </w:rPr>
          <w:t xml:space="preserve">Annexe 3 : La copie du formulaire CERFA de procès-verbal des dernières élections des représentants du personnel ayant conclu l’accord</w:t>
        </w:r>
        <w:r>
          <w:tab/>
        </w:r>
        <w:r>
          <w:fldChar w:fldCharType="begin"/>
        </w:r>
        <w:r>
          <w:instrText xml:space="preserve"> PAGEREF _Toc222407133 \h </w:instrText>
        </w:r>
        <w:r>
          <w:fldChar w:fldCharType="separate"/>
        </w:r>
        <w:r>
          <w:t xml:space="preserve">23</w:t>
        </w:r>
        <w:r>
          <w:fldChar w:fldCharType="end"/>
        </w:r>
      </w:hyperlink>
      <w:r>
        <w:rPr>
          <w:rFonts w:eastAsiaTheme="minorEastAsia"/>
          <w:b w:val="0"/>
          <w:bCs w:val="0"/>
          <w:caps w:val="0"/>
          <w:sz w:val="24"/>
          <w:szCs w:val="24"/>
          <w:lang w:eastAsia="fr-FR"/>
        </w:rPr>
      </w:r>
      <w:r>
        <w:rPr>
          <w:rFonts w:eastAsiaTheme="minorEastAsia"/>
          <w:b w:val="0"/>
          <w:bCs w:val="0"/>
          <w:caps w:val="0"/>
          <w:sz w:val="24"/>
          <w:szCs w:val="24"/>
          <w:lang w:eastAsia="fr-FR"/>
        </w:rPr>
      </w:r>
    </w:p>
    <w:p w14:paraId="374531EB" w14:textId="3B523424">
      <w:pPr>
        <w:pStyle w:val="904"/>
        <w:pBdr/>
        <w:tabs>
          <w:tab w:val="right" w:leader="dot" w:pos="9062"/>
        </w:tabs>
        <w:spacing/>
        <w:ind/>
        <w:rPr>
          <w:rFonts w:eastAsiaTheme="minorEastAsia"/>
          <w:sz w:val="24"/>
        </w:rPr>
      </w:pPr>
      <w:r>
        <w:rPr>
          <w:rFonts w:ascii="Calibri" w:hAnsi="Calibri" w:cs="Calibri"/>
        </w:rPr>
        <w:fldChar w:fldCharType="end"/>
      </w:r>
      <w:r>
        <w:rPr>
          <w:rFonts w:eastAsiaTheme="minorEastAsia"/>
          <w:sz w:val="24"/>
        </w:rPr>
        <w:t xml:space="preserve"> </w:t>
      </w:r>
      <w:r>
        <w:rPr>
          <w:rFonts w:eastAsiaTheme="minorEastAsia"/>
          <w:sz w:val="24"/>
        </w:rPr>
      </w:r>
      <w:r>
        <w:rPr>
          <w:rFonts w:eastAsiaTheme="minorEastAsia"/>
          <w:sz w:val="24"/>
        </w:rPr>
      </w:r>
    </w:p>
    <w:p w14:paraId="01D117BA" w14:textId="7498E267">
      <w:pPr>
        <w:pBdr/>
        <w:spacing/>
        <w:ind/>
        <w:rPr>
          <w:rFonts w:ascii="Calibri" w:hAnsi="Calibri" w:cs="Calibri"/>
        </w:rPr>
      </w:pPr>
      <w:r>
        <w:rPr>
          <w:rFonts w:ascii="Calibri" w:hAnsi="Calibri" w:cs="Calibri"/>
        </w:rPr>
      </w:r>
      <w:r>
        <w:rPr>
          <w:rFonts w:ascii="Calibri" w:hAnsi="Calibri" w:cs="Calibri"/>
        </w:rPr>
      </w:r>
      <w:r>
        <w:rPr>
          <w:rFonts w:ascii="Calibri" w:hAnsi="Calibri" w:cs="Calibri"/>
        </w:rPr>
      </w:r>
    </w:p>
    <w:p w14:paraId="4D87E774" w14:textId="77777777">
      <w:pPr>
        <w:pBdr/>
        <w:spacing/>
        <w:ind/>
        <w:rPr>
          <w:rFonts w:ascii="Calibri" w:hAnsi="Calibri" w:cs="Calibri"/>
        </w:rPr>
      </w:pPr>
      <w:r>
        <w:rPr>
          <w:rFonts w:ascii="Calibri" w:hAnsi="Calibri" w:cs="Calibri"/>
        </w:rPr>
      </w:r>
      <w:r>
        <w:rPr>
          <w:rFonts w:ascii="Calibri" w:hAnsi="Calibri" w:cs="Calibri"/>
        </w:rPr>
      </w:r>
      <w:r>
        <w:rPr>
          <w:rFonts w:ascii="Calibri" w:hAnsi="Calibri" w:cs="Calibri"/>
        </w:rPr>
      </w:r>
    </w:p>
    <w:p w14:paraId="7D94C352" w14:textId="57C5A621">
      <w:pPr>
        <w:pBdr/>
        <w:spacing/>
        <w:ind/>
        <w:rPr>
          <w:rFonts w:ascii="Calibri" w:hAnsi="Calibri" w:cs="Calibri"/>
        </w:rPr>
      </w:pPr>
      <w:r>
        <w:rPr>
          <w:rFonts w:ascii="Calibri" w:hAnsi="Calibri" w:cs="Calibri"/>
        </w:rPr>
        <w:tab/>
      </w:r>
      <w:r>
        <w:rPr>
          <w:rFonts w:ascii="Calibri" w:hAnsi="Calibri" w:cs="Calibri"/>
        </w:rPr>
      </w:r>
      <w:r>
        <w:rPr>
          <w:rFonts w:ascii="Calibri" w:hAnsi="Calibri" w:cs="Calibri"/>
        </w:rPr>
      </w:r>
    </w:p>
    <w:p w14:paraId="4F161C32" w14:textId="77777777">
      <w:pPr>
        <w:pBdr/>
        <w:spacing/>
        <w:ind/>
        <w:rPr>
          <w:rFonts w:ascii="Calibri" w:hAnsi="Calibri" w:cs="Calibri"/>
        </w:rPr>
      </w:pPr>
      <w:r>
        <w:rPr>
          <w:rFonts w:ascii="Calibri" w:hAnsi="Calibri" w:cs="Calibri"/>
        </w:rPr>
        <w:t xml:space="preserve"> </w:t>
      </w:r>
      <w:r>
        <w:rPr>
          <w:rFonts w:ascii="Calibri" w:hAnsi="Calibri" w:cs="Calibri"/>
        </w:rPr>
      </w:r>
      <w:r>
        <w:rPr>
          <w:rFonts w:ascii="Calibri" w:hAnsi="Calibri" w:cs="Calibri"/>
        </w:rPr>
      </w:r>
    </w:p>
    <w:p w14:paraId="088C9C8B" w14:textId="77777777">
      <w:pPr>
        <w:pBdr/>
        <w:spacing/>
        <w:ind/>
        <w:rPr>
          <w:rFonts w:ascii="Calibri" w:hAnsi="Calibri" w:cs="Calibri"/>
          <w:b/>
          <w:bCs/>
          <w:u w:val="single"/>
        </w:rPr>
      </w:pPr>
      <w:r>
        <w:rPr>
          <w:rFonts w:ascii="Calibri" w:hAnsi="Calibri" w:cs="Calibri"/>
          <w:b/>
          <w:bCs/>
          <w:u w:val="single"/>
        </w:rPr>
        <w:br w:type="page" w:clear="all"/>
      </w:r>
      <w:r>
        <w:rPr>
          <w:rFonts w:ascii="Calibri" w:hAnsi="Calibri" w:cs="Calibri"/>
          <w:b/>
          <w:bCs/>
          <w:u w:val="single"/>
        </w:rPr>
      </w:r>
      <w:r>
        <w:rPr>
          <w:rFonts w:ascii="Calibri" w:hAnsi="Calibri" w:cs="Calibri"/>
          <w:b/>
          <w:bCs/>
          <w:u w:val="single"/>
        </w:rPr>
      </w:r>
    </w:p>
    <w:p w14:paraId="1E448A4D" w14:textId="54D19D4E">
      <w:pPr>
        <w:pStyle w:val="863"/>
        <w:pBdr/>
        <w:spacing/>
        <w:ind/>
        <w:jc w:val="center"/>
        <w:rPr>
          <w:rFonts w:ascii="Calibri" w:hAnsi="Calibri" w:cs="Calibri"/>
          <w:b/>
          <w:bCs/>
          <w:color w:val="auto"/>
          <w:sz w:val="28"/>
          <w:szCs w:val="28"/>
          <w:u w:val="single"/>
        </w:rPr>
      </w:pPr>
      <w:r/>
      <w:bookmarkStart w:id="0" w:name="_Toc222407079"/>
      <w:r>
        <w:rPr>
          <w:rFonts w:ascii="Calibri" w:hAnsi="Calibri" w:cs="Calibri"/>
          <w:b/>
          <w:bCs/>
          <w:color w:val="auto"/>
          <w:sz w:val="28"/>
          <w:szCs w:val="28"/>
          <w:u w:val="single"/>
        </w:rPr>
        <w:t xml:space="preserve">PREAMBULE</w:t>
      </w:r>
      <w:bookmarkEnd w:id="0"/>
      <w:r>
        <w:rPr>
          <w:rFonts w:ascii="Calibri" w:hAnsi="Calibri" w:cs="Calibri"/>
          <w:b/>
          <w:bCs/>
          <w:color w:val="auto"/>
          <w:sz w:val="28"/>
          <w:szCs w:val="28"/>
          <w:u w:val="single"/>
        </w:rPr>
      </w:r>
      <w:r>
        <w:rPr>
          <w:rFonts w:ascii="Calibri" w:hAnsi="Calibri" w:cs="Calibri"/>
          <w:b/>
          <w:bCs/>
          <w:color w:val="auto"/>
          <w:sz w:val="28"/>
          <w:szCs w:val="28"/>
          <w:u w:val="single"/>
        </w:rPr>
      </w:r>
    </w:p>
    <w:p w14:paraId="5FEEAD79" w14:textId="77777777">
      <w:pPr>
        <w:pBdr/>
        <w:spacing/>
        <w:ind/>
        <w:rPr>
          <w:rFonts w:ascii="Calibri" w:hAnsi="Calibri" w:cs="Calibri"/>
        </w:rPr>
      </w:pPr>
      <w:r>
        <w:rPr>
          <w:rFonts w:ascii="Calibri" w:hAnsi="Calibri" w:cs="Calibri"/>
        </w:rPr>
      </w:r>
      <w:r>
        <w:rPr>
          <w:rFonts w:ascii="Calibri" w:hAnsi="Calibri" w:cs="Calibri"/>
        </w:rPr>
      </w:r>
      <w:r>
        <w:rPr>
          <w:rFonts w:ascii="Calibri" w:hAnsi="Calibri" w:cs="Calibri"/>
        </w:rPr>
      </w:r>
    </w:p>
    <w:p w14:paraId="3C23E2FD" w14:textId="1D6DCEA4">
      <w:pPr>
        <w:pStyle w:val="895"/>
        <w:pBdr/>
        <w:spacing/>
        <w:ind/>
        <w:jc w:val="left"/>
        <w:rPr>
          <w:rFonts w:ascii="Calibri" w:hAnsi="Calibri" w:cs="Calibri"/>
          <w:highlight w:val="none"/>
          <w14:ligatures w14:val="none"/>
        </w:rPr>
      </w:pPr>
      <w:r>
        <w:rPr>
          <w:rFonts w:ascii="Calibri" w:hAnsi="Calibri" w:cs="Calibri"/>
        </w:rPr>
      </w:r>
      <w:r>
        <w:rPr>
          <w:rFonts w:ascii="Calibri" w:hAnsi="Calibri" w:cs="Calibri"/>
        </w:rPr>
        <w:t xml:space="preserve">La société est une société à responsabilité limitée au capital déclaré.</w:t>
      </w:r>
      <w:r>
        <w:rPr>
          <w:rFonts w:ascii="Calibri" w:hAnsi="Calibri" w:cs="Calibri"/>
          <w:highlight w:val="none"/>
          <w14:ligatures w14:val="none"/>
        </w:rPr>
      </w:r>
      <w:r>
        <w:rPr>
          <w:rFonts w:ascii="Calibri" w:hAnsi="Calibri" w:cs="Calibri"/>
          <w:highlight w:val="none"/>
          <w14:ligatures w14:val="none"/>
        </w:rPr>
      </w:r>
    </w:p>
    <w:p w14:paraId="07DF1708">
      <w:pPr>
        <w:pStyle w:val="895"/>
        <w:pBdr/>
        <w:spacing/>
        <w:ind/>
        <w:jc w:val="left"/>
        <w:rPr>
          <w:rFonts w:ascii="Calibri" w:hAnsi="Calibri" w:cs="Calibri"/>
          <w14:ligatures w14:val="none"/>
        </w:rPr>
      </w:pPr>
      <w:r>
        <w:rPr>
          <w:rFonts w:ascii="Calibri" w:hAnsi="Calibri" w:cs="Calibri"/>
          <w:highlight w:val="none"/>
        </w:rPr>
      </w:r>
      <w:r>
        <w:rPr>
          <w:rFonts w:ascii="Calibri" w:hAnsi="Calibri" w:cs="Calibri"/>
          <w14:ligatures w14:val="none"/>
        </w:rPr>
      </w:r>
      <w:r>
        <w:rPr>
          <w:rFonts w:ascii="Calibri" w:hAnsi="Calibri" w:cs="Calibri"/>
          <w14:ligatures w14:val="none"/>
        </w:rPr>
      </w:r>
    </w:p>
    <w:p w14:paraId="493E4F7C">
      <w:pPr>
        <w:pStyle w:val="895"/>
        <w:pBdr/>
        <w:spacing/>
        <w:ind/>
        <w:jc w:val="left"/>
        <w:rPr>
          <w:rFonts w:ascii="Calibri" w:hAnsi="Calibri" w:cs="Calibri"/>
          <w:highlight w:val="none"/>
          <w14:ligatures w14:val="none"/>
        </w:rPr>
      </w:pPr>
      <w:r>
        <w:rPr>
          <w:rFonts w:ascii="Calibri" w:hAnsi="Calibri" w:cs="Calibri"/>
        </w:rPr>
        <w:t xml:space="preserve">Son siège social est situé dans le département concerné.</w:t>
      </w:r>
      <w:r>
        <w:rPr>
          <w:rFonts w:ascii="Calibri" w:hAnsi="Calibri" w:cs="Calibri"/>
          <w:highlight w:val="none"/>
          <w14:ligatures w14:val="none"/>
        </w:rPr>
      </w:r>
      <w:r>
        <w:rPr>
          <w:rFonts w:ascii="Calibri" w:hAnsi="Calibri" w:cs="Calibri"/>
          <w:highlight w:val="none"/>
          <w14:ligatures w14:val="none"/>
        </w:rPr>
      </w:r>
    </w:p>
    <w:p w14:paraId="3A1027E9">
      <w:pPr>
        <w:pStyle w:val="895"/>
        <w:pBdr/>
        <w:spacing/>
        <w:ind/>
        <w:jc w:val="left"/>
        <w:rPr>
          <w:rFonts w:ascii="Calibri" w:hAnsi="Calibri" w:cs="Calibri"/>
          <w14:ligatures w14:val="none"/>
        </w:rPr>
      </w:pPr>
      <w:r>
        <w:rPr>
          <w:rFonts w:ascii="Calibri" w:hAnsi="Calibri" w:cs="Calibri"/>
          <w:highlight w:val="none"/>
        </w:rPr>
      </w:r>
      <w:r>
        <w:rPr>
          <w:rFonts w:ascii="Calibri" w:hAnsi="Calibri" w:cs="Calibri"/>
          <w14:ligatures w14:val="none"/>
        </w:rPr>
      </w:r>
      <w:r>
        <w:rPr>
          <w:rFonts w:ascii="Calibri" w:hAnsi="Calibri" w:cs="Calibri"/>
          <w14:ligatures w14:val="none"/>
        </w:rPr>
      </w:r>
    </w:p>
    <w:p w14:paraId="4A928E2E">
      <w:pPr>
        <w:pStyle w:val="895"/>
        <w:pBdr/>
        <w:spacing/>
        <w:ind/>
        <w:jc w:val="left"/>
        <w:rPr>
          <w:rFonts w:ascii="Calibri" w:hAnsi="Calibri" w:cs="Calibri"/>
          <w:highlight w:val="none"/>
          <w14:ligatures w14:val="none"/>
        </w:rPr>
      </w:pPr>
      <w:r>
        <w:rPr>
          <w:rFonts w:ascii="Calibri" w:hAnsi="Calibri" w:cs="Calibri"/>
        </w:rPr>
        <w:t xml:space="preserve">La société exerce une activité dans le secteur de la sécurité</w:t>
      </w:r>
      <w:r>
        <w:rPr>
          <w:rFonts w:ascii="Calibri" w:hAnsi="Calibri" w:cs="Calibri"/>
        </w:rPr>
        <w:t xml:space="preserve">.</w:t>
      </w:r>
      <w:r>
        <w:rPr>
          <w:rFonts w:ascii="Calibri" w:hAnsi="Calibri" w:cs="Calibri"/>
          <w:highlight w:val="none"/>
          <w14:ligatures w14:val="none"/>
        </w:rPr>
      </w:r>
      <w:r>
        <w:rPr>
          <w:rFonts w:ascii="Calibri" w:hAnsi="Calibri" w:cs="Calibri"/>
          <w:highlight w:val="none"/>
          <w14:ligatures w14:val="none"/>
        </w:rPr>
      </w:r>
    </w:p>
    <w:p w14:paraId="19F89256">
      <w:pPr>
        <w:pStyle w:val="895"/>
        <w:pBdr/>
        <w:spacing/>
        <w:ind/>
        <w:jc w:val="left"/>
        <w:rPr>
          <w:rFonts w:ascii="Calibri" w:hAnsi="Calibri" w:cs="Calibri"/>
          <w14:ligatures w14:val="none"/>
        </w:rPr>
      </w:pPr>
      <w:r>
        <w:rPr>
          <w:rFonts w:ascii="Calibri" w:hAnsi="Calibri" w:cs="Calibri"/>
          <w:highlight w:val="none"/>
        </w:rPr>
      </w:r>
      <w:r>
        <w:rPr>
          <w:rFonts w:ascii="Calibri" w:hAnsi="Calibri" w:cs="Calibri"/>
          <w14:ligatures w14:val="none"/>
        </w:rPr>
      </w:r>
      <w:r>
        <w:rPr>
          <w:rFonts w:ascii="Calibri" w:hAnsi="Calibri" w:cs="Calibri"/>
          <w14:ligatures w14:val="none"/>
        </w:rPr>
      </w:r>
    </w:p>
    <w:p w14:paraId="6CC027A2">
      <w:pPr>
        <w:pStyle w:val="895"/>
        <w:pBdr/>
        <w:spacing/>
        <w:ind/>
        <w:jc w:val="left"/>
        <w:rPr>
          <w:rFonts w:ascii="Calibri" w:hAnsi="Calibri" w:cs="Calibri"/>
          <w14:ligatures w14:val="none"/>
        </w:rPr>
      </w:pPr>
      <w:r>
        <w:rPr>
          <w:rFonts w:ascii="Calibri" w:hAnsi="Calibri" w:cs="Calibri"/>
        </w:rPr>
        <w:t xml:space="preserve">L’effectif de la société est inférieur à 50 salariés. Aucun d</w:t>
      </w:r>
      <w:r>
        <w:rPr>
          <w:rFonts w:ascii="Calibri" w:hAnsi="Calibri" w:cs="Calibri"/>
        </w:rPr>
        <w:t xml:space="preserve">élégué syndical n’a été désigné.</w:t>
      </w:r>
      <w:r>
        <w:rPr>
          <w:rFonts w:ascii="Calibri" w:hAnsi="Calibri" w:cs="Calibri"/>
          <w14:ligatures w14:val="none"/>
        </w:rPr>
      </w:r>
      <w:r>
        <w:rPr>
          <w:rFonts w:ascii="Calibri" w:hAnsi="Calibri" w:cs="Calibri"/>
          <w14:ligatures w14:val="none"/>
        </w:rPr>
      </w:r>
    </w:p>
    <w:p w14:paraId="47C7E6F7"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5AF47083" w14:textId="3E9CE260">
      <w:pPr>
        <w:pStyle w:val="895"/>
        <w:pBdr/>
        <w:spacing/>
        <w:ind/>
        <w:jc w:val="both"/>
        <w:rPr>
          <w:rFonts w:ascii="Calibri" w:hAnsi="Calibri" w:cs="Calibri"/>
        </w:rPr>
      </w:pPr>
      <w:r>
        <w:rPr>
          <w:rFonts w:ascii="Calibri" w:hAnsi="Calibri" w:cs="Calibri"/>
        </w:rPr>
        <w:t xml:space="preserve">L’entreprise évolue dans un contexte économique et financie</w:t>
      </w:r>
      <w:r>
        <w:rPr>
          <w:rFonts w:ascii="Calibri" w:hAnsi="Calibri" w:cs="Calibri"/>
        </w:rPr>
        <w:t xml:space="preserve">r</w:t>
      </w:r>
      <w:r>
        <w:rPr>
          <w:rFonts w:ascii="Calibri" w:hAnsi="Calibri" w:cs="Calibri"/>
        </w:rPr>
        <w:t xml:space="preserve"> </w:t>
      </w:r>
      <w:r>
        <w:rPr>
          <w:rFonts w:ascii="Calibri" w:hAnsi="Calibri" w:cs="Calibri"/>
        </w:rPr>
        <w:t xml:space="preserve">dégradé.</w:t>
      </w:r>
      <w:r>
        <w:rPr>
          <w:rFonts w:ascii="Calibri" w:hAnsi="Calibri" w:cs="Calibri"/>
        </w:rPr>
      </w:r>
      <w:r>
        <w:rPr>
          <w:rFonts w:ascii="Calibri" w:hAnsi="Calibri" w:cs="Calibri"/>
        </w:rPr>
      </w:r>
    </w:p>
    <w:p w14:paraId="6E8D492C"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59E2451E" w14:textId="3E521F4D">
      <w:pPr>
        <w:pStyle w:val="895"/>
        <w:pBdr/>
        <w:spacing/>
        <w:ind/>
        <w:jc w:val="both"/>
        <w:rPr>
          <w:rFonts w:ascii="Calibri" w:hAnsi="Calibri" w:cs="Calibri"/>
        </w:rPr>
      </w:pPr>
      <w:r>
        <w:rPr>
          <w:rFonts w:ascii="Calibri" w:hAnsi="Calibri" w:cs="Calibri"/>
        </w:rPr>
        <w:t xml:space="preserve">C’est la raison pour laquelle</w:t>
      </w:r>
      <w:r>
        <w:rPr>
          <w:rFonts w:ascii="Calibri" w:hAnsi="Calibri" w:cs="Calibri"/>
        </w:rPr>
        <w:t xml:space="preserve">,</w:t>
      </w:r>
      <w:r>
        <w:rPr>
          <w:rFonts w:ascii="Calibri" w:hAnsi="Calibri" w:cs="Calibri"/>
        </w:rPr>
        <w:t xml:space="preserve"> il a été décidé en fin d’année 2025, d’initier une démarche de réflexion autour de la durée du travail au sein de l’entreprise afin de permettre une meilleure organisation du travail dans un objectif d’optimisation et de </w:t>
      </w:r>
      <w:r>
        <w:rPr>
          <w:rFonts w:ascii="Calibri" w:hAnsi="Calibri" w:cs="Calibri"/>
        </w:rPr>
        <w:t xml:space="preserve">pérennisation</w:t>
      </w:r>
      <w:r>
        <w:rPr>
          <w:rFonts w:ascii="Calibri" w:hAnsi="Calibri" w:cs="Calibri"/>
        </w:rPr>
        <w:t xml:space="preserve"> de l’activité et des emplois.</w:t>
      </w:r>
      <w:r>
        <w:rPr>
          <w:rFonts w:ascii="Calibri" w:hAnsi="Calibri" w:cs="Calibri"/>
        </w:rPr>
      </w:r>
      <w:r>
        <w:rPr>
          <w:rFonts w:ascii="Calibri" w:hAnsi="Calibri" w:cs="Calibri"/>
        </w:rPr>
      </w:r>
    </w:p>
    <w:p w14:paraId="25674E76"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0739BD38" w14:textId="258BECAF">
      <w:pPr>
        <w:pStyle w:val="895"/>
        <w:pBdr/>
        <w:spacing/>
        <w:ind/>
        <w:jc w:val="both"/>
        <w:rPr>
          <w:rFonts w:ascii="Calibri" w:hAnsi="Calibri" w:cs="Calibri"/>
        </w:rPr>
      </w:pPr>
      <w:r>
        <w:rPr>
          <w:rFonts w:ascii="Calibri" w:hAnsi="Calibri" w:cs="Calibri"/>
        </w:rPr>
        <w:t xml:space="preserve">Dans ce contexte, les Parties ont donc décidé de mettre en place un accord sur l’aménagement du temps de travail propre à la Société tenant compte de ses contraintes organisationnelles, liées aux conditions et aux nécessités particulières de son activité.</w:t>
      </w:r>
      <w:r>
        <w:rPr>
          <w:rFonts w:ascii="Calibri" w:hAnsi="Calibri" w:cs="Calibri"/>
        </w:rPr>
      </w:r>
      <w:r>
        <w:rPr>
          <w:rFonts w:ascii="Calibri" w:hAnsi="Calibri" w:cs="Calibri"/>
        </w:rPr>
      </w:r>
    </w:p>
    <w:p w14:paraId="4D1CB13C"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51BE3BAF" w14:textId="072305A1">
      <w:pPr>
        <w:pStyle w:val="895"/>
        <w:pBdr/>
        <w:spacing/>
        <w:ind/>
        <w:jc w:val="both"/>
        <w:rPr>
          <w:rFonts w:ascii="Calibri" w:hAnsi="Calibri" w:cs="Calibri"/>
        </w:rPr>
      </w:pPr>
      <w:r>
        <w:rPr>
          <w:rFonts w:ascii="Calibri" w:hAnsi="Calibri" w:cs="Calibri"/>
        </w:rPr>
        <w:t xml:space="preserve">Dans le cadre de la négociation, l</w:t>
      </w:r>
      <w:r>
        <w:rPr>
          <w:rFonts w:ascii="Calibri" w:hAnsi="Calibri" w:cs="Calibri"/>
        </w:rPr>
        <w:t xml:space="preserve">es signataires du présent accord </w:t>
      </w:r>
      <w:r>
        <w:rPr>
          <w:rFonts w:ascii="Calibri" w:hAnsi="Calibri" w:cs="Calibri"/>
        </w:rPr>
        <w:t xml:space="preserve">ont fait des concessions réciproques, notamment :</w:t>
      </w:r>
      <w:r>
        <w:rPr>
          <w:rFonts w:ascii="Calibri" w:hAnsi="Calibri" w:cs="Calibri"/>
        </w:rPr>
      </w:r>
      <w:r>
        <w:rPr>
          <w:rFonts w:ascii="Calibri" w:hAnsi="Calibri" w:cs="Calibri"/>
        </w:rPr>
      </w:r>
    </w:p>
    <w:p w14:paraId="68514218"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7DF9A906" w14:textId="28C3D2E3">
      <w:pPr>
        <w:pStyle w:val="895"/>
        <w:numPr>
          <w:ilvl w:val="0"/>
          <w:numId w:val="1"/>
        </w:numPr>
        <w:pBdr/>
        <w:spacing/>
        <w:ind/>
        <w:jc w:val="both"/>
        <w:rPr>
          <w:rFonts w:ascii="Calibri" w:hAnsi="Calibri" w:cs="Calibri"/>
        </w:rPr>
      </w:pPr>
      <w:r>
        <w:rPr>
          <w:rFonts w:ascii="Calibri" w:hAnsi="Calibri" w:cs="Calibri"/>
        </w:rPr>
        <w:t xml:space="preserve">la</w:t>
      </w:r>
      <w:r>
        <w:rPr>
          <w:rFonts w:ascii="Calibri" w:hAnsi="Calibri" w:cs="Calibri"/>
        </w:rPr>
        <w:t xml:space="preserve"> société a accepté de ne pas mettre en place une annualisation du temps de travail, bien que cela </w:t>
      </w:r>
      <w:r>
        <w:rPr>
          <w:rFonts w:ascii="Calibri" w:hAnsi="Calibri" w:cs="Calibri"/>
        </w:rPr>
        <w:t xml:space="preserve">était</w:t>
      </w:r>
      <w:r>
        <w:rPr>
          <w:rFonts w:ascii="Calibri" w:hAnsi="Calibri" w:cs="Calibri"/>
        </w:rPr>
        <w:t xml:space="preserve"> souhaitable au regard des difficultés financières et économiques actuelles,</w:t>
      </w:r>
      <w:r>
        <w:rPr>
          <w:rFonts w:ascii="Calibri" w:hAnsi="Calibri" w:cs="Calibri"/>
        </w:rPr>
      </w:r>
      <w:r>
        <w:rPr>
          <w:rFonts w:ascii="Calibri" w:hAnsi="Calibri" w:cs="Calibri"/>
        </w:rPr>
      </w:r>
    </w:p>
    <w:p w14:paraId="5044E9DD"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60C824DC" w14:textId="55EDF518">
      <w:pPr>
        <w:pStyle w:val="895"/>
        <w:numPr>
          <w:ilvl w:val="0"/>
          <w:numId w:val="1"/>
        </w:numPr>
        <w:pBdr/>
        <w:spacing/>
        <w:ind/>
        <w:jc w:val="both"/>
        <w:rPr>
          <w:rFonts w:ascii="Calibri" w:hAnsi="Calibri" w:cs="Calibri"/>
        </w:rPr>
      </w:pPr>
      <w:r>
        <w:rPr>
          <w:rFonts w:ascii="Calibri" w:hAnsi="Calibri" w:cs="Calibri"/>
        </w:rPr>
        <w:t xml:space="preserve">les</w:t>
      </w:r>
      <w:r>
        <w:rPr>
          <w:rFonts w:ascii="Calibri" w:hAnsi="Calibri" w:cs="Calibri"/>
        </w:rPr>
        <w:t xml:space="preserve"> membres élus titulaires du CSE ont accepté que, dans le cadre </w:t>
      </w:r>
      <w:r>
        <w:rPr>
          <w:rFonts w:ascii="Calibri" w:hAnsi="Calibri" w:cs="Calibri"/>
        </w:rPr>
        <w:t xml:space="preserve">d’une</w:t>
      </w:r>
      <w:r>
        <w:rPr>
          <w:rFonts w:ascii="Calibri" w:hAnsi="Calibri" w:cs="Calibri"/>
        </w:rPr>
        <w:t xml:space="preserve"> mensualisation, le taux de majoration d’heures supplémentaires soit diminué.</w:t>
      </w:r>
      <w:r>
        <w:rPr>
          <w:rFonts w:ascii="Calibri" w:hAnsi="Calibri" w:cs="Calibri"/>
        </w:rPr>
        <w:t xml:space="preserve"> </w:t>
      </w:r>
      <w:r>
        <w:rPr>
          <w:rFonts w:ascii="Calibri" w:hAnsi="Calibri" w:cs="Calibri"/>
        </w:rPr>
      </w:r>
      <w:r>
        <w:rPr>
          <w:rFonts w:ascii="Calibri" w:hAnsi="Calibri" w:cs="Calibri"/>
        </w:rPr>
      </w:r>
    </w:p>
    <w:p w14:paraId="793AF27F"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4E01084B" w14:textId="18A7FCFD">
      <w:pPr>
        <w:pStyle w:val="895"/>
        <w:pBdr/>
        <w:spacing/>
        <w:ind/>
        <w:jc w:val="both"/>
        <w:rPr>
          <w:rFonts w:ascii="Calibri" w:hAnsi="Calibri" w:cs="Calibri"/>
        </w:rPr>
      </w:pPr>
      <w:r>
        <w:rPr>
          <w:rFonts w:ascii="Calibri" w:hAnsi="Calibri" w:cs="Calibri"/>
        </w:rPr>
        <w:t xml:space="preserve">Les parties ont donc décidé :</w:t>
      </w:r>
      <w:r>
        <w:rPr>
          <w:rFonts w:ascii="Calibri" w:hAnsi="Calibri" w:cs="Calibri"/>
        </w:rPr>
      </w:r>
      <w:r>
        <w:rPr>
          <w:rFonts w:ascii="Calibri" w:hAnsi="Calibri" w:cs="Calibri"/>
        </w:rPr>
      </w:r>
    </w:p>
    <w:p w14:paraId="68C57E35"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6575E586" w14:textId="33C7C059">
      <w:pPr>
        <w:pStyle w:val="895"/>
        <w:numPr>
          <w:ilvl w:val="0"/>
          <w:numId w:val="1"/>
        </w:numPr>
        <w:pBdr/>
        <w:spacing/>
        <w:ind/>
        <w:jc w:val="both"/>
        <w:rPr>
          <w:rFonts w:ascii="Calibri" w:hAnsi="Calibri" w:cs="Calibri"/>
        </w:rPr>
      </w:pPr>
      <w:r>
        <w:rPr>
          <w:rFonts w:ascii="Calibri" w:hAnsi="Calibri" w:cs="Calibri"/>
        </w:rPr>
        <w:t xml:space="preserve">de</w:t>
      </w:r>
      <w:r>
        <w:rPr>
          <w:rFonts w:ascii="Calibri" w:hAnsi="Calibri" w:cs="Calibri"/>
        </w:rPr>
        <w:t xml:space="preserve"> </w:t>
      </w:r>
      <w:r>
        <w:rPr>
          <w:rFonts w:ascii="Calibri" w:hAnsi="Calibri" w:cs="Calibri"/>
        </w:rPr>
        <w:t xml:space="preserve">se rapprocher de ce qui est pratiqué actuellement au sein de l’entreprise</w:t>
      </w:r>
      <w:r>
        <w:rPr>
          <w:rFonts w:ascii="Calibri" w:hAnsi="Calibri" w:cs="Calibri"/>
        </w:rPr>
        <w:t xml:space="preserve">,</w:t>
      </w:r>
      <w:r>
        <w:rPr>
          <w:rFonts w:ascii="Calibri" w:hAnsi="Calibri" w:cs="Calibri"/>
        </w:rPr>
      </w:r>
      <w:r>
        <w:rPr>
          <w:rFonts w:ascii="Calibri" w:hAnsi="Calibri" w:cs="Calibri"/>
        </w:rPr>
      </w:r>
    </w:p>
    <w:p w14:paraId="148A5CC7"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1B160C72" w14:textId="4AF93D0A">
      <w:pPr>
        <w:pStyle w:val="895"/>
        <w:numPr>
          <w:ilvl w:val="0"/>
          <w:numId w:val="1"/>
        </w:numPr>
        <w:pBdr/>
        <w:spacing/>
        <w:ind/>
        <w:jc w:val="both"/>
        <w:rPr>
          <w:rFonts w:ascii="Calibri" w:hAnsi="Calibri" w:cs="Calibri"/>
        </w:rPr>
      </w:pPr>
      <w:r>
        <w:rPr>
          <w:rFonts w:ascii="Calibri" w:hAnsi="Calibri" w:cs="Calibri"/>
        </w:rPr>
        <w:t xml:space="preserve">de</w:t>
      </w:r>
      <w:r>
        <w:rPr>
          <w:rFonts w:ascii="Calibri" w:hAnsi="Calibri" w:cs="Calibri"/>
        </w:rPr>
        <w:t xml:space="preserve"> favoriser</w:t>
      </w:r>
      <w:r>
        <w:rPr>
          <w:rFonts w:ascii="Calibri" w:hAnsi="Calibri" w:cs="Calibri"/>
        </w:rPr>
        <w:t xml:space="preserve"> la compétitivité et la productivité de l’entreprise en optimisant l’organisation du travail afin de répondre à la demande des clients</w:t>
      </w:r>
      <w:r>
        <w:rPr>
          <w:rFonts w:ascii="Calibri" w:hAnsi="Calibri" w:cs="Calibri"/>
        </w:rPr>
        <w:t xml:space="preserve"> et d’améliorer la situation financière et économique de l’entreprise</w:t>
      </w:r>
      <w:r>
        <w:rPr>
          <w:rFonts w:ascii="Calibri" w:hAnsi="Calibri" w:cs="Calibri"/>
        </w:rPr>
        <w:t xml:space="preserve">,</w:t>
      </w:r>
      <w:r>
        <w:rPr>
          <w:rFonts w:ascii="Calibri" w:hAnsi="Calibri" w:cs="Calibri"/>
        </w:rPr>
      </w:r>
      <w:r>
        <w:rPr>
          <w:rFonts w:ascii="Calibri" w:hAnsi="Calibri" w:cs="Calibri"/>
        </w:rPr>
      </w:r>
    </w:p>
    <w:p w14:paraId="37E83633"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627412A0" w14:textId="74AF1B09">
      <w:pPr>
        <w:pStyle w:val="895"/>
        <w:numPr>
          <w:ilvl w:val="0"/>
          <w:numId w:val="1"/>
        </w:numPr>
        <w:pBdr/>
        <w:spacing/>
        <w:ind/>
        <w:jc w:val="both"/>
        <w:rPr>
          <w:rFonts w:ascii="Calibri" w:hAnsi="Calibri" w:cs="Calibri"/>
        </w:rPr>
      </w:pPr>
      <w:r>
        <w:rPr>
          <w:rFonts w:ascii="Calibri" w:hAnsi="Calibri" w:cs="Calibri"/>
        </w:rPr>
        <w:t xml:space="preserve">de</w:t>
      </w:r>
      <w:r>
        <w:rPr>
          <w:rFonts w:ascii="Calibri" w:hAnsi="Calibri" w:cs="Calibri"/>
        </w:rPr>
        <w:t xml:space="preserve"> </w:t>
      </w:r>
      <w:r>
        <w:rPr>
          <w:rFonts w:ascii="Calibri" w:hAnsi="Calibri" w:cs="Calibri"/>
        </w:rPr>
        <w:t xml:space="preserve">maintenir la souplesse dans l’organisation du travail pour tenir compte de l’autonomie dont dispose</w:t>
      </w:r>
      <w:r>
        <w:rPr>
          <w:rFonts w:ascii="Calibri" w:hAnsi="Calibri" w:cs="Calibri"/>
        </w:rPr>
        <w:t xml:space="preserve">ront</w:t>
      </w:r>
      <w:r>
        <w:rPr>
          <w:rFonts w:ascii="Calibri" w:hAnsi="Calibri" w:cs="Calibri"/>
        </w:rPr>
        <w:t xml:space="preserve"> les salariés </w:t>
      </w:r>
      <w:r>
        <w:rPr>
          <w:rFonts w:ascii="Calibri" w:hAnsi="Calibri" w:cs="Calibri"/>
        </w:rPr>
        <w:t xml:space="preserve">qui seront </w:t>
      </w:r>
      <w:r>
        <w:rPr>
          <w:rFonts w:ascii="Calibri" w:hAnsi="Calibri" w:cs="Calibri"/>
        </w:rPr>
        <w:t xml:space="preserve">concernés par le forfait annuel en jours ;</w:t>
      </w:r>
      <w:r>
        <w:rPr>
          <w:rFonts w:ascii="Calibri" w:hAnsi="Calibri" w:cs="Calibri"/>
        </w:rPr>
      </w:r>
      <w:r>
        <w:rPr>
          <w:rFonts w:ascii="Calibri" w:hAnsi="Calibri" w:cs="Calibri"/>
        </w:rPr>
      </w:r>
    </w:p>
    <w:p w14:paraId="29A54631"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44829959" w14:textId="77777777">
      <w:pPr>
        <w:pStyle w:val="895"/>
        <w:pBdr/>
        <w:spacing/>
        <w:ind/>
        <w:jc w:val="both"/>
        <w:rPr>
          <w:rFonts w:ascii="Calibri" w:hAnsi="Calibri" w:cs="Calibri"/>
        </w:rPr>
      </w:pPr>
      <w:r>
        <w:rPr>
          <w:rFonts w:ascii="Calibri" w:hAnsi="Calibri" w:cs="Calibri"/>
        </w:rPr>
        <w:t xml:space="preserve">Le présent accord a donc pour objet notamment de préciser, selon les catégories d’emplois :</w:t>
      </w:r>
      <w:r>
        <w:rPr>
          <w:rFonts w:ascii="Calibri" w:hAnsi="Calibri" w:cs="Calibri"/>
        </w:rPr>
      </w:r>
      <w:r>
        <w:rPr>
          <w:rFonts w:ascii="Calibri" w:hAnsi="Calibri" w:cs="Calibri"/>
        </w:rPr>
      </w:r>
    </w:p>
    <w:p w14:paraId="6141B31D"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308139D3" w14:textId="361914F4">
      <w:pPr>
        <w:pStyle w:val="895"/>
        <w:numPr>
          <w:ilvl w:val="0"/>
          <w:numId w:val="1"/>
        </w:numPr>
        <w:pBdr/>
        <w:spacing/>
        <w:ind/>
        <w:jc w:val="both"/>
        <w:rPr>
          <w:rFonts w:ascii="Calibri" w:hAnsi="Calibri" w:cs="Calibri"/>
        </w:rPr>
      </w:pPr>
      <w:r>
        <w:rPr>
          <w:rFonts w:ascii="Calibri" w:hAnsi="Calibri" w:cs="Calibri"/>
        </w:rPr>
        <w:t xml:space="preserve">les</w:t>
      </w:r>
      <w:r>
        <w:rPr>
          <w:rFonts w:ascii="Calibri" w:hAnsi="Calibri" w:cs="Calibri"/>
        </w:rPr>
        <w:t xml:space="preserve"> modalités d’aménagement du temps de travail au sein de l’entreprise sur </w:t>
      </w:r>
      <w:r>
        <w:rPr>
          <w:rFonts w:ascii="Calibri" w:hAnsi="Calibri" w:cs="Calibri"/>
        </w:rPr>
        <w:t xml:space="preserve">le mois</w:t>
      </w:r>
      <w:r>
        <w:rPr>
          <w:rFonts w:ascii="Calibri" w:hAnsi="Calibri" w:cs="Calibri"/>
        </w:rPr>
        <w:t xml:space="preserve"> (Chapitre 3) ;</w:t>
      </w:r>
      <w:r>
        <w:rPr>
          <w:rFonts w:ascii="Calibri" w:hAnsi="Calibri" w:cs="Calibri"/>
        </w:rPr>
      </w:r>
      <w:r>
        <w:rPr>
          <w:rFonts w:ascii="Calibri" w:hAnsi="Calibri" w:cs="Calibri"/>
        </w:rPr>
      </w:r>
    </w:p>
    <w:p w14:paraId="689428C5"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478FA862" w14:textId="0AEC5791">
      <w:pPr>
        <w:pStyle w:val="895"/>
        <w:numPr>
          <w:ilvl w:val="0"/>
          <w:numId w:val="1"/>
        </w:numPr>
        <w:pBdr/>
        <w:spacing/>
        <w:ind/>
        <w:jc w:val="both"/>
        <w:rPr>
          <w:rFonts w:ascii="Calibri" w:hAnsi="Calibri" w:cs="Calibri"/>
        </w:rPr>
      </w:pPr>
      <w:r>
        <w:rPr>
          <w:rFonts w:ascii="Calibri" w:hAnsi="Calibri" w:cs="Calibri"/>
        </w:rPr>
        <w:t xml:space="preserve">et</w:t>
      </w:r>
      <w:r>
        <w:rPr>
          <w:rFonts w:ascii="Calibri" w:hAnsi="Calibri" w:cs="Calibri"/>
        </w:rPr>
        <w:t xml:space="preserve"> le recours aux conventions de forfait annuel en jours (Chapitre 4).</w:t>
      </w:r>
      <w:r>
        <w:rPr>
          <w:rFonts w:ascii="Calibri" w:hAnsi="Calibri" w:cs="Calibri"/>
        </w:rPr>
      </w:r>
      <w:r>
        <w:rPr>
          <w:rFonts w:ascii="Calibri" w:hAnsi="Calibri" w:cs="Calibri"/>
        </w:rPr>
      </w:r>
    </w:p>
    <w:p w14:paraId="27E81478" w14:textId="77777777">
      <w:pPr>
        <w:pBdr/>
        <w:spacing/>
        <w:ind/>
        <w:rPr>
          <w:rFonts w:ascii="Calibri" w:hAnsi="Calibri" w:cs="Calibri"/>
        </w:rPr>
      </w:pPr>
      <w:r>
        <w:rPr>
          <w:rFonts w:ascii="Calibri" w:hAnsi="Calibri" w:cs="Calibri"/>
        </w:rPr>
        <w:br w:type="page" w:clear="all"/>
      </w:r>
      <w:r>
        <w:rPr>
          <w:rFonts w:ascii="Calibri" w:hAnsi="Calibri" w:cs="Calibri"/>
        </w:rPr>
      </w:r>
      <w:r>
        <w:rPr>
          <w:rFonts w:ascii="Calibri" w:hAnsi="Calibri" w:cs="Calibri"/>
        </w:rPr>
      </w:r>
    </w:p>
    <w:p w14:paraId="40A7C615" w14:textId="77777777">
      <w:pPr>
        <w:pStyle w:val="895"/>
        <w:pBdr/>
        <w:spacing/>
        <w:ind/>
        <w:jc w:val="both"/>
        <w:outlineLvl w:val="0"/>
        <w:rPr>
          <w:rFonts w:ascii="Calibri" w:hAnsi="Calibri" w:cs="Calibri"/>
          <w:b/>
          <w:bCs/>
          <w:sz w:val="28"/>
          <w:szCs w:val="28"/>
          <w:u w:val="single"/>
        </w:rPr>
      </w:pPr>
      <w:r/>
      <w:bookmarkStart w:id="1" w:name="_Toc222407080"/>
      <w:r>
        <w:rPr>
          <w:rFonts w:ascii="Calibri" w:hAnsi="Calibri" w:cs="Calibri"/>
          <w:b/>
          <w:bCs/>
          <w:sz w:val="28"/>
          <w:szCs w:val="28"/>
          <w:u w:val="single"/>
        </w:rPr>
        <w:t xml:space="preserve">CHAPITRE 1 : DISPOSITIONS LIMINAIRES</w:t>
      </w:r>
      <w:bookmarkEnd w:id="1"/>
      <w:r>
        <w:rPr>
          <w:rFonts w:ascii="Calibri" w:hAnsi="Calibri" w:cs="Calibri"/>
          <w:b/>
          <w:bCs/>
          <w:sz w:val="28"/>
          <w:szCs w:val="28"/>
          <w:u w:val="single"/>
        </w:rPr>
      </w:r>
      <w:r>
        <w:rPr>
          <w:rFonts w:ascii="Calibri" w:hAnsi="Calibri" w:cs="Calibri"/>
          <w:b/>
          <w:bCs/>
          <w:sz w:val="28"/>
          <w:szCs w:val="28"/>
          <w:u w:val="single"/>
        </w:rPr>
      </w:r>
    </w:p>
    <w:p w14:paraId="7F66DCAE"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282D033D" w14:textId="77777777">
      <w:pPr>
        <w:pStyle w:val="895"/>
        <w:pBdr/>
        <w:spacing/>
        <w:ind/>
        <w:jc w:val="both"/>
        <w:outlineLvl w:val="1"/>
        <w:rPr>
          <w:rFonts w:ascii="Calibri" w:hAnsi="Calibri" w:cs="Calibri"/>
          <w:b/>
          <w:bCs/>
          <w:u w:val="single"/>
        </w:rPr>
      </w:pPr>
      <w:r/>
      <w:bookmarkStart w:id="2" w:name="_Toc222407081"/>
      <w:r>
        <w:rPr>
          <w:rFonts w:ascii="Calibri" w:hAnsi="Calibri" w:cs="Calibri"/>
          <w:b/>
          <w:bCs/>
          <w:u w:val="single"/>
        </w:rPr>
        <w:t xml:space="preserve">ARTICLE 1 – Cadre juridique du présent accord</w:t>
      </w:r>
      <w:bookmarkEnd w:id="2"/>
      <w:r>
        <w:rPr>
          <w:rFonts w:ascii="Calibri" w:hAnsi="Calibri" w:cs="Calibri"/>
          <w:b/>
          <w:bCs/>
          <w:u w:val="single"/>
        </w:rPr>
        <w:t xml:space="preserve"> </w:t>
      </w:r>
      <w:r>
        <w:rPr>
          <w:rFonts w:ascii="Calibri" w:hAnsi="Calibri" w:cs="Calibri"/>
          <w:b/>
          <w:bCs/>
          <w:u w:val="single"/>
        </w:rPr>
      </w:r>
      <w:r>
        <w:rPr>
          <w:rFonts w:ascii="Calibri" w:hAnsi="Calibri" w:cs="Calibri"/>
          <w:b/>
          <w:bCs/>
          <w:u w:val="single"/>
        </w:rPr>
      </w:r>
    </w:p>
    <w:p w14:paraId="61E1F0BB"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33DD3144" w14:textId="3F1506F5">
      <w:pPr>
        <w:pStyle w:val="895"/>
        <w:pBdr/>
        <w:spacing/>
        <w:ind/>
        <w:jc w:val="both"/>
        <w:rPr>
          <w:rFonts w:ascii="Calibri" w:hAnsi="Calibri" w:cs="Calibri"/>
        </w:rPr>
      </w:pPr>
      <w:r>
        <w:rPr>
          <w:rFonts w:ascii="Calibri" w:hAnsi="Calibri" w:cs="Calibri"/>
        </w:rPr>
        <w:t xml:space="preserve">Le présent accord d’entreprise a été conclu en application </w:t>
      </w:r>
      <w:r>
        <w:rPr>
          <w:rFonts w:ascii="Calibri" w:hAnsi="Calibri" w:cs="Calibri"/>
        </w:rPr>
        <w:t xml:space="preserve">de l’article</w:t>
      </w:r>
      <w:r>
        <w:rPr>
          <w:rFonts w:ascii="Calibri" w:hAnsi="Calibri" w:cs="Calibri"/>
        </w:rPr>
        <w:t xml:space="preserve"> L.2232-</w:t>
      </w:r>
      <w:r>
        <w:rPr>
          <w:rFonts w:ascii="Calibri" w:hAnsi="Calibri" w:cs="Calibri"/>
        </w:rPr>
        <w:t xml:space="preserve">23-1</w:t>
      </w:r>
      <w:r>
        <w:rPr>
          <w:rFonts w:ascii="Calibri" w:hAnsi="Calibri" w:cs="Calibri"/>
        </w:rPr>
        <w:t xml:space="preserve"> </w:t>
      </w:r>
      <w:r>
        <w:rPr>
          <w:rFonts w:ascii="Calibri" w:hAnsi="Calibri" w:cs="Calibri"/>
        </w:rPr>
        <w:t xml:space="preserve">du Code du travail.</w:t>
      </w:r>
      <w:r>
        <w:rPr>
          <w:rFonts w:ascii="Calibri" w:hAnsi="Calibri" w:cs="Calibri"/>
        </w:rPr>
      </w:r>
      <w:r>
        <w:rPr>
          <w:rFonts w:ascii="Calibri" w:hAnsi="Calibri" w:cs="Calibri"/>
        </w:rPr>
      </w:r>
    </w:p>
    <w:p w14:paraId="47B7D6CB"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72B80275" w14:textId="77777777">
      <w:pPr>
        <w:pStyle w:val="895"/>
        <w:pBdr/>
        <w:spacing/>
        <w:ind/>
        <w:jc w:val="both"/>
        <w:outlineLvl w:val="1"/>
        <w:rPr>
          <w:rFonts w:ascii="Calibri" w:hAnsi="Calibri" w:cs="Calibri"/>
          <w:b/>
          <w:bCs/>
          <w:u w:val="single"/>
        </w:rPr>
      </w:pPr>
      <w:r/>
      <w:bookmarkStart w:id="3" w:name="_Toc222407082"/>
      <w:r>
        <w:rPr>
          <w:rFonts w:ascii="Calibri" w:hAnsi="Calibri" w:cs="Calibri"/>
          <w:b/>
          <w:bCs/>
          <w:u w:val="single"/>
        </w:rPr>
        <w:t xml:space="preserve">ARTICLE 2 – Primauté du présent accord pour l’avenir</w:t>
      </w:r>
      <w:bookmarkEnd w:id="3"/>
      <w:r>
        <w:rPr>
          <w:rFonts w:ascii="Calibri" w:hAnsi="Calibri" w:cs="Calibri"/>
          <w:b/>
          <w:bCs/>
          <w:u w:val="single"/>
        </w:rPr>
        <w:t xml:space="preserve"> </w:t>
      </w:r>
      <w:r>
        <w:rPr>
          <w:rFonts w:ascii="Calibri" w:hAnsi="Calibri" w:cs="Calibri"/>
          <w:b/>
          <w:bCs/>
          <w:u w:val="single"/>
        </w:rPr>
      </w:r>
      <w:r>
        <w:rPr>
          <w:rFonts w:ascii="Calibri" w:hAnsi="Calibri" w:cs="Calibri"/>
          <w:b/>
          <w:bCs/>
          <w:u w:val="single"/>
        </w:rPr>
      </w:r>
    </w:p>
    <w:p w14:paraId="1843451B"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67BEE75C" w14:textId="738E7750">
      <w:pPr>
        <w:pStyle w:val="895"/>
        <w:pBdr/>
        <w:spacing/>
        <w:ind/>
        <w:jc w:val="both"/>
        <w:rPr>
          <w:rFonts w:ascii="Calibri" w:hAnsi="Calibri" w:cs="Calibri"/>
        </w:rPr>
      </w:pPr>
      <w:r>
        <w:rPr>
          <w:rFonts w:ascii="Calibri" w:hAnsi="Calibri" w:cs="Calibri"/>
        </w:rPr>
        <w:t xml:space="preserve">Le présent accord annule et remplace l’ensemble des règles conventionnelles, des usages et engagements unilatéraux ayant le même objet, en vigueur dans l’entreprise au jour de l’entrée en vigueur du présent accord.</w:t>
      </w:r>
      <w:r>
        <w:rPr>
          <w:rFonts w:ascii="Calibri" w:hAnsi="Calibri" w:cs="Calibri"/>
        </w:rPr>
      </w:r>
      <w:r>
        <w:rPr>
          <w:rFonts w:ascii="Calibri" w:hAnsi="Calibri" w:cs="Calibri"/>
        </w:rPr>
      </w:r>
    </w:p>
    <w:p w14:paraId="21BEAA5C"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2A9A6184" w14:textId="77777777">
      <w:pPr>
        <w:pStyle w:val="895"/>
        <w:pBdr/>
        <w:spacing/>
        <w:ind/>
        <w:jc w:val="both"/>
        <w:outlineLvl w:val="1"/>
        <w:rPr>
          <w:rFonts w:ascii="Calibri" w:hAnsi="Calibri" w:cs="Calibri"/>
          <w:b/>
          <w:bCs/>
          <w:u w:val="single"/>
        </w:rPr>
      </w:pPr>
      <w:r/>
      <w:bookmarkStart w:id="4" w:name="_Toc222407083"/>
      <w:r>
        <w:rPr>
          <w:rFonts w:ascii="Calibri" w:hAnsi="Calibri" w:cs="Calibri"/>
          <w:b/>
          <w:bCs/>
          <w:u w:val="single"/>
        </w:rPr>
        <w:t xml:space="preserve">ARTICLE 3 – Champ d’application</w:t>
      </w:r>
      <w:bookmarkEnd w:id="4"/>
      <w:r>
        <w:rPr>
          <w:rFonts w:ascii="Calibri" w:hAnsi="Calibri" w:cs="Calibri"/>
          <w:b/>
          <w:bCs/>
          <w:u w:val="single"/>
        </w:rPr>
      </w:r>
      <w:r>
        <w:rPr>
          <w:rFonts w:ascii="Calibri" w:hAnsi="Calibri" w:cs="Calibri"/>
          <w:b/>
          <w:bCs/>
          <w:u w:val="single"/>
        </w:rPr>
      </w:r>
    </w:p>
    <w:p w14:paraId="7F9BD379"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180CD6F3" w14:textId="77777777">
      <w:pPr>
        <w:pStyle w:val="895"/>
        <w:pBdr/>
        <w:spacing/>
        <w:ind/>
        <w:jc w:val="both"/>
        <w:rPr>
          <w:rFonts w:ascii="Calibri" w:hAnsi="Calibri" w:cs="Calibri"/>
        </w:rPr>
      </w:pPr>
      <w:r>
        <w:rPr>
          <w:rFonts w:ascii="Calibri" w:hAnsi="Calibri" w:cs="Calibri"/>
        </w:rPr>
        <w:t xml:space="preserve">Les dispositions du présent accord s’appliquent à l’ensemble du personnel salarié de l’entreprise.</w:t>
      </w:r>
      <w:r>
        <w:rPr>
          <w:rFonts w:ascii="Calibri" w:hAnsi="Calibri" w:cs="Calibri"/>
        </w:rPr>
      </w:r>
      <w:r>
        <w:rPr>
          <w:rFonts w:ascii="Calibri" w:hAnsi="Calibri" w:cs="Calibri"/>
        </w:rPr>
      </w:r>
    </w:p>
    <w:p w14:paraId="3F9EE3D8"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4D97BED1" w14:textId="4F167A67">
      <w:pPr>
        <w:pStyle w:val="895"/>
        <w:pBdr/>
        <w:spacing/>
        <w:ind/>
        <w:jc w:val="both"/>
        <w:rPr>
          <w:rFonts w:ascii="Calibri" w:hAnsi="Calibri" w:cs="Calibri"/>
        </w:rPr>
      </w:pPr>
      <w:r>
        <w:rPr>
          <w:rFonts w:ascii="Calibri" w:hAnsi="Calibri" w:cs="Calibri"/>
        </w:rPr>
        <w:t xml:space="preserve">Sont toutefois exclus</w:t>
      </w:r>
      <w:r>
        <w:rPr>
          <w:rFonts w:ascii="Calibri" w:hAnsi="Calibri" w:cs="Calibri"/>
        </w:rPr>
        <w:t xml:space="preserve">, si l’entreprise venait à en compter</w:t>
      </w:r>
      <w:r>
        <w:rPr>
          <w:rFonts w:ascii="Calibri" w:hAnsi="Calibri" w:cs="Calibri"/>
        </w:rPr>
        <w:t xml:space="preserve"> :</w:t>
      </w:r>
      <w:r>
        <w:rPr>
          <w:rFonts w:ascii="Calibri" w:hAnsi="Calibri" w:cs="Calibri"/>
        </w:rPr>
      </w:r>
      <w:r>
        <w:rPr>
          <w:rFonts w:ascii="Calibri" w:hAnsi="Calibri" w:cs="Calibri"/>
        </w:rPr>
      </w:r>
    </w:p>
    <w:p w14:paraId="5180409A"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6BA0B19C" w14:textId="7AE1F400">
      <w:pPr>
        <w:pStyle w:val="895"/>
        <w:numPr>
          <w:ilvl w:val="0"/>
          <w:numId w:val="1"/>
        </w:numPr>
        <w:pBdr/>
        <w:spacing/>
        <w:ind/>
        <w:jc w:val="both"/>
        <w:rPr>
          <w:rFonts w:ascii="Calibri" w:hAnsi="Calibri" w:cs="Calibri"/>
        </w:rPr>
      </w:pPr>
      <w:r>
        <w:rPr>
          <w:rFonts w:ascii="Calibri" w:hAnsi="Calibri" w:cs="Calibri"/>
        </w:rPr>
        <w:t xml:space="preserve">les</w:t>
      </w:r>
      <w:r>
        <w:rPr>
          <w:rFonts w:ascii="Calibri" w:hAnsi="Calibri" w:cs="Calibri"/>
        </w:rPr>
        <w:t xml:space="preserve"> cadres dirigeants au sens de l’article L.3111-2 du Code du travail</w:t>
      </w:r>
      <w:r>
        <w:rPr>
          <w:rFonts w:ascii="Calibri" w:hAnsi="Calibri" w:cs="Calibri"/>
        </w:rPr>
        <w:t xml:space="preserve">,</w:t>
      </w:r>
      <w:r>
        <w:rPr>
          <w:rFonts w:ascii="Calibri" w:hAnsi="Calibri" w:cs="Calibri"/>
        </w:rPr>
      </w:r>
      <w:r>
        <w:rPr>
          <w:rFonts w:ascii="Calibri" w:hAnsi="Calibri" w:cs="Calibri"/>
        </w:rPr>
      </w:r>
    </w:p>
    <w:p w14:paraId="319DB9C4" w14:textId="15A77FEB">
      <w:pPr>
        <w:pStyle w:val="895"/>
        <w:numPr>
          <w:ilvl w:val="0"/>
          <w:numId w:val="1"/>
        </w:numPr>
        <w:pBdr/>
        <w:spacing/>
        <w:ind/>
        <w:jc w:val="both"/>
        <w:rPr>
          <w:rFonts w:ascii="Calibri" w:hAnsi="Calibri" w:cs="Calibri"/>
        </w:rPr>
      </w:pPr>
      <w:r>
        <w:rPr>
          <w:rFonts w:ascii="Calibri" w:hAnsi="Calibri" w:cs="Calibri"/>
        </w:rPr>
        <w:t xml:space="preserve">ainsi</w:t>
      </w:r>
      <w:r>
        <w:rPr>
          <w:rFonts w:ascii="Calibri" w:hAnsi="Calibri" w:cs="Calibri"/>
        </w:rPr>
        <w:t xml:space="preserve"> que les salariés ayant le statut de VRP.</w:t>
      </w:r>
      <w:r>
        <w:rPr>
          <w:rFonts w:ascii="Calibri" w:hAnsi="Calibri" w:cs="Calibri"/>
        </w:rPr>
      </w:r>
      <w:r>
        <w:rPr>
          <w:rFonts w:ascii="Calibri" w:hAnsi="Calibri" w:cs="Calibri"/>
        </w:rPr>
      </w:r>
    </w:p>
    <w:p w14:paraId="55E314BD" w14:textId="77777777">
      <w:pPr>
        <w:pBdr/>
        <w:spacing/>
        <w:ind/>
        <w:rPr>
          <w:rFonts w:ascii="Calibri" w:hAnsi="Calibri" w:cs="Calibri"/>
        </w:rPr>
      </w:pPr>
      <w:r>
        <w:rPr>
          <w:rFonts w:ascii="Calibri" w:hAnsi="Calibri" w:cs="Calibri"/>
        </w:rPr>
        <w:br w:type="page" w:clear="all"/>
      </w:r>
      <w:r>
        <w:rPr>
          <w:rFonts w:ascii="Calibri" w:hAnsi="Calibri" w:cs="Calibri"/>
        </w:rPr>
      </w:r>
      <w:r>
        <w:rPr>
          <w:rFonts w:ascii="Calibri" w:hAnsi="Calibri" w:cs="Calibri"/>
        </w:rPr>
      </w:r>
    </w:p>
    <w:p w14:paraId="6371C0CC" w14:textId="5E3D2097">
      <w:pPr>
        <w:pStyle w:val="895"/>
        <w:pBdr/>
        <w:spacing/>
        <w:ind/>
        <w:jc w:val="both"/>
        <w:outlineLvl w:val="0"/>
        <w:rPr>
          <w:rFonts w:ascii="Calibri" w:hAnsi="Calibri" w:cs="Calibri"/>
          <w:b/>
          <w:bCs/>
          <w:sz w:val="28"/>
          <w:szCs w:val="28"/>
          <w:u w:val="single"/>
        </w:rPr>
      </w:pPr>
      <w:r/>
      <w:bookmarkStart w:id="5" w:name="_Toc222407084"/>
      <w:r>
        <w:rPr>
          <w:rFonts w:ascii="Calibri" w:hAnsi="Calibri" w:cs="Calibri"/>
          <w:b/>
          <w:bCs/>
          <w:sz w:val="28"/>
          <w:szCs w:val="28"/>
          <w:u w:val="single"/>
        </w:rPr>
        <w:t xml:space="preserve">CHAPITRE 2 : DISPOSITIONS COMMUNES</w:t>
      </w:r>
      <w:bookmarkEnd w:id="5"/>
      <w:r>
        <w:rPr>
          <w:rFonts w:ascii="Calibri" w:hAnsi="Calibri" w:cs="Calibri"/>
          <w:b/>
          <w:bCs/>
          <w:sz w:val="28"/>
          <w:szCs w:val="28"/>
          <w:u w:val="single"/>
        </w:rPr>
      </w:r>
      <w:r>
        <w:rPr>
          <w:rFonts w:ascii="Calibri" w:hAnsi="Calibri" w:cs="Calibri"/>
          <w:b/>
          <w:bCs/>
          <w:sz w:val="28"/>
          <w:szCs w:val="28"/>
          <w:u w:val="single"/>
        </w:rPr>
      </w:r>
    </w:p>
    <w:p w14:paraId="1DFE2BE0"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3AE5FB14" w14:textId="716C7C46">
      <w:pPr>
        <w:pStyle w:val="895"/>
        <w:pBdr/>
        <w:spacing/>
        <w:ind/>
        <w:jc w:val="both"/>
        <w:outlineLvl w:val="1"/>
        <w:rPr>
          <w:rFonts w:ascii="Calibri" w:hAnsi="Calibri" w:cs="Calibri"/>
          <w:b/>
          <w:bCs/>
          <w:u w:val="single"/>
        </w:rPr>
      </w:pPr>
      <w:r/>
      <w:bookmarkStart w:id="6" w:name="_Toc222407085"/>
      <w:r>
        <w:rPr>
          <w:rFonts w:ascii="Calibri" w:hAnsi="Calibri" w:cs="Calibri"/>
          <w:b/>
          <w:bCs/>
          <w:u w:val="single"/>
        </w:rPr>
        <w:t xml:space="preserve">ARTICLE </w:t>
      </w:r>
      <w:r>
        <w:rPr>
          <w:rFonts w:ascii="Calibri" w:hAnsi="Calibri" w:cs="Calibri"/>
          <w:b/>
          <w:bCs/>
          <w:u w:val="single"/>
        </w:rPr>
        <w:t xml:space="preserve">4</w:t>
      </w:r>
      <w:r>
        <w:rPr>
          <w:rFonts w:ascii="Calibri" w:hAnsi="Calibri" w:cs="Calibri"/>
          <w:b/>
          <w:bCs/>
          <w:u w:val="single"/>
        </w:rPr>
        <w:t xml:space="preserve"> – </w:t>
      </w:r>
      <w:r>
        <w:rPr>
          <w:rFonts w:ascii="Calibri" w:hAnsi="Calibri" w:cs="Calibri"/>
          <w:b/>
          <w:bCs/>
          <w:u w:val="single"/>
        </w:rPr>
        <w:t xml:space="preserve">Temps de travail effectif</w:t>
      </w:r>
      <w:bookmarkEnd w:id="6"/>
      <w:r>
        <w:rPr>
          <w:rFonts w:ascii="Calibri" w:hAnsi="Calibri" w:cs="Calibri"/>
          <w:b/>
          <w:bCs/>
          <w:u w:val="single"/>
        </w:rPr>
        <w:t xml:space="preserve"> </w:t>
      </w:r>
      <w:r>
        <w:rPr>
          <w:rFonts w:ascii="Calibri" w:hAnsi="Calibri" w:cs="Calibri"/>
          <w:b/>
          <w:bCs/>
          <w:u w:val="single"/>
        </w:rPr>
      </w:r>
      <w:r>
        <w:rPr>
          <w:rFonts w:ascii="Calibri" w:hAnsi="Calibri" w:cs="Calibri"/>
          <w:b/>
          <w:bCs/>
          <w:u w:val="single"/>
        </w:rPr>
      </w:r>
    </w:p>
    <w:p w14:paraId="23DE0BC7"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7499B804" w14:textId="77777777">
      <w:pPr>
        <w:pStyle w:val="895"/>
        <w:pBdr/>
        <w:spacing/>
        <w:ind/>
        <w:jc w:val="both"/>
        <w:rPr>
          <w:rFonts w:ascii="Calibri" w:hAnsi="Calibri" w:cs="Calibri"/>
        </w:rPr>
      </w:pPr>
      <w:r>
        <w:rPr>
          <w:rFonts w:ascii="Calibri" w:hAnsi="Calibri" w:cs="Calibri"/>
        </w:rPr>
        <w:t xml:space="preserve">C</w:t>
      </w:r>
      <w:r>
        <w:rPr>
          <w:rFonts w:ascii="Calibri" w:hAnsi="Calibri" w:cs="Calibri"/>
        </w:rPr>
        <w:t xml:space="preserve">onformément à l’article L.3121-1 du Code du travail, le temps de travail effectif est le temps pendant lequel le salarié est à la disposition de l’employeur et doit se conformer à ses directives sans pouvoir vaquer librement à des occupations personnelles.</w:t>
      </w:r>
      <w:r>
        <w:rPr>
          <w:rFonts w:ascii="Calibri" w:hAnsi="Calibri" w:cs="Calibri"/>
        </w:rPr>
      </w:r>
      <w:r>
        <w:rPr>
          <w:rFonts w:ascii="Calibri" w:hAnsi="Calibri" w:cs="Calibri"/>
        </w:rPr>
      </w:r>
    </w:p>
    <w:p w14:paraId="08B8AE0A"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2FF96716" w14:textId="77777777">
      <w:pPr>
        <w:pStyle w:val="895"/>
        <w:pBdr/>
        <w:spacing/>
        <w:ind/>
        <w:jc w:val="both"/>
        <w:rPr>
          <w:rFonts w:ascii="Calibri" w:hAnsi="Calibri" w:cs="Calibri"/>
        </w:rPr>
      </w:pPr>
      <w:r>
        <w:rPr>
          <w:rFonts w:ascii="Calibri" w:hAnsi="Calibri" w:cs="Calibri"/>
        </w:rPr>
        <w:t xml:space="preserve">Seul le temps de travail effectif est retenu pour déterminer le respect des durées maximales de travail et le paiement éventuel d’heures supplémentaires ou complémentaires. </w:t>
      </w:r>
      <w:r>
        <w:rPr>
          <w:rFonts w:ascii="Calibri" w:hAnsi="Calibri" w:cs="Calibri"/>
        </w:rPr>
      </w:r>
      <w:r>
        <w:rPr>
          <w:rFonts w:ascii="Calibri" w:hAnsi="Calibri" w:cs="Calibri"/>
        </w:rPr>
      </w:r>
    </w:p>
    <w:p w14:paraId="0DF48C57"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79B894CF" w14:textId="1F2FAFAB">
      <w:pPr>
        <w:pStyle w:val="895"/>
        <w:pBdr/>
        <w:spacing/>
        <w:ind/>
        <w:jc w:val="both"/>
        <w:outlineLvl w:val="1"/>
        <w:rPr>
          <w:rFonts w:ascii="Calibri" w:hAnsi="Calibri" w:cs="Calibri"/>
          <w:b/>
          <w:bCs/>
          <w:u w:val="single"/>
        </w:rPr>
      </w:pPr>
      <w:r/>
      <w:bookmarkStart w:id="7" w:name="_Toc222407086"/>
      <w:r>
        <w:rPr>
          <w:rFonts w:ascii="Calibri" w:hAnsi="Calibri" w:cs="Calibri"/>
          <w:b/>
          <w:bCs/>
          <w:u w:val="single"/>
        </w:rPr>
        <w:t xml:space="preserve">ARTICLE 5 </w:t>
      </w:r>
      <w:r>
        <w:rPr>
          <w:rFonts w:ascii="Calibri" w:hAnsi="Calibri" w:cs="Calibri"/>
          <w:b/>
          <w:bCs/>
          <w:u w:val="single"/>
        </w:rPr>
        <w:t xml:space="preserve">–</w:t>
      </w:r>
      <w:r>
        <w:rPr>
          <w:rFonts w:ascii="Calibri" w:hAnsi="Calibri" w:cs="Calibri"/>
          <w:b/>
          <w:bCs/>
          <w:u w:val="single"/>
        </w:rPr>
        <w:t xml:space="preserve"> Accomplissement d’heures supplémentaires</w:t>
      </w:r>
      <w:r>
        <w:rPr>
          <w:rFonts w:ascii="Calibri" w:hAnsi="Calibri" w:cs="Calibri"/>
          <w:b/>
          <w:bCs/>
          <w:u w:val="single"/>
        </w:rPr>
        <w:t xml:space="preserve"> ou d’heures complémentaires (temps partiel)</w:t>
      </w:r>
      <w:bookmarkEnd w:id="7"/>
      <w:r>
        <w:rPr>
          <w:rFonts w:ascii="Calibri" w:hAnsi="Calibri" w:cs="Calibri"/>
          <w:b/>
          <w:bCs/>
          <w:u w:val="single"/>
        </w:rPr>
      </w:r>
      <w:r>
        <w:rPr>
          <w:rFonts w:ascii="Calibri" w:hAnsi="Calibri" w:cs="Calibri"/>
          <w:b/>
          <w:bCs/>
          <w:u w:val="single"/>
        </w:rPr>
      </w:r>
    </w:p>
    <w:p w14:paraId="3931B3AC"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68BF3254" w14:textId="45468251">
      <w:pPr>
        <w:pStyle w:val="895"/>
        <w:pBdr/>
        <w:spacing/>
        <w:ind/>
        <w:jc w:val="both"/>
        <w:rPr>
          <w:rFonts w:ascii="Calibri" w:hAnsi="Calibri" w:cs="Calibri"/>
        </w:rPr>
      </w:pPr>
      <w:r>
        <w:rPr>
          <w:rFonts w:ascii="Calibri" w:hAnsi="Calibri" w:cs="Calibri"/>
        </w:rPr>
        <w:t xml:space="preserve">La décision de recourir à </w:t>
      </w:r>
      <w:r>
        <w:rPr>
          <w:rFonts w:ascii="Calibri" w:hAnsi="Calibri" w:cs="Calibri"/>
        </w:rPr>
        <w:t xml:space="preserve">des</w:t>
      </w:r>
      <w:r>
        <w:rPr>
          <w:rFonts w:ascii="Calibri" w:hAnsi="Calibri" w:cs="Calibri"/>
        </w:rPr>
        <w:t xml:space="preserve"> heures </w:t>
      </w:r>
      <w:r>
        <w:rPr>
          <w:rFonts w:ascii="Calibri" w:hAnsi="Calibri" w:cs="Calibri"/>
        </w:rPr>
        <w:t xml:space="preserve">supplémentaires </w:t>
      </w:r>
      <w:r>
        <w:rPr>
          <w:rFonts w:ascii="Calibri" w:hAnsi="Calibri" w:cs="Calibri"/>
        </w:rPr>
        <w:t xml:space="preserve">ou complémentaires </w:t>
      </w:r>
      <w:r>
        <w:rPr>
          <w:rFonts w:ascii="Calibri" w:hAnsi="Calibri" w:cs="Calibri"/>
        </w:rPr>
        <w:t xml:space="preserve">de travail relève du seul pouvoir de direction de l’employeur et ce, en fonction des nécessités de l’entreprise. </w:t>
      </w:r>
      <w:r>
        <w:rPr>
          <w:rFonts w:ascii="Calibri" w:hAnsi="Calibri" w:cs="Calibri"/>
        </w:rPr>
      </w:r>
      <w:r>
        <w:rPr>
          <w:rFonts w:ascii="Calibri" w:hAnsi="Calibri" w:cs="Calibri"/>
        </w:rPr>
      </w:r>
    </w:p>
    <w:p w14:paraId="6EFA7B7A"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42C6ABAB" w14:textId="189206FF">
      <w:pPr>
        <w:pStyle w:val="895"/>
        <w:pBdr/>
        <w:spacing/>
        <w:ind/>
        <w:jc w:val="both"/>
        <w:rPr>
          <w:rFonts w:ascii="Calibri" w:hAnsi="Calibri" w:cs="Calibri"/>
        </w:rPr>
      </w:pPr>
      <w:r>
        <w:rPr>
          <w:rFonts w:ascii="Calibri" w:hAnsi="Calibri" w:cs="Calibri"/>
        </w:rPr>
        <w:t xml:space="preserve">Aucune heure supplémentaire</w:t>
      </w:r>
      <w:r>
        <w:rPr>
          <w:rFonts w:ascii="Calibri" w:hAnsi="Calibri" w:cs="Calibri"/>
        </w:rPr>
        <w:t xml:space="preserve"> ou complémentaire</w:t>
      </w:r>
      <w:r>
        <w:rPr>
          <w:rFonts w:ascii="Calibri" w:hAnsi="Calibri" w:cs="Calibri"/>
        </w:rPr>
        <w:t xml:space="preserve"> ne pourra être effectuée sans que le supérieur hiérarchique l’ait préalablement demandée ou que cela ne soit prévue dans le contrat de travail du collaborateur.</w:t>
      </w:r>
      <w:r>
        <w:rPr>
          <w:rFonts w:ascii="Calibri" w:hAnsi="Calibri" w:cs="Calibri"/>
        </w:rPr>
      </w:r>
      <w:r>
        <w:rPr>
          <w:rFonts w:ascii="Calibri" w:hAnsi="Calibri" w:cs="Calibri"/>
        </w:rPr>
      </w:r>
    </w:p>
    <w:p w14:paraId="5AB4A552"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5F3731B3" w14:textId="12944054">
      <w:pPr>
        <w:pStyle w:val="895"/>
        <w:pBdr/>
        <w:spacing/>
        <w:ind/>
        <w:jc w:val="both"/>
        <w:rPr>
          <w:rFonts w:ascii="Calibri" w:hAnsi="Calibri" w:cs="Calibri"/>
        </w:rPr>
      </w:pPr>
      <w:r>
        <w:rPr>
          <w:rFonts w:ascii="Calibri" w:hAnsi="Calibri" w:cs="Calibri"/>
        </w:rPr>
        <w:t xml:space="preserve">Seules les heures supplémentaires </w:t>
      </w:r>
      <w:r>
        <w:rPr>
          <w:rFonts w:ascii="Calibri" w:hAnsi="Calibri" w:cs="Calibri"/>
        </w:rPr>
        <w:t xml:space="preserve">ou complémentaires </w:t>
      </w:r>
      <w:r>
        <w:rPr>
          <w:rFonts w:ascii="Calibri" w:hAnsi="Calibri" w:cs="Calibri"/>
        </w:rPr>
        <w:t xml:space="preserve">validées par la hiérarchie, enregistrées lors de leur réalisation, seront prises en compte.</w:t>
      </w:r>
      <w:r>
        <w:rPr>
          <w:rFonts w:ascii="Calibri" w:hAnsi="Calibri" w:cs="Calibri"/>
        </w:rPr>
      </w:r>
      <w:r>
        <w:rPr>
          <w:rFonts w:ascii="Calibri" w:hAnsi="Calibri" w:cs="Calibri"/>
        </w:rPr>
      </w:r>
    </w:p>
    <w:p w14:paraId="637A83FB"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6E2619DC" w14:textId="7DAC9137">
      <w:pPr>
        <w:pStyle w:val="895"/>
        <w:pBdr/>
        <w:spacing/>
        <w:ind/>
        <w:jc w:val="both"/>
        <w:rPr>
          <w:rFonts w:ascii="Calibri" w:hAnsi="Calibri" w:cs="Calibri"/>
        </w:rPr>
      </w:pPr>
      <w:r>
        <w:rPr>
          <w:rFonts w:ascii="Calibri" w:hAnsi="Calibri" w:cs="Calibri"/>
        </w:rPr>
        <w:t xml:space="preserve">Le taux de majoration des heures supplémentaires </w:t>
      </w:r>
      <w:r>
        <w:rPr>
          <w:rFonts w:ascii="Calibri" w:hAnsi="Calibri" w:cs="Calibri"/>
        </w:rPr>
        <w:t xml:space="preserve">et complémentaires </w:t>
      </w:r>
      <w:r>
        <w:rPr>
          <w:rFonts w:ascii="Calibri" w:hAnsi="Calibri" w:cs="Calibri"/>
        </w:rPr>
        <w:t xml:space="preserve">accomplies est fixé au taux unique de </w:t>
      </w:r>
      <w:r>
        <w:rPr>
          <w:rFonts w:ascii="Calibri" w:hAnsi="Calibri" w:cs="Calibri"/>
        </w:rPr>
        <w:t xml:space="preserve">10</w:t>
      </w:r>
      <w:r>
        <w:rPr>
          <w:rFonts w:ascii="Calibri" w:hAnsi="Calibri" w:cs="Calibri"/>
        </w:rPr>
        <w:t xml:space="preserve"> % pour chacune des heures supplémentaires </w:t>
      </w:r>
      <w:r>
        <w:rPr>
          <w:rFonts w:ascii="Calibri" w:hAnsi="Calibri" w:cs="Calibri"/>
        </w:rPr>
        <w:t xml:space="preserve">et complémentaires </w:t>
      </w:r>
      <w:r>
        <w:rPr>
          <w:rFonts w:ascii="Calibri" w:hAnsi="Calibri" w:cs="Calibri"/>
        </w:rPr>
        <w:t xml:space="preserve">réalisées.</w:t>
      </w:r>
      <w:r>
        <w:rPr>
          <w:rFonts w:ascii="Calibri" w:hAnsi="Calibri" w:cs="Calibri"/>
        </w:rPr>
      </w:r>
      <w:r>
        <w:rPr>
          <w:rFonts w:ascii="Calibri" w:hAnsi="Calibri" w:cs="Calibri"/>
        </w:rPr>
      </w:r>
    </w:p>
    <w:p w14:paraId="46BAF96B"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0DFF5850" w14:textId="1C053FA9">
      <w:pPr>
        <w:pStyle w:val="895"/>
        <w:pBdr/>
        <w:spacing/>
        <w:ind/>
        <w:jc w:val="both"/>
        <w:outlineLvl w:val="1"/>
        <w:rPr>
          <w:rFonts w:ascii="Calibri" w:hAnsi="Calibri" w:cs="Calibri"/>
          <w:b/>
          <w:bCs/>
          <w:u w:val="single"/>
        </w:rPr>
      </w:pPr>
      <w:r/>
      <w:bookmarkStart w:id="8" w:name="_Toc222407087"/>
      <w:r>
        <w:rPr>
          <w:rFonts w:ascii="Calibri" w:hAnsi="Calibri" w:cs="Calibri"/>
          <w:b/>
          <w:bCs/>
          <w:u w:val="single"/>
        </w:rPr>
        <w:t xml:space="preserve">ARTICLE 6 </w:t>
      </w:r>
      <w:r>
        <w:rPr>
          <w:rFonts w:ascii="Calibri" w:hAnsi="Calibri" w:cs="Calibri"/>
          <w:b/>
          <w:bCs/>
          <w:u w:val="single"/>
        </w:rPr>
        <w:t xml:space="preserve">–</w:t>
      </w:r>
      <w:r>
        <w:rPr>
          <w:rFonts w:ascii="Calibri" w:hAnsi="Calibri" w:cs="Calibri"/>
          <w:b/>
          <w:bCs/>
          <w:u w:val="single"/>
        </w:rPr>
        <w:t xml:space="preserve"> Contingent d’heures supplémentaires</w:t>
      </w:r>
      <w:bookmarkEnd w:id="8"/>
      <w:r>
        <w:rPr>
          <w:rFonts w:ascii="Calibri" w:hAnsi="Calibri" w:cs="Calibri"/>
          <w:b/>
          <w:bCs/>
          <w:u w:val="single"/>
        </w:rPr>
      </w:r>
      <w:r>
        <w:rPr>
          <w:rFonts w:ascii="Calibri" w:hAnsi="Calibri" w:cs="Calibri"/>
          <w:b/>
          <w:bCs/>
          <w:u w:val="single"/>
        </w:rPr>
      </w:r>
    </w:p>
    <w:p w14:paraId="17EBB1C2"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480F17E6" w14:textId="265B619B">
      <w:pPr>
        <w:pStyle w:val="895"/>
        <w:pBdr/>
        <w:spacing/>
        <w:ind/>
        <w:jc w:val="both"/>
        <w:rPr>
          <w:rFonts w:ascii="Calibri" w:hAnsi="Calibri" w:cs="Calibri"/>
        </w:rPr>
      </w:pPr>
      <w:r>
        <w:rPr>
          <w:rFonts w:ascii="Calibri" w:hAnsi="Calibri" w:cs="Calibri"/>
        </w:rPr>
        <w:t xml:space="preserve">En application de l’article L.3121-33 du Code du travail, les parties conviennent de fixer le contingent </w:t>
      </w:r>
      <w:r>
        <w:rPr>
          <w:rFonts w:ascii="Calibri" w:hAnsi="Calibri" w:cs="Calibri"/>
        </w:rPr>
        <w:t xml:space="preserve">annuel </w:t>
      </w:r>
      <w:r>
        <w:rPr>
          <w:rFonts w:ascii="Calibri" w:hAnsi="Calibri" w:cs="Calibri"/>
        </w:rPr>
        <w:t xml:space="preserve">d’heures supplémentaires à </w:t>
      </w:r>
      <w:r>
        <w:rPr>
          <w:rFonts w:ascii="Calibri" w:hAnsi="Calibri" w:cs="Calibri"/>
        </w:rPr>
        <w:t xml:space="preserve">400</w:t>
      </w:r>
      <w:r>
        <w:rPr>
          <w:rFonts w:ascii="Calibri" w:hAnsi="Calibri" w:cs="Calibri"/>
        </w:rPr>
        <w:t xml:space="preserve"> heures</w:t>
      </w:r>
      <w:r>
        <w:rPr>
          <w:rFonts w:ascii="Calibri" w:hAnsi="Calibri" w:cs="Calibri"/>
        </w:rPr>
        <w:t xml:space="preserve"> </w:t>
      </w:r>
      <w:r>
        <w:rPr>
          <w:rFonts w:ascii="Calibri" w:hAnsi="Calibri" w:cs="Calibri"/>
        </w:rPr>
        <w:t xml:space="preserve">par an et par salarié</w:t>
      </w:r>
      <w:r>
        <w:rPr>
          <w:rFonts w:ascii="Calibri" w:hAnsi="Calibri" w:cs="Calibri"/>
        </w:rPr>
        <w:t xml:space="preserve">.</w:t>
      </w:r>
      <w:r>
        <w:rPr>
          <w:rFonts w:ascii="Calibri" w:hAnsi="Calibri" w:cs="Calibri"/>
        </w:rPr>
      </w:r>
      <w:r>
        <w:rPr>
          <w:rFonts w:ascii="Calibri" w:hAnsi="Calibri" w:cs="Calibri"/>
        </w:rPr>
      </w:r>
    </w:p>
    <w:p w14:paraId="0614A3C8"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60DBDF3C" w14:textId="77777777">
      <w:pPr>
        <w:pStyle w:val="895"/>
        <w:pBdr/>
        <w:spacing/>
        <w:ind/>
        <w:jc w:val="both"/>
        <w:rPr>
          <w:rFonts w:ascii="Calibri" w:hAnsi="Calibri" w:cs="Calibri"/>
        </w:rPr>
      </w:pPr>
      <w:r>
        <w:rPr>
          <w:rFonts w:ascii="Calibri" w:hAnsi="Calibri" w:cs="Calibri"/>
        </w:rPr>
        <w:t xml:space="preserve">Les heures supplémentaires donnant lieu à un repos compensateur équivalent ne s’imputent pas sur le contingent d’heures supplémentaires. </w:t>
      </w:r>
      <w:r>
        <w:rPr>
          <w:rFonts w:ascii="Calibri" w:hAnsi="Calibri" w:cs="Calibri"/>
        </w:rPr>
      </w:r>
      <w:r>
        <w:rPr>
          <w:rFonts w:ascii="Calibri" w:hAnsi="Calibri" w:cs="Calibri"/>
        </w:rPr>
      </w:r>
    </w:p>
    <w:p w14:paraId="6E0FE7BF"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733A7A40" w14:textId="77777777">
      <w:pPr>
        <w:pStyle w:val="895"/>
        <w:pBdr/>
        <w:spacing/>
        <w:ind/>
        <w:jc w:val="both"/>
        <w:rPr>
          <w:rFonts w:ascii="Calibri" w:hAnsi="Calibri" w:cs="Calibri"/>
        </w:rPr>
      </w:pPr>
      <w:r>
        <w:rPr>
          <w:rFonts w:ascii="Calibri" w:hAnsi="Calibri" w:cs="Calibri"/>
        </w:rPr>
        <w:t xml:space="preserve">Toute heure accomplie au-delà du contingent annuel ouvre droit à une contrepartie obligatoire en repos fixée à 100 %.</w:t>
      </w:r>
      <w:r>
        <w:rPr>
          <w:rFonts w:ascii="Calibri" w:hAnsi="Calibri" w:cs="Calibri"/>
        </w:rPr>
      </w:r>
      <w:r>
        <w:rPr>
          <w:rFonts w:ascii="Calibri" w:hAnsi="Calibri" w:cs="Calibri"/>
        </w:rPr>
      </w:r>
    </w:p>
    <w:p w14:paraId="2570F0CC"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78D28C36" w14:textId="77777777">
      <w:pPr>
        <w:pStyle w:val="895"/>
        <w:pBdr/>
        <w:spacing/>
        <w:ind/>
        <w:jc w:val="both"/>
        <w:rPr>
          <w:rFonts w:ascii="Calibri" w:hAnsi="Calibri" w:cs="Calibri"/>
        </w:rPr>
      </w:pPr>
      <w:r>
        <w:rPr>
          <w:rFonts w:ascii="Calibri" w:hAnsi="Calibri" w:cs="Calibri"/>
        </w:rPr>
        <w:t xml:space="preserve">La mise en œuvre de la contrepartie en repos se fera conformément aux dispositions du Code du travail. </w:t>
      </w:r>
      <w:r>
        <w:rPr>
          <w:rFonts w:ascii="Calibri" w:hAnsi="Calibri" w:cs="Calibri"/>
        </w:rPr>
      </w:r>
      <w:r>
        <w:rPr>
          <w:rFonts w:ascii="Calibri" w:hAnsi="Calibri" w:cs="Calibri"/>
        </w:rPr>
      </w:r>
    </w:p>
    <w:p w14:paraId="4059E61C"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53DD88A0" w14:textId="77777777">
      <w:pPr>
        <w:pStyle w:val="895"/>
        <w:pBdr/>
        <w:spacing/>
        <w:ind/>
        <w:jc w:val="both"/>
        <w:outlineLvl w:val="1"/>
        <w:rPr>
          <w:rFonts w:ascii="Calibri" w:hAnsi="Calibri" w:cs="Calibri"/>
          <w:b/>
          <w:bCs/>
          <w:u w:val="single"/>
        </w:rPr>
      </w:pPr>
      <w:r/>
      <w:bookmarkStart w:id="9" w:name="_Toc222407088"/>
      <w:r>
        <w:rPr>
          <w:rFonts w:ascii="Calibri" w:hAnsi="Calibri" w:cs="Calibri"/>
          <w:b/>
          <w:bCs/>
          <w:u w:val="single"/>
        </w:rPr>
        <w:t xml:space="preserve">ARTICLE 7 – Temps de pause</w:t>
      </w:r>
      <w:bookmarkEnd w:id="9"/>
      <w:r>
        <w:rPr>
          <w:rFonts w:ascii="Calibri" w:hAnsi="Calibri" w:cs="Calibri"/>
          <w:b/>
          <w:bCs/>
          <w:u w:val="single"/>
        </w:rPr>
        <w:t xml:space="preserve">  </w:t>
      </w:r>
      <w:r>
        <w:rPr>
          <w:rFonts w:ascii="Calibri" w:hAnsi="Calibri" w:cs="Calibri"/>
          <w:b/>
          <w:bCs/>
          <w:u w:val="single"/>
        </w:rPr>
      </w:r>
      <w:r>
        <w:rPr>
          <w:rFonts w:ascii="Calibri" w:hAnsi="Calibri" w:cs="Calibri"/>
          <w:b/>
          <w:bCs/>
          <w:u w:val="single"/>
        </w:rPr>
      </w:r>
    </w:p>
    <w:p w14:paraId="74CF54C3"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50F3B998" w14:textId="77777777">
      <w:pPr>
        <w:pStyle w:val="895"/>
        <w:pBdr/>
        <w:spacing/>
        <w:ind/>
        <w:jc w:val="both"/>
        <w:rPr>
          <w:rFonts w:ascii="Calibri" w:hAnsi="Calibri" w:cs="Calibri"/>
        </w:rPr>
      </w:pPr>
      <w:r>
        <w:rPr>
          <w:rFonts w:ascii="Calibri" w:hAnsi="Calibri" w:cs="Calibri"/>
        </w:rPr>
        <w:t xml:space="preserve">Dès que le temps de travail quotidien atteint 6 heures de travail effectif, le salarié bénéficie d’un temps de pause d’une durée minimale de 20 minutes consécutives.</w:t>
      </w:r>
      <w:r>
        <w:rPr>
          <w:rFonts w:ascii="Calibri" w:hAnsi="Calibri" w:cs="Calibri"/>
        </w:rPr>
      </w:r>
      <w:r>
        <w:rPr>
          <w:rFonts w:ascii="Calibri" w:hAnsi="Calibri" w:cs="Calibri"/>
        </w:rPr>
      </w:r>
    </w:p>
    <w:p w14:paraId="56CBC1F5"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6C0E51BB" w14:textId="648E4A7B">
      <w:pPr>
        <w:pStyle w:val="895"/>
        <w:pBdr/>
        <w:spacing/>
        <w:ind/>
        <w:jc w:val="both"/>
        <w:rPr>
          <w:rFonts w:ascii="Calibri" w:hAnsi="Calibri" w:cs="Calibri"/>
        </w:rPr>
      </w:pPr>
      <w:r>
        <w:rPr>
          <w:rFonts w:ascii="Calibri" w:hAnsi="Calibri" w:cs="Calibri"/>
        </w:rPr>
        <w:t xml:space="preserve">Le temps de pause ne constitue pas du temps de travail effectif</w:t>
      </w:r>
      <w:r>
        <w:rPr>
          <w:rFonts w:ascii="Calibri" w:hAnsi="Calibri" w:cs="Calibri"/>
        </w:rPr>
        <w:t xml:space="preserve"> et n’est pas rémunéré</w:t>
      </w:r>
      <w:r>
        <w:rPr>
          <w:rFonts w:ascii="Calibri" w:hAnsi="Calibri" w:cs="Calibri"/>
        </w:rPr>
        <w:t xml:space="preserve">.</w:t>
      </w:r>
      <w:r>
        <w:rPr>
          <w:rFonts w:ascii="Calibri" w:hAnsi="Calibri" w:cs="Calibri"/>
        </w:rPr>
      </w:r>
      <w:r>
        <w:rPr>
          <w:rFonts w:ascii="Calibri" w:hAnsi="Calibri" w:cs="Calibri"/>
        </w:rPr>
      </w:r>
    </w:p>
    <w:p w14:paraId="3123E6B1"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49A6AEE8" w14:textId="38B2926B">
      <w:pPr>
        <w:pStyle w:val="895"/>
        <w:pBdr/>
        <w:spacing/>
        <w:ind/>
        <w:jc w:val="both"/>
        <w:rPr>
          <w:rFonts w:ascii="Calibri" w:hAnsi="Calibri" w:cs="Calibri"/>
        </w:rPr>
      </w:pPr>
      <w:r>
        <w:rPr>
          <w:rFonts w:ascii="Calibri" w:hAnsi="Calibri" w:cs="Calibri"/>
        </w:rPr>
        <w:t xml:space="preserve">L</w:t>
      </w:r>
      <w:r>
        <w:rPr>
          <w:rFonts w:ascii="Calibri" w:hAnsi="Calibri" w:cs="Calibri"/>
        </w:rPr>
        <w:t xml:space="preserve">e temps pris pour fumer ou vapoter est un temps de pause et </w:t>
      </w:r>
      <w:r>
        <w:rPr>
          <w:rFonts w:ascii="Calibri" w:hAnsi="Calibri" w:cs="Calibri"/>
        </w:rPr>
        <w:t xml:space="preserve">donc, ne constitue pas du</w:t>
      </w:r>
      <w:r>
        <w:rPr>
          <w:rFonts w:ascii="Calibri" w:hAnsi="Calibri" w:cs="Calibri"/>
        </w:rPr>
        <w:t xml:space="preserve"> </w:t>
      </w:r>
      <w:r>
        <w:rPr>
          <w:rFonts w:ascii="Calibri" w:hAnsi="Calibri" w:cs="Calibri"/>
        </w:rPr>
        <w:t xml:space="preserve">temps de </w:t>
      </w:r>
      <w:r>
        <w:rPr>
          <w:rFonts w:ascii="Calibri" w:hAnsi="Calibri" w:cs="Calibri"/>
        </w:rPr>
        <w:t xml:space="preserve">travail effectif</w:t>
      </w:r>
      <w:r>
        <w:rPr>
          <w:rFonts w:ascii="Calibri" w:hAnsi="Calibri" w:cs="Calibri"/>
        </w:rPr>
        <w:t xml:space="preserve"> et n’est pas rémunéré</w:t>
      </w:r>
      <w:r>
        <w:rPr>
          <w:rFonts w:ascii="Calibri" w:hAnsi="Calibri" w:cs="Calibri"/>
        </w:rPr>
        <w:t xml:space="preserve">.</w:t>
      </w:r>
      <w:r>
        <w:rPr>
          <w:rFonts w:ascii="Calibri" w:hAnsi="Calibri" w:cs="Calibri"/>
        </w:rPr>
      </w:r>
      <w:r>
        <w:rPr>
          <w:rFonts w:ascii="Calibri" w:hAnsi="Calibri" w:cs="Calibri"/>
        </w:rPr>
      </w:r>
    </w:p>
    <w:p w14:paraId="1A90DDDD"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1DD2644C" w14:textId="77777777">
      <w:pPr>
        <w:pStyle w:val="895"/>
        <w:pBdr/>
        <w:spacing/>
        <w:ind/>
        <w:jc w:val="both"/>
        <w:rPr>
          <w:rFonts w:ascii="Calibri" w:hAnsi="Calibri" w:cs="Calibri"/>
          <w:b/>
          <w:bCs/>
          <w:u w:val="single"/>
        </w:rPr>
      </w:pPr>
      <w:r>
        <w:rPr>
          <w:rFonts w:ascii="Calibri" w:hAnsi="Calibri" w:cs="Calibri"/>
          <w:b/>
          <w:bCs/>
          <w:u w:val="single"/>
        </w:rPr>
      </w:r>
      <w:r>
        <w:rPr>
          <w:rFonts w:ascii="Calibri" w:hAnsi="Calibri" w:cs="Calibri"/>
          <w:b/>
          <w:bCs/>
          <w:u w:val="single"/>
        </w:rPr>
      </w:r>
      <w:r>
        <w:rPr>
          <w:rFonts w:ascii="Calibri" w:hAnsi="Calibri" w:cs="Calibri"/>
          <w:b/>
          <w:bCs/>
          <w:u w:val="single"/>
        </w:rPr>
      </w:r>
    </w:p>
    <w:p w14:paraId="62E27E45" w14:textId="77777777">
      <w:pPr>
        <w:pStyle w:val="895"/>
        <w:pBdr/>
        <w:spacing/>
        <w:ind/>
        <w:jc w:val="both"/>
        <w:rPr>
          <w:rFonts w:ascii="Calibri" w:hAnsi="Calibri" w:cs="Calibri"/>
          <w:b/>
          <w:bCs/>
          <w:u w:val="single"/>
        </w:rPr>
      </w:pPr>
      <w:r>
        <w:rPr>
          <w:rFonts w:ascii="Calibri" w:hAnsi="Calibri" w:cs="Calibri"/>
          <w:b/>
          <w:bCs/>
          <w:u w:val="single"/>
        </w:rPr>
      </w:r>
      <w:r>
        <w:rPr>
          <w:rFonts w:ascii="Calibri" w:hAnsi="Calibri" w:cs="Calibri"/>
          <w:b/>
          <w:bCs/>
          <w:u w:val="single"/>
        </w:rPr>
      </w:r>
      <w:r>
        <w:rPr>
          <w:rFonts w:ascii="Calibri" w:hAnsi="Calibri" w:cs="Calibri"/>
          <w:b/>
          <w:bCs/>
          <w:u w:val="single"/>
        </w:rPr>
      </w:r>
    </w:p>
    <w:p w14:paraId="429C3596" w14:textId="2B5E7CB2">
      <w:pPr>
        <w:pStyle w:val="895"/>
        <w:pBdr/>
        <w:spacing/>
        <w:ind/>
        <w:jc w:val="both"/>
        <w:outlineLvl w:val="1"/>
        <w:rPr>
          <w:rFonts w:ascii="Calibri" w:hAnsi="Calibri" w:cs="Calibri"/>
          <w:b/>
          <w:bCs/>
          <w:u w:val="single"/>
        </w:rPr>
      </w:pPr>
      <w:r/>
      <w:bookmarkStart w:id="10" w:name="_Toc222407089"/>
      <w:r>
        <w:rPr>
          <w:rFonts w:ascii="Calibri" w:hAnsi="Calibri" w:cs="Calibri"/>
          <w:b/>
          <w:bCs/>
          <w:u w:val="single"/>
        </w:rPr>
        <w:t xml:space="preserve">ARTICLE 8 – Durées maximales de travail</w:t>
      </w:r>
      <w:bookmarkEnd w:id="10"/>
      <w:r>
        <w:rPr>
          <w:rFonts w:ascii="Calibri" w:hAnsi="Calibri" w:cs="Calibri"/>
          <w:b/>
          <w:bCs/>
          <w:u w:val="single"/>
        </w:rPr>
      </w:r>
      <w:r>
        <w:rPr>
          <w:rFonts w:ascii="Calibri" w:hAnsi="Calibri" w:cs="Calibri"/>
          <w:b/>
          <w:bCs/>
          <w:u w:val="single"/>
        </w:rPr>
      </w:r>
    </w:p>
    <w:p w14:paraId="7DC08E36"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5F1C9BD6" w14:textId="77777777">
      <w:pPr>
        <w:pStyle w:val="895"/>
        <w:pBdr/>
        <w:spacing/>
        <w:ind/>
        <w:jc w:val="both"/>
        <w:rPr>
          <w:rFonts w:ascii="Calibri" w:hAnsi="Calibri" w:cs="Calibri"/>
        </w:rPr>
      </w:pPr>
      <w:r>
        <w:rPr>
          <w:rFonts w:ascii="Calibri" w:hAnsi="Calibri" w:cs="Calibri"/>
        </w:rPr>
        <w:t xml:space="preserve">L'organisation du temps de travail au sein de la Société s'effectue dans le respect des dispositions suivantes : </w:t>
      </w:r>
      <w:r>
        <w:rPr>
          <w:rFonts w:ascii="Calibri" w:hAnsi="Calibri" w:cs="Calibri"/>
        </w:rPr>
      </w:r>
      <w:r>
        <w:rPr>
          <w:rFonts w:ascii="Calibri" w:hAnsi="Calibri" w:cs="Calibri"/>
        </w:rPr>
      </w:r>
    </w:p>
    <w:p w14:paraId="67934212" w14:textId="77777777">
      <w:pPr>
        <w:pStyle w:val="895"/>
        <w:pBdr/>
        <w:spacing/>
        <w:ind/>
        <w:jc w:val="both"/>
        <w:rPr>
          <w:rFonts w:ascii="Calibri" w:hAnsi="Calibri" w:cs="Calibri"/>
        </w:rPr>
      </w:pPr>
      <w:r>
        <w:rPr>
          <w:rFonts w:ascii="Calibri" w:hAnsi="Calibri" w:cs="Calibri"/>
        </w:rPr>
        <w:t xml:space="preserve">-</w:t>
      </w:r>
      <w:r>
        <w:rPr>
          <w:rFonts w:ascii="Calibri" w:hAnsi="Calibri" w:cs="Calibri"/>
        </w:rPr>
        <w:tab/>
        <w:t xml:space="preserve">Durée maximale journalière de travail : 12 heures,</w:t>
      </w:r>
      <w:r>
        <w:rPr>
          <w:rFonts w:ascii="Calibri" w:hAnsi="Calibri" w:cs="Calibri"/>
        </w:rPr>
      </w:r>
      <w:r>
        <w:rPr>
          <w:rFonts w:ascii="Calibri" w:hAnsi="Calibri" w:cs="Calibri"/>
        </w:rPr>
      </w:r>
    </w:p>
    <w:p w14:paraId="175AAADF" w14:textId="77777777">
      <w:pPr>
        <w:pStyle w:val="895"/>
        <w:pBdr/>
        <w:spacing/>
        <w:ind/>
        <w:jc w:val="both"/>
        <w:rPr>
          <w:rFonts w:ascii="Calibri" w:hAnsi="Calibri" w:cs="Calibri"/>
        </w:rPr>
      </w:pPr>
      <w:r>
        <w:rPr>
          <w:rFonts w:ascii="Calibri" w:hAnsi="Calibri" w:cs="Calibri"/>
        </w:rPr>
        <w:t xml:space="preserve">-</w:t>
      </w:r>
      <w:r>
        <w:rPr>
          <w:rFonts w:ascii="Calibri" w:hAnsi="Calibri" w:cs="Calibri"/>
        </w:rPr>
        <w:tab/>
        <w:t xml:space="preserve">Durée maximale hebdomadaire : 48 heures,</w:t>
      </w:r>
      <w:r>
        <w:rPr>
          <w:rFonts w:ascii="Calibri" w:hAnsi="Calibri" w:cs="Calibri"/>
        </w:rPr>
      </w:r>
      <w:r>
        <w:rPr>
          <w:rFonts w:ascii="Calibri" w:hAnsi="Calibri" w:cs="Calibri"/>
        </w:rPr>
      </w:r>
    </w:p>
    <w:p w14:paraId="0C59E9EF" w14:textId="77777777">
      <w:pPr>
        <w:pStyle w:val="895"/>
        <w:pBdr/>
        <w:spacing/>
        <w:ind/>
        <w:jc w:val="both"/>
        <w:rPr>
          <w:rFonts w:ascii="Calibri" w:hAnsi="Calibri" w:cs="Calibri"/>
        </w:rPr>
      </w:pPr>
      <w:r>
        <w:rPr>
          <w:rFonts w:ascii="Calibri" w:hAnsi="Calibri" w:cs="Calibri"/>
        </w:rPr>
        <w:t xml:space="preserve">-</w:t>
      </w:r>
      <w:r>
        <w:rPr>
          <w:rFonts w:ascii="Calibri" w:hAnsi="Calibri" w:cs="Calibri"/>
        </w:rPr>
        <w:tab/>
        <w:t xml:space="preserve">Durée maximale hebdomadaire moyenne : 46 heures en moyenne par semaine sur une période quelconque de douze semaines.</w:t>
      </w:r>
      <w:r>
        <w:rPr>
          <w:rFonts w:ascii="Calibri" w:hAnsi="Calibri" w:cs="Calibri"/>
        </w:rPr>
      </w:r>
      <w:r>
        <w:rPr>
          <w:rFonts w:ascii="Calibri" w:hAnsi="Calibri" w:cs="Calibri"/>
        </w:rPr>
      </w:r>
    </w:p>
    <w:p w14:paraId="70701CC9"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180D363F" w14:textId="77777777">
      <w:pPr>
        <w:pStyle w:val="895"/>
        <w:pBdr/>
        <w:spacing/>
        <w:ind/>
        <w:jc w:val="both"/>
        <w:outlineLvl w:val="1"/>
        <w:rPr>
          <w:rFonts w:ascii="Calibri" w:hAnsi="Calibri" w:cs="Calibri"/>
          <w:b/>
          <w:bCs/>
          <w:u w:val="single"/>
        </w:rPr>
      </w:pPr>
      <w:r/>
      <w:bookmarkStart w:id="11" w:name="_Toc222407090"/>
      <w:r>
        <w:rPr>
          <w:rFonts w:ascii="Calibri" w:hAnsi="Calibri" w:cs="Calibri"/>
          <w:b/>
          <w:bCs/>
          <w:u w:val="single"/>
        </w:rPr>
        <w:t xml:space="preserve">ARTICLE 9 – Repos quotidien</w:t>
      </w:r>
      <w:bookmarkEnd w:id="11"/>
      <w:r>
        <w:rPr>
          <w:rFonts w:ascii="Calibri" w:hAnsi="Calibri" w:cs="Calibri"/>
          <w:b/>
          <w:bCs/>
          <w:u w:val="single"/>
        </w:rPr>
      </w:r>
      <w:r>
        <w:rPr>
          <w:rFonts w:ascii="Calibri" w:hAnsi="Calibri" w:cs="Calibri"/>
          <w:b/>
          <w:bCs/>
          <w:u w:val="single"/>
        </w:rPr>
      </w:r>
    </w:p>
    <w:p w14:paraId="4DE6BFAA"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2853C01D" w14:textId="77777777">
      <w:pPr>
        <w:pStyle w:val="895"/>
        <w:pBdr/>
        <w:spacing/>
        <w:ind/>
        <w:jc w:val="both"/>
        <w:rPr>
          <w:rFonts w:ascii="Calibri" w:hAnsi="Calibri" w:cs="Calibri"/>
        </w:rPr>
      </w:pPr>
      <w:r>
        <w:rPr>
          <w:rFonts w:ascii="Calibri" w:hAnsi="Calibri" w:cs="Calibri"/>
        </w:rPr>
        <w:t xml:space="preserve">La durée minimale de repos quotidien est de 11 heures </w:t>
      </w:r>
      <w:r>
        <w:rPr>
          <w:rFonts w:ascii="Calibri" w:hAnsi="Calibri" w:cs="Calibri"/>
        </w:rPr>
        <w:t xml:space="preserve">consécutives</w:t>
      </w:r>
      <w:r>
        <w:rPr>
          <w:rFonts w:ascii="Calibri" w:hAnsi="Calibri" w:cs="Calibri"/>
        </w:rPr>
        <w:t xml:space="preserve">.</w:t>
      </w:r>
      <w:r>
        <w:rPr>
          <w:rFonts w:ascii="Calibri" w:hAnsi="Calibri" w:cs="Calibri"/>
        </w:rPr>
      </w:r>
      <w:r>
        <w:rPr>
          <w:rFonts w:ascii="Calibri" w:hAnsi="Calibri" w:cs="Calibri"/>
        </w:rPr>
      </w:r>
    </w:p>
    <w:p w14:paraId="2FFDECD5"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3B73681E" w14:textId="77777777">
      <w:pPr>
        <w:pStyle w:val="895"/>
        <w:pBdr/>
        <w:spacing/>
        <w:ind/>
        <w:jc w:val="both"/>
        <w:outlineLvl w:val="1"/>
        <w:rPr>
          <w:rFonts w:ascii="Calibri" w:hAnsi="Calibri" w:cs="Calibri"/>
          <w:b/>
          <w:bCs/>
          <w:u w:val="single"/>
        </w:rPr>
      </w:pPr>
      <w:r/>
      <w:bookmarkStart w:id="12" w:name="_Toc222407091"/>
      <w:r>
        <w:rPr>
          <w:rFonts w:ascii="Calibri" w:hAnsi="Calibri" w:cs="Calibri"/>
          <w:b/>
          <w:bCs/>
          <w:u w:val="single"/>
        </w:rPr>
        <w:t xml:space="preserve">ARTICLE 10 – Repos hebdomadaire</w:t>
      </w:r>
      <w:bookmarkEnd w:id="12"/>
      <w:r>
        <w:rPr>
          <w:rFonts w:ascii="Calibri" w:hAnsi="Calibri" w:cs="Calibri"/>
          <w:b/>
          <w:bCs/>
          <w:u w:val="single"/>
        </w:rPr>
      </w:r>
      <w:r>
        <w:rPr>
          <w:rFonts w:ascii="Calibri" w:hAnsi="Calibri" w:cs="Calibri"/>
          <w:b/>
          <w:bCs/>
          <w:u w:val="single"/>
        </w:rPr>
      </w:r>
    </w:p>
    <w:p w14:paraId="556E1E57"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7C8EC878" w14:textId="77777777">
      <w:pPr>
        <w:pStyle w:val="895"/>
        <w:pBdr/>
        <w:spacing/>
        <w:ind/>
        <w:jc w:val="both"/>
        <w:rPr>
          <w:rFonts w:ascii="Calibri" w:hAnsi="Calibri" w:cs="Calibri"/>
        </w:rPr>
      </w:pPr>
      <w:r>
        <w:rPr>
          <w:rFonts w:ascii="Calibri" w:hAnsi="Calibri" w:cs="Calibri"/>
        </w:rPr>
        <w:t xml:space="preserve">Conformément à l’article L.3132-2 du Code du travail, le repos hebdomadaire a une durée minimale de 24 heures auxquelles s’ajoutent les heures consécutives de repos quotidien. </w:t>
      </w:r>
      <w:r>
        <w:rPr>
          <w:rFonts w:ascii="Calibri" w:hAnsi="Calibri" w:cs="Calibri"/>
        </w:rPr>
      </w:r>
      <w:r>
        <w:rPr>
          <w:rFonts w:ascii="Calibri" w:hAnsi="Calibri" w:cs="Calibri"/>
        </w:rPr>
      </w:r>
    </w:p>
    <w:p w14:paraId="0CAD8DC5"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003ED9E1" w14:textId="1EBBAAA7">
      <w:pPr>
        <w:pStyle w:val="895"/>
        <w:pBdr/>
        <w:spacing/>
        <w:ind/>
        <w:jc w:val="both"/>
        <w:outlineLvl w:val="1"/>
        <w:rPr>
          <w:rFonts w:ascii="Calibri" w:hAnsi="Calibri" w:cs="Calibri"/>
          <w:b/>
          <w:bCs/>
          <w:u w:val="single"/>
        </w:rPr>
      </w:pPr>
      <w:r/>
      <w:bookmarkStart w:id="13" w:name="_Toc222407092"/>
      <w:r>
        <w:rPr>
          <w:rFonts w:ascii="Calibri" w:hAnsi="Calibri" w:cs="Calibri"/>
          <w:b/>
          <w:bCs/>
          <w:u w:val="single"/>
        </w:rPr>
        <w:t xml:space="preserve">ARTICLE 1</w:t>
      </w:r>
      <w:r>
        <w:rPr>
          <w:rFonts w:ascii="Calibri" w:hAnsi="Calibri" w:cs="Calibri"/>
          <w:b/>
          <w:bCs/>
          <w:u w:val="single"/>
        </w:rPr>
        <w:t xml:space="preserve">1</w:t>
      </w:r>
      <w:r>
        <w:rPr>
          <w:rFonts w:ascii="Calibri" w:hAnsi="Calibri" w:cs="Calibri"/>
          <w:b/>
          <w:bCs/>
          <w:u w:val="single"/>
        </w:rPr>
        <w:t xml:space="preserve"> – Droit à la déconnexion</w:t>
      </w:r>
      <w:bookmarkEnd w:id="13"/>
      <w:r>
        <w:rPr>
          <w:rFonts w:ascii="Calibri" w:hAnsi="Calibri" w:cs="Calibri"/>
          <w:b/>
          <w:bCs/>
          <w:u w:val="single"/>
        </w:rPr>
      </w:r>
      <w:r>
        <w:rPr>
          <w:rFonts w:ascii="Calibri" w:hAnsi="Calibri" w:cs="Calibri"/>
          <w:b/>
          <w:bCs/>
          <w:u w:val="single"/>
        </w:rPr>
      </w:r>
    </w:p>
    <w:p w14:paraId="06392E9C"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5ABDCE0B" w14:textId="77777777">
      <w:pPr>
        <w:pStyle w:val="895"/>
        <w:pBdr/>
        <w:spacing/>
        <w:ind/>
        <w:jc w:val="both"/>
        <w:rPr>
          <w:rFonts w:ascii="Calibri" w:hAnsi="Calibri" w:cs="Calibri"/>
        </w:rPr>
      </w:pPr>
      <w:r>
        <w:rPr>
          <w:rFonts w:ascii="Calibri" w:hAnsi="Calibri" w:cs="Calibri"/>
        </w:rPr>
        <w:t xml:space="preserve">Le droit à la déconnexion s'entend comme le droit pour le salarié de ne pas se connecter à ses outils numériques professionnels (messagerie, application, logiciel, internet, intranet, </w:t>
      </w:r>
      <w:r>
        <w:rPr>
          <w:rFonts w:ascii="Calibri" w:hAnsi="Calibri" w:cs="Calibri"/>
        </w:rPr>
        <w:t xml:space="preserve">etc</w:t>
      </w:r>
      <w:r>
        <w:rPr>
          <w:rFonts w:ascii="Calibri" w:hAnsi="Calibri" w:cs="Calibri"/>
        </w:rPr>
        <w:t xml:space="preserve">) et de ne pas être contacté en dehors de son temps de travail, que ce soit au moyen du matériel professionnel mis à sa disposition par l'employeur, ou de son matériel personnel (ordinateur, tablette, téléphone mobile, filaire, </w:t>
      </w:r>
      <w:r>
        <w:rPr>
          <w:rFonts w:ascii="Calibri" w:hAnsi="Calibri" w:cs="Calibri"/>
        </w:rPr>
        <w:t xml:space="preserve">etc</w:t>
      </w:r>
      <w:r>
        <w:rPr>
          <w:rFonts w:ascii="Calibri" w:hAnsi="Calibri" w:cs="Calibri"/>
        </w:rPr>
        <w:t xml:space="preserve">). </w:t>
      </w:r>
      <w:r>
        <w:rPr>
          <w:rFonts w:ascii="Calibri" w:hAnsi="Calibri" w:cs="Calibri"/>
        </w:rPr>
      </w:r>
      <w:r>
        <w:rPr>
          <w:rFonts w:ascii="Calibri" w:hAnsi="Calibri" w:cs="Calibri"/>
        </w:rPr>
      </w:r>
    </w:p>
    <w:p w14:paraId="3E966D20"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2BE53241" w14:textId="391F3382">
      <w:pPr>
        <w:pStyle w:val="895"/>
        <w:pBdr/>
        <w:spacing/>
        <w:ind/>
        <w:jc w:val="both"/>
        <w:rPr>
          <w:rFonts w:ascii="Calibri" w:hAnsi="Calibri" w:cs="Calibri"/>
        </w:rPr>
      </w:pPr>
      <w:r>
        <w:rPr>
          <w:rFonts w:ascii="Calibri" w:hAnsi="Calibri" w:cs="Calibri"/>
        </w:rPr>
        <w:t xml:space="preserve">L’ensemble des salariés, et notamment les </w:t>
      </w:r>
      <w:r>
        <w:rPr>
          <w:rFonts w:ascii="Calibri" w:hAnsi="Calibri" w:cs="Calibri"/>
        </w:rPr>
        <w:t xml:space="preserve">salariés</w:t>
      </w:r>
      <w:r>
        <w:rPr>
          <w:rFonts w:ascii="Calibri" w:hAnsi="Calibri" w:cs="Calibri"/>
        </w:rPr>
        <w:t xml:space="preserve"> soumis à un forfait annuel en jours, ont droit au respect de leurs temps de repos et au respect de l’équilibre vie personnelle / vie professionnelle.</w:t>
      </w:r>
      <w:r>
        <w:rPr>
          <w:rFonts w:ascii="Calibri" w:hAnsi="Calibri" w:cs="Calibri"/>
        </w:rPr>
      </w:r>
      <w:r>
        <w:rPr>
          <w:rFonts w:ascii="Calibri" w:hAnsi="Calibri" w:cs="Calibri"/>
        </w:rPr>
      </w:r>
    </w:p>
    <w:p w14:paraId="12C5A1FC"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42E40721" w14:textId="77777777">
      <w:pPr>
        <w:pStyle w:val="895"/>
        <w:pBdr/>
        <w:spacing/>
        <w:ind/>
        <w:jc w:val="both"/>
        <w:rPr>
          <w:rFonts w:ascii="Calibri" w:hAnsi="Calibri" w:cs="Calibri"/>
        </w:rPr>
      </w:pPr>
      <w:r>
        <w:rPr>
          <w:rFonts w:ascii="Calibri" w:hAnsi="Calibri" w:cs="Calibri"/>
        </w:rPr>
        <w:t xml:space="preserve">Dans la mesure où, par ailleurs, le travail en dehors des heures de l’entreprise et l’utilisation des nouvelles technologies constituent des facteurs de risques psychosociaux, les salariés bénéficient d’un droit à la déconnexion. </w:t>
      </w:r>
      <w:r>
        <w:rPr>
          <w:rFonts w:ascii="Calibri" w:hAnsi="Calibri" w:cs="Calibri"/>
        </w:rPr>
      </w:r>
      <w:r>
        <w:rPr>
          <w:rFonts w:ascii="Calibri" w:hAnsi="Calibri" w:cs="Calibri"/>
        </w:rPr>
      </w:r>
    </w:p>
    <w:p w14:paraId="40F25AE0"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2C950DB5" w14:textId="77777777">
      <w:pPr>
        <w:pStyle w:val="895"/>
        <w:pBdr/>
        <w:spacing/>
        <w:ind/>
        <w:jc w:val="both"/>
        <w:rPr>
          <w:rFonts w:ascii="Calibri" w:hAnsi="Calibri" w:cs="Calibri"/>
        </w:rPr>
      </w:pPr>
      <w:r>
        <w:rPr>
          <w:rFonts w:ascii="Calibri" w:hAnsi="Calibri" w:cs="Calibri"/>
        </w:rPr>
        <w:t xml:space="preserve">La société appelle en conséquence les utilisateurs de ces outils informatiques à faire preuve de vigilance à cet égard et de veiller au respect de ses temps de repos.</w:t>
      </w:r>
      <w:r>
        <w:rPr>
          <w:rFonts w:ascii="Calibri" w:hAnsi="Calibri" w:cs="Calibri"/>
        </w:rPr>
      </w:r>
      <w:r>
        <w:rPr>
          <w:rFonts w:ascii="Calibri" w:hAnsi="Calibri" w:cs="Calibri"/>
        </w:rPr>
      </w:r>
    </w:p>
    <w:p w14:paraId="6D3B936C"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219378B1" w14:textId="77777777">
      <w:pPr>
        <w:pStyle w:val="895"/>
        <w:pBdr/>
        <w:spacing/>
        <w:ind/>
        <w:jc w:val="both"/>
        <w:rPr>
          <w:rFonts w:ascii="Calibri" w:hAnsi="Calibri" w:cs="Calibri"/>
        </w:rPr>
      </w:pPr>
      <w:r>
        <w:rPr>
          <w:rFonts w:ascii="Calibri" w:hAnsi="Calibri" w:cs="Calibri"/>
        </w:rPr>
        <w:t xml:space="preserve">En dehors des périodes habituelles de travail, et notamment pendant les périodes de repos quotidien et de repos hebdomadaire, les salariés doivent se déconnecter et doivent s’abstenir d’envoyer des courriels et de répondre aux courriels.</w:t>
      </w:r>
      <w:r>
        <w:rPr>
          <w:rFonts w:ascii="Calibri" w:hAnsi="Calibri" w:cs="Calibri"/>
        </w:rPr>
      </w:r>
      <w:r>
        <w:rPr>
          <w:rFonts w:ascii="Calibri" w:hAnsi="Calibri" w:cs="Calibri"/>
        </w:rPr>
      </w:r>
    </w:p>
    <w:p w14:paraId="3189EBDA"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1329E3F6" w14:textId="77777777">
      <w:pPr>
        <w:pStyle w:val="895"/>
        <w:pBdr/>
        <w:spacing/>
        <w:ind/>
        <w:jc w:val="both"/>
        <w:rPr>
          <w:rFonts w:ascii="Calibri" w:hAnsi="Calibri" w:cs="Calibri"/>
        </w:rPr>
      </w:pPr>
      <w:r>
        <w:rPr>
          <w:rFonts w:ascii="Calibri" w:hAnsi="Calibri" w:cs="Calibri"/>
        </w:rPr>
        <w:t xml:space="preserve">Il est également rappelé qu’un salarié n’a pas à travailler, ni à se connecter aux outils de communication à distance mis à sa disposition pendant une période de suspension de son contrat de travail (congés payés, arrêt maladie, jours de repos, etc.).</w:t>
      </w:r>
      <w:r>
        <w:rPr>
          <w:rFonts w:ascii="Calibri" w:hAnsi="Calibri" w:cs="Calibri"/>
        </w:rPr>
      </w:r>
      <w:r>
        <w:rPr>
          <w:rFonts w:ascii="Calibri" w:hAnsi="Calibri" w:cs="Calibri"/>
        </w:rPr>
      </w:r>
    </w:p>
    <w:p w14:paraId="491B1F12"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3083D30D" w14:textId="77777777">
      <w:pPr>
        <w:pStyle w:val="895"/>
        <w:pBdr/>
        <w:spacing/>
        <w:ind/>
        <w:jc w:val="both"/>
        <w:rPr>
          <w:rFonts w:ascii="Calibri" w:hAnsi="Calibri" w:cs="Calibri"/>
        </w:rPr>
      </w:pPr>
      <w:r>
        <w:rPr>
          <w:rFonts w:ascii="Calibri" w:hAnsi="Calibri" w:cs="Calibri"/>
        </w:rPr>
        <w:t xml:space="preserve">En cas de difficulté constatée par le salarié dans l’application de son droit à déconnexion, il devra alerter la Société et pourra, à sa demande, bénéficier d’un entretien individuel spécifique.</w:t>
      </w:r>
      <w:r>
        <w:rPr>
          <w:rFonts w:ascii="Calibri" w:hAnsi="Calibri" w:cs="Calibri"/>
        </w:rPr>
      </w:r>
      <w:r>
        <w:rPr>
          <w:rFonts w:ascii="Calibri" w:hAnsi="Calibri" w:cs="Calibri"/>
        </w:rPr>
      </w:r>
    </w:p>
    <w:p w14:paraId="4C446793"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6FD691E2" w14:textId="7530EF44">
      <w:pPr>
        <w:pStyle w:val="895"/>
        <w:pBdr/>
        <w:spacing/>
        <w:ind/>
        <w:jc w:val="both"/>
        <w:rPr>
          <w:rFonts w:ascii="Calibri" w:hAnsi="Calibri" w:cs="Calibri"/>
        </w:rPr>
      </w:pPr>
      <w:r>
        <w:rPr>
          <w:rFonts w:ascii="Calibri" w:hAnsi="Calibri" w:cs="Calibri"/>
        </w:rPr>
        <w:t xml:space="preserve">Les managers veilleront également au respect de ce droit à déconnexion.</w:t>
      </w:r>
      <w:r>
        <w:rPr>
          <w:rFonts w:ascii="Calibri" w:hAnsi="Calibri" w:cs="Calibri"/>
        </w:rPr>
      </w:r>
      <w:r>
        <w:rPr>
          <w:rFonts w:ascii="Calibri" w:hAnsi="Calibri" w:cs="Calibri"/>
        </w:rPr>
      </w:r>
    </w:p>
    <w:p w14:paraId="71580075" w14:textId="77777777">
      <w:pPr>
        <w:pBdr/>
        <w:spacing/>
        <w:ind/>
        <w:rPr>
          <w:rFonts w:ascii="Calibri" w:hAnsi="Calibri" w:cs="Calibri"/>
        </w:rPr>
      </w:pPr>
      <w:r>
        <w:rPr>
          <w:rFonts w:ascii="Calibri" w:hAnsi="Calibri" w:cs="Calibri"/>
        </w:rPr>
        <w:br w:type="page" w:clear="all"/>
      </w:r>
      <w:r>
        <w:rPr>
          <w:rFonts w:ascii="Calibri" w:hAnsi="Calibri" w:cs="Calibri"/>
        </w:rPr>
      </w:r>
      <w:r>
        <w:rPr>
          <w:rFonts w:ascii="Calibri" w:hAnsi="Calibri" w:cs="Calibri"/>
        </w:rPr>
      </w:r>
    </w:p>
    <w:p w14:paraId="05F314AA" w14:textId="5A2DBA05">
      <w:pPr>
        <w:pStyle w:val="895"/>
        <w:pBdr/>
        <w:spacing/>
        <w:ind/>
        <w:jc w:val="both"/>
        <w:outlineLvl w:val="0"/>
        <w:rPr>
          <w:rFonts w:ascii="Calibri" w:hAnsi="Calibri" w:cs="Calibri"/>
          <w:b/>
          <w:bCs/>
          <w:sz w:val="28"/>
          <w:szCs w:val="28"/>
          <w:u w:val="single"/>
        </w:rPr>
      </w:pPr>
      <w:r/>
      <w:bookmarkStart w:id="14" w:name="_Toc222407093"/>
      <w:r>
        <w:rPr>
          <w:rFonts w:ascii="Calibri" w:hAnsi="Calibri" w:cs="Calibri"/>
          <w:b/>
          <w:bCs/>
          <w:sz w:val="28"/>
          <w:szCs w:val="28"/>
          <w:u w:val="single"/>
        </w:rPr>
        <w:t xml:space="preserve">CHAPITRE 3 : MODALITE D’AMENAGEMENT ET D’ORGANISATION DE LA DUREE DU TRAVAIL SUR LE MOIS POUR L</w:t>
      </w:r>
      <w:r>
        <w:rPr>
          <w:rFonts w:ascii="Calibri" w:hAnsi="Calibri" w:cs="Calibri"/>
          <w:b/>
          <w:bCs/>
          <w:sz w:val="28"/>
          <w:szCs w:val="28"/>
          <w:u w:val="single"/>
        </w:rPr>
        <w:t xml:space="preserve">’ENSEMBLE DU</w:t>
      </w:r>
      <w:r>
        <w:rPr>
          <w:rFonts w:ascii="Calibri" w:hAnsi="Calibri" w:cs="Calibri"/>
          <w:b/>
          <w:bCs/>
          <w:sz w:val="28"/>
          <w:szCs w:val="28"/>
          <w:u w:val="single"/>
        </w:rPr>
        <w:t xml:space="preserve"> PERSONNEL </w:t>
      </w:r>
      <w:r>
        <w:rPr>
          <w:rFonts w:ascii="Calibri" w:hAnsi="Calibri" w:cs="Calibri"/>
          <w:b/>
          <w:bCs/>
          <w:sz w:val="28"/>
          <w:szCs w:val="28"/>
          <w:u w:val="single"/>
        </w:rPr>
        <w:t xml:space="preserve">A L’EXCEPTION DES SALARIES EN FORFAIT ANNUEL EN JOURS</w:t>
      </w:r>
      <w:bookmarkEnd w:id="14"/>
      <w:r>
        <w:rPr>
          <w:rFonts w:ascii="Calibri" w:hAnsi="Calibri" w:cs="Calibri"/>
          <w:b/>
          <w:bCs/>
          <w:sz w:val="28"/>
          <w:szCs w:val="28"/>
          <w:u w:val="single"/>
        </w:rPr>
      </w:r>
      <w:r>
        <w:rPr>
          <w:rFonts w:ascii="Calibri" w:hAnsi="Calibri" w:cs="Calibri"/>
          <w:b/>
          <w:bCs/>
          <w:sz w:val="28"/>
          <w:szCs w:val="28"/>
          <w:u w:val="single"/>
        </w:rPr>
      </w:r>
    </w:p>
    <w:p w14:paraId="596C7D12"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32070809" w14:textId="16E3F61B">
      <w:pPr>
        <w:pStyle w:val="895"/>
        <w:pBdr/>
        <w:spacing/>
        <w:ind/>
        <w:jc w:val="both"/>
        <w:outlineLvl w:val="1"/>
        <w:rPr>
          <w:rFonts w:ascii="Calibri" w:hAnsi="Calibri" w:cs="Calibri"/>
          <w:b/>
          <w:bCs/>
          <w:u w:val="single"/>
        </w:rPr>
      </w:pPr>
      <w:r/>
      <w:bookmarkStart w:id="15" w:name="_Toc222407094"/>
      <w:r>
        <w:rPr>
          <w:rFonts w:ascii="Calibri" w:hAnsi="Calibri" w:cs="Calibri"/>
          <w:b/>
          <w:bCs/>
          <w:u w:val="single"/>
        </w:rPr>
        <w:t xml:space="preserve">ARTICLE </w:t>
      </w:r>
      <w:r>
        <w:rPr>
          <w:rFonts w:ascii="Calibri" w:hAnsi="Calibri" w:cs="Calibri"/>
          <w:b/>
          <w:bCs/>
          <w:u w:val="single"/>
        </w:rPr>
        <w:t xml:space="preserve">1</w:t>
      </w:r>
      <w:r>
        <w:rPr>
          <w:rFonts w:ascii="Calibri" w:hAnsi="Calibri" w:cs="Calibri"/>
          <w:b/>
          <w:bCs/>
          <w:u w:val="single"/>
        </w:rPr>
        <w:t xml:space="preserve">2</w:t>
      </w:r>
      <w:r>
        <w:rPr>
          <w:rFonts w:ascii="Calibri" w:hAnsi="Calibri" w:cs="Calibri"/>
          <w:b/>
          <w:bCs/>
          <w:u w:val="single"/>
        </w:rPr>
        <w:t xml:space="preserve"> </w:t>
      </w:r>
      <w:r>
        <w:rPr>
          <w:rFonts w:ascii="Calibri" w:hAnsi="Calibri" w:cs="Calibri"/>
          <w:b/>
          <w:bCs/>
          <w:u w:val="single"/>
        </w:rPr>
        <w:t xml:space="preserve">– </w:t>
      </w:r>
      <w:r>
        <w:rPr>
          <w:rFonts w:ascii="Calibri" w:hAnsi="Calibri" w:cs="Calibri"/>
          <w:b/>
          <w:bCs/>
          <w:u w:val="single"/>
        </w:rPr>
        <w:t xml:space="preserve">Personnel assujetti</w:t>
      </w:r>
      <w:bookmarkEnd w:id="15"/>
      <w:r>
        <w:rPr>
          <w:rFonts w:ascii="Calibri" w:hAnsi="Calibri" w:cs="Calibri"/>
          <w:b/>
          <w:bCs/>
          <w:u w:val="single"/>
        </w:rPr>
        <w:t xml:space="preserve"> </w:t>
      </w:r>
      <w:r>
        <w:rPr>
          <w:rFonts w:ascii="Calibri" w:hAnsi="Calibri" w:cs="Calibri"/>
          <w:b/>
          <w:bCs/>
          <w:u w:val="single"/>
        </w:rPr>
      </w:r>
      <w:r>
        <w:rPr>
          <w:rFonts w:ascii="Calibri" w:hAnsi="Calibri" w:cs="Calibri"/>
          <w:b/>
          <w:bCs/>
          <w:u w:val="single"/>
        </w:rPr>
      </w:r>
    </w:p>
    <w:p w14:paraId="1E36D28E"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74B2F9C1" w14:textId="119C5011">
      <w:pPr>
        <w:pStyle w:val="895"/>
        <w:pBdr/>
        <w:spacing/>
        <w:ind/>
        <w:jc w:val="both"/>
        <w:rPr>
          <w:rFonts w:ascii="Calibri" w:hAnsi="Calibri" w:cs="Calibri"/>
        </w:rPr>
      </w:pPr>
      <w:r>
        <w:rPr>
          <w:rFonts w:ascii="Calibri" w:hAnsi="Calibri" w:cs="Calibri"/>
        </w:rPr>
        <w:t xml:space="preserve">Le présent </w:t>
      </w:r>
      <w:r>
        <w:rPr>
          <w:rFonts w:ascii="Calibri" w:hAnsi="Calibri" w:cs="Calibri"/>
        </w:rPr>
        <w:t xml:space="preserve">chapitre</w:t>
      </w:r>
      <w:r>
        <w:rPr>
          <w:rFonts w:ascii="Calibri" w:hAnsi="Calibri" w:cs="Calibri"/>
        </w:rPr>
        <w:t xml:space="preserve"> s’applique </w:t>
      </w:r>
      <w:r>
        <w:rPr>
          <w:rFonts w:ascii="Calibri" w:hAnsi="Calibri" w:cs="Calibri"/>
        </w:rPr>
        <w:t xml:space="preserve">à l’ensemble du personnel</w:t>
      </w:r>
      <w:r>
        <w:rPr>
          <w:rFonts w:ascii="Calibri" w:hAnsi="Calibri" w:cs="Calibri"/>
        </w:rPr>
        <w:t xml:space="preserve">, à l’exception des salariés en forfait annuel en jours visés au </w:t>
      </w:r>
      <w:r>
        <w:rPr>
          <w:rFonts w:ascii="Calibri" w:hAnsi="Calibri" w:cs="Calibri"/>
        </w:rPr>
        <w:t xml:space="preserve">chapitre</w:t>
      </w:r>
      <w:r>
        <w:rPr>
          <w:rFonts w:ascii="Calibri" w:hAnsi="Calibri" w:cs="Calibri"/>
        </w:rPr>
        <w:t xml:space="preserve"> 4 du présent accor</w:t>
      </w:r>
      <w:r>
        <w:rPr>
          <w:rFonts w:ascii="Calibri" w:hAnsi="Calibri" w:cs="Calibri"/>
        </w:rPr>
        <w:t xml:space="preserve">d</w:t>
      </w:r>
      <w:r>
        <w:rPr>
          <w:rFonts w:ascii="Calibri" w:hAnsi="Calibri" w:cs="Calibri"/>
        </w:rPr>
        <w:t xml:space="preserve">, </w:t>
      </w:r>
      <w:r>
        <w:rPr>
          <w:rFonts w:ascii="Calibri" w:hAnsi="Calibri" w:cs="Calibri"/>
        </w:rPr>
        <w:t xml:space="preserve">des vacataires évènementiels</w:t>
      </w:r>
      <w:r>
        <w:rPr>
          <w:rFonts w:ascii="Calibri" w:hAnsi="Calibri" w:cs="Calibri"/>
        </w:rPr>
        <w:t xml:space="preserve"> en CDD</w:t>
      </w:r>
      <w:r>
        <w:rPr>
          <w:rFonts w:ascii="Calibri" w:hAnsi="Calibri" w:cs="Calibri"/>
        </w:rPr>
        <w:t xml:space="preserve"> et des salariés à temps partiel</w:t>
      </w:r>
      <w:r>
        <w:rPr>
          <w:rFonts w:ascii="Calibri" w:hAnsi="Calibri" w:cs="Calibri"/>
        </w:rPr>
        <w:t xml:space="preserve">.</w:t>
      </w:r>
      <w:r>
        <w:rPr>
          <w:rFonts w:ascii="Calibri" w:hAnsi="Calibri" w:cs="Calibri"/>
        </w:rPr>
      </w:r>
      <w:r>
        <w:rPr>
          <w:rFonts w:ascii="Calibri" w:hAnsi="Calibri" w:cs="Calibri"/>
        </w:rPr>
      </w:r>
    </w:p>
    <w:p w14:paraId="112465BD"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7C5132EA" w14:textId="3D439E21">
      <w:pPr>
        <w:pStyle w:val="895"/>
        <w:pBdr/>
        <w:spacing/>
        <w:ind/>
        <w:jc w:val="both"/>
        <w:outlineLvl w:val="1"/>
        <w:rPr>
          <w:rFonts w:ascii="Calibri" w:hAnsi="Calibri" w:cs="Calibri"/>
          <w:b/>
          <w:bCs/>
          <w:u w:val="single"/>
        </w:rPr>
      </w:pPr>
      <w:r/>
      <w:bookmarkStart w:id="16" w:name="_Toc222407095"/>
      <w:r>
        <w:rPr>
          <w:rFonts w:ascii="Calibri" w:hAnsi="Calibri" w:cs="Calibri"/>
          <w:b/>
          <w:bCs/>
          <w:u w:val="single"/>
        </w:rPr>
        <w:t xml:space="preserve">ARTICLE </w:t>
      </w:r>
      <w:r>
        <w:rPr>
          <w:rFonts w:ascii="Calibri" w:hAnsi="Calibri" w:cs="Calibri"/>
          <w:b/>
          <w:bCs/>
          <w:u w:val="single"/>
        </w:rPr>
        <w:t xml:space="preserve">1</w:t>
      </w:r>
      <w:r>
        <w:rPr>
          <w:rFonts w:ascii="Calibri" w:hAnsi="Calibri" w:cs="Calibri"/>
          <w:b/>
          <w:bCs/>
          <w:u w:val="single"/>
        </w:rPr>
        <w:t xml:space="preserve">3</w:t>
      </w:r>
      <w:r>
        <w:rPr>
          <w:rFonts w:ascii="Calibri" w:hAnsi="Calibri" w:cs="Calibri"/>
          <w:b/>
          <w:bCs/>
          <w:u w:val="single"/>
        </w:rPr>
        <w:t xml:space="preserve"> </w:t>
      </w:r>
      <w:r>
        <w:rPr>
          <w:rFonts w:ascii="Calibri" w:hAnsi="Calibri" w:cs="Calibri"/>
          <w:b/>
          <w:bCs/>
          <w:u w:val="single"/>
        </w:rPr>
        <w:t xml:space="preserve">– </w:t>
      </w:r>
      <w:r>
        <w:rPr>
          <w:rFonts w:ascii="Calibri" w:hAnsi="Calibri" w:cs="Calibri"/>
          <w:b/>
          <w:bCs/>
          <w:u w:val="single"/>
        </w:rPr>
        <w:t xml:space="preserve">Période de référence</w:t>
      </w:r>
      <w:bookmarkEnd w:id="16"/>
      <w:r>
        <w:rPr>
          <w:rFonts w:ascii="Calibri" w:hAnsi="Calibri" w:cs="Calibri"/>
          <w:b/>
          <w:bCs/>
          <w:u w:val="single"/>
        </w:rPr>
        <w:t xml:space="preserve"> </w:t>
      </w:r>
      <w:r>
        <w:rPr>
          <w:rFonts w:ascii="Calibri" w:hAnsi="Calibri" w:cs="Calibri"/>
          <w:b/>
          <w:bCs/>
          <w:u w:val="single"/>
        </w:rPr>
      </w:r>
      <w:r>
        <w:rPr>
          <w:rFonts w:ascii="Calibri" w:hAnsi="Calibri" w:cs="Calibri"/>
          <w:b/>
          <w:bCs/>
          <w:u w:val="single"/>
        </w:rPr>
      </w:r>
    </w:p>
    <w:p w14:paraId="1DF35A12"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6005F9B7" w14:textId="5C58AE54">
      <w:pPr>
        <w:pStyle w:val="895"/>
        <w:pBdr/>
        <w:spacing/>
        <w:ind/>
        <w:jc w:val="both"/>
        <w:rPr>
          <w:rFonts w:ascii="Calibri" w:hAnsi="Calibri" w:cs="Calibri"/>
        </w:rPr>
      </w:pPr>
      <w:r>
        <w:rPr>
          <w:rFonts w:ascii="Calibri" w:hAnsi="Calibri" w:cs="Calibri"/>
        </w:rPr>
        <w:t xml:space="preserve">La période de </w:t>
      </w:r>
      <w:r>
        <w:rPr>
          <w:rFonts w:ascii="Calibri" w:hAnsi="Calibri" w:cs="Calibri"/>
        </w:rPr>
        <w:t xml:space="preserve">référence</w:t>
      </w:r>
      <w:r>
        <w:rPr>
          <w:rFonts w:ascii="Calibri" w:hAnsi="Calibri" w:cs="Calibri"/>
        </w:rPr>
        <w:t xml:space="preserve"> de la durée du travail correspond</w:t>
      </w:r>
      <w:r>
        <w:rPr>
          <w:rFonts w:ascii="Calibri" w:hAnsi="Calibri" w:cs="Calibri"/>
        </w:rPr>
        <w:t xml:space="preserve"> au mois</w:t>
      </w:r>
      <w:r>
        <w:rPr>
          <w:rFonts w:ascii="Calibri" w:hAnsi="Calibri" w:cs="Calibri"/>
        </w:rPr>
        <w:t xml:space="preserve"> civil</w:t>
      </w:r>
      <w:r>
        <w:rPr>
          <w:rFonts w:ascii="Calibri" w:hAnsi="Calibri" w:cs="Calibri"/>
        </w:rPr>
        <w:t xml:space="preserve">.</w:t>
      </w:r>
      <w:r>
        <w:rPr>
          <w:rFonts w:ascii="Calibri" w:hAnsi="Calibri" w:cs="Calibri"/>
        </w:rPr>
      </w:r>
      <w:r>
        <w:rPr>
          <w:rFonts w:ascii="Calibri" w:hAnsi="Calibri" w:cs="Calibri"/>
        </w:rPr>
      </w:r>
    </w:p>
    <w:p w14:paraId="56DABB5E"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25D7065E" w14:textId="0F7BA51A">
      <w:pPr>
        <w:pStyle w:val="895"/>
        <w:pBdr/>
        <w:spacing/>
        <w:ind/>
        <w:jc w:val="both"/>
        <w:rPr>
          <w:rFonts w:ascii="Calibri" w:hAnsi="Calibri" w:cs="Calibri"/>
        </w:rPr>
      </w:pPr>
      <w:r>
        <w:rPr>
          <w:rFonts w:ascii="Calibri" w:hAnsi="Calibri" w:cs="Calibri"/>
        </w:rPr>
        <w:t xml:space="preserve">Elle débute le premier jour du mois et se termine le dernier jour du mois</w:t>
      </w:r>
      <w:r>
        <w:rPr>
          <w:rFonts w:ascii="Calibri" w:hAnsi="Calibri" w:cs="Calibri"/>
        </w:rPr>
        <w:t xml:space="preserve"> civil</w:t>
      </w:r>
      <w:r>
        <w:rPr>
          <w:rFonts w:ascii="Calibri" w:hAnsi="Calibri" w:cs="Calibri"/>
        </w:rPr>
        <w:t xml:space="preserve">.</w:t>
      </w:r>
      <w:r>
        <w:rPr>
          <w:rFonts w:ascii="Calibri" w:hAnsi="Calibri" w:cs="Calibri"/>
        </w:rPr>
      </w:r>
      <w:r>
        <w:rPr>
          <w:rFonts w:ascii="Calibri" w:hAnsi="Calibri" w:cs="Calibri"/>
        </w:rPr>
      </w:r>
    </w:p>
    <w:p w14:paraId="6049DDDD"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0CD145D9" w14:textId="77777777">
      <w:pPr>
        <w:pStyle w:val="895"/>
        <w:pBdr/>
        <w:spacing/>
        <w:ind/>
        <w:jc w:val="both"/>
        <w:rPr>
          <w:rFonts w:ascii="Calibri" w:hAnsi="Calibri" w:cs="Calibri"/>
        </w:rPr>
      </w:pPr>
      <w:r>
        <w:rPr>
          <w:rFonts w:ascii="Calibri" w:hAnsi="Calibri" w:cs="Calibri"/>
        </w:rPr>
        <w:t xml:space="preserve">Pour les salariés embauchés en cours de période, le début de la période de référence correspond au premier jour de travail.</w:t>
      </w:r>
      <w:r>
        <w:rPr>
          <w:rFonts w:ascii="Calibri" w:hAnsi="Calibri" w:cs="Calibri"/>
        </w:rPr>
      </w:r>
      <w:r>
        <w:rPr>
          <w:rFonts w:ascii="Calibri" w:hAnsi="Calibri" w:cs="Calibri"/>
        </w:rPr>
      </w:r>
    </w:p>
    <w:p w14:paraId="53715226"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79751A1F" w14:textId="77777777">
      <w:pPr>
        <w:pStyle w:val="895"/>
        <w:pBdr/>
        <w:spacing/>
        <w:ind/>
        <w:jc w:val="both"/>
        <w:outlineLvl w:val="1"/>
        <w:rPr>
          <w:rFonts w:ascii="Calibri" w:hAnsi="Calibri" w:cs="Calibri"/>
        </w:rPr>
      </w:pPr>
      <w:r>
        <w:rPr>
          <w:rFonts w:ascii="Calibri" w:hAnsi="Calibri" w:cs="Calibri"/>
        </w:rPr>
        <w:t xml:space="preserve">Pour les salariés quittant la société en cours de période, la fin de la période de référence correspond au dernier jour de travail.</w:t>
      </w:r>
      <w:bookmarkStart w:id="17" w:name="_Toc222407096"/>
      <w:r>
        <w:rPr>
          <w:rFonts w:ascii="Calibri" w:hAnsi="Calibri" w:cs="Calibri"/>
        </w:rPr>
      </w:r>
      <w:r>
        <w:rPr>
          <w:rFonts w:ascii="Calibri" w:hAnsi="Calibri" w:cs="Calibri"/>
        </w:rPr>
      </w:r>
    </w:p>
    <w:p w14:paraId="46963D10" w14:textId="77777777">
      <w:pPr>
        <w:pStyle w:val="895"/>
        <w:pBdr/>
        <w:spacing/>
        <w:ind/>
        <w:jc w:val="both"/>
        <w:outlineLvl w:val="1"/>
        <w:rPr>
          <w:rFonts w:ascii="Calibri" w:hAnsi="Calibri" w:cs="Calibri"/>
        </w:rPr>
      </w:pPr>
      <w:r>
        <w:rPr>
          <w:rFonts w:ascii="Calibri" w:hAnsi="Calibri" w:cs="Calibri"/>
        </w:rPr>
      </w:r>
      <w:r>
        <w:rPr>
          <w:rFonts w:ascii="Calibri" w:hAnsi="Calibri" w:cs="Calibri"/>
        </w:rPr>
      </w:r>
      <w:r>
        <w:rPr>
          <w:rFonts w:ascii="Calibri" w:hAnsi="Calibri" w:cs="Calibri"/>
        </w:rPr>
      </w:r>
    </w:p>
    <w:p w14:paraId="156EC934" w14:textId="1C781A50">
      <w:pPr>
        <w:pStyle w:val="895"/>
        <w:pBdr/>
        <w:spacing/>
        <w:ind/>
        <w:jc w:val="both"/>
        <w:outlineLvl w:val="1"/>
        <w:rPr>
          <w:rFonts w:ascii="Calibri" w:hAnsi="Calibri" w:cs="Calibri"/>
          <w:b/>
          <w:bCs/>
          <w:u w:val="single"/>
        </w:rPr>
      </w:pPr>
      <w:r>
        <w:rPr>
          <w:rFonts w:ascii="Calibri" w:hAnsi="Calibri" w:cs="Calibri"/>
          <w:b/>
          <w:bCs/>
          <w:u w:val="single"/>
        </w:rPr>
        <w:t xml:space="preserve">ARTICLE </w:t>
      </w:r>
      <w:r>
        <w:rPr>
          <w:rFonts w:ascii="Calibri" w:hAnsi="Calibri" w:cs="Calibri"/>
          <w:b/>
          <w:bCs/>
          <w:u w:val="single"/>
        </w:rPr>
        <w:t xml:space="preserve">1</w:t>
      </w:r>
      <w:r>
        <w:rPr>
          <w:rFonts w:ascii="Calibri" w:hAnsi="Calibri" w:cs="Calibri"/>
          <w:b/>
          <w:bCs/>
          <w:u w:val="single"/>
        </w:rPr>
        <w:t xml:space="preserve">4</w:t>
      </w:r>
      <w:r>
        <w:rPr>
          <w:rFonts w:ascii="Calibri" w:hAnsi="Calibri" w:cs="Calibri"/>
          <w:b/>
          <w:bCs/>
          <w:u w:val="single"/>
        </w:rPr>
        <w:t xml:space="preserve"> </w:t>
      </w:r>
      <w:r>
        <w:rPr>
          <w:rFonts w:ascii="Calibri" w:hAnsi="Calibri" w:cs="Calibri"/>
          <w:b/>
          <w:bCs/>
          <w:u w:val="single"/>
        </w:rPr>
        <w:t xml:space="preserve">– </w:t>
      </w:r>
      <w:r>
        <w:rPr>
          <w:rFonts w:ascii="Calibri" w:hAnsi="Calibri" w:cs="Calibri"/>
          <w:b/>
          <w:bCs/>
          <w:u w:val="single"/>
        </w:rPr>
        <w:t xml:space="preserve">Répartition de la durée du travail sur le mois</w:t>
      </w:r>
      <w:bookmarkEnd w:id="17"/>
      <w:r>
        <w:rPr>
          <w:rFonts w:ascii="Calibri" w:hAnsi="Calibri" w:cs="Calibri"/>
          <w:b/>
          <w:bCs/>
          <w:u w:val="single"/>
        </w:rPr>
        <w:t xml:space="preserve"> </w:t>
      </w:r>
      <w:r>
        <w:rPr>
          <w:rFonts w:ascii="Calibri" w:hAnsi="Calibri" w:cs="Calibri"/>
          <w:b/>
          <w:bCs/>
          <w:u w:val="single"/>
        </w:rPr>
      </w:r>
      <w:r>
        <w:rPr>
          <w:rFonts w:ascii="Calibri" w:hAnsi="Calibri" w:cs="Calibri"/>
          <w:b/>
          <w:bCs/>
          <w:u w:val="single"/>
        </w:rPr>
      </w:r>
    </w:p>
    <w:p w14:paraId="56297E58"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241A0642" w14:textId="0D30214F">
      <w:pPr>
        <w:pStyle w:val="895"/>
        <w:pBdr/>
        <w:spacing/>
        <w:ind/>
        <w:jc w:val="both"/>
        <w:rPr>
          <w:rFonts w:ascii="Calibri" w:hAnsi="Calibri" w:cs="Calibri"/>
        </w:rPr>
      </w:pPr>
      <w:r>
        <w:rPr>
          <w:rFonts w:ascii="Calibri" w:hAnsi="Calibri" w:cs="Calibri"/>
        </w:rPr>
        <w:t xml:space="preserve">Le temps de travail des salariés est effectué selon des alternances de périodes de forte et de faible activité</w:t>
      </w:r>
      <w:r>
        <w:rPr>
          <w:rFonts w:ascii="Calibri" w:hAnsi="Calibri" w:cs="Calibri"/>
        </w:rPr>
        <w:t xml:space="preserve"> qui se compensent entre elles</w:t>
      </w:r>
      <w:r>
        <w:rPr>
          <w:rFonts w:ascii="Calibri" w:hAnsi="Calibri" w:cs="Calibri"/>
        </w:rPr>
        <w:t xml:space="preserve"> à l’intérieur de la période de référence</w:t>
      </w:r>
      <w:r>
        <w:rPr>
          <w:rFonts w:ascii="Calibri" w:hAnsi="Calibri" w:cs="Calibri"/>
        </w:rPr>
        <w:t xml:space="preserve">.</w:t>
      </w:r>
      <w:r>
        <w:rPr>
          <w:rFonts w:ascii="Calibri" w:hAnsi="Calibri" w:cs="Calibri"/>
        </w:rPr>
      </w:r>
      <w:r>
        <w:rPr>
          <w:rFonts w:ascii="Calibri" w:hAnsi="Calibri" w:cs="Calibri"/>
        </w:rPr>
      </w:r>
    </w:p>
    <w:p w14:paraId="483268A7"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2B64BC9D" w14:textId="6114E204">
      <w:pPr>
        <w:pStyle w:val="895"/>
        <w:pBdr/>
        <w:spacing/>
        <w:ind/>
        <w:jc w:val="both"/>
        <w:rPr>
          <w:rFonts w:ascii="Calibri" w:hAnsi="Calibri" w:cs="Calibri"/>
        </w:rPr>
      </w:pPr>
      <w:r>
        <w:rPr>
          <w:rFonts w:ascii="Calibri" w:hAnsi="Calibri" w:cs="Calibri"/>
        </w:rPr>
        <w:t xml:space="preserve">L’amplitude de variation des horaires de travail </w:t>
      </w:r>
      <w:r>
        <w:rPr>
          <w:rFonts w:ascii="Calibri" w:hAnsi="Calibri" w:cs="Calibri"/>
        </w:rPr>
        <w:t xml:space="preserve">est</w:t>
      </w:r>
      <w:r>
        <w:rPr>
          <w:rFonts w:ascii="Calibri" w:hAnsi="Calibri" w:cs="Calibri"/>
        </w:rPr>
        <w:t xml:space="preserve"> plafonnée à 48 heures de travail dans la semaine pour la période de forte activité et </w:t>
      </w:r>
      <w:r>
        <w:rPr>
          <w:rFonts w:ascii="Calibri" w:hAnsi="Calibri" w:cs="Calibri"/>
        </w:rPr>
        <w:t xml:space="preserve">peut descendre </w:t>
      </w:r>
      <w:r>
        <w:rPr>
          <w:rFonts w:ascii="Calibri" w:hAnsi="Calibri" w:cs="Calibri"/>
        </w:rPr>
        <w:t xml:space="preserve">à 0 heure de travail pour la période de faible activité.</w:t>
      </w:r>
      <w:r>
        <w:rPr>
          <w:rFonts w:ascii="Calibri" w:hAnsi="Calibri" w:cs="Calibri"/>
        </w:rPr>
      </w:r>
      <w:r>
        <w:rPr>
          <w:rFonts w:ascii="Calibri" w:hAnsi="Calibri" w:cs="Calibri"/>
        </w:rPr>
      </w:r>
    </w:p>
    <w:p w14:paraId="788542E8"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4C82483E" w14:textId="0E3910B6">
      <w:pPr>
        <w:pStyle w:val="895"/>
        <w:pBdr/>
        <w:spacing/>
        <w:ind/>
        <w:jc w:val="both"/>
        <w:rPr>
          <w:rFonts w:ascii="Calibri" w:hAnsi="Calibri" w:cs="Calibri"/>
        </w:rPr>
      </w:pPr>
      <w:r>
        <w:rPr>
          <w:rFonts w:ascii="Calibri" w:hAnsi="Calibri" w:cs="Calibri"/>
        </w:rPr>
        <w:t xml:space="preserve">La répartition de la durée du travail respecte les dispositions d’ordre public social régissant les durées maximales de travail (quotidienne et hebdomadaire) et les temps de repos (quotidien et hebdomadaire)</w:t>
      </w:r>
      <w:r>
        <w:rPr>
          <w:rFonts w:ascii="Calibri" w:hAnsi="Calibri" w:cs="Calibri"/>
        </w:rPr>
        <w:t xml:space="preserve"> visés au chapitre 2 du présent accord</w:t>
      </w:r>
      <w:r>
        <w:rPr>
          <w:rFonts w:ascii="Calibri" w:hAnsi="Calibri" w:cs="Calibri"/>
        </w:rPr>
        <w:t xml:space="preserve">.</w:t>
      </w:r>
      <w:r>
        <w:rPr>
          <w:rFonts w:ascii="Calibri" w:hAnsi="Calibri" w:cs="Calibri"/>
        </w:rPr>
        <w:t xml:space="preserve"> </w:t>
      </w:r>
      <w:r>
        <w:rPr>
          <w:rFonts w:ascii="Calibri" w:hAnsi="Calibri" w:cs="Calibri"/>
        </w:rPr>
      </w:r>
      <w:r>
        <w:rPr>
          <w:rFonts w:ascii="Calibri" w:hAnsi="Calibri" w:cs="Calibri"/>
        </w:rPr>
      </w:r>
    </w:p>
    <w:p w14:paraId="5B315B47"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386D00B9" w14:textId="6CC7D947">
      <w:pPr>
        <w:pStyle w:val="895"/>
        <w:pBdr/>
        <w:spacing/>
        <w:ind/>
        <w:jc w:val="both"/>
        <w:rPr>
          <w:rFonts w:ascii="Calibri" w:hAnsi="Calibri" w:cs="Calibri"/>
        </w:rPr>
      </w:pPr>
      <w:r>
        <w:rPr>
          <w:rFonts w:ascii="Calibri" w:hAnsi="Calibri" w:cs="Calibri"/>
        </w:rPr>
        <w:t xml:space="preserve">Les salariés sont informés, par voie d’affichage, </w:t>
      </w:r>
      <w:r>
        <w:rPr>
          <w:rFonts w:ascii="Calibri" w:hAnsi="Calibri" w:cs="Calibri"/>
        </w:rPr>
        <w:t xml:space="preserve">au minimum </w:t>
      </w:r>
      <w:r>
        <w:rPr>
          <w:rFonts w:ascii="Calibri" w:hAnsi="Calibri" w:cs="Calibri"/>
        </w:rPr>
        <w:t xml:space="preserve">7 </w:t>
      </w:r>
      <w:r>
        <w:rPr>
          <w:rFonts w:ascii="Calibri" w:hAnsi="Calibri" w:cs="Calibri"/>
        </w:rPr>
        <w:t xml:space="preserve">jours avant, </w:t>
      </w:r>
      <w:r>
        <w:rPr>
          <w:rFonts w:ascii="Calibri" w:hAnsi="Calibri" w:cs="Calibri"/>
        </w:rPr>
        <w:t xml:space="preserve">du </w:t>
      </w:r>
      <w:r>
        <w:rPr>
          <w:rFonts w:ascii="Calibri" w:hAnsi="Calibri" w:cs="Calibri"/>
        </w:rPr>
        <w:t xml:space="preserve">planning </w:t>
      </w:r>
      <w:r>
        <w:rPr>
          <w:rFonts w:ascii="Calibri" w:hAnsi="Calibri" w:cs="Calibri"/>
        </w:rPr>
        <w:t xml:space="preserve">horaire </w:t>
      </w:r>
      <w:r>
        <w:rPr>
          <w:rFonts w:ascii="Calibri" w:hAnsi="Calibri" w:cs="Calibri"/>
        </w:rPr>
        <w:t xml:space="preserve">prévisionnel de travail</w:t>
      </w:r>
      <w:r>
        <w:rPr>
          <w:rFonts w:ascii="Calibri" w:hAnsi="Calibri" w:cs="Calibri"/>
        </w:rPr>
        <w:t xml:space="preserve"> qui</w:t>
      </w:r>
      <w:r>
        <w:rPr>
          <w:rFonts w:ascii="Calibri" w:hAnsi="Calibri" w:cs="Calibri"/>
        </w:rPr>
        <w:t xml:space="preserve"> est établi chaque mois.</w:t>
      </w:r>
      <w:r>
        <w:rPr>
          <w:rFonts w:ascii="Calibri" w:hAnsi="Calibri" w:cs="Calibri"/>
        </w:rPr>
      </w:r>
      <w:r>
        <w:rPr>
          <w:rFonts w:ascii="Calibri" w:hAnsi="Calibri" w:cs="Calibri"/>
        </w:rPr>
      </w:r>
    </w:p>
    <w:p w14:paraId="48C17CB8"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335E3A57" w14:textId="6A45B043">
      <w:pPr>
        <w:pStyle w:val="895"/>
        <w:pBdr/>
        <w:spacing/>
        <w:ind/>
        <w:jc w:val="both"/>
        <w:rPr>
          <w:rFonts w:ascii="Calibri" w:hAnsi="Calibri" w:cs="Calibri"/>
        </w:rPr>
      </w:pPr>
      <w:r>
        <w:rPr>
          <w:rFonts w:ascii="Calibri" w:hAnsi="Calibri" w:cs="Calibri"/>
        </w:rPr>
        <w:t xml:space="preserve">Conformément</w:t>
      </w:r>
      <w:r>
        <w:rPr>
          <w:rFonts w:ascii="Calibri" w:hAnsi="Calibri" w:cs="Calibri"/>
        </w:rPr>
        <w:t xml:space="preserve"> aux dispositions de l’article L.3121-36 du Code du travail, les plannings </w:t>
      </w:r>
      <w:r>
        <w:rPr>
          <w:rFonts w:ascii="Calibri" w:hAnsi="Calibri" w:cs="Calibri"/>
        </w:rPr>
        <w:t xml:space="preserve">d’horaire prévisionnels de travail </w:t>
      </w:r>
      <w:r>
        <w:rPr>
          <w:rFonts w:ascii="Calibri" w:hAnsi="Calibri" w:cs="Calibri"/>
        </w:rPr>
        <w:t xml:space="preserve">sont établis de telle sorte que la durée moyenne de travail d’un salarié </w:t>
      </w:r>
      <w:r>
        <w:rPr>
          <w:rFonts w:ascii="Calibri" w:hAnsi="Calibri" w:cs="Calibri"/>
        </w:rPr>
        <w:t xml:space="preserve">à temps complet </w:t>
      </w:r>
      <w:r>
        <w:rPr>
          <w:rFonts w:ascii="Calibri" w:hAnsi="Calibri" w:cs="Calibri"/>
        </w:rPr>
        <w:t xml:space="preserve">calculée sur une période quelconque de douze semaines consécutives ne puisse excéder 46 heures. </w:t>
      </w:r>
      <w:r>
        <w:rPr>
          <w:rFonts w:ascii="Calibri" w:hAnsi="Calibri" w:cs="Calibri"/>
        </w:rPr>
      </w:r>
      <w:r>
        <w:rPr>
          <w:rFonts w:ascii="Calibri" w:hAnsi="Calibri" w:cs="Calibri"/>
        </w:rPr>
      </w:r>
    </w:p>
    <w:p w14:paraId="141CE3DC"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41DA6B92" w14:textId="73E89A32">
      <w:pPr>
        <w:pStyle w:val="895"/>
        <w:pBdr/>
        <w:spacing/>
        <w:ind/>
        <w:jc w:val="both"/>
        <w:rPr>
          <w:rFonts w:ascii="Calibri" w:hAnsi="Calibri" w:cs="Calibri"/>
        </w:rPr>
      </w:pPr>
      <w:r>
        <w:rPr>
          <w:rFonts w:ascii="Calibri" w:hAnsi="Calibri" w:cs="Calibri"/>
        </w:rPr>
        <w:t xml:space="preserve">Lorsque le salarié n’a pas réalisé le temps de travail prévu sur </w:t>
      </w:r>
      <w:r>
        <w:rPr>
          <w:rFonts w:ascii="Calibri" w:hAnsi="Calibri" w:cs="Calibri"/>
        </w:rPr>
        <w:t xml:space="preserve">le</w:t>
      </w:r>
      <w:r>
        <w:rPr>
          <w:rFonts w:ascii="Calibri" w:hAnsi="Calibri" w:cs="Calibri"/>
        </w:rPr>
        <w:t xml:space="preserve"> planning</w:t>
      </w:r>
      <w:r>
        <w:rPr>
          <w:rFonts w:ascii="Calibri" w:hAnsi="Calibri" w:cs="Calibri"/>
        </w:rPr>
        <w:t xml:space="preserve"> horaire prévisionnel de travail</w:t>
      </w:r>
      <w:r>
        <w:rPr>
          <w:rFonts w:ascii="Calibri" w:hAnsi="Calibri" w:cs="Calibri"/>
        </w:rPr>
        <w:t xml:space="preserve">, il apporte une modification </w:t>
      </w:r>
      <w:r>
        <w:rPr>
          <w:rFonts w:ascii="Calibri" w:hAnsi="Calibri" w:cs="Calibri"/>
        </w:rPr>
        <w:t xml:space="preserve">sur le logiciel d’heures</w:t>
      </w:r>
      <w:r>
        <w:rPr>
          <w:rFonts w:ascii="Calibri" w:hAnsi="Calibri" w:cs="Calibri"/>
        </w:rPr>
        <w:t xml:space="preserve"> </w:t>
      </w:r>
      <w:r>
        <w:rPr>
          <w:rFonts w:ascii="Calibri" w:hAnsi="Calibri" w:cs="Calibri"/>
        </w:rPr>
        <w:t xml:space="preserve">mis en place par l’employeur</w:t>
      </w:r>
      <w:r>
        <w:rPr>
          <w:rFonts w:ascii="Calibri" w:hAnsi="Calibri" w:cs="Calibri"/>
        </w:rPr>
        <w:t xml:space="preserve"> </w:t>
      </w:r>
      <w:r>
        <w:rPr>
          <w:rFonts w:ascii="Calibri" w:hAnsi="Calibri" w:cs="Calibri"/>
        </w:rPr>
        <w:t xml:space="preserve">pour indiquer la durée de travail réellement accomplie dans la journée</w:t>
      </w:r>
      <w:r>
        <w:rPr>
          <w:rFonts w:ascii="Calibri" w:hAnsi="Calibri" w:cs="Calibri"/>
        </w:rPr>
        <w:t xml:space="preserve">.</w:t>
      </w:r>
      <w:r>
        <w:rPr>
          <w:rFonts w:ascii="Calibri" w:hAnsi="Calibri" w:cs="Calibri"/>
        </w:rPr>
      </w:r>
      <w:r>
        <w:rPr>
          <w:rFonts w:ascii="Calibri" w:hAnsi="Calibri" w:cs="Calibri"/>
        </w:rPr>
      </w:r>
    </w:p>
    <w:p w14:paraId="5D9C3EF2" w14:textId="77777777">
      <w:pPr>
        <w:pStyle w:val="895"/>
        <w:pBdr/>
        <w:spacing/>
        <w:ind/>
        <w:jc w:val="both"/>
        <w:rPr>
          <w:rFonts w:ascii="Calibri" w:hAnsi="Calibri" w:cs="Calibri"/>
          <w:b/>
          <w:bCs/>
          <w:u w:val="single"/>
        </w:rPr>
      </w:pPr>
      <w:r>
        <w:rPr>
          <w:rFonts w:ascii="Calibri" w:hAnsi="Calibri" w:cs="Calibri"/>
          <w:b/>
          <w:bCs/>
          <w:u w:val="single"/>
        </w:rPr>
      </w:r>
      <w:r>
        <w:rPr>
          <w:rFonts w:ascii="Calibri" w:hAnsi="Calibri" w:cs="Calibri"/>
          <w:b/>
          <w:bCs/>
          <w:u w:val="single"/>
        </w:rPr>
      </w:r>
      <w:r>
        <w:rPr>
          <w:rFonts w:ascii="Calibri" w:hAnsi="Calibri" w:cs="Calibri"/>
          <w:b/>
          <w:bCs/>
          <w:u w:val="single"/>
        </w:rPr>
      </w:r>
    </w:p>
    <w:p w14:paraId="2CDB6622" w14:textId="1C82B667">
      <w:pPr>
        <w:pStyle w:val="895"/>
        <w:pBdr/>
        <w:spacing/>
        <w:ind/>
        <w:jc w:val="both"/>
        <w:outlineLvl w:val="1"/>
        <w:rPr>
          <w:rFonts w:ascii="Calibri" w:hAnsi="Calibri" w:cs="Calibri"/>
          <w:b/>
          <w:bCs/>
          <w:u w:val="single"/>
        </w:rPr>
      </w:pPr>
      <w:r/>
      <w:bookmarkStart w:id="18" w:name="_Toc222407097"/>
      <w:r>
        <w:rPr>
          <w:rFonts w:ascii="Calibri" w:hAnsi="Calibri" w:cs="Calibri"/>
          <w:b/>
          <w:bCs/>
          <w:u w:val="single"/>
        </w:rPr>
        <w:t xml:space="preserve">ARTICLE </w:t>
      </w:r>
      <w:r>
        <w:rPr>
          <w:rFonts w:ascii="Calibri" w:hAnsi="Calibri" w:cs="Calibri"/>
          <w:b/>
          <w:bCs/>
          <w:u w:val="single"/>
        </w:rPr>
        <w:t xml:space="preserve">1</w:t>
      </w:r>
      <w:r>
        <w:rPr>
          <w:rFonts w:ascii="Calibri" w:hAnsi="Calibri" w:cs="Calibri"/>
          <w:b/>
          <w:bCs/>
          <w:u w:val="single"/>
        </w:rPr>
        <w:t xml:space="preserve">5</w:t>
      </w:r>
      <w:r>
        <w:rPr>
          <w:rFonts w:ascii="Calibri" w:hAnsi="Calibri" w:cs="Calibri"/>
          <w:b/>
          <w:bCs/>
          <w:u w:val="single"/>
        </w:rPr>
        <w:t xml:space="preserve"> </w:t>
      </w:r>
      <w:r>
        <w:rPr>
          <w:rFonts w:ascii="Calibri" w:hAnsi="Calibri" w:cs="Calibri"/>
          <w:b/>
          <w:bCs/>
          <w:u w:val="single"/>
        </w:rPr>
        <w:t xml:space="preserve">– </w:t>
      </w:r>
      <w:r>
        <w:rPr>
          <w:rFonts w:ascii="Calibri" w:hAnsi="Calibri" w:cs="Calibri"/>
          <w:b/>
          <w:bCs/>
          <w:u w:val="single"/>
        </w:rPr>
        <w:t xml:space="preserve">Conditions et délais de prévenance des changements de durée ou d’horaires de travail</w:t>
      </w:r>
      <w:bookmarkEnd w:id="18"/>
      <w:r>
        <w:rPr>
          <w:rFonts w:ascii="Calibri" w:hAnsi="Calibri" w:cs="Calibri"/>
          <w:b/>
          <w:bCs/>
          <w:u w:val="single"/>
        </w:rPr>
        <w:t xml:space="preserve"> </w:t>
      </w:r>
      <w:r>
        <w:rPr>
          <w:rFonts w:ascii="Calibri" w:hAnsi="Calibri" w:cs="Calibri"/>
          <w:b/>
          <w:bCs/>
          <w:u w:val="single"/>
        </w:rPr>
      </w:r>
      <w:r>
        <w:rPr>
          <w:rFonts w:ascii="Calibri" w:hAnsi="Calibri" w:cs="Calibri"/>
          <w:b/>
          <w:bCs/>
          <w:u w:val="single"/>
        </w:rPr>
      </w:r>
    </w:p>
    <w:p w14:paraId="77EA00B6"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7406AD8A" w14:textId="1EB797CB">
      <w:pPr>
        <w:pStyle w:val="895"/>
        <w:pBdr/>
        <w:spacing/>
        <w:ind/>
        <w:jc w:val="both"/>
        <w:rPr>
          <w:rFonts w:ascii="Calibri" w:hAnsi="Calibri" w:cs="Calibri"/>
        </w:rPr>
      </w:pPr>
      <w:r>
        <w:rPr>
          <w:rFonts w:ascii="Calibri" w:hAnsi="Calibri" w:cs="Calibri"/>
        </w:rPr>
        <w:t xml:space="preserve">La durée ou les horaires de travail </w:t>
      </w:r>
      <w:r>
        <w:rPr>
          <w:rFonts w:ascii="Calibri" w:hAnsi="Calibri" w:cs="Calibri"/>
        </w:rPr>
        <w:t xml:space="preserve">indiqués dans le planning horaire prévisionnel </w:t>
      </w:r>
      <w:r>
        <w:rPr>
          <w:rFonts w:ascii="Calibri" w:hAnsi="Calibri" w:cs="Calibri"/>
        </w:rPr>
        <w:t xml:space="preserve">peuvent être modifiés en raison notamment, sans que cette liste soit exhaustive, de variations d’activité, de demandes de client ou encore, de l’absence de personnel.</w:t>
      </w:r>
      <w:r>
        <w:rPr>
          <w:rFonts w:ascii="Calibri" w:hAnsi="Calibri" w:cs="Calibri"/>
        </w:rPr>
      </w:r>
      <w:r>
        <w:rPr>
          <w:rFonts w:ascii="Calibri" w:hAnsi="Calibri" w:cs="Calibri"/>
        </w:rPr>
      </w:r>
    </w:p>
    <w:p w14:paraId="3D8F4929"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40663A92" w14:textId="64F726C5">
      <w:pPr>
        <w:pStyle w:val="895"/>
        <w:pBdr/>
        <w:spacing/>
        <w:ind/>
        <w:jc w:val="both"/>
        <w:rPr>
          <w:rFonts w:ascii="Calibri" w:hAnsi="Calibri" w:cs="Calibri"/>
        </w:rPr>
      </w:pPr>
      <w:r>
        <w:rPr>
          <w:rFonts w:ascii="Calibri" w:hAnsi="Calibri" w:cs="Calibri"/>
        </w:rPr>
        <w:t xml:space="preserve">Conformément à l’article L.3121-42 du Code du travail, les salariés seront informés au moins sept jours calendaires </w:t>
      </w:r>
      <w:r>
        <w:rPr>
          <w:rFonts w:ascii="Calibri" w:hAnsi="Calibri" w:cs="Calibri"/>
        </w:rPr>
        <w:t xml:space="preserve">avant </w:t>
      </w:r>
      <w:r>
        <w:rPr>
          <w:rFonts w:ascii="Calibri" w:hAnsi="Calibri" w:cs="Calibri"/>
        </w:rPr>
        <w:t xml:space="preserve">de tout changement </w:t>
      </w:r>
      <w:r>
        <w:rPr>
          <w:rFonts w:ascii="Calibri" w:hAnsi="Calibri" w:cs="Calibri"/>
        </w:rPr>
        <w:t xml:space="preserve">affectant</w:t>
      </w:r>
      <w:r>
        <w:rPr>
          <w:rFonts w:ascii="Calibri" w:hAnsi="Calibri" w:cs="Calibri"/>
        </w:rPr>
        <w:t xml:space="preserve"> leur durée du travail</w:t>
      </w:r>
      <w:r>
        <w:rPr>
          <w:rFonts w:ascii="Calibri" w:hAnsi="Calibri" w:cs="Calibri"/>
        </w:rPr>
        <w:t xml:space="preserve"> ou la répartition des horaires de travail</w:t>
      </w:r>
      <w:r>
        <w:rPr>
          <w:rFonts w:ascii="Calibri" w:hAnsi="Calibri" w:cs="Calibri"/>
        </w:rPr>
        <w:t xml:space="preserve">, et ce pour leur permettre de prendre leurs dispositions en conséquence.</w:t>
      </w:r>
      <w:r>
        <w:rPr>
          <w:rFonts w:ascii="Calibri" w:hAnsi="Calibri" w:cs="Calibri"/>
        </w:rPr>
      </w:r>
      <w:r>
        <w:rPr>
          <w:rFonts w:ascii="Calibri" w:hAnsi="Calibri" w:cs="Calibri"/>
        </w:rPr>
      </w:r>
    </w:p>
    <w:p w14:paraId="2CE1C131"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0FA6AF43" w14:textId="5B8D3A3B">
      <w:pPr>
        <w:pStyle w:val="895"/>
        <w:pBdr/>
        <w:spacing/>
        <w:ind/>
        <w:jc w:val="both"/>
        <w:rPr>
          <w:rFonts w:ascii="Calibri" w:hAnsi="Calibri" w:cs="Calibri"/>
        </w:rPr>
      </w:pPr>
      <w:r>
        <w:rPr>
          <w:rFonts w:ascii="Calibri" w:hAnsi="Calibri" w:cs="Calibri"/>
        </w:rPr>
        <w:t xml:space="preserve">Ce délai peut, exceptionnellement être réduit à </w:t>
      </w:r>
      <w:r>
        <w:rPr>
          <w:rFonts w:ascii="Calibri" w:hAnsi="Calibri" w:cs="Calibri"/>
        </w:rPr>
        <w:t xml:space="preserve">48 heures</w:t>
      </w:r>
      <w:r>
        <w:rPr>
          <w:rFonts w:ascii="Calibri" w:hAnsi="Calibri" w:cs="Calibri"/>
        </w:rPr>
        <w:t xml:space="preserve"> en cas de circonstances particulières affectant de manière non prévisible le fonctionnement de l’entreprise</w:t>
      </w:r>
      <w:r>
        <w:rPr>
          <w:rFonts w:ascii="Calibri" w:hAnsi="Calibri" w:cs="Calibri"/>
        </w:rPr>
        <w:t xml:space="preserve">.</w:t>
      </w:r>
      <w:r>
        <w:rPr>
          <w:rFonts w:ascii="Calibri" w:hAnsi="Calibri" w:cs="Calibri"/>
        </w:rPr>
      </w:r>
      <w:r>
        <w:rPr>
          <w:rFonts w:ascii="Calibri" w:hAnsi="Calibri" w:cs="Calibri"/>
        </w:rPr>
      </w:r>
    </w:p>
    <w:p w14:paraId="488D691F"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65B85F0B" w14:textId="37938840">
      <w:pPr>
        <w:pStyle w:val="895"/>
        <w:pBdr/>
        <w:spacing/>
        <w:ind/>
        <w:jc w:val="both"/>
        <w:outlineLvl w:val="1"/>
        <w:rPr>
          <w:rFonts w:ascii="Calibri" w:hAnsi="Calibri" w:cs="Calibri"/>
          <w:b/>
          <w:bCs/>
          <w:u w:val="single"/>
        </w:rPr>
      </w:pPr>
      <w:r/>
      <w:bookmarkStart w:id="19" w:name="_Toc222407098"/>
      <w:r>
        <w:rPr>
          <w:rFonts w:ascii="Calibri" w:hAnsi="Calibri" w:cs="Calibri"/>
          <w:b/>
          <w:bCs/>
          <w:u w:val="single"/>
        </w:rPr>
        <w:t xml:space="preserve">ARTICLE </w:t>
      </w:r>
      <w:r>
        <w:rPr>
          <w:rFonts w:ascii="Calibri" w:hAnsi="Calibri" w:cs="Calibri"/>
          <w:b/>
          <w:bCs/>
          <w:u w:val="single"/>
        </w:rPr>
        <w:t xml:space="preserve">16 </w:t>
      </w:r>
      <w:r>
        <w:rPr>
          <w:rFonts w:ascii="Calibri" w:hAnsi="Calibri" w:cs="Calibri"/>
          <w:b/>
          <w:bCs/>
          <w:u w:val="single"/>
        </w:rPr>
        <w:t xml:space="preserve">– </w:t>
      </w:r>
      <w:r>
        <w:rPr>
          <w:rFonts w:ascii="Calibri" w:hAnsi="Calibri" w:cs="Calibri"/>
          <w:b/>
          <w:bCs/>
          <w:u w:val="single"/>
        </w:rPr>
        <w:t xml:space="preserve">Heures supplémentaires</w:t>
      </w:r>
      <w:bookmarkEnd w:id="19"/>
      <w:r>
        <w:rPr>
          <w:rFonts w:ascii="Calibri" w:hAnsi="Calibri" w:cs="Calibri"/>
          <w:b/>
          <w:bCs/>
          <w:u w:val="single"/>
        </w:rPr>
        <w:t xml:space="preserve"> </w:t>
      </w:r>
      <w:r>
        <w:rPr>
          <w:rFonts w:ascii="Calibri" w:hAnsi="Calibri" w:cs="Calibri"/>
          <w:b/>
          <w:bCs/>
          <w:u w:val="single"/>
        </w:rPr>
      </w:r>
      <w:r>
        <w:rPr>
          <w:rFonts w:ascii="Calibri" w:hAnsi="Calibri" w:cs="Calibri"/>
          <w:b/>
          <w:bCs/>
          <w:u w:val="single"/>
        </w:rPr>
      </w:r>
    </w:p>
    <w:p w14:paraId="6D23078E"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73E5B543" w14:textId="5CA4C06C">
      <w:pPr>
        <w:pStyle w:val="895"/>
        <w:pBdr/>
        <w:spacing/>
        <w:ind/>
        <w:jc w:val="both"/>
        <w:outlineLvl w:val="1"/>
        <w:rPr>
          <w:rFonts w:ascii="Calibri" w:hAnsi="Calibri" w:cs="Calibri"/>
          <w:b/>
          <w:bCs/>
        </w:rPr>
      </w:pPr>
      <w:r/>
      <w:bookmarkStart w:id="20" w:name="_Toc222407099"/>
      <w:r>
        <w:rPr>
          <w:rFonts w:ascii="Calibri" w:hAnsi="Calibri" w:cs="Calibri"/>
          <w:b/>
          <w:bCs/>
        </w:rPr>
        <w:t xml:space="preserve">16</w:t>
      </w:r>
      <w:r>
        <w:rPr>
          <w:rFonts w:ascii="Calibri" w:hAnsi="Calibri" w:cs="Calibri"/>
          <w:b/>
          <w:bCs/>
        </w:rPr>
        <w:t xml:space="preserve">.1. Décompte des heures supplémentaires</w:t>
      </w:r>
      <w:bookmarkEnd w:id="20"/>
      <w:r>
        <w:rPr>
          <w:rFonts w:ascii="Calibri" w:hAnsi="Calibri" w:cs="Calibri"/>
          <w:b/>
          <w:bCs/>
        </w:rPr>
      </w:r>
      <w:r>
        <w:rPr>
          <w:rFonts w:ascii="Calibri" w:hAnsi="Calibri" w:cs="Calibri"/>
          <w:b/>
          <w:bCs/>
        </w:rPr>
      </w:r>
    </w:p>
    <w:p w14:paraId="4E67D415" w14:textId="77777777">
      <w:pPr>
        <w:pStyle w:val="895"/>
        <w:pBdr/>
        <w:spacing/>
        <w:ind/>
        <w:jc w:val="both"/>
        <w:rPr>
          <w:rFonts w:ascii="Calibri" w:hAnsi="Calibri" w:cs="Calibri"/>
        </w:rPr>
      </w:pPr>
      <w:r>
        <w:rPr>
          <w:rFonts w:ascii="Calibri" w:hAnsi="Calibri" w:cs="Calibri"/>
        </w:rPr>
      </w:r>
      <w:r>
        <mc:AlternateContent>
          <mc:Choice Requires="wpg">
            <w:drawing>
              <wp:anchor xmlns:wp="http://schemas.openxmlformats.org/drawingml/2006/wordprocessingDrawing" xmlns:wp14="http://schemas.microsoft.com/office/word/2010/wordprocessingDrawing" distT="0" distB="0" distL="115200" distR="115200" simplePos="0" relativeHeight="2048" behindDoc="0" locked="0" layoutInCell="1" allowOverlap="1">
                <wp:simplePos x="0" y="0"/>
                <wp:positionH relativeFrom="column">
                  <wp:posOffset>-41570</wp:posOffset>
                </wp:positionH>
                <wp:positionV relativeFrom="paragraph">
                  <wp:posOffset>97816</wp:posOffset>
                </wp:positionV>
                <wp:extent cx="6019800" cy="4524375"/>
                <wp:effectExtent l="0" t="0" r="0" b="0"/>
                <wp:wrapNone/>
                <wp:docPr id="1" name=""/>
                <wp:cNvGraphicFramePr/>
                <a:graphic xmlns:a="http://schemas.openxmlformats.org/drawingml/2006/main">
                  <a:graphicData uri="http://schemas.microsoft.com/office/word/2010/wordprocessingShape">
                    <wps:wsp>
                      <wps:cNvPr id="1778807702" name=""/>
                      <wps:cNvSpPr txBox="1"/>
                      <wps:spPr bwMode="auto">
                        <a:xfrm rot="0" flipH="0" flipV="0">
                          <a:off x="0" y="0"/>
                          <a:ext cx="6019799" cy="4524374"/>
                        </a:xfrm>
                        <a:prstGeom prst="rect">
                          <a:avLst/>
                        </a:prstGeom>
                        <a:solidFill>
                          <a:schemeClr val="lt1"/>
                        </a:solidFill>
                        <a:ln w="6350">
                          <a:solidFill>
                            <a:prstClr val="black"/>
                          </a:solidFill>
                        </a:ln>
                      </wps:spPr>
                      <wps:txbx>
                        <w:txbxContent>
                          <w:p w14:paraId="14100BBA">
                            <w:pPr>
                              <w:pBdr/>
                              <w:spacing/>
                              <w:ind/>
                              <w:jc w:val="center"/>
                              <w:rPr/>
                            </w:pPr>
                            <w:r>
                              <w:rPr>
                                <w:highlight w:val="none"/>
                              </w:rPr>
                            </w:r>
                            <w:r/>
                          </w:p>
                          <w:p w14:paraId="6D4647B4">
                            <w:pPr>
                              <w:pBdr/>
                              <w:spacing/>
                              <w:ind/>
                              <w:jc w:val="center"/>
                              <w:rPr>
                                <w:highlight w:val="none"/>
                              </w:rPr>
                            </w:pPr>
                            <w:r>
                              <w:rPr>
                                <w:highlight w:val="none"/>
                              </w:rPr>
                            </w:r>
                            <w:r>
                              <w:rPr>
                                <w:highlight w:val="none"/>
                              </w:rPr>
                            </w:r>
                            <w:r>
                              <w:rPr>
                                <w:highlight w:val="none"/>
                              </w:rPr>
                            </w:r>
                          </w:p>
                          <w:p w14:paraId="06611CFE">
                            <w:pPr>
                              <w:pBdr/>
                              <w:spacing/>
                              <w:ind/>
                              <w:jc w:val="center"/>
                              <w:rPr>
                                <w:highlight w:val="none"/>
                              </w:rPr>
                            </w:pPr>
                            <w:r>
                              <w:rPr>
                                <w:highlight w:val="none"/>
                              </w:rPr>
                            </w:r>
                            <w:r>
                              <w:rPr>
                                <w:highlight w:val="none"/>
                              </w:rPr>
                            </w:r>
                            <w:r>
                              <w:rPr>
                                <w:highlight w:val="none"/>
                              </w:rPr>
                            </w:r>
                          </w:p>
                          <w:p w14:paraId="3A0590A2">
                            <w:pPr>
                              <w:pBdr/>
                              <w:spacing/>
                              <w:ind/>
                              <w:jc w:val="center"/>
                              <w:rPr>
                                <w:highlight w:val="none"/>
                              </w:rPr>
                            </w:pPr>
                            <w:r>
                              <w:rPr>
                                <w:highlight w:val="none"/>
                              </w:rPr>
                            </w:r>
                            <w:r>
                              <w:rPr>
                                <w:highlight w:val="none"/>
                              </w:rPr>
                            </w:r>
                            <w:r>
                              <w:rPr>
                                <w:highlight w:val="none"/>
                              </w:rPr>
                            </w:r>
                          </w:p>
                          <w:p w14:paraId="077C2276">
                            <w:pPr>
                              <w:pBdr/>
                              <w:spacing/>
                              <w:ind/>
                              <w:jc w:val="center"/>
                              <w:rPr>
                                <w:highlight w:val="none"/>
                              </w:rPr>
                            </w:pPr>
                            <w:r>
                              <w:rPr>
                                <w:highlight w:val="none"/>
                              </w:rPr>
                            </w:r>
                            <w:r>
                              <w:rPr>
                                <w:highlight w:val="none"/>
                              </w:rPr>
                            </w:r>
                            <w:r>
                              <w:rPr>
                                <w:highlight w:val="none"/>
                              </w:rPr>
                            </w:r>
                          </w:p>
                          <w:p w14:paraId="330BBC1C">
                            <w:pPr>
                              <w:pBdr/>
                              <w:spacing/>
                              <w:ind/>
                              <w:jc w:val="center"/>
                              <w:rPr>
                                <w:highlight w:val="none"/>
                              </w:rPr>
                            </w:pPr>
                            <w:r>
                              <w:rPr>
                                <w:highlight w:val="none"/>
                              </w:rPr>
                            </w:r>
                            <w:r>
                              <w:rPr>
                                <w:highlight w:val="none"/>
                              </w:rPr>
                            </w:r>
                            <w:r>
                              <w:rPr>
                                <w:highlight w:val="none"/>
                              </w:rPr>
                            </w:r>
                          </w:p>
                          <w:p w14:paraId="5454CCC0">
                            <w:pPr>
                              <w:pBdr/>
                              <w:spacing/>
                              <w:ind/>
                              <w:jc w:val="center"/>
                              <w:rPr>
                                <w:highlight w:val="none"/>
                              </w:rPr>
                            </w:pPr>
                            <w:r>
                              <w:rPr>
                                <w:highlight w:val="none"/>
                              </w:rPr>
                            </w:r>
                            <w:r>
                              <w:rPr>
                                <w:highlight w:val="none"/>
                              </w:rPr>
                            </w:r>
                            <w:r>
                              <w:rPr>
                                <w:highlight w:val="none"/>
                              </w:rPr>
                            </w:r>
                          </w:p>
                          <w:p w14:paraId="2E915393">
                            <w:pPr>
                              <w:pBdr/>
                              <w:spacing/>
                              <w:ind/>
                              <w:jc w:val="center"/>
                              <w:rPr>
                                <w:b/>
                                <w:bCs/>
                                <w:i/>
                                <w:sz w:val="24"/>
                                <w:szCs w:val="24"/>
                                <w:highlight w:val="none"/>
                              </w:rPr>
                            </w:pPr>
                            <w:r>
                              <w:rPr>
                                <w:b/>
                                <w:bCs/>
                                <w:i/>
                                <w:iCs/>
                                <w:sz w:val="24"/>
                                <w:szCs w:val="24"/>
                              </w:rPr>
                              <w:t xml:space="preserve">Contenu occulté – Protection des intérêts stratégiques de l’entreprise</w:t>
                            </w:r>
                            <w:r>
                              <w:rPr>
                                <w:b/>
                                <w:bCs/>
                                <w:i/>
                                <w:sz w:val="24"/>
                                <w:szCs w:val="24"/>
                                <w:highlight w:val="none"/>
                              </w:rPr>
                            </w:r>
                            <w:r>
                              <w:rPr>
                                <w:b/>
                                <w:bCs/>
                                <w:i/>
                                <w:sz w:val="24"/>
                                <w:szCs w:val="24"/>
                                <w:highlight w:val="none"/>
                              </w:rPr>
                            </w:r>
                          </w:p>
                        </w:txbxContent>
                      </wps:txbx>
                      <wps:bodyPr vertOverflow="overflow" horzOverflow="overflow" vert="horz" wrap="square" lIns="91440" tIns="45720" rIns="91440" bIns="45720" numCol="1" spcCol="0" rtlCol="0" fromWordArt="0" anchor="t" anchorCtr="0" forceAA="0" upright="0" compatLnSpc="0"/>
                    </wps:wsp>
                  </a:graphicData>
                </a:graphic>
              </wp:anchor>
            </w:drawing>
          </mc:Choice>
          <mc:Fallback>
            <w:pict>
              <v:shape id="shape 0" o:spid="_x0000_s0" o:spt="202" type="#_x0000_t202" style="position:absolute;z-index:2048;o:allowoverlap:true;o:allowincell:true;mso-position-horizontal-relative:text;margin-left:-3.27pt;mso-position-horizontal:absolute;mso-position-vertical-relative:text;margin-top:7.70pt;mso-position-vertical:absolute;width:474.00pt;height:356.25pt;mso-wrap-distance-left:9.07pt;mso-wrap-distance-top:0.00pt;mso-wrap-distance-right:9.07pt;mso-wrap-distance-bottom:0.00pt;rotation:0;v-text-anchor:top;visibility:visible;" fillcolor="#FFFFFF" strokecolor="#000000" strokeweight="0.50pt">
                <v:textbox inset="0,0,0,0">
                  <w:txbxContent>
                    <w:p w14:paraId="14100BBA">
                      <w:pPr>
                        <w:pBdr/>
                        <w:spacing/>
                        <w:ind/>
                        <w:jc w:val="center"/>
                        <w:rPr/>
                      </w:pPr>
                      <w:r>
                        <w:rPr>
                          <w:highlight w:val="none"/>
                        </w:rPr>
                      </w:r>
                      <w:r/>
                    </w:p>
                    <w:p w14:paraId="6D4647B4">
                      <w:pPr>
                        <w:pBdr/>
                        <w:spacing/>
                        <w:ind/>
                        <w:jc w:val="center"/>
                        <w:rPr>
                          <w:highlight w:val="none"/>
                        </w:rPr>
                      </w:pPr>
                      <w:r>
                        <w:rPr>
                          <w:highlight w:val="none"/>
                        </w:rPr>
                      </w:r>
                      <w:r>
                        <w:rPr>
                          <w:highlight w:val="none"/>
                        </w:rPr>
                      </w:r>
                      <w:r>
                        <w:rPr>
                          <w:highlight w:val="none"/>
                        </w:rPr>
                      </w:r>
                    </w:p>
                    <w:p w14:paraId="06611CFE">
                      <w:pPr>
                        <w:pBdr/>
                        <w:spacing/>
                        <w:ind/>
                        <w:jc w:val="center"/>
                        <w:rPr>
                          <w:highlight w:val="none"/>
                        </w:rPr>
                      </w:pPr>
                      <w:r>
                        <w:rPr>
                          <w:highlight w:val="none"/>
                        </w:rPr>
                      </w:r>
                      <w:r>
                        <w:rPr>
                          <w:highlight w:val="none"/>
                        </w:rPr>
                      </w:r>
                      <w:r>
                        <w:rPr>
                          <w:highlight w:val="none"/>
                        </w:rPr>
                      </w:r>
                    </w:p>
                    <w:p w14:paraId="3A0590A2">
                      <w:pPr>
                        <w:pBdr/>
                        <w:spacing/>
                        <w:ind/>
                        <w:jc w:val="center"/>
                        <w:rPr>
                          <w:highlight w:val="none"/>
                        </w:rPr>
                      </w:pPr>
                      <w:r>
                        <w:rPr>
                          <w:highlight w:val="none"/>
                        </w:rPr>
                      </w:r>
                      <w:r>
                        <w:rPr>
                          <w:highlight w:val="none"/>
                        </w:rPr>
                      </w:r>
                      <w:r>
                        <w:rPr>
                          <w:highlight w:val="none"/>
                        </w:rPr>
                      </w:r>
                    </w:p>
                    <w:p w14:paraId="077C2276">
                      <w:pPr>
                        <w:pBdr/>
                        <w:spacing/>
                        <w:ind/>
                        <w:jc w:val="center"/>
                        <w:rPr>
                          <w:highlight w:val="none"/>
                        </w:rPr>
                      </w:pPr>
                      <w:r>
                        <w:rPr>
                          <w:highlight w:val="none"/>
                        </w:rPr>
                      </w:r>
                      <w:r>
                        <w:rPr>
                          <w:highlight w:val="none"/>
                        </w:rPr>
                      </w:r>
                      <w:r>
                        <w:rPr>
                          <w:highlight w:val="none"/>
                        </w:rPr>
                      </w:r>
                    </w:p>
                    <w:p w14:paraId="330BBC1C">
                      <w:pPr>
                        <w:pBdr/>
                        <w:spacing/>
                        <w:ind/>
                        <w:jc w:val="center"/>
                        <w:rPr>
                          <w:highlight w:val="none"/>
                        </w:rPr>
                      </w:pPr>
                      <w:r>
                        <w:rPr>
                          <w:highlight w:val="none"/>
                        </w:rPr>
                      </w:r>
                      <w:r>
                        <w:rPr>
                          <w:highlight w:val="none"/>
                        </w:rPr>
                      </w:r>
                      <w:r>
                        <w:rPr>
                          <w:highlight w:val="none"/>
                        </w:rPr>
                      </w:r>
                    </w:p>
                    <w:p w14:paraId="5454CCC0">
                      <w:pPr>
                        <w:pBdr/>
                        <w:spacing/>
                        <w:ind/>
                        <w:jc w:val="center"/>
                        <w:rPr>
                          <w:highlight w:val="none"/>
                        </w:rPr>
                      </w:pPr>
                      <w:r>
                        <w:rPr>
                          <w:highlight w:val="none"/>
                        </w:rPr>
                      </w:r>
                      <w:r>
                        <w:rPr>
                          <w:highlight w:val="none"/>
                        </w:rPr>
                      </w:r>
                      <w:r>
                        <w:rPr>
                          <w:highlight w:val="none"/>
                        </w:rPr>
                      </w:r>
                    </w:p>
                    <w:p w14:paraId="2E915393">
                      <w:pPr>
                        <w:pBdr/>
                        <w:spacing/>
                        <w:ind/>
                        <w:jc w:val="center"/>
                        <w:rPr>
                          <w:b/>
                          <w:bCs/>
                          <w:i/>
                          <w:sz w:val="24"/>
                          <w:szCs w:val="24"/>
                          <w:highlight w:val="none"/>
                        </w:rPr>
                      </w:pPr>
                      <w:r>
                        <w:rPr>
                          <w:b/>
                          <w:bCs/>
                          <w:i/>
                          <w:iCs/>
                          <w:sz w:val="24"/>
                          <w:szCs w:val="24"/>
                        </w:rPr>
                        <w:t xml:space="preserve">Contenu occulté – Protection des intérêts stratégiques de l’entreprise</w:t>
                      </w:r>
                      <w:r>
                        <w:rPr>
                          <w:b/>
                          <w:bCs/>
                          <w:i/>
                          <w:sz w:val="24"/>
                          <w:szCs w:val="24"/>
                          <w:highlight w:val="none"/>
                        </w:rPr>
                      </w:r>
                      <w:r>
                        <w:rPr>
                          <w:b/>
                          <w:bCs/>
                          <w:i/>
                          <w:sz w:val="24"/>
                          <w:szCs w:val="24"/>
                          <w:highlight w:val="none"/>
                        </w:rPr>
                      </w:r>
                    </w:p>
                  </w:txbxContent>
                </v:textbox>
              </v:shape>
            </w:pict>
          </mc:Fallback>
        </mc:AlternateContent>
      </w:r>
      <w:r>
        <w:rPr>
          <w:rFonts w:ascii="Calibri" w:hAnsi="Calibri" w:cs="Calibri"/>
        </w:rPr>
      </w:r>
      <w:r>
        <w:rPr>
          <w:rFonts w:ascii="Calibri" w:hAnsi="Calibri" w:cs="Calibri"/>
        </w:rPr>
      </w:r>
    </w:p>
    <w:p w14:paraId="00401681" w14:textId="77777777">
      <w:pPr>
        <w:pStyle w:val="895"/>
        <w:pBdr/>
        <w:spacing/>
        <w:ind/>
        <w:jc w:val="both"/>
        <w:rPr>
          <w:rFonts w:ascii="Calibri" w:hAnsi="Calibri" w:cs="Calibri"/>
        </w:rPr>
      </w:pPr>
      <w:r>
        <w:rPr>
          <w:rFonts w:ascii="Calibri" w:hAnsi="Calibri" w:cs="Calibri"/>
        </w:rPr>
        <w:t xml:space="preserve">Le </w:t>
      </w:r>
      <w:r>
        <w:rPr>
          <w:rFonts w:ascii="Calibri" w:hAnsi="Calibri" w:cs="Calibri"/>
        </w:rPr>
        <w:t xml:space="preserve">décompte</w:t>
      </w:r>
      <w:r>
        <w:rPr>
          <w:rFonts w:ascii="Calibri" w:hAnsi="Calibri" w:cs="Calibri"/>
        </w:rPr>
        <w:t xml:space="preserve"> des heures supplémentaires s’effectue sur la base des heures de travail effectif.</w:t>
      </w:r>
      <w:r>
        <w:rPr>
          <w:rFonts w:ascii="Calibri" w:hAnsi="Calibri" w:cs="Calibri"/>
        </w:rPr>
      </w:r>
      <w:r>
        <w:rPr>
          <w:rFonts w:ascii="Calibri" w:hAnsi="Calibri" w:cs="Calibri"/>
        </w:rPr>
      </w:r>
    </w:p>
    <w:p w14:paraId="35AC036B"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230BEE53" w14:textId="77777777">
      <w:pPr>
        <w:pStyle w:val="895"/>
        <w:pBdr/>
        <w:spacing/>
        <w:ind/>
        <w:jc w:val="both"/>
        <w:rPr>
          <w:rFonts w:ascii="Calibri" w:hAnsi="Calibri" w:cs="Calibri"/>
        </w:rPr>
      </w:pPr>
      <w:r>
        <w:rPr>
          <w:rFonts w:ascii="Calibri" w:hAnsi="Calibri" w:cs="Calibri"/>
        </w:rPr>
        <w:t xml:space="preserve">Conformément à l’article L.3121-41 du Code du travail, constituent des heures supplémentaires les heures effectuées au-delà d’une durée hebdomadaire moyenne de 35 heures calculée sur la période de référence.</w:t>
      </w:r>
      <w:r>
        <w:rPr>
          <w:rFonts w:ascii="Calibri" w:hAnsi="Calibri" w:cs="Calibri"/>
        </w:rPr>
      </w:r>
      <w:r>
        <w:rPr>
          <w:rFonts w:ascii="Calibri" w:hAnsi="Calibri" w:cs="Calibri"/>
        </w:rPr>
      </w:r>
    </w:p>
    <w:p w14:paraId="1BC2AED6"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16BA0290" w14:textId="77777777">
      <w:pPr>
        <w:pStyle w:val="895"/>
        <w:pBdr/>
        <w:spacing/>
        <w:ind/>
        <w:jc w:val="both"/>
        <w:rPr>
          <w:rFonts w:ascii="Calibri" w:hAnsi="Calibri" w:cs="Calibri"/>
        </w:rPr>
      </w:pPr>
      <w:r>
        <w:rPr>
          <w:rFonts w:ascii="Calibri" w:hAnsi="Calibri" w:cs="Calibri"/>
        </w:rPr>
        <w:t xml:space="preserve">Aussi, pour décompter les heures supplémentaires, il convient :</w:t>
      </w:r>
      <w:r>
        <w:rPr>
          <w:rFonts w:ascii="Calibri" w:hAnsi="Calibri" w:cs="Calibri"/>
        </w:rPr>
      </w:r>
      <w:r>
        <w:rPr>
          <w:rFonts w:ascii="Calibri" w:hAnsi="Calibri" w:cs="Calibri"/>
        </w:rPr>
      </w:r>
    </w:p>
    <w:p w14:paraId="79011857"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3A0FAD21" w14:textId="77777777">
      <w:pPr>
        <w:pStyle w:val="895"/>
        <w:numPr>
          <w:ilvl w:val="0"/>
          <w:numId w:val="1"/>
        </w:numPr>
        <w:pBdr/>
        <w:spacing/>
        <w:ind/>
        <w:jc w:val="both"/>
        <w:rPr>
          <w:rFonts w:ascii="Calibri" w:hAnsi="Calibri" w:cs="Calibri"/>
        </w:rPr>
      </w:pPr>
      <w:r>
        <w:rPr>
          <w:rFonts w:ascii="Calibri" w:hAnsi="Calibri" w:cs="Calibri"/>
        </w:rPr>
        <w:t xml:space="preserve">Premièrement, de comptabiliser, en fin de période, le nombre d’heures de travail effectif réalisées sur le mois, puis de le diviser par le nombre de semaine en moyenne par mois (4,3334),</w:t>
      </w:r>
      <w:r>
        <w:rPr>
          <w:rFonts w:ascii="Calibri" w:hAnsi="Calibri" w:cs="Calibri"/>
        </w:rPr>
      </w:r>
      <w:r>
        <w:rPr>
          <w:rFonts w:ascii="Calibri" w:hAnsi="Calibri" w:cs="Calibri"/>
        </w:rPr>
      </w:r>
    </w:p>
    <w:p w14:paraId="067197A5" w14:textId="77777777">
      <w:pPr>
        <w:pStyle w:val="895"/>
        <w:numPr>
          <w:ilvl w:val="0"/>
          <w:numId w:val="1"/>
        </w:numPr>
        <w:pBdr/>
        <w:spacing/>
        <w:ind/>
        <w:jc w:val="both"/>
        <w:rPr>
          <w:rFonts w:ascii="Calibri" w:hAnsi="Calibri" w:cs="Calibri"/>
        </w:rPr>
      </w:pPr>
      <w:r>
        <w:rPr>
          <w:rFonts w:ascii="Calibri" w:hAnsi="Calibri" w:cs="Calibri"/>
        </w:rPr>
        <w:t xml:space="preserve">Puis, </w:t>
      </w:r>
      <w:r>
        <w:rPr>
          <w:rFonts w:ascii="Calibri" w:hAnsi="Calibri" w:cs="Calibri"/>
        </w:rPr>
        <w:t xml:space="preserve">de soustraire </w:t>
      </w:r>
      <w:r>
        <w:rPr>
          <w:rFonts w:ascii="Calibri" w:hAnsi="Calibri" w:cs="Calibri"/>
        </w:rPr>
        <w:t xml:space="preserve">à</w:t>
      </w:r>
      <w:r>
        <w:rPr>
          <w:rFonts w:ascii="Calibri" w:hAnsi="Calibri" w:cs="Calibri"/>
        </w:rPr>
        <w:t xml:space="preserve"> la moyenne obtenue d’heures de travail réalisées par semaine dans le mois donné, la durée hebdomadaire moyenne de 35 heures,</w:t>
      </w:r>
      <w:r>
        <w:rPr>
          <w:rFonts w:ascii="Calibri" w:hAnsi="Calibri" w:cs="Calibri"/>
        </w:rPr>
      </w:r>
      <w:r>
        <w:rPr>
          <w:rFonts w:ascii="Calibri" w:hAnsi="Calibri" w:cs="Calibri"/>
        </w:rPr>
      </w:r>
    </w:p>
    <w:p w14:paraId="4ED34173" w14:textId="77777777">
      <w:pPr>
        <w:pStyle w:val="895"/>
        <w:numPr>
          <w:ilvl w:val="0"/>
          <w:numId w:val="1"/>
        </w:numPr>
        <w:pBdr/>
        <w:spacing/>
        <w:ind/>
        <w:jc w:val="both"/>
        <w:rPr>
          <w:rFonts w:ascii="Calibri" w:hAnsi="Calibri" w:cs="Calibri"/>
        </w:rPr>
      </w:pPr>
      <w:r>
        <w:rPr>
          <w:rFonts w:ascii="Calibri" w:hAnsi="Calibri" w:cs="Calibri"/>
        </w:rPr>
        <w:t xml:space="preserve">Et enfin, de</w:t>
      </w:r>
      <w:r>
        <w:rPr>
          <w:rFonts w:ascii="Calibri" w:hAnsi="Calibri" w:cs="Calibri"/>
        </w:rPr>
        <w:t xml:space="preserve"> multiplier le résultat par le nombre de semaine en moyenne par mois (4,3334).</w:t>
      </w:r>
      <w:r>
        <w:rPr>
          <w:rFonts w:ascii="Calibri" w:hAnsi="Calibri" w:cs="Calibri"/>
        </w:rPr>
      </w:r>
      <w:r>
        <w:rPr>
          <w:rFonts w:ascii="Calibri" w:hAnsi="Calibri" w:cs="Calibri"/>
        </w:rPr>
      </w:r>
    </w:p>
    <w:p w14:paraId="1982AE93"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456FF00E" w14:textId="77777777">
      <w:pPr>
        <w:pStyle w:val="895"/>
        <w:pBdr/>
        <w:spacing/>
        <w:ind w:left="567"/>
        <w:jc w:val="both"/>
        <w:rPr>
          <w:rFonts w:ascii="Calibri" w:hAnsi="Calibri" w:cs="Calibri"/>
          <w:i/>
          <w:iCs/>
        </w:rPr>
      </w:pPr>
      <w:r>
        <w:rPr>
          <w:rFonts w:ascii="Calibri" w:hAnsi="Calibri" w:cs="Calibri"/>
          <w:i/>
          <w:iCs/>
        </w:rPr>
        <w:t xml:space="preserve">Exemple pour un salarié qui a réalisé 172 heures de travail effectif dans le mois :</w:t>
      </w:r>
      <w:r>
        <w:rPr>
          <w:rFonts w:ascii="Calibri" w:hAnsi="Calibri" w:cs="Calibri"/>
          <w:i/>
          <w:iCs/>
        </w:rPr>
      </w:r>
      <w:r>
        <w:rPr>
          <w:rFonts w:ascii="Calibri" w:hAnsi="Calibri" w:cs="Calibri"/>
          <w:i/>
          <w:iCs/>
        </w:rPr>
      </w:r>
    </w:p>
    <w:p w14:paraId="72591AD4" w14:textId="77777777">
      <w:pPr>
        <w:pStyle w:val="895"/>
        <w:pBdr/>
        <w:spacing/>
        <w:ind/>
        <w:jc w:val="both"/>
        <w:rPr>
          <w:rFonts w:ascii="Calibri" w:hAnsi="Calibri" w:cs="Calibri"/>
          <w:i/>
          <w:iCs/>
        </w:rPr>
      </w:pPr>
      <w:r>
        <w:rPr>
          <w:rFonts w:ascii="Calibri" w:hAnsi="Calibri" w:cs="Calibri"/>
          <w:i/>
          <w:iCs/>
        </w:rPr>
      </w:r>
      <w:r>
        <w:rPr>
          <w:rFonts w:ascii="Calibri" w:hAnsi="Calibri" w:cs="Calibri"/>
          <w:i/>
          <w:iCs/>
        </w:rPr>
      </w:r>
      <w:r>
        <w:rPr>
          <w:rFonts w:ascii="Calibri" w:hAnsi="Calibri" w:cs="Calibri"/>
          <w:i/>
          <w:iCs/>
        </w:rPr>
      </w:r>
    </w:p>
    <w:p w14:paraId="5F673DBC" w14:textId="77777777">
      <w:pPr>
        <w:pStyle w:val="895"/>
        <w:pBdr/>
        <w:spacing/>
        <w:ind w:left="567"/>
        <w:jc w:val="both"/>
        <w:rPr>
          <w:rFonts w:ascii="Calibri" w:hAnsi="Calibri" w:cs="Calibri"/>
          <w:i/>
          <w:iCs/>
        </w:rPr>
      </w:pPr>
      <w:r>
        <w:rPr>
          <w:rFonts w:ascii="Calibri" w:hAnsi="Calibri" w:cs="Calibri"/>
          <w:i/>
          <w:iCs/>
        </w:rPr>
        <w:t xml:space="preserve">172 / 4,3334 = 39,72</w:t>
      </w:r>
      <w:r>
        <w:rPr>
          <w:rFonts w:ascii="Calibri" w:hAnsi="Calibri" w:cs="Calibri"/>
          <w:i/>
          <w:iCs/>
        </w:rPr>
      </w:r>
      <w:r>
        <w:rPr>
          <w:rFonts w:ascii="Calibri" w:hAnsi="Calibri" w:cs="Calibri"/>
          <w:i/>
          <w:iCs/>
        </w:rPr>
      </w:r>
    </w:p>
    <w:p w14:paraId="16B845EB" w14:textId="77777777">
      <w:pPr>
        <w:pStyle w:val="895"/>
        <w:pBdr/>
        <w:spacing/>
        <w:ind w:left="567"/>
        <w:jc w:val="both"/>
        <w:rPr>
          <w:rFonts w:ascii="Calibri" w:hAnsi="Calibri" w:cs="Calibri"/>
          <w:i/>
          <w:iCs/>
        </w:rPr>
      </w:pPr>
      <w:r>
        <w:rPr>
          <w:rFonts w:ascii="Calibri" w:hAnsi="Calibri" w:cs="Calibri"/>
          <w:i/>
          <w:iCs/>
        </w:rPr>
        <w:t xml:space="preserve">39,72 – 35 = 4,72</w:t>
      </w:r>
      <w:r>
        <w:rPr>
          <w:rFonts w:ascii="Calibri" w:hAnsi="Calibri" w:cs="Calibri"/>
          <w:i/>
          <w:iCs/>
        </w:rPr>
      </w:r>
      <w:r>
        <w:rPr>
          <w:rFonts w:ascii="Calibri" w:hAnsi="Calibri" w:cs="Calibri"/>
          <w:i/>
          <w:iCs/>
        </w:rPr>
      </w:r>
    </w:p>
    <w:p w14:paraId="365EFC13" w14:textId="77777777">
      <w:pPr>
        <w:pStyle w:val="895"/>
        <w:pBdr/>
        <w:spacing/>
        <w:ind w:left="567"/>
        <w:jc w:val="both"/>
        <w:rPr>
          <w:rFonts w:ascii="Calibri" w:hAnsi="Calibri" w:cs="Calibri"/>
          <w:i/>
          <w:iCs/>
        </w:rPr>
      </w:pPr>
      <w:r>
        <w:rPr>
          <w:rFonts w:ascii="Calibri" w:hAnsi="Calibri" w:cs="Calibri"/>
          <w:i/>
          <w:iCs/>
        </w:rPr>
        <w:t xml:space="preserve">4,72 x 4,3334 = 20,33 heures supplémentair</w:t>
      </w:r>
      <w:r>
        <w:rPr>
          <w:rFonts w:ascii="Calibri" w:hAnsi="Calibri" w:cs="Calibri"/>
          <w:i/>
          <w:iCs/>
        </w:rPr>
        <w:t xml:space="preserve">es réalisées sur la période de référence</w:t>
      </w:r>
      <w:r>
        <w:rPr>
          <w:rFonts w:ascii="Calibri" w:hAnsi="Calibri" w:cs="Calibri"/>
          <w:i/>
          <w:iCs/>
        </w:rPr>
      </w:r>
      <w:r>
        <w:rPr>
          <w:rFonts w:ascii="Calibri" w:hAnsi="Calibri" w:cs="Calibri"/>
          <w:i/>
          <w:iCs/>
        </w:rPr>
      </w:r>
    </w:p>
    <w:p w14:paraId="74F9251D"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1511BCED" w14:textId="3A57DFE7">
      <w:pPr>
        <w:pStyle w:val="895"/>
        <w:pBdr/>
        <w:spacing/>
        <w:ind/>
        <w:jc w:val="both"/>
        <w:rPr>
          <w:rFonts w:ascii="Calibri" w:hAnsi="Calibri" w:cs="Calibri"/>
        </w:rPr>
      </w:pPr>
      <w:r>
        <w:rPr>
          <w:rFonts w:ascii="Calibri" w:hAnsi="Calibri" w:cs="Calibri"/>
        </w:rPr>
        <w:t xml:space="preserve">Le mêm</w:t>
      </w:r>
      <w:r>
        <w:rPr>
          <w:rFonts w:ascii="Calibri" w:hAnsi="Calibri" w:cs="Calibri"/>
        </w:rPr>
        <w:t xml:space="preserve">e résultat peut être obtenu en soustrayant 151,67, qui équivaut au nombre d’heures de travail réalisées en moyenne par mois sur la base de la durée hebdomadaire légale de travail (35 x 4,3334), au nombre d’heures de travail effectif réalisées sur le mois :</w:t>
      </w:r>
      <w:r>
        <w:rPr>
          <w:rFonts w:ascii="Calibri" w:hAnsi="Calibri" w:cs="Calibri"/>
        </w:rPr>
      </w:r>
      <w:r>
        <w:rPr>
          <w:rFonts w:ascii="Calibri" w:hAnsi="Calibri" w:cs="Calibri"/>
        </w:rPr>
      </w:r>
    </w:p>
    <w:p w14:paraId="64899F72"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0EB6BFF8" w14:textId="77777777">
      <w:pPr>
        <w:pStyle w:val="895"/>
        <w:pBdr/>
        <w:spacing/>
        <w:ind w:left="567"/>
        <w:jc w:val="both"/>
        <w:rPr>
          <w:rFonts w:ascii="Calibri" w:hAnsi="Calibri" w:cs="Calibri"/>
          <w:i/>
          <w:iCs/>
        </w:rPr>
      </w:pPr>
      <w:r>
        <w:rPr>
          <w:rFonts w:ascii="Calibri" w:hAnsi="Calibri" w:cs="Calibri"/>
          <w:i/>
          <w:iCs/>
        </w:rPr>
        <w:t xml:space="preserve">172 – 151,67 = 20,33 heures supplémentair</w:t>
      </w:r>
      <w:r>
        <w:rPr>
          <w:rFonts w:ascii="Calibri" w:hAnsi="Calibri" w:cs="Calibri"/>
          <w:i/>
          <w:iCs/>
        </w:rPr>
        <w:t xml:space="preserve">es réalisées sur la période de référence</w:t>
      </w:r>
      <w:r>
        <w:rPr>
          <w:rFonts w:ascii="Calibri" w:hAnsi="Calibri" w:cs="Calibri"/>
          <w:i/>
          <w:iCs/>
        </w:rPr>
      </w:r>
      <w:r>
        <w:rPr>
          <w:rFonts w:ascii="Calibri" w:hAnsi="Calibri" w:cs="Calibri"/>
          <w:i/>
          <w:iCs/>
        </w:rPr>
      </w:r>
    </w:p>
    <w:p w14:paraId="13EF419F" w14:textId="77777777">
      <w:pPr>
        <w:pStyle w:val="895"/>
        <w:pBdr/>
        <w:spacing/>
        <w:ind/>
        <w:jc w:val="both"/>
        <w:rPr>
          <w:rFonts w:ascii="Calibri" w:hAnsi="Calibri" w:cs="Calibri"/>
          <w:i/>
          <w:iCs/>
        </w:rPr>
      </w:pPr>
      <w:r>
        <w:rPr>
          <w:rFonts w:ascii="Calibri" w:hAnsi="Calibri" w:cs="Calibri"/>
          <w:i/>
          <w:iCs/>
        </w:rPr>
      </w:r>
      <w:r>
        <w:rPr>
          <w:rFonts w:ascii="Calibri" w:hAnsi="Calibri" w:cs="Calibri"/>
          <w:i/>
          <w:iCs/>
        </w:rPr>
      </w:r>
      <w:r>
        <w:rPr>
          <w:rFonts w:ascii="Calibri" w:hAnsi="Calibri" w:cs="Calibri"/>
          <w:i/>
          <w:iCs/>
        </w:rPr>
      </w:r>
    </w:p>
    <w:p w14:paraId="5CB530E6" w14:textId="65B0B199">
      <w:pPr>
        <w:pStyle w:val="895"/>
        <w:pBdr/>
        <w:spacing/>
        <w:ind/>
        <w:jc w:val="both"/>
        <w:outlineLvl w:val="1"/>
        <w:rPr>
          <w:rFonts w:ascii="Calibri" w:hAnsi="Calibri" w:cs="Calibri"/>
          <w:b/>
          <w:bCs/>
        </w:rPr>
      </w:pPr>
      <w:r/>
      <w:bookmarkStart w:id="21" w:name="_Toc222407100"/>
      <w:r>
        <w:rPr>
          <w:rFonts w:ascii="Calibri" w:hAnsi="Calibri" w:cs="Calibri"/>
          <w:b/>
          <w:bCs/>
        </w:rPr>
        <w:t xml:space="preserve">16</w:t>
      </w:r>
      <w:r>
        <w:rPr>
          <w:rFonts w:ascii="Calibri" w:hAnsi="Calibri" w:cs="Calibri"/>
          <w:b/>
          <w:bCs/>
        </w:rPr>
        <w:t xml:space="preserve">.2. Paiement des heures supplémentaires</w:t>
      </w:r>
      <w:bookmarkEnd w:id="21"/>
      <w:r>
        <w:rPr>
          <w:rFonts w:ascii="Calibri" w:hAnsi="Calibri" w:cs="Calibri"/>
          <w:b/>
          <w:bCs/>
        </w:rPr>
      </w:r>
      <w:r>
        <w:rPr>
          <w:rFonts w:ascii="Calibri" w:hAnsi="Calibri" w:cs="Calibri"/>
          <w:b/>
          <w:bCs/>
        </w:rPr>
      </w:r>
    </w:p>
    <w:p w14:paraId="2E21D3FA"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62CDF14A" w14:textId="1CB1A885">
      <w:pPr>
        <w:pStyle w:val="895"/>
        <w:pBdr/>
        <w:spacing/>
        <w:ind/>
        <w:jc w:val="both"/>
        <w:rPr>
          <w:rFonts w:ascii="Calibri" w:hAnsi="Calibri" w:cs="Calibri"/>
        </w:rPr>
      </w:pPr>
      <w:r>
        <w:rPr>
          <w:rFonts w:ascii="Calibri" w:hAnsi="Calibri" w:cs="Calibri"/>
        </w:rPr>
        <w:t xml:space="preserve">Le paiement des heures supplémentaires, si elles existent, </w:t>
      </w:r>
      <w:r>
        <w:rPr>
          <w:rFonts w:ascii="Calibri" w:hAnsi="Calibri" w:cs="Calibri"/>
        </w:rPr>
        <w:t xml:space="preserve">avec la paye</w:t>
      </w:r>
      <w:r>
        <w:rPr>
          <w:rFonts w:ascii="Calibri" w:hAnsi="Calibri" w:cs="Calibri"/>
        </w:rPr>
        <w:t xml:space="preserve"> du mois</w:t>
      </w:r>
      <w:r>
        <w:rPr>
          <w:rFonts w:ascii="Calibri" w:hAnsi="Calibri" w:cs="Calibri"/>
        </w:rPr>
        <w:t xml:space="preserve"> de leur réalisation</w:t>
      </w:r>
      <w:r>
        <w:rPr>
          <w:rFonts w:ascii="Calibri" w:hAnsi="Calibri" w:cs="Calibri"/>
        </w:rPr>
        <w:t xml:space="preserve">, sur la base de la mensualisation.</w:t>
      </w:r>
      <w:r>
        <w:rPr>
          <w:rFonts w:ascii="Calibri" w:hAnsi="Calibri" w:cs="Calibri"/>
        </w:rPr>
      </w:r>
      <w:r>
        <w:rPr>
          <w:rFonts w:ascii="Calibri" w:hAnsi="Calibri" w:cs="Calibri"/>
        </w:rPr>
      </w:r>
    </w:p>
    <w:p w14:paraId="17063F55"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47772181" w14:textId="2150A7C5">
      <w:pPr>
        <w:pStyle w:val="895"/>
        <w:pBdr/>
        <w:spacing/>
        <w:ind/>
        <w:jc w:val="both"/>
        <w:outlineLvl w:val="1"/>
        <w:rPr>
          <w:rFonts w:ascii="Calibri" w:hAnsi="Calibri" w:cs="Calibri"/>
          <w:b/>
          <w:bCs/>
          <w:u w:val="single"/>
        </w:rPr>
      </w:pPr>
      <w:r/>
      <w:bookmarkStart w:id="22" w:name="_Toc222407101"/>
      <w:r>
        <w:rPr>
          <w:rFonts w:ascii="Calibri" w:hAnsi="Calibri" w:cs="Calibri"/>
          <w:b/>
          <w:bCs/>
          <w:u w:val="single"/>
        </w:rPr>
        <w:t xml:space="preserve">ARTICLE </w:t>
      </w:r>
      <w:r>
        <w:rPr>
          <w:rFonts w:ascii="Calibri" w:hAnsi="Calibri" w:cs="Calibri"/>
          <w:b/>
          <w:bCs/>
          <w:u w:val="single"/>
        </w:rPr>
        <w:t xml:space="preserve">1</w:t>
      </w:r>
      <w:r>
        <w:rPr>
          <w:rFonts w:ascii="Calibri" w:hAnsi="Calibri" w:cs="Calibri"/>
          <w:b/>
          <w:bCs/>
          <w:u w:val="single"/>
        </w:rPr>
        <w:t xml:space="preserve">7 </w:t>
      </w:r>
      <w:r>
        <w:rPr>
          <w:rFonts w:ascii="Calibri" w:hAnsi="Calibri" w:cs="Calibri"/>
          <w:b/>
          <w:bCs/>
          <w:u w:val="single"/>
        </w:rPr>
        <w:t xml:space="preserve">– </w:t>
      </w:r>
      <w:r>
        <w:rPr>
          <w:rFonts w:ascii="Calibri" w:hAnsi="Calibri" w:cs="Calibri"/>
          <w:b/>
          <w:bCs/>
          <w:u w:val="single"/>
        </w:rPr>
        <w:t xml:space="preserve">Conditions de prise en compte des absences</w:t>
      </w:r>
      <w:r>
        <w:rPr>
          <w:rFonts w:ascii="Calibri" w:hAnsi="Calibri" w:cs="Calibri"/>
          <w:b/>
          <w:bCs/>
          <w:u w:val="single"/>
        </w:rPr>
        <w:t xml:space="preserve"> </w:t>
      </w:r>
      <w:r>
        <w:rPr>
          <w:rFonts w:ascii="Calibri" w:hAnsi="Calibri" w:cs="Calibri"/>
          <w:b/>
          <w:bCs/>
          <w:u w:val="single"/>
        </w:rPr>
        <w:t xml:space="preserve">sur la rémunération</w:t>
      </w:r>
      <w:bookmarkEnd w:id="22"/>
      <w:r>
        <w:rPr>
          <w:rFonts w:ascii="Calibri" w:hAnsi="Calibri" w:cs="Calibri"/>
          <w:b/>
          <w:bCs/>
          <w:u w:val="single"/>
        </w:rPr>
      </w:r>
      <w:r>
        <w:rPr>
          <w:rFonts w:ascii="Calibri" w:hAnsi="Calibri" w:cs="Calibri"/>
          <w:b/>
          <w:bCs/>
          <w:u w:val="single"/>
        </w:rPr>
      </w:r>
    </w:p>
    <w:p w14:paraId="404D2136"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69FFFC2A" w14:textId="77777777">
      <w:pPr>
        <w:pStyle w:val="895"/>
        <w:pBdr/>
        <w:spacing/>
        <w:ind/>
        <w:jc w:val="both"/>
        <w:rPr>
          <w:rFonts w:ascii="Calibri" w:hAnsi="Calibri" w:cs="Calibri"/>
        </w:rPr>
      </w:pPr>
      <w:r>
        <w:rPr>
          <w:rFonts w:ascii="Calibri" w:hAnsi="Calibri" w:cs="Calibri"/>
        </w:rPr>
        <w:t xml:space="preserve">Les périodes non travaillées, qui ne sont pas du temps de travail effectif, </w:t>
      </w:r>
      <w:r>
        <w:rPr>
          <w:rFonts w:ascii="Calibri" w:hAnsi="Calibri" w:cs="Calibri"/>
        </w:rPr>
        <w:t xml:space="preserve">à savoir l</w:t>
      </w:r>
      <w:r>
        <w:rPr>
          <w:rFonts w:ascii="Calibri" w:hAnsi="Calibri" w:cs="Calibri"/>
        </w:rPr>
        <w:t xml:space="preserve">es absences rémunérées ou indemnisées, les congés et autorisations d'absence auxquels les salariés ont droit en application de stipulations conventionnelles, ainsi que les absences justifiées par l'incapacité résultant de maladie ou d'accident</w:t>
      </w:r>
      <w:r>
        <w:rPr>
          <w:rFonts w:ascii="Calibri" w:hAnsi="Calibri" w:cs="Calibri"/>
        </w:rPr>
        <w:t xml:space="preserve">, </w:t>
      </w:r>
      <w:r>
        <w:rPr>
          <w:rFonts w:ascii="Calibri" w:hAnsi="Calibri" w:cs="Calibri"/>
        </w:rPr>
        <w:t xml:space="preserve">viennent en déduction du seuil de déclenchement des heures supplémentaires sur la base de la durée hebdomadaire moyenne (soit 7 heures par jour ou 35 heures par semaine).</w:t>
      </w:r>
      <w:r>
        <w:rPr>
          <w:rFonts w:ascii="Calibri" w:hAnsi="Calibri" w:cs="Calibri"/>
        </w:rPr>
      </w:r>
      <w:r>
        <w:rPr>
          <w:rFonts w:ascii="Calibri" w:hAnsi="Calibri" w:cs="Calibri"/>
        </w:rPr>
      </w:r>
    </w:p>
    <w:p w14:paraId="1C79D883"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0973D9BB" w14:textId="77777777">
      <w:pPr>
        <w:pStyle w:val="895"/>
        <w:pBdr/>
        <w:spacing/>
        <w:ind/>
        <w:jc w:val="both"/>
        <w:rPr>
          <w:rFonts w:ascii="Calibri" w:hAnsi="Calibri" w:cs="Calibri"/>
        </w:rPr>
      </w:pPr>
      <w:r>
        <w:rPr>
          <w:rFonts w:ascii="Calibri" w:hAnsi="Calibri" w:cs="Calibri"/>
        </w:rPr>
        <w:t xml:space="preserve">En revanche, les absences injustifiées n’entraînent aucune réduction du seuil de déclenchement des heures supplémentaires.</w:t>
      </w:r>
      <w:r>
        <w:rPr>
          <w:rFonts w:ascii="Calibri" w:hAnsi="Calibri" w:cs="Calibri"/>
        </w:rPr>
      </w:r>
      <w:r>
        <w:rPr>
          <w:rFonts w:ascii="Calibri" w:hAnsi="Calibri" w:cs="Calibri"/>
        </w:rPr>
      </w:r>
    </w:p>
    <w:p w14:paraId="3C74A0FE" w14:textId="77777777">
      <w:pPr>
        <w:pStyle w:val="895"/>
        <w:pBdr/>
        <w:spacing/>
        <w:ind/>
        <w:jc w:val="both"/>
        <w:rPr>
          <w:rFonts w:ascii="Calibri" w:hAnsi="Calibri" w:cs="Calibri"/>
          <w:b/>
          <w:bCs/>
          <w:u w:val="single"/>
        </w:rPr>
      </w:pPr>
      <w:r>
        <w:rPr>
          <w:rFonts w:ascii="Calibri" w:hAnsi="Calibri" w:cs="Calibri"/>
          <w:b/>
          <w:bCs/>
          <w:u w:val="single"/>
        </w:rPr>
      </w:r>
      <w:r>
        <w:rPr>
          <w:rFonts w:ascii="Calibri" w:hAnsi="Calibri" w:cs="Calibri"/>
          <w:b/>
          <w:bCs/>
          <w:u w:val="single"/>
        </w:rPr>
      </w:r>
      <w:r>
        <w:rPr>
          <w:rFonts w:ascii="Calibri" w:hAnsi="Calibri" w:cs="Calibri"/>
          <w:b/>
          <w:bCs/>
          <w:u w:val="single"/>
        </w:rPr>
      </w:r>
    </w:p>
    <w:p w14:paraId="615103BE" w14:textId="63F34F22">
      <w:pPr>
        <w:pStyle w:val="895"/>
        <w:pBdr/>
        <w:spacing/>
        <w:ind/>
        <w:jc w:val="both"/>
        <w:outlineLvl w:val="1"/>
        <w:rPr>
          <w:rFonts w:ascii="Calibri" w:hAnsi="Calibri" w:cs="Calibri"/>
          <w:b/>
          <w:bCs/>
          <w:u w:val="single"/>
        </w:rPr>
      </w:pPr>
      <w:r/>
      <w:bookmarkStart w:id="23" w:name="_Toc222407102"/>
      <w:r>
        <w:rPr>
          <w:rFonts w:ascii="Calibri" w:hAnsi="Calibri" w:cs="Calibri"/>
          <w:b/>
          <w:bCs/>
          <w:u w:val="single"/>
        </w:rPr>
        <w:t xml:space="preserve">ARTICLE </w:t>
      </w:r>
      <w:r>
        <w:rPr>
          <w:rFonts w:ascii="Calibri" w:hAnsi="Calibri" w:cs="Calibri"/>
          <w:b/>
          <w:bCs/>
          <w:u w:val="single"/>
        </w:rPr>
        <w:t xml:space="preserve">1</w:t>
      </w:r>
      <w:r>
        <w:rPr>
          <w:rFonts w:ascii="Calibri" w:hAnsi="Calibri" w:cs="Calibri"/>
          <w:b/>
          <w:bCs/>
          <w:u w:val="single"/>
        </w:rPr>
        <w:t xml:space="preserve">8 </w:t>
      </w:r>
      <w:r>
        <w:rPr>
          <w:rFonts w:ascii="Calibri" w:hAnsi="Calibri" w:cs="Calibri"/>
          <w:b/>
          <w:bCs/>
          <w:u w:val="single"/>
        </w:rPr>
        <w:t xml:space="preserve">– </w:t>
      </w:r>
      <w:r>
        <w:rPr>
          <w:rFonts w:ascii="Calibri" w:hAnsi="Calibri" w:cs="Calibri"/>
          <w:b/>
          <w:bCs/>
          <w:u w:val="single"/>
        </w:rPr>
        <w:t xml:space="preserve">Conditions de prise en compte des embauches ou ruptures de contrat de travail</w:t>
      </w:r>
      <w:r>
        <w:rPr>
          <w:rFonts w:ascii="Calibri" w:hAnsi="Calibri" w:cs="Calibri"/>
          <w:b/>
          <w:bCs/>
          <w:u w:val="single"/>
        </w:rPr>
        <w:t xml:space="preserve"> </w:t>
      </w:r>
      <w:r>
        <w:rPr>
          <w:rFonts w:ascii="Calibri" w:hAnsi="Calibri" w:cs="Calibri"/>
          <w:b/>
          <w:bCs/>
          <w:u w:val="single"/>
        </w:rPr>
        <w:t xml:space="preserve">sur la rémunération</w:t>
      </w:r>
      <w:bookmarkEnd w:id="23"/>
      <w:r>
        <w:rPr>
          <w:rFonts w:ascii="Calibri" w:hAnsi="Calibri" w:cs="Calibri"/>
          <w:b/>
          <w:bCs/>
          <w:u w:val="single"/>
        </w:rPr>
      </w:r>
      <w:r>
        <w:rPr>
          <w:rFonts w:ascii="Calibri" w:hAnsi="Calibri" w:cs="Calibri"/>
          <w:b/>
          <w:bCs/>
          <w:u w:val="single"/>
        </w:rPr>
      </w:r>
    </w:p>
    <w:p w14:paraId="7C097732" w14:textId="77777777">
      <w:pPr>
        <w:pStyle w:val="895"/>
        <w:pBdr/>
        <w:spacing/>
        <w:ind/>
        <w:jc w:val="both"/>
        <w:rPr>
          <w:rFonts w:ascii="Calibri" w:hAnsi="Calibri" w:cs="Calibri"/>
          <w:b/>
          <w:bCs/>
          <w:u w:val="single"/>
        </w:rPr>
      </w:pPr>
      <w:r>
        <w:rPr>
          <w:rFonts w:ascii="Calibri" w:hAnsi="Calibri" w:cs="Calibri"/>
          <w:b/>
          <w:bCs/>
          <w:u w:val="single"/>
        </w:rPr>
      </w:r>
      <w:r>
        <w:rPr>
          <w:rFonts w:ascii="Calibri" w:hAnsi="Calibri" w:cs="Calibri"/>
          <w:b/>
          <w:bCs/>
          <w:u w:val="single"/>
        </w:rPr>
      </w:r>
      <w:r>
        <w:rPr>
          <w:rFonts w:ascii="Calibri" w:hAnsi="Calibri" w:cs="Calibri"/>
          <w:b/>
          <w:bCs/>
          <w:u w:val="single"/>
        </w:rPr>
      </w:r>
    </w:p>
    <w:p w14:paraId="122EBDF1" w14:textId="669AB986">
      <w:pPr>
        <w:pStyle w:val="895"/>
        <w:pBdr/>
        <w:spacing/>
        <w:ind/>
        <w:jc w:val="both"/>
        <w:rPr>
          <w:rFonts w:ascii="Calibri" w:hAnsi="Calibri" w:cs="Calibri"/>
        </w:rPr>
      </w:pPr>
      <w:r>
        <w:rPr>
          <w:rFonts w:ascii="Calibri" w:hAnsi="Calibri" w:cs="Calibri"/>
        </w:rPr>
        <w:t xml:space="preserve">Lorsqu’un salarié, du fait de son embauche ou d’une rupture du contrat de travail, n’a pas travaillé tout l</w:t>
      </w:r>
      <w:r>
        <w:rPr>
          <w:rFonts w:ascii="Calibri" w:hAnsi="Calibri" w:cs="Calibri"/>
        </w:rPr>
        <w:t xml:space="preserve">e mois civil</w:t>
      </w:r>
      <w:r>
        <w:rPr>
          <w:rFonts w:ascii="Calibri" w:hAnsi="Calibri" w:cs="Calibri"/>
        </w:rPr>
        <w:t xml:space="preserve">, une régularisation est opérée en fin de période de référence ou à la date de la rupture du contrat de travail, selon les modalités suivantes</w:t>
      </w:r>
      <w:r>
        <w:rPr>
          <w:rFonts w:ascii="Calibri" w:hAnsi="Calibri" w:cs="Calibri"/>
        </w:rPr>
        <w:t xml:space="preserve"> :</w:t>
      </w:r>
      <w:r>
        <w:rPr>
          <w:rFonts w:ascii="Calibri" w:hAnsi="Calibri" w:cs="Calibri"/>
        </w:rPr>
      </w:r>
      <w:r>
        <w:rPr>
          <w:rFonts w:ascii="Calibri" w:hAnsi="Calibri" w:cs="Calibri"/>
        </w:rPr>
      </w:r>
    </w:p>
    <w:p w14:paraId="263974EF"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4DEABDA2" w14:textId="6E4BBC06">
      <w:pPr>
        <w:pStyle w:val="895"/>
        <w:numPr>
          <w:ilvl w:val="0"/>
          <w:numId w:val="1"/>
        </w:numPr>
        <w:pBdr/>
        <w:spacing/>
        <w:ind/>
        <w:jc w:val="both"/>
        <w:rPr>
          <w:rFonts w:ascii="Calibri" w:hAnsi="Calibri" w:cs="Calibri"/>
        </w:rPr>
      </w:pPr>
      <w:r>
        <w:rPr>
          <w:rFonts w:ascii="Calibri" w:hAnsi="Calibri" w:cs="Calibri"/>
        </w:rPr>
        <w:t xml:space="preserve">S’il apparaît que le salarié a accompli une durée du travail supérieure à la durée</w:t>
      </w:r>
      <w:r>
        <w:rPr>
          <w:rFonts w:ascii="Calibri" w:hAnsi="Calibri" w:cs="Calibri"/>
        </w:rPr>
        <w:t xml:space="preserve"> moyenne de 35h00 hebdomadaire</w:t>
      </w:r>
      <w:r>
        <w:rPr>
          <w:rFonts w:ascii="Calibri" w:hAnsi="Calibri" w:cs="Calibri"/>
        </w:rPr>
        <w:t xml:space="preserve">, il est accordé au salarié un complément de rémunération équivalent à la différence de rémunération entre celles correspondant aux heures réellement effectuées et celles rémunérées</w:t>
      </w:r>
      <w:r>
        <w:rPr>
          <w:rFonts w:ascii="Calibri" w:hAnsi="Calibri" w:cs="Calibri"/>
        </w:rPr>
        <w:t xml:space="preserve">,</w:t>
      </w:r>
      <w:r>
        <w:rPr>
          <w:rFonts w:ascii="Calibri" w:hAnsi="Calibri" w:cs="Calibri"/>
        </w:rPr>
      </w:r>
      <w:r>
        <w:rPr>
          <w:rFonts w:ascii="Calibri" w:hAnsi="Calibri" w:cs="Calibri"/>
        </w:rPr>
      </w:r>
    </w:p>
    <w:p w14:paraId="4660AD6B" w14:textId="77777777">
      <w:pPr>
        <w:pStyle w:val="895"/>
        <w:pBdr/>
        <w:spacing/>
        <w:ind w:left="720"/>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7BBAF234" w14:textId="2872852C">
      <w:pPr>
        <w:pStyle w:val="895"/>
        <w:numPr>
          <w:ilvl w:val="0"/>
          <w:numId w:val="1"/>
        </w:numPr>
        <w:pBdr/>
        <w:spacing/>
        <w:ind/>
        <w:jc w:val="both"/>
        <w:rPr>
          <w:rFonts w:ascii="Calibri" w:hAnsi="Calibri" w:cs="Calibri"/>
        </w:rPr>
      </w:pPr>
      <w:r>
        <w:rPr>
          <w:rFonts w:ascii="Calibri" w:hAnsi="Calibri" w:cs="Calibri"/>
        </w:rPr>
        <w:t xml:space="preserve">S’il apparaît</w:t>
      </w:r>
      <w:r>
        <w:rPr>
          <w:rFonts w:ascii="Calibri" w:hAnsi="Calibri" w:cs="Calibri"/>
        </w:rPr>
        <w:t xml:space="preserve">, </w:t>
      </w:r>
      <w:r>
        <w:rPr>
          <w:rFonts w:ascii="Calibri" w:hAnsi="Calibri" w:cs="Calibri"/>
        </w:rPr>
        <w:t xml:space="preserve">hors</w:t>
      </w:r>
      <w:r>
        <w:rPr>
          <w:rFonts w:ascii="Calibri" w:hAnsi="Calibri" w:cs="Calibri"/>
        </w:rPr>
        <w:t xml:space="preserve"> les cas d’absence traités dans l’article suivant,</w:t>
      </w:r>
      <w:r>
        <w:rPr>
          <w:rFonts w:ascii="Calibri" w:hAnsi="Calibri" w:cs="Calibri"/>
        </w:rPr>
        <w:t xml:space="preserve"> que le salarié a accompli une durée du travail inférieure à la</w:t>
      </w:r>
      <w:r>
        <w:rPr>
          <w:rFonts w:ascii="Calibri" w:hAnsi="Calibri" w:cs="Calibri"/>
        </w:rPr>
        <w:t xml:space="preserve"> durée</w:t>
      </w:r>
      <w:r>
        <w:rPr>
          <w:rFonts w:ascii="Calibri" w:hAnsi="Calibri" w:cs="Calibri"/>
        </w:rPr>
        <w:t xml:space="preserve"> </w:t>
      </w:r>
      <w:r>
        <w:rPr>
          <w:rFonts w:ascii="Calibri" w:hAnsi="Calibri" w:cs="Calibri"/>
        </w:rPr>
        <w:t xml:space="preserve">moyenne de 35h00 hebdomadaire</w:t>
      </w:r>
      <w:r>
        <w:rPr>
          <w:rFonts w:ascii="Calibri" w:hAnsi="Calibri" w:cs="Calibri"/>
        </w:rPr>
        <w:t xml:space="preserve">, le salaire est maintenu sur la base </w:t>
      </w:r>
      <w:r>
        <w:rPr>
          <w:rFonts w:ascii="Calibri" w:hAnsi="Calibri" w:cs="Calibri"/>
        </w:rPr>
        <w:t xml:space="preserve">de 35h00 hebdomadaire</w:t>
      </w:r>
      <w:r>
        <w:rPr>
          <w:rFonts w:ascii="Calibri" w:hAnsi="Calibri" w:cs="Calibri"/>
        </w:rPr>
        <w:t xml:space="preserve">.</w:t>
      </w:r>
      <w:r>
        <w:rPr>
          <w:rFonts w:ascii="Calibri" w:hAnsi="Calibri" w:cs="Calibri"/>
        </w:rPr>
      </w:r>
      <w:r>
        <w:rPr>
          <w:rFonts w:ascii="Calibri" w:hAnsi="Calibri" w:cs="Calibri"/>
        </w:rPr>
      </w:r>
    </w:p>
    <w:p w14:paraId="4C7F206E"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5549A80D" w14:textId="35BA45EB">
      <w:pPr>
        <w:pStyle w:val="895"/>
        <w:pBdr/>
        <w:spacing/>
        <w:ind/>
        <w:jc w:val="both"/>
        <w:outlineLvl w:val="1"/>
        <w:rPr>
          <w:rFonts w:ascii="Calibri" w:hAnsi="Calibri" w:cs="Calibri"/>
          <w:b/>
          <w:bCs/>
          <w:u w:val="single"/>
        </w:rPr>
      </w:pPr>
      <w:r/>
      <w:bookmarkStart w:id="24" w:name="_Toc222407103"/>
      <w:r>
        <w:rPr>
          <w:rFonts w:ascii="Calibri" w:hAnsi="Calibri" w:cs="Calibri"/>
          <w:b/>
          <w:bCs/>
          <w:u w:val="single"/>
        </w:rPr>
        <w:t xml:space="preserve">ARTICLE </w:t>
      </w:r>
      <w:r>
        <w:rPr>
          <w:rFonts w:ascii="Calibri" w:hAnsi="Calibri" w:cs="Calibri"/>
          <w:b/>
          <w:bCs/>
          <w:u w:val="single"/>
        </w:rPr>
        <w:t xml:space="preserve">1</w:t>
      </w:r>
      <w:r>
        <w:rPr>
          <w:rFonts w:ascii="Calibri" w:hAnsi="Calibri" w:cs="Calibri"/>
          <w:b/>
          <w:bCs/>
          <w:u w:val="single"/>
        </w:rPr>
        <w:t xml:space="preserve">9</w:t>
      </w:r>
      <w:r>
        <w:rPr>
          <w:rFonts w:ascii="Calibri" w:hAnsi="Calibri" w:cs="Calibri"/>
          <w:b/>
          <w:bCs/>
          <w:u w:val="single"/>
        </w:rPr>
        <w:t xml:space="preserve"> </w:t>
      </w:r>
      <w:r>
        <w:rPr>
          <w:rFonts w:ascii="Calibri" w:hAnsi="Calibri" w:cs="Calibri"/>
          <w:b/>
          <w:bCs/>
          <w:u w:val="single"/>
        </w:rPr>
        <w:t xml:space="preserve">– </w:t>
      </w:r>
      <w:r>
        <w:rPr>
          <w:rFonts w:ascii="Calibri" w:hAnsi="Calibri" w:cs="Calibri"/>
          <w:b/>
          <w:bCs/>
          <w:u w:val="single"/>
        </w:rPr>
        <w:t xml:space="preserve">Incidences des absences sur</w:t>
      </w:r>
      <w:r>
        <w:rPr>
          <w:rFonts w:ascii="Calibri" w:hAnsi="Calibri" w:cs="Calibri"/>
          <w:b/>
          <w:bCs/>
          <w:u w:val="single"/>
        </w:rPr>
        <w:t xml:space="preserve"> la rémunération</w:t>
      </w:r>
      <w:bookmarkEnd w:id="24"/>
      <w:r>
        <w:rPr>
          <w:rFonts w:ascii="Calibri" w:hAnsi="Calibri" w:cs="Calibri"/>
          <w:b/>
          <w:bCs/>
          <w:u w:val="single"/>
        </w:rPr>
        <w:t xml:space="preserve"> </w:t>
      </w:r>
      <w:r>
        <w:rPr>
          <w:rFonts w:ascii="Calibri" w:hAnsi="Calibri" w:cs="Calibri"/>
          <w:b/>
          <w:bCs/>
          <w:u w:val="single"/>
        </w:rPr>
      </w:r>
      <w:r>
        <w:rPr>
          <w:rFonts w:ascii="Calibri" w:hAnsi="Calibri" w:cs="Calibri"/>
          <w:b/>
          <w:bCs/>
          <w:u w:val="single"/>
        </w:rPr>
      </w:r>
    </w:p>
    <w:p w14:paraId="5CA53F64"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6263AAF8" w14:textId="77777777">
      <w:pPr>
        <w:pStyle w:val="895"/>
        <w:pBdr/>
        <w:spacing/>
        <w:ind/>
        <w:jc w:val="both"/>
        <w:rPr>
          <w:rFonts w:ascii="Calibri" w:hAnsi="Calibri" w:cs="Calibri"/>
        </w:rPr>
      </w:pPr>
      <w:r>
        <w:rPr>
          <w:rFonts w:ascii="Calibri" w:hAnsi="Calibri" w:cs="Calibri"/>
        </w:rPr>
        <w:t xml:space="preserve">La rémunération mensuelle est en fonction de la durée de travail réellement réalisée au cours du mois considéré</w:t>
      </w:r>
      <w:r>
        <w:rPr>
          <w:rFonts w:ascii="Calibri" w:hAnsi="Calibri" w:cs="Calibri"/>
        </w:rPr>
        <w:t xml:space="preserve">.</w:t>
      </w:r>
      <w:r>
        <w:rPr>
          <w:rFonts w:ascii="Calibri" w:hAnsi="Calibri" w:cs="Calibri"/>
        </w:rPr>
      </w:r>
      <w:r>
        <w:rPr>
          <w:rFonts w:ascii="Calibri" w:hAnsi="Calibri" w:cs="Calibri"/>
        </w:rPr>
      </w:r>
    </w:p>
    <w:p w14:paraId="3425E883"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6AE7AFCE" w14:textId="23DD752E">
      <w:pPr>
        <w:pStyle w:val="895"/>
        <w:pBdr/>
        <w:spacing/>
        <w:ind/>
        <w:jc w:val="both"/>
        <w:rPr>
          <w:rFonts w:ascii="Calibri" w:hAnsi="Calibri" w:cs="Calibri"/>
        </w:rPr>
      </w:pPr>
      <w:r>
        <w:rPr>
          <w:rFonts w:ascii="Calibri" w:hAnsi="Calibri" w:cs="Calibri"/>
        </w:rPr>
        <w:t xml:space="preserve">La rémunération mensuelle de base est lissée </w:t>
      </w:r>
      <w:r>
        <w:rPr>
          <w:rFonts w:ascii="Calibri" w:hAnsi="Calibri" w:cs="Calibri"/>
        </w:rPr>
        <w:t xml:space="preserve">sur la base de la durée de travail moyenne de 35 heures par semaine, soit 151,67 heures par mois.</w:t>
      </w:r>
      <w:r>
        <w:rPr>
          <w:rFonts w:ascii="Calibri" w:hAnsi="Calibri" w:cs="Calibri"/>
        </w:rPr>
      </w:r>
      <w:r>
        <w:rPr>
          <w:rFonts w:ascii="Calibri" w:hAnsi="Calibri" w:cs="Calibri"/>
        </w:rPr>
      </w:r>
    </w:p>
    <w:p w14:paraId="2A031A52"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54158E36" w14:textId="7604991C">
      <w:pPr>
        <w:pStyle w:val="895"/>
        <w:pBdr/>
        <w:spacing/>
        <w:ind/>
        <w:jc w:val="both"/>
        <w:rPr>
          <w:rFonts w:ascii="Calibri" w:hAnsi="Calibri" w:cs="Calibri"/>
        </w:rPr>
      </w:pPr>
      <w:r>
        <w:rPr>
          <w:rFonts w:ascii="Calibri" w:hAnsi="Calibri" w:cs="Calibri"/>
        </w:rPr>
        <w:t xml:space="preserve">En cas de période non travaillée mais donnant lieu à indemnisation par la Société, cette indemnisation sera calculée sur la base </w:t>
      </w:r>
      <w:r>
        <w:rPr>
          <w:rFonts w:ascii="Calibri" w:hAnsi="Calibri" w:cs="Calibri"/>
        </w:rPr>
        <w:t xml:space="preserve">du temps qui aurait été travaillé si le salarié avait été présent</w:t>
      </w:r>
      <w:r>
        <w:rPr>
          <w:rFonts w:ascii="Calibri" w:hAnsi="Calibri" w:cs="Calibri"/>
        </w:rPr>
        <w:t xml:space="preserve">.</w:t>
      </w:r>
      <w:r>
        <w:rPr>
          <w:rFonts w:ascii="Calibri" w:hAnsi="Calibri" w:cs="Calibri"/>
        </w:rPr>
      </w:r>
      <w:r>
        <w:rPr>
          <w:rFonts w:ascii="Calibri" w:hAnsi="Calibri" w:cs="Calibri"/>
        </w:rPr>
      </w:r>
    </w:p>
    <w:p w14:paraId="6D22F21B" w14:textId="722F2E28">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04380A55" w14:textId="77777777">
      <w:pPr>
        <w:pStyle w:val="895"/>
        <w:pBdr/>
        <w:spacing/>
        <w:ind/>
        <w:jc w:val="both"/>
        <w:rPr>
          <w:rFonts w:ascii="Calibri" w:hAnsi="Calibri" w:cs="Calibri"/>
        </w:rPr>
      </w:pPr>
      <w:r>
        <w:rPr>
          <w:rFonts w:ascii="Calibri" w:hAnsi="Calibri" w:cs="Calibri"/>
        </w:rPr>
        <w:t xml:space="preserve">En cas d’absences non rémunérées ou non indemnisées, ces absences font l’objet d’une retenue sur la paie du salarié à hauteur du nombre d’heures d’absence constaté et calculée sur la base de la rémunération lissée.</w:t>
      </w:r>
      <w:r>
        <w:rPr>
          <w:rFonts w:ascii="Calibri" w:hAnsi="Calibri" w:cs="Calibri"/>
        </w:rPr>
      </w:r>
      <w:r>
        <w:rPr>
          <w:rFonts w:ascii="Calibri" w:hAnsi="Calibri" w:cs="Calibri"/>
        </w:rPr>
      </w:r>
    </w:p>
    <w:p w14:paraId="19EA2AC2"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06322CE5" w14:textId="77777777">
      <w:pPr>
        <w:pStyle w:val="895"/>
        <w:pBdr/>
        <w:spacing/>
        <w:ind/>
        <w:jc w:val="both"/>
        <w:rPr>
          <w:rFonts w:ascii="Calibri" w:hAnsi="Calibri" w:cs="Calibri"/>
          <w:i/>
          <w:iCs/>
        </w:rPr>
      </w:pPr>
      <w:r>
        <w:rPr>
          <w:rFonts w:ascii="Calibri" w:hAnsi="Calibri" w:cs="Calibri"/>
          <w:i/>
          <w:iCs/>
        </w:rPr>
      </w:r>
      <w:r>
        <w:rPr>
          <w:rFonts w:ascii="Calibri" w:hAnsi="Calibri" w:cs="Calibri"/>
          <w:i/>
          <w:iCs/>
        </w:rPr>
      </w:r>
      <w:r>
        <w:rPr>
          <w:rFonts w:ascii="Calibri" w:hAnsi="Calibri" w:cs="Calibri"/>
          <w:i/>
          <w:iCs/>
        </w:rPr>
      </w:r>
    </w:p>
    <w:p w14:paraId="6AD8C741" w14:textId="77777777">
      <w:pPr>
        <w:pStyle w:val="895"/>
        <w:pBdr/>
        <w:spacing/>
        <w:ind/>
        <w:jc w:val="both"/>
        <w:rPr>
          <w:rFonts w:ascii="Calibri" w:hAnsi="Calibri" w:cs="Calibri"/>
          <w:b/>
          <w:bCs/>
          <w:u w:val="single"/>
        </w:rPr>
      </w:pPr>
      <w:r>
        <w:rPr>
          <w:rFonts w:ascii="Calibri" w:hAnsi="Calibri" w:cs="Calibri"/>
          <w:b/>
          <w:bCs/>
          <w:u w:val="single"/>
        </w:rPr>
      </w:r>
      <w:r>
        <w:rPr>
          <w:rFonts w:ascii="Calibri" w:hAnsi="Calibri" w:cs="Calibri"/>
          <w:b/>
          <w:bCs/>
          <w:u w:val="single"/>
        </w:rPr>
      </w:r>
      <w:r>
        <w:rPr>
          <w:rFonts w:ascii="Calibri" w:hAnsi="Calibri" w:cs="Calibri"/>
          <w:b/>
          <w:bCs/>
          <w:u w:val="single"/>
        </w:rPr>
      </w:r>
    </w:p>
    <w:p w14:paraId="22529BBF" w14:textId="77777777">
      <w:pPr>
        <w:pBdr/>
        <w:spacing/>
        <w:ind/>
        <w:rPr>
          <w:rFonts w:ascii="Calibri" w:hAnsi="Calibri" w:cs="Calibri"/>
        </w:rPr>
      </w:pPr>
      <w:r>
        <w:rPr>
          <w:rFonts w:ascii="Calibri" w:hAnsi="Calibri" w:cs="Calibri"/>
        </w:rPr>
        <w:br w:type="page" w:clear="all"/>
      </w:r>
      <w:r>
        <w:rPr>
          <w:rFonts w:ascii="Calibri" w:hAnsi="Calibri" w:cs="Calibri"/>
        </w:rPr>
      </w:r>
      <w:r>
        <w:rPr>
          <w:rFonts w:ascii="Calibri" w:hAnsi="Calibri" w:cs="Calibri"/>
        </w:rPr>
      </w:r>
    </w:p>
    <w:p w14:paraId="562DBBF0" w14:textId="2384AA64">
      <w:pPr>
        <w:pStyle w:val="895"/>
        <w:pBdr/>
        <w:spacing/>
        <w:ind/>
        <w:jc w:val="both"/>
        <w:outlineLvl w:val="0"/>
        <w:rPr>
          <w:rFonts w:ascii="Calibri" w:hAnsi="Calibri" w:cs="Calibri"/>
          <w:b/>
          <w:bCs/>
          <w:sz w:val="28"/>
          <w:szCs w:val="28"/>
          <w:u w:val="single"/>
        </w:rPr>
      </w:pPr>
      <w:r/>
      <w:bookmarkStart w:id="25" w:name="_Toc222407104"/>
      <w:r>
        <w:rPr>
          <w:rFonts w:ascii="Calibri" w:hAnsi="Calibri" w:cs="Calibri"/>
          <w:b/>
          <w:bCs/>
          <w:sz w:val="28"/>
          <w:szCs w:val="28"/>
          <w:u w:val="single"/>
        </w:rPr>
        <w:t xml:space="preserve">CHAPITRE 4 : CONVENTION DE FORFAIT ANNUEL EN JOURS</w:t>
      </w:r>
      <w:bookmarkEnd w:id="25"/>
      <w:r>
        <w:rPr>
          <w:rFonts w:ascii="Calibri" w:hAnsi="Calibri" w:cs="Calibri"/>
          <w:b/>
          <w:bCs/>
          <w:sz w:val="28"/>
          <w:szCs w:val="28"/>
          <w:u w:val="single"/>
        </w:rPr>
      </w:r>
      <w:r>
        <w:rPr>
          <w:rFonts w:ascii="Calibri" w:hAnsi="Calibri" w:cs="Calibri"/>
          <w:b/>
          <w:bCs/>
          <w:sz w:val="28"/>
          <w:szCs w:val="28"/>
          <w:u w:val="single"/>
        </w:rPr>
      </w:r>
    </w:p>
    <w:p w14:paraId="338FBFF4"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2CC3BE58" w14:textId="2F7945AB">
      <w:pPr>
        <w:pStyle w:val="895"/>
        <w:pBdr/>
        <w:spacing/>
        <w:ind/>
        <w:jc w:val="both"/>
        <w:outlineLvl w:val="1"/>
        <w:rPr>
          <w:rFonts w:ascii="Calibri" w:hAnsi="Calibri" w:cs="Calibri"/>
          <w:b/>
          <w:bCs/>
          <w:u w:val="single"/>
        </w:rPr>
      </w:pPr>
      <w:r/>
      <w:bookmarkStart w:id="26" w:name="_Toc222407105"/>
      <w:r>
        <w:rPr>
          <w:rFonts w:ascii="Calibri" w:hAnsi="Calibri" w:cs="Calibri"/>
          <w:b/>
          <w:bCs/>
          <w:u w:val="single"/>
        </w:rPr>
        <w:t xml:space="preserve">ARTICLE </w:t>
      </w:r>
      <w:r>
        <w:rPr>
          <w:rFonts w:ascii="Calibri" w:hAnsi="Calibri" w:cs="Calibri"/>
          <w:b/>
          <w:bCs/>
          <w:u w:val="single"/>
        </w:rPr>
        <w:t xml:space="preserve">2</w:t>
      </w:r>
      <w:r>
        <w:rPr>
          <w:rFonts w:ascii="Calibri" w:hAnsi="Calibri" w:cs="Calibri"/>
          <w:b/>
          <w:bCs/>
          <w:u w:val="single"/>
        </w:rPr>
        <w:t xml:space="preserve">0</w:t>
      </w:r>
      <w:r>
        <w:rPr>
          <w:rFonts w:ascii="Calibri" w:hAnsi="Calibri" w:cs="Calibri"/>
          <w:b/>
          <w:bCs/>
          <w:u w:val="single"/>
        </w:rPr>
        <w:t xml:space="preserve"> </w:t>
      </w:r>
      <w:r>
        <w:rPr>
          <w:rFonts w:ascii="Calibri" w:hAnsi="Calibri" w:cs="Calibri"/>
          <w:b/>
          <w:bCs/>
          <w:u w:val="single"/>
        </w:rPr>
        <w:t xml:space="preserve">– </w:t>
      </w:r>
      <w:r>
        <w:rPr>
          <w:rFonts w:ascii="Calibri" w:hAnsi="Calibri" w:cs="Calibri"/>
          <w:b/>
          <w:bCs/>
          <w:u w:val="single"/>
        </w:rPr>
        <w:t xml:space="preserve">Personnel assujetti</w:t>
      </w:r>
      <w:bookmarkEnd w:id="26"/>
      <w:r>
        <w:rPr>
          <w:rFonts w:ascii="Calibri" w:hAnsi="Calibri" w:cs="Calibri"/>
          <w:b/>
          <w:bCs/>
          <w:u w:val="single"/>
        </w:rPr>
        <w:t xml:space="preserve"> </w:t>
      </w:r>
      <w:r>
        <w:rPr>
          <w:rFonts w:ascii="Calibri" w:hAnsi="Calibri" w:cs="Calibri"/>
          <w:b/>
          <w:bCs/>
          <w:u w:val="single"/>
        </w:rPr>
      </w:r>
      <w:r>
        <w:rPr>
          <w:rFonts w:ascii="Calibri" w:hAnsi="Calibri" w:cs="Calibri"/>
          <w:b/>
          <w:bCs/>
          <w:u w:val="single"/>
        </w:rPr>
      </w:r>
    </w:p>
    <w:p w14:paraId="5D70A23E"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53BF3FD1" w14:textId="77777777">
      <w:pPr>
        <w:pStyle w:val="895"/>
        <w:pBdr/>
        <w:spacing/>
        <w:ind/>
        <w:jc w:val="both"/>
        <w:rPr>
          <w:rFonts w:ascii="Calibri" w:hAnsi="Calibri" w:cs="Calibri"/>
        </w:rPr>
      </w:pPr>
      <w:r>
        <w:rPr>
          <w:rFonts w:ascii="Calibri" w:hAnsi="Calibri" w:cs="Calibri"/>
        </w:rPr>
        <w:t xml:space="preserve">Dans la Société et conformément à l'article L.3121-58 du Code du Travail, le mécanisme du forfait annuel en jours peut viser les salariés suivants :</w:t>
      </w:r>
      <w:r>
        <w:rPr>
          <w:rFonts w:ascii="Calibri" w:hAnsi="Calibri" w:cs="Calibri"/>
        </w:rPr>
      </w:r>
      <w:r>
        <w:rPr>
          <w:rFonts w:ascii="Calibri" w:hAnsi="Calibri" w:cs="Calibri"/>
        </w:rPr>
      </w:r>
    </w:p>
    <w:p w14:paraId="03B5EAC0"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36E2A898" w14:textId="02D555A5">
      <w:pPr>
        <w:pStyle w:val="895"/>
        <w:numPr>
          <w:ilvl w:val="0"/>
          <w:numId w:val="1"/>
        </w:numPr>
        <w:pBdr/>
        <w:spacing/>
        <w:ind/>
        <w:jc w:val="both"/>
        <w:rPr>
          <w:rFonts w:ascii="Calibri" w:hAnsi="Calibri" w:cs="Calibri"/>
        </w:rPr>
      </w:pPr>
      <w:r>
        <w:rPr>
          <w:rFonts w:ascii="Calibri" w:hAnsi="Calibri" w:cs="Calibri"/>
        </w:rPr>
        <w:t xml:space="preserve">L</w:t>
      </w:r>
      <w:r>
        <w:rPr>
          <w:rFonts w:ascii="Calibri" w:hAnsi="Calibri" w:cs="Calibri"/>
        </w:rPr>
        <w:t xml:space="preserve">es cadres qui disposent d'une autonomie dans l'organisation de leur emploi du temps et dont la nature des fonctions ne les conduit pas à suivre l'horaire collectif applicable au sein de l'atelier, du service ou de l'équipe auquel ils sont intégrés</w:t>
      </w:r>
      <w:r>
        <w:rPr>
          <w:rFonts w:ascii="Calibri" w:hAnsi="Calibri" w:cs="Calibri"/>
        </w:rPr>
        <w:t xml:space="preserve">,</w:t>
      </w:r>
      <w:r>
        <w:rPr>
          <w:rFonts w:ascii="Calibri" w:hAnsi="Calibri" w:cs="Calibri"/>
        </w:rPr>
      </w:r>
      <w:r>
        <w:rPr>
          <w:rFonts w:ascii="Calibri" w:hAnsi="Calibri" w:cs="Calibri"/>
        </w:rPr>
      </w:r>
    </w:p>
    <w:p w14:paraId="043E14A5" w14:textId="77777777">
      <w:pPr>
        <w:pStyle w:val="895"/>
        <w:pBdr/>
        <w:spacing/>
        <w:ind w:left="720"/>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3E8B3041" w14:textId="2C299945">
      <w:pPr>
        <w:pStyle w:val="895"/>
        <w:numPr>
          <w:ilvl w:val="0"/>
          <w:numId w:val="1"/>
        </w:numPr>
        <w:pBdr/>
        <w:spacing/>
        <w:ind/>
        <w:jc w:val="both"/>
        <w:rPr>
          <w:rFonts w:ascii="Calibri" w:hAnsi="Calibri" w:cs="Calibri"/>
        </w:rPr>
      </w:pPr>
      <w:r>
        <w:rPr>
          <w:rFonts w:ascii="Calibri" w:hAnsi="Calibri" w:cs="Calibri"/>
        </w:rPr>
        <w:t xml:space="preserve">L</w:t>
      </w:r>
      <w:r>
        <w:rPr>
          <w:rFonts w:ascii="Calibri" w:hAnsi="Calibri" w:cs="Calibri"/>
        </w:rPr>
        <w:t xml:space="preserve">es salariés dont la durée du temps de travail ne peut être prédéterminée et qui disposent d'une réelle autonomie dans l'organisation de leur emploi du temps pour l'exercice des responsabilités qui leur sont confiées. </w:t>
      </w:r>
      <w:r>
        <w:rPr>
          <w:rFonts w:ascii="Calibri" w:hAnsi="Calibri" w:cs="Calibri"/>
        </w:rPr>
      </w:r>
      <w:r>
        <w:rPr>
          <w:rFonts w:ascii="Calibri" w:hAnsi="Calibri" w:cs="Calibri"/>
        </w:rPr>
      </w:r>
    </w:p>
    <w:p w14:paraId="690D387C"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755ABA8A" w14:textId="1DFAE6E4">
      <w:pPr>
        <w:pStyle w:val="895"/>
        <w:pBdr/>
        <w:spacing/>
        <w:ind w:left="720"/>
        <w:jc w:val="both"/>
        <w:rPr>
          <w:rFonts w:ascii="Calibri" w:hAnsi="Calibri" w:cs="Calibri"/>
        </w:rPr>
      </w:pPr>
      <w:r>
        <w:rPr>
          <w:rFonts w:ascii="Calibri" w:hAnsi="Calibri" w:cs="Calibri"/>
        </w:rPr>
        <w:t xml:space="preserve">Dans la Société, peuvent notamment faire partie de cette catégorie</w:t>
      </w:r>
      <w:r>
        <w:rPr>
          <w:rFonts w:ascii="Calibri" w:hAnsi="Calibri" w:cs="Calibri"/>
        </w:rPr>
        <w:t xml:space="preserve">, les salariés,</w:t>
      </w:r>
      <w:r>
        <w:rPr>
          <w:rFonts w:ascii="Calibri" w:hAnsi="Calibri" w:cs="Calibri"/>
        </w:rPr>
        <w:t xml:space="preserve"> relevant du</w:t>
      </w:r>
      <w:r>
        <w:rPr>
          <w:rFonts w:ascii="Calibri" w:hAnsi="Calibri" w:cs="Calibri"/>
        </w:rPr>
        <w:t xml:space="preserve"> statut</w:t>
      </w:r>
      <w:r>
        <w:rPr>
          <w:rFonts w:ascii="Calibri" w:hAnsi="Calibri" w:cs="Calibri"/>
        </w:rPr>
        <w:t xml:space="preserve"> </w:t>
      </w:r>
      <w:r>
        <w:rPr>
          <w:rFonts w:ascii="Calibri" w:hAnsi="Calibri" w:cs="Calibri"/>
        </w:rPr>
        <w:t xml:space="preserve">d’</w:t>
      </w:r>
      <w:r>
        <w:rPr>
          <w:rFonts w:ascii="Calibri" w:hAnsi="Calibri" w:cs="Calibri"/>
        </w:rPr>
        <w:t xml:space="preserve">Agent de Maîtrise</w:t>
      </w:r>
      <w:r>
        <w:rPr>
          <w:rFonts w:ascii="Calibri" w:hAnsi="Calibri" w:cs="Calibri"/>
        </w:rPr>
        <w:t xml:space="preserve">,</w:t>
      </w:r>
      <w:r>
        <w:rPr>
          <w:rFonts w:ascii="Calibri" w:hAnsi="Calibri" w:cs="Calibri"/>
        </w:rPr>
        <w:t xml:space="preserve"> </w:t>
      </w:r>
      <w:r>
        <w:rPr>
          <w:rFonts w:ascii="Calibri" w:hAnsi="Calibri" w:cs="Calibri"/>
        </w:rPr>
        <w:t xml:space="preserve">classés au moins a</w:t>
      </w:r>
      <w:r>
        <w:rPr>
          <w:rFonts w:ascii="Calibri" w:hAnsi="Calibri" w:cs="Calibri"/>
        </w:rPr>
        <w:t xml:space="preserve">u </w:t>
      </w:r>
      <w:r>
        <w:rPr>
          <w:rFonts w:ascii="Calibri" w:hAnsi="Calibri" w:cs="Calibri"/>
        </w:rPr>
        <w:t xml:space="preserve">niveau II, échelon </w:t>
      </w:r>
      <w:r>
        <w:rPr>
          <w:rFonts w:ascii="Calibri" w:hAnsi="Calibri" w:cs="Calibri"/>
        </w:rPr>
        <w:t xml:space="preserve">1</w:t>
      </w:r>
      <w:r>
        <w:rPr>
          <w:rFonts w:ascii="Calibri" w:hAnsi="Calibri" w:cs="Calibri"/>
        </w:rPr>
        <w:t xml:space="preserve">, coefficient </w:t>
      </w:r>
      <w:r>
        <w:rPr>
          <w:rFonts w:ascii="Calibri" w:hAnsi="Calibri" w:cs="Calibri"/>
        </w:rPr>
        <w:t xml:space="preserve">185 </w:t>
      </w:r>
      <w:r>
        <w:rPr>
          <w:rFonts w:ascii="Calibri" w:hAnsi="Calibri" w:cs="Calibri"/>
        </w:rPr>
        <w:t xml:space="preserve">de la Convention Collective des Entreprises de la Prévention et de la Sécurité (IDCC 1351)</w:t>
      </w:r>
      <w:r>
        <w:rPr>
          <w:rFonts w:ascii="Calibri" w:hAnsi="Calibri" w:cs="Calibri"/>
        </w:rPr>
        <w:t xml:space="preserve">.</w:t>
      </w:r>
      <w:r>
        <w:rPr>
          <w:rFonts w:ascii="Calibri" w:hAnsi="Calibri" w:cs="Calibri"/>
        </w:rPr>
      </w:r>
      <w:r>
        <w:rPr>
          <w:rFonts w:ascii="Calibri" w:hAnsi="Calibri" w:cs="Calibri"/>
        </w:rPr>
      </w:r>
    </w:p>
    <w:p w14:paraId="1D59510B"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2BA99259" w14:textId="34B32BF5">
      <w:pPr>
        <w:pStyle w:val="895"/>
        <w:pBdr/>
        <w:spacing/>
        <w:ind/>
        <w:jc w:val="both"/>
        <w:rPr>
          <w:rFonts w:ascii="Calibri" w:hAnsi="Calibri" w:cs="Calibri"/>
        </w:rPr>
      </w:pPr>
      <w:r>
        <w:rPr>
          <w:rFonts w:ascii="Calibri" w:hAnsi="Calibri" w:cs="Calibri"/>
        </w:rPr>
        <w:t xml:space="preserve">Il est expressément rapp</w:t>
      </w:r>
      <w:r>
        <w:rPr>
          <w:rFonts w:ascii="Calibri" w:hAnsi="Calibri" w:cs="Calibri"/>
        </w:rPr>
        <w:t xml:space="preserve">elé par les parties que l’autonomie dont disposent les salariés visés s’entend d’une autonomie dans l’organisation de leur emploi du temps. Celle-ci ne leur confère pas une totale indépendance et ne les délie pas de tout lien de subordination hiérarchique.</w:t>
      </w:r>
      <w:r>
        <w:rPr>
          <w:rFonts w:ascii="Calibri" w:hAnsi="Calibri" w:cs="Calibri"/>
        </w:rPr>
      </w:r>
      <w:r>
        <w:rPr>
          <w:rFonts w:ascii="Calibri" w:hAnsi="Calibri" w:cs="Calibri"/>
        </w:rPr>
      </w:r>
    </w:p>
    <w:p w14:paraId="794BFFE1"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587B509D" w14:textId="7710539F">
      <w:pPr>
        <w:pStyle w:val="895"/>
        <w:pBdr/>
        <w:spacing/>
        <w:ind/>
        <w:jc w:val="both"/>
        <w:outlineLvl w:val="1"/>
        <w:rPr>
          <w:rFonts w:ascii="Calibri" w:hAnsi="Calibri" w:cs="Calibri"/>
          <w:b/>
          <w:bCs/>
          <w:u w:val="single"/>
        </w:rPr>
      </w:pPr>
      <w:r/>
      <w:bookmarkStart w:id="27" w:name="_Toc222407106"/>
      <w:r>
        <w:rPr>
          <w:rFonts w:ascii="Calibri" w:hAnsi="Calibri" w:cs="Calibri"/>
          <w:b/>
          <w:bCs/>
          <w:u w:val="single"/>
        </w:rPr>
        <w:t xml:space="preserve">ARTICLE 2</w:t>
      </w:r>
      <w:r>
        <w:rPr>
          <w:rFonts w:ascii="Calibri" w:hAnsi="Calibri" w:cs="Calibri"/>
          <w:b/>
          <w:bCs/>
          <w:u w:val="single"/>
        </w:rPr>
        <w:t xml:space="preserve">1</w:t>
      </w:r>
      <w:r>
        <w:rPr>
          <w:rFonts w:ascii="Calibri" w:hAnsi="Calibri" w:cs="Calibri"/>
          <w:b/>
          <w:bCs/>
          <w:u w:val="single"/>
        </w:rPr>
        <w:t xml:space="preserve"> - Mise en place du forfait</w:t>
      </w:r>
      <w:bookmarkEnd w:id="27"/>
      <w:r>
        <w:rPr>
          <w:rFonts w:ascii="Calibri" w:hAnsi="Calibri" w:cs="Calibri"/>
          <w:b/>
          <w:bCs/>
          <w:u w:val="single"/>
        </w:rPr>
        <w:t xml:space="preserve"> </w:t>
      </w:r>
      <w:r>
        <w:rPr>
          <w:rFonts w:ascii="Calibri" w:hAnsi="Calibri" w:cs="Calibri"/>
          <w:b/>
          <w:bCs/>
          <w:u w:val="single"/>
        </w:rPr>
      </w:r>
      <w:r>
        <w:rPr>
          <w:rFonts w:ascii="Calibri" w:hAnsi="Calibri" w:cs="Calibri"/>
          <w:b/>
          <w:bCs/>
          <w:u w:val="single"/>
        </w:rPr>
      </w:r>
    </w:p>
    <w:p w14:paraId="0DD07513"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11280BCF" w14:textId="31CBA088">
      <w:pPr>
        <w:pStyle w:val="895"/>
        <w:pBdr/>
        <w:spacing/>
        <w:ind/>
        <w:jc w:val="both"/>
        <w:rPr>
          <w:rFonts w:ascii="Calibri" w:hAnsi="Calibri" w:cs="Calibri"/>
        </w:rPr>
      </w:pPr>
      <w:r>
        <w:rPr>
          <w:rFonts w:ascii="Calibri" w:hAnsi="Calibri" w:cs="Calibri"/>
        </w:rPr>
        <w:t xml:space="preserve">La mise en place d’un forfait annuel en jours nécessite la si</w:t>
      </w:r>
      <w:r>
        <w:rPr>
          <w:rFonts w:ascii="Calibri" w:hAnsi="Calibri" w:cs="Calibri"/>
        </w:rPr>
        <w:t xml:space="preserve">gnature d’une convention individuelle entre le salarié concerné et l’employeur qui précise les caractéristiques principales du forfait annuel en jours telles qu’elles sont prévues par le présent accord ainsi que le nombre de jours compris dans le forfait. </w:t>
      </w:r>
      <w:r>
        <w:rPr>
          <w:rFonts w:ascii="Calibri" w:hAnsi="Calibri" w:cs="Calibri"/>
        </w:rPr>
      </w:r>
      <w:r>
        <w:rPr>
          <w:rFonts w:ascii="Calibri" w:hAnsi="Calibri" w:cs="Calibri"/>
        </w:rPr>
      </w:r>
    </w:p>
    <w:p w14:paraId="4859B6A0"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34BFFB55" w14:textId="65C5DE6C">
      <w:pPr>
        <w:pStyle w:val="895"/>
        <w:pBdr/>
        <w:spacing/>
        <w:ind/>
        <w:jc w:val="both"/>
        <w:outlineLvl w:val="1"/>
        <w:rPr>
          <w:rFonts w:ascii="Calibri" w:hAnsi="Calibri" w:cs="Calibri"/>
          <w:b/>
          <w:bCs/>
          <w:u w:val="single"/>
        </w:rPr>
      </w:pPr>
      <w:r/>
      <w:bookmarkStart w:id="28" w:name="_Toc222407107"/>
      <w:r>
        <w:rPr>
          <w:rFonts w:ascii="Calibri" w:hAnsi="Calibri" w:cs="Calibri"/>
          <w:b/>
          <w:bCs/>
          <w:u w:val="single"/>
        </w:rPr>
        <w:t xml:space="preserve">ARTICLE 2</w:t>
      </w:r>
      <w:r>
        <w:rPr>
          <w:rFonts w:ascii="Calibri" w:hAnsi="Calibri" w:cs="Calibri"/>
          <w:b/>
          <w:bCs/>
          <w:u w:val="single"/>
        </w:rPr>
        <w:t xml:space="preserve">2</w:t>
      </w:r>
      <w:r>
        <w:rPr>
          <w:rFonts w:ascii="Calibri" w:hAnsi="Calibri" w:cs="Calibri"/>
          <w:b/>
          <w:bCs/>
          <w:u w:val="single"/>
        </w:rPr>
        <w:t xml:space="preserve"> – Fonctionnement du forfait</w:t>
      </w:r>
      <w:r>
        <w:rPr>
          <w:rFonts w:ascii="Calibri" w:hAnsi="Calibri" w:cs="Calibri"/>
          <w:b/>
          <w:bCs/>
          <w:u w:val="single"/>
        </w:rPr>
        <w:t xml:space="preserve"> en jours</w:t>
      </w:r>
      <w:bookmarkEnd w:id="28"/>
      <w:r>
        <w:rPr>
          <w:rFonts w:ascii="Calibri" w:hAnsi="Calibri" w:cs="Calibri"/>
          <w:b/>
          <w:bCs/>
          <w:u w:val="single"/>
        </w:rPr>
        <w:t xml:space="preserve"> </w:t>
      </w:r>
      <w:r>
        <w:rPr>
          <w:rFonts w:ascii="Calibri" w:hAnsi="Calibri" w:cs="Calibri"/>
          <w:b/>
          <w:bCs/>
          <w:u w:val="single"/>
        </w:rPr>
      </w:r>
      <w:r>
        <w:rPr>
          <w:rFonts w:ascii="Calibri" w:hAnsi="Calibri" w:cs="Calibri"/>
          <w:b/>
          <w:bCs/>
          <w:u w:val="single"/>
        </w:rPr>
      </w:r>
    </w:p>
    <w:p w14:paraId="4419B23D"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28D79724" w14:textId="66F07282">
      <w:pPr>
        <w:pStyle w:val="895"/>
        <w:pBdr/>
        <w:spacing/>
        <w:ind/>
        <w:jc w:val="both"/>
        <w:outlineLvl w:val="2"/>
        <w:rPr>
          <w:rFonts w:ascii="Calibri" w:hAnsi="Calibri" w:cs="Calibri"/>
          <w:b/>
          <w:bCs/>
        </w:rPr>
      </w:pPr>
      <w:r/>
      <w:bookmarkStart w:id="29" w:name="_Toc222407108"/>
      <w:r>
        <w:rPr>
          <w:rFonts w:ascii="Calibri" w:hAnsi="Calibri" w:cs="Calibri"/>
          <w:b/>
          <w:bCs/>
        </w:rPr>
        <w:t xml:space="preserve">2</w:t>
      </w:r>
      <w:r>
        <w:rPr>
          <w:rFonts w:ascii="Calibri" w:hAnsi="Calibri" w:cs="Calibri"/>
          <w:b/>
          <w:bCs/>
        </w:rPr>
        <w:t xml:space="preserve">2</w:t>
      </w:r>
      <w:r>
        <w:rPr>
          <w:rFonts w:ascii="Calibri" w:hAnsi="Calibri" w:cs="Calibri"/>
          <w:b/>
          <w:bCs/>
        </w:rPr>
        <w:t xml:space="preserve">.1. Période annuelle de référence du forfait</w:t>
      </w:r>
      <w:bookmarkEnd w:id="29"/>
      <w:r>
        <w:rPr>
          <w:rFonts w:ascii="Calibri" w:hAnsi="Calibri" w:cs="Calibri"/>
          <w:b/>
          <w:bCs/>
        </w:rPr>
        <w:t xml:space="preserve"> </w:t>
      </w:r>
      <w:r>
        <w:rPr>
          <w:rFonts w:ascii="Calibri" w:hAnsi="Calibri" w:cs="Calibri"/>
          <w:b/>
          <w:bCs/>
        </w:rPr>
      </w:r>
      <w:r>
        <w:rPr>
          <w:rFonts w:ascii="Calibri" w:hAnsi="Calibri" w:cs="Calibri"/>
          <w:b/>
          <w:bCs/>
        </w:rPr>
      </w:r>
    </w:p>
    <w:p w14:paraId="71CE16C4"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7789F52A" w14:textId="5F92195B">
      <w:pPr>
        <w:pStyle w:val="895"/>
        <w:pBdr/>
        <w:spacing/>
        <w:ind/>
        <w:jc w:val="both"/>
        <w:rPr>
          <w:rFonts w:ascii="Calibri" w:hAnsi="Calibri" w:cs="Calibri"/>
        </w:rPr>
      </w:pPr>
      <w:r>
        <w:rPr>
          <w:rFonts w:ascii="Calibri" w:hAnsi="Calibri" w:cs="Calibri"/>
        </w:rPr>
        <w:t xml:space="preserve">La période de référence du forfait est l’année civile.</w:t>
      </w:r>
      <w:r>
        <w:rPr>
          <w:rFonts w:ascii="Calibri" w:hAnsi="Calibri" w:cs="Calibri"/>
        </w:rPr>
      </w:r>
      <w:r>
        <w:rPr>
          <w:rFonts w:ascii="Calibri" w:hAnsi="Calibri" w:cs="Calibri"/>
        </w:rPr>
      </w:r>
    </w:p>
    <w:p w14:paraId="6F163996"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0A4C637A" w14:textId="1182EF91">
      <w:pPr>
        <w:pStyle w:val="895"/>
        <w:pBdr/>
        <w:spacing/>
        <w:ind/>
        <w:jc w:val="both"/>
        <w:rPr>
          <w:rFonts w:ascii="Calibri" w:hAnsi="Calibri" w:cs="Calibri"/>
        </w:rPr>
      </w:pPr>
      <w:r>
        <w:rPr>
          <w:rFonts w:ascii="Calibri" w:hAnsi="Calibri" w:cs="Calibri"/>
        </w:rPr>
        <w:t xml:space="preserve">L’année de référence pour le calcul du nombre de jours travaillés commence le 1er </w:t>
      </w:r>
      <w:r>
        <w:rPr>
          <w:rFonts w:ascii="Calibri" w:hAnsi="Calibri" w:cs="Calibri"/>
        </w:rPr>
        <w:t xml:space="preserve">mai</w:t>
      </w:r>
      <w:r>
        <w:rPr>
          <w:rFonts w:ascii="Calibri" w:hAnsi="Calibri" w:cs="Calibri"/>
        </w:rPr>
        <w:t xml:space="preserve"> </w:t>
      </w:r>
      <w:r>
        <w:rPr>
          <w:rFonts w:ascii="Calibri" w:hAnsi="Calibri" w:cs="Calibri"/>
        </w:rPr>
        <w:t xml:space="preserve">de l’année N et se termine le </w:t>
      </w:r>
      <w:r>
        <w:rPr>
          <w:rFonts w:ascii="Calibri" w:hAnsi="Calibri" w:cs="Calibri"/>
        </w:rPr>
        <w:t xml:space="preserve">30 avril</w:t>
      </w:r>
      <w:r>
        <w:rPr>
          <w:rFonts w:ascii="Calibri" w:hAnsi="Calibri" w:cs="Calibri"/>
        </w:rPr>
        <w:t xml:space="preserve"> de l’année N</w:t>
      </w:r>
      <w:r>
        <w:rPr>
          <w:rFonts w:ascii="Calibri" w:hAnsi="Calibri" w:cs="Calibri"/>
        </w:rPr>
        <w:t xml:space="preserve">.</w:t>
      </w:r>
      <w:r>
        <w:rPr>
          <w:rFonts w:ascii="Calibri" w:hAnsi="Calibri" w:cs="Calibri"/>
        </w:rPr>
        <w:t xml:space="preserve"> </w:t>
      </w:r>
      <w:r>
        <w:rPr>
          <w:rFonts w:ascii="Calibri" w:hAnsi="Calibri" w:cs="Calibri"/>
        </w:rPr>
      </w:r>
      <w:r>
        <w:rPr>
          <w:rFonts w:ascii="Calibri" w:hAnsi="Calibri" w:cs="Calibri"/>
        </w:rPr>
      </w:r>
    </w:p>
    <w:p w14:paraId="2F9105FB"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10694030" w14:textId="28A1B25D">
      <w:pPr>
        <w:pStyle w:val="895"/>
        <w:pBdr/>
        <w:spacing/>
        <w:ind/>
        <w:jc w:val="both"/>
        <w:outlineLvl w:val="2"/>
        <w:rPr>
          <w:rFonts w:ascii="Calibri" w:hAnsi="Calibri" w:cs="Calibri"/>
          <w:b/>
          <w:bCs/>
        </w:rPr>
      </w:pPr>
      <w:r/>
      <w:bookmarkStart w:id="30" w:name="_Toc222407109"/>
      <w:r>
        <w:rPr>
          <w:rFonts w:ascii="Calibri" w:hAnsi="Calibri" w:cs="Calibri"/>
          <w:b/>
          <w:bCs/>
        </w:rPr>
        <w:t xml:space="preserve">2</w:t>
      </w:r>
      <w:r>
        <w:rPr>
          <w:rFonts w:ascii="Calibri" w:hAnsi="Calibri" w:cs="Calibri"/>
          <w:b/>
          <w:bCs/>
        </w:rPr>
        <w:t xml:space="preserve">2</w:t>
      </w:r>
      <w:r>
        <w:rPr>
          <w:rFonts w:ascii="Calibri" w:hAnsi="Calibri" w:cs="Calibri"/>
          <w:b/>
          <w:bCs/>
        </w:rPr>
        <w:t xml:space="preserve">.2. </w:t>
      </w:r>
      <w:r>
        <w:rPr>
          <w:rFonts w:ascii="Calibri" w:hAnsi="Calibri" w:cs="Calibri"/>
          <w:b/>
          <w:bCs/>
        </w:rPr>
        <w:t xml:space="preserve">Volume du forfait annuel en jours</w:t>
      </w:r>
      <w:bookmarkEnd w:id="30"/>
      <w:r>
        <w:rPr>
          <w:rFonts w:ascii="Calibri" w:hAnsi="Calibri" w:cs="Calibri"/>
          <w:b/>
          <w:bCs/>
        </w:rPr>
      </w:r>
      <w:r>
        <w:rPr>
          <w:rFonts w:ascii="Calibri" w:hAnsi="Calibri" w:cs="Calibri"/>
          <w:b/>
          <w:bCs/>
        </w:rPr>
      </w:r>
    </w:p>
    <w:p w14:paraId="30D03D31"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27A8841E" w14:textId="72988DD9">
      <w:pPr>
        <w:pStyle w:val="895"/>
        <w:pBdr/>
        <w:spacing/>
        <w:ind/>
        <w:jc w:val="both"/>
        <w:rPr>
          <w:rFonts w:ascii="Calibri" w:hAnsi="Calibri" w:cs="Calibri"/>
        </w:rPr>
      </w:pPr>
      <w:r>
        <w:rPr>
          <w:rFonts w:ascii="Calibri" w:hAnsi="Calibri" w:cs="Calibri"/>
        </w:rPr>
        <w:t xml:space="preserve">La durée du travail des salariés ayant conclu une convention individuelle de forfait en jours sur l’année ne peut excéder 21</w:t>
      </w:r>
      <w:r>
        <w:rPr>
          <w:rFonts w:ascii="Calibri" w:hAnsi="Calibri" w:cs="Calibri"/>
        </w:rPr>
        <w:t xml:space="preserve">8</w:t>
      </w:r>
      <w:r>
        <w:rPr>
          <w:rFonts w:ascii="Calibri" w:hAnsi="Calibri" w:cs="Calibri"/>
        </w:rPr>
        <w:t xml:space="preserve"> (deux cent </w:t>
      </w:r>
      <w:r>
        <w:rPr>
          <w:rFonts w:ascii="Calibri" w:hAnsi="Calibri" w:cs="Calibri"/>
        </w:rPr>
        <w:t xml:space="preserve">dix-huit</w:t>
      </w:r>
      <w:r>
        <w:rPr>
          <w:rFonts w:ascii="Calibri" w:hAnsi="Calibri" w:cs="Calibri"/>
        </w:rPr>
        <w:t xml:space="preserve">) jours pour une année complète de travail</w:t>
      </w:r>
      <w:r>
        <w:rPr>
          <w:rFonts w:ascii="Calibri" w:hAnsi="Calibri" w:cs="Calibri"/>
        </w:rPr>
        <w:t xml:space="preserve"> et des droits à congés payés complets</w:t>
      </w:r>
      <w:r>
        <w:rPr>
          <w:rFonts w:ascii="Calibri" w:hAnsi="Calibri" w:cs="Calibri"/>
        </w:rPr>
        <w:t xml:space="preserve">, ce nombre de jours travaillés incluant la journée de solidarité.</w:t>
      </w:r>
      <w:r>
        <w:rPr>
          <w:rFonts w:ascii="Calibri" w:hAnsi="Calibri" w:cs="Calibri"/>
        </w:rPr>
      </w:r>
      <w:r>
        <w:rPr>
          <w:rFonts w:ascii="Calibri" w:hAnsi="Calibri" w:cs="Calibri"/>
        </w:rPr>
      </w:r>
    </w:p>
    <w:p w14:paraId="0B106E6F" w14:textId="77777777">
      <w:pPr>
        <w:pStyle w:val="895"/>
        <w:pBdr/>
        <w:spacing/>
        <w:ind/>
        <w:jc w:val="both"/>
        <w:rPr>
          <w:rFonts w:ascii="Calibri" w:hAnsi="Calibri" w:cs="Calibri"/>
          <w:b/>
          <w:bCs/>
        </w:rPr>
      </w:pPr>
      <w:r>
        <w:rPr>
          <w:rFonts w:ascii="Calibri" w:hAnsi="Calibri" w:cs="Calibri"/>
          <w:b/>
          <w:bCs/>
        </w:rPr>
      </w:r>
      <w:r>
        <w:rPr>
          <w:rFonts w:ascii="Calibri" w:hAnsi="Calibri" w:cs="Calibri"/>
          <w:b/>
          <w:bCs/>
        </w:rPr>
      </w:r>
      <w:r>
        <w:rPr>
          <w:rFonts w:ascii="Calibri" w:hAnsi="Calibri" w:cs="Calibri"/>
          <w:b/>
          <w:bCs/>
        </w:rPr>
      </w:r>
    </w:p>
    <w:p w14:paraId="699F2CAC" w14:textId="21191C6B">
      <w:pPr>
        <w:pStyle w:val="895"/>
        <w:pBdr/>
        <w:spacing/>
        <w:ind/>
        <w:jc w:val="both"/>
        <w:outlineLvl w:val="2"/>
        <w:rPr>
          <w:rFonts w:ascii="Calibri" w:hAnsi="Calibri" w:cs="Calibri"/>
          <w:b/>
          <w:bCs/>
        </w:rPr>
      </w:pPr>
      <w:r/>
      <w:bookmarkStart w:id="31" w:name="_Toc222407110"/>
      <w:r>
        <w:rPr>
          <w:rFonts w:ascii="Calibri" w:hAnsi="Calibri" w:cs="Calibri"/>
          <w:b/>
          <w:bCs/>
        </w:rPr>
        <w:t xml:space="preserve">2</w:t>
      </w:r>
      <w:r>
        <w:rPr>
          <w:rFonts w:ascii="Calibri" w:hAnsi="Calibri" w:cs="Calibri"/>
          <w:b/>
          <w:bCs/>
        </w:rPr>
        <w:t xml:space="preserve">2</w:t>
      </w:r>
      <w:r>
        <w:rPr>
          <w:rFonts w:ascii="Calibri" w:hAnsi="Calibri" w:cs="Calibri"/>
          <w:b/>
          <w:bCs/>
        </w:rPr>
        <w:t xml:space="preserve">.</w:t>
      </w:r>
      <w:r>
        <w:rPr>
          <w:rFonts w:ascii="Calibri" w:hAnsi="Calibri" w:cs="Calibri"/>
          <w:b/>
          <w:bCs/>
        </w:rPr>
        <w:t xml:space="preserve">3</w:t>
      </w:r>
      <w:r>
        <w:rPr>
          <w:rFonts w:ascii="Calibri" w:hAnsi="Calibri" w:cs="Calibri"/>
          <w:b/>
          <w:bCs/>
        </w:rPr>
        <w:t xml:space="preserve">. </w:t>
      </w:r>
      <w:r>
        <w:rPr>
          <w:rFonts w:ascii="Calibri" w:hAnsi="Calibri" w:cs="Calibri"/>
          <w:b/>
          <w:bCs/>
        </w:rPr>
        <w:t xml:space="preserve">Jours de repos supplémentaires liés au forfait en jours</w:t>
      </w:r>
      <w:bookmarkEnd w:id="31"/>
      <w:r>
        <w:rPr>
          <w:rFonts w:ascii="Calibri" w:hAnsi="Calibri" w:cs="Calibri"/>
          <w:b/>
          <w:bCs/>
        </w:rPr>
        <w:t xml:space="preserve"> </w:t>
      </w:r>
      <w:r>
        <w:rPr>
          <w:rFonts w:ascii="Calibri" w:hAnsi="Calibri" w:cs="Calibri"/>
          <w:b/>
          <w:bCs/>
        </w:rPr>
      </w:r>
      <w:r>
        <w:rPr>
          <w:rFonts w:ascii="Calibri" w:hAnsi="Calibri" w:cs="Calibri"/>
          <w:b/>
          <w:bCs/>
        </w:rPr>
      </w:r>
    </w:p>
    <w:p w14:paraId="47B1F9B5"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5358A52B" w14:textId="5B21FCC7">
      <w:pPr>
        <w:pStyle w:val="895"/>
        <w:pBdr/>
        <w:spacing/>
        <w:ind/>
        <w:jc w:val="both"/>
        <w:rPr>
          <w:rFonts w:ascii="Calibri" w:hAnsi="Calibri" w:cs="Calibri"/>
        </w:rPr>
      </w:pPr>
      <w:r>
        <w:rPr>
          <w:rFonts w:ascii="Calibri" w:hAnsi="Calibri" w:cs="Calibri"/>
        </w:rPr>
        <w:t xml:space="preserve">L’application d’une convention de forfait en jours ouvre au salarié le bénéfice de jours de repos </w:t>
      </w:r>
      <w:r>
        <w:rPr>
          <w:rFonts w:ascii="Calibri" w:hAnsi="Calibri" w:cs="Calibri"/>
        </w:rPr>
        <w:t xml:space="preserve">supplémentaires </w:t>
      </w:r>
      <w:r>
        <w:rPr>
          <w:rFonts w:ascii="Calibri" w:hAnsi="Calibri" w:cs="Calibri"/>
        </w:rPr>
        <w:t xml:space="preserve">s’ajoutant aux repos hebdomadaires, congés payés légaux et conventionnels</w:t>
      </w:r>
      <w:r>
        <w:rPr>
          <w:rFonts w:ascii="Calibri" w:hAnsi="Calibri" w:cs="Calibri"/>
        </w:rPr>
        <w:t xml:space="preserve">,</w:t>
      </w:r>
      <w:r>
        <w:rPr>
          <w:rFonts w:ascii="Calibri" w:hAnsi="Calibri" w:cs="Calibri"/>
        </w:rPr>
        <w:t xml:space="preserve"> </w:t>
      </w:r>
      <w:r>
        <w:rPr>
          <w:rFonts w:ascii="Calibri" w:hAnsi="Calibri" w:cs="Calibri"/>
        </w:rPr>
        <w:t xml:space="preserve">s’ils existent, </w:t>
      </w:r>
      <w:r>
        <w:rPr>
          <w:rFonts w:ascii="Calibri" w:hAnsi="Calibri" w:cs="Calibri"/>
        </w:rPr>
        <w:t xml:space="preserve">et jours fériés.</w:t>
      </w:r>
      <w:r>
        <w:rPr>
          <w:rFonts w:ascii="Calibri" w:hAnsi="Calibri" w:cs="Calibri"/>
        </w:rPr>
      </w:r>
      <w:r>
        <w:rPr>
          <w:rFonts w:ascii="Calibri" w:hAnsi="Calibri" w:cs="Calibri"/>
        </w:rPr>
      </w:r>
    </w:p>
    <w:p w14:paraId="0AC5441B"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04C46037" w14:textId="7D0D9AD6">
      <w:pPr>
        <w:pStyle w:val="895"/>
        <w:pBdr/>
        <w:spacing/>
        <w:ind/>
        <w:jc w:val="both"/>
        <w:rPr>
          <w:rFonts w:ascii="Calibri" w:hAnsi="Calibri" w:cs="Calibri"/>
        </w:rPr>
      </w:pPr>
      <w:r>
        <w:rPr>
          <w:rFonts w:ascii="Calibri" w:hAnsi="Calibri" w:cs="Calibri"/>
        </w:rPr>
        <w:t xml:space="preserve">Ces jours sont dénommés jours </w:t>
      </w:r>
      <w:r>
        <w:rPr>
          <w:rFonts w:ascii="Calibri" w:hAnsi="Calibri" w:cs="Calibri"/>
        </w:rPr>
        <w:t xml:space="preserve">de repos supplémentaires</w:t>
      </w:r>
      <w:r>
        <w:rPr>
          <w:rFonts w:ascii="Calibri" w:hAnsi="Calibri" w:cs="Calibri"/>
        </w:rPr>
        <w:t xml:space="preserve"> (J</w:t>
      </w:r>
      <w:r>
        <w:rPr>
          <w:rFonts w:ascii="Calibri" w:hAnsi="Calibri" w:cs="Calibri"/>
        </w:rPr>
        <w:t xml:space="preserve">RS</w:t>
      </w:r>
      <w:r>
        <w:rPr>
          <w:rFonts w:ascii="Calibri" w:hAnsi="Calibri" w:cs="Calibri"/>
        </w:rPr>
        <w:t xml:space="preserve">).</w:t>
      </w:r>
      <w:r>
        <w:rPr>
          <w:rFonts w:ascii="Calibri" w:hAnsi="Calibri" w:cs="Calibri"/>
        </w:rPr>
      </w:r>
      <w:r>
        <w:rPr>
          <w:rFonts w:ascii="Calibri" w:hAnsi="Calibri" w:cs="Calibri"/>
        </w:rPr>
      </w:r>
    </w:p>
    <w:p w14:paraId="78621BAF"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7CABCA69" w14:textId="28942BBB">
      <w:pPr>
        <w:pStyle w:val="895"/>
        <w:pBdr/>
        <w:spacing/>
        <w:ind/>
        <w:jc w:val="both"/>
        <w:rPr>
          <w:rFonts w:ascii="Calibri" w:hAnsi="Calibri" w:cs="Calibri"/>
        </w:rPr>
      </w:pPr>
      <w:r>
        <w:rPr>
          <w:rFonts w:ascii="Calibri" w:hAnsi="Calibri" w:cs="Calibri"/>
        </w:rPr>
        <w:t xml:space="preserve">Le </w:t>
      </w:r>
      <w:r>
        <w:rPr>
          <w:rFonts w:ascii="Calibri" w:hAnsi="Calibri" w:cs="Calibri"/>
        </w:rPr>
        <w:t xml:space="preserve">nombre de JRS sur la période de référence</w:t>
      </w:r>
      <w:r>
        <w:rPr>
          <w:rFonts w:ascii="Calibri" w:hAnsi="Calibri" w:cs="Calibri"/>
        </w:rPr>
        <w:t xml:space="preserve"> découle du calcul suivant sur la période de référence :</w:t>
      </w:r>
      <w:r>
        <w:rPr>
          <w:rFonts w:ascii="Calibri" w:hAnsi="Calibri" w:cs="Calibri"/>
        </w:rPr>
      </w:r>
      <w:r>
        <w:rPr>
          <w:rFonts w:ascii="Calibri" w:hAnsi="Calibri" w:cs="Calibri"/>
        </w:rPr>
      </w:r>
    </w:p>
    <w:p w14:paraId="65811355"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23CF8104" w14:textId="4B391426">
      <w:pPr>
        <w:pStyle w:val="895"/>
        <w:pBdr/>
        <w:spacing/>
        <w:ind/>
        <w:jc w:val="both"/>
        <w:rPr>
          <w:rFonts w:ascii="Calibri" w:hAnsi="Calibri" w:cs="Calibri"/>
        </w:rPr>
      </w:pPr>
      <w:r>
        <w:rPr>
          <w:rFonts w:ascii="Calibri" w:hAnsi="Calibri" w:cs="Calibri"/>
        </w:rPr>
        <w:t xml:space="preserve">N</w:t>
      </w:r>
      <w:r>
        <w:rPr>
          <w:rFonts w:ascii="Calibri" w:hAnsi="Calibri" w:cs="Calibri"/>
        </w:rPr>
        <w:t xml:space="preserve"> : nombre de </w:t>
      </w:r>
      <w:r>
        <w:rPr>
          <w:rFonts w:ascii="Calibri" w:hAnsi="Calibri" w:cs="Calibri"/>
        </w:rPr>
        <w:t xml:space="preserve">jours calendaires</w:t>
      </w:r>
      <w:r>
        <w:rPr>
          <w:rFonts w:ascii="Calibri" w:hAnsi="Calibri" w:cs="Calibri"/>
        </w:rPr>
      </w:r>
      <w:r>
        <w:rPr>
          <w:rFonts w:ascii="Calibri" w:hAnsi="Calibri" w:cs="Calibri"/>
        </w:rPr>
      </w:r>
    </w:p>
    <w:p w14:paraId="6A9547D3" w14:textId="27D2627D">
      <w:pPr>
        <w:pStyle w:val="895"/>
        <w:pBdr/>
        <w:spacing/>
        <w:ind/>
        <w:jc w:val="both"/>
        <w:rPr>
          <w:rFonts w:ascii="Calibri" w:hAnsi="Calibri" w:cs="Calibri"/>
        </w:rPr>
      </w:pPr>
      <w:r>
        <w:rPr>
          <w:rFonts w:ascii="Calibri" w:hAnsi="Calibri" w:cs="Calibri"/>
        </w:rPr>
        <w:t xml:space="preserve">- </w:t>
      </w:r>
      <w:r>
        <w:rPr>
          <w:rFonts w:ascii="Calibri" w:hAnsi="Calibri" w:cs="Calibri"/>
        </w:rPr>
        <w:t xml:space="preserve">RH</w:t>
      </w:r>
      <w:r>
        <w:rPr>
          <w:rFonts w:ascii="Calibri" w:hAnsi="Calibri" w:cs="Calibri"/>
        </w:rPr>
        <w:t xml:space="preserve"> : nombre de </w:t>
      </w:r>
      <w:r>
        <w:rPr>
          <w:rFonts w:ascii="Calibri" w:hAnsi="Calibri" w:cs="Calibri"/>
        </w:rPr>
        <w:t xml:space="preserve">jours de repos hebdomadaires</w:t>
      </w:r>
      <w:r>
        <w:rPr>
          <w:rFonts w:ascii="Calibri" w:hAnsi="Calibri" w:cs="Calibri"/>
        </w:rPr>
      </w:r>
      <w:r>
        <w:rPr>
          <w:rFonts w:ascii="Calibri" w:hAnsi="Calibri" w:cs="Calibri"/>
        </w:rPr>
      </w:r>
    </w:p>
    <w:p w14:paraId="7BF14D87" w14:textId="1720846E">
      <w:pPr>
        <w:pStyle w:val="895"/>
        <w:pBdr/>
        <w:spacing/>
        <w:ind/>
        <w:jc w:val="both"/>
        <w:rPr>
          <w:rFonts w:ascii="Calibri" w:hAnsi="Calibri" w:cs="Calibri"/>
        </w:rPr>
      </w:pPr>
      <w:r>
        <w:rPr>
          <w:rFonts w:ascii="Calibri" w:hAnsi="Calibri" w:cs="Calibri"/>
        </w:rPr>
        <w:t xml:space="preserve">- </w:t>
      </w:r>
      <w:r>
        <w:rPr>
          <w:rFonts w:ascii="Calibri" w:hAnsi="Calibri" w:cs="Calibri"/>
        </w:rPr>
        <w:t xml:space="preserve">JF</w:t>
      </w:r>
      <w:r>
        <w:rPr>
          <w:rFonts w:ascii="Calibri" w:hAnsi="Calibri" w:cs="Calibri"/>
        </w:rPr>
        <w:t xml:space="preserve"> : nombre de </w:t>
      </w:r>
      <w:r>
        <w:rPr>
          <w:rFonts w:ascii="Calibri" w:hAnsi="Calibri" w:cs="Calibri"/>
        </w:rPr>
        <w:t xml:space="preserve">jours fériés ne tombant pas sur un jour de repos hebdomadaire</w:t>
      </w:r>
      <w:r>
        <w:rPr>
          <w:rFonts w:ascii="Calibri" w:hAnsi="Calibri" w:cs="Calibri"/>
        </w:rPr>
      </w:r>
      <w:r>
        <w:rPr>
          <w:rFonts w:ascii="Calibri" w:hAnsi="Calibri" w:cs="Calibri"/>
        </w:rPr>
      </w:r>
    </w:p>
    <w:p w14:paraId="7338391D" w14:textId="21638623">
      <w:pPr>
        <w:pStyle w:val="895"/>
        <w:pBdr/>
        <w:spacing/>
        <w:ind/>
        <w:jc w:val="both"/>
        <w:rPr>
          <w:rFonts w:ascii="Calibri" w:hAnsi="Calibri" w:cs="Calibri"/>
        </w:rPr>
      </w:pPr>
      <w:r>
        <w:rPr>
          <w:rFonts w:ascii="Calibri" w:hAnsi="Calibri" w:cs="Calibri"/>
        </w:rPr>
        <w:t xml:space="preserve">- </w:t>
      </w:r>
      <w:r>
        <w:rPr>
          <w:rFonts w:ascii="Calibri" w:hAnsi="Calibri" w:cs="Calibri"/>
        </w:rPr>
        <w:t xml:space="preserve">CP</w:t>
      </w:r>
      <w:r>
        <w:rPr>
          <w:rFonts w:ascii="Calibri" w:hAnsi="Calibri" w:cs="Calibri"/>
        </w:rPr>
        <w:t xml:space="preserve"> : nombre de </w:t>
      </w:r>
      <w:r>
        <w:rPr>
          <w:rFonts w:ascii="Calibri" w:hAnsi="Calibri" w:cs="Calibri"/>
        </w:rPr>
        <w:t xml:space="preserve">jours ouvrés de congés payés</w:t>
      </w:r>
      <w:r>
        <w:rPr>
          <w:rFonts w:ascii="Calibri" w:hAnsi="Calibri" w:cs="Calibri"/>
        </w:rPr>
      </w:r>
      <w:r>
        <w:rPr>
          <w:rFonts w:ascii="Calibri" w:hAnsi="Calibri" w:cs="Calibri"/>
        </w:rPr>
      </w:r>
    </w:p>
    <w:p w14:paraId="73432BB1" w14:textId="02284494">
      <w:pPr>
        <w:pStyle w:val="895"/>
        <w:pBdr/>
        <w:spacing/>
        <w:ind/>
        <w:jc w:val="both"/>
        <w:rPr>
          <w:rFonts w:ascii="Calibri" w:hAnsi="Calibri" w:cs="Calibri"/>
        </w:rPr>
      </w:pPr>
      <w:r>
        <w:rPr>
          <w:rFonts w:ascii="Calibri" w:hAnsi="Calibri" w:cs="Calibri"/>
        </w:rPr>
        <w:t xml:space="preserve">- </w:t>
      </w:r>
      <w:r>
        <w:rPr>
          <w:rFonts w:ascii="Calibri" w:hAnsi="Calibri" w:cs="Calibri"/>
        </w:rPr>
        <w:t xml:space="preserve">F</w:t>
      </w:r>
      <w:r>
        <w:rPr>
          <w:rFonts w:ascii="Calibri" w:hAnsi="Calibri" w:cs="Calibri"/>
        </w:rPr>
        <w:t xml:space="preserve"> : nombre de </w:t>
      </w:r>
      <w:r>
        <w:rPr>
          <w:rFonts w:ascii="Calibri" w:hAnsi="Calibri" w:cs="Calibri"/>
        </w:rPr>
        <w:tab/>
        <w:t xml:space="preserve">jours du forfait</w:t>
      </w:r>
      <w:r>
        <w:rPr>
          <w:rFonts w:ascii="Calibri" w:hAnsi="Calibri" w:cs="Calibri"/>
        </w:rPr>
      </w:r>
      <w:r>
        <w:rPr>
          <w:rFonts w:ascii="Calibri" w:hAnsi="Calibri" w:cs="Calibri"/>
        </w:rPr>
      </w:r>
    </w:p>
    <w:p w14:paraId="0169F850" w14:textId="4781D3F0">
      <w:pPr>
        <w:pStyle w:val="895"/>
        <w:pBdr/>
        <w:spacing/>
        <w:ind/>
        <w:jc w:val="both"/>
        <w:rPr>
          <w:rFonts w:ascii="Calibri" w:hAnsi="Calibri" w:cs="Calibri"/>
        </w:rPr>
      </w:pPr>
      <w:r>
        <w:rPr>
          <w:rFonts w:ascii="Calibri" w:hAnsi="Calibri" w:cs="Calibri"/>
        </w:rPr>
        <w:t xml:space="preserve">= </w:t>
      </w:r>
      <w:r>
        <w:rPr>
          <w:rFonts w:ascii="Calibri" w:hAnsi="Calibri" w:cs="Calibri"/>
        </w:rPr>
        <w:t xml:space="preserve">JRS</w:t>
      </w:r>
      <w:r>
        <w:rPr>
          <w:rFonts w:ascii="Calibri" w:hAnsi="Calibri" w:cs="Calibri"/>
        </w:rPr>
        <w:t xml:space="preserve"> : nombre de </w:t>
      </w:r>
      <w:r>
        <w:rPr>
          <w:rFonts w:ascii="Calibri" w:hAnsi="Calibri" w:cs="Calibri"/>
        </w:rPr>
        <w:t xml:space="preserve">jours de repos supplémentaires</w:t>
      </w:r>
      <w:r>
        <w:rPr>
          <w:rFonts w:ascii="Calibri" w:hAnsi="Calibri" w:cs="Calibri"/>
        </w:rPr>
      </w:r>
      <w:r>
        <w:rPr>
          <w:rFonts w:ascii="Calibri" w:hAnsi="Calibri" w:cs="Calibri"/>
        </w:rPr>
      </w:r>
    </w:p>
    <w:p w14:paraId="6B269D97"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0760105B" w14:textId="5E2BEF77">
      <w:pPr>
        <w:pStyle w:val="895"/>
        <w:pBdr/>
        <w:spacing/>
        <w:ind/>
        <w:jc w:val="both"/>
        <w:rPr>
          <w:rFonts w:ascii="Calibri" w:hAnsi="Calibri" w:cs="Calibri"/>
        </w:rPr>
      </w:pPr>
      <w:r>
        <w:rPr>
          <w:rFonts w:ascii="Calibri" w:hAnsi="Calibri" w:cs="Calibri"/>
        </w:rPr>
        <w:t xml:space="preserve">Avant chaque période de référence, le salarié se verra informé du nombre théorique de J</w:t>
      </w:r>
      <w:r>
        <w:rPr>
          <w:rFonts w:ascii="Calibri" w:hAnsi="Calibri" w:cs="Calibri"/>
        </w:rPr>
        <w:t xml:space="preserve">RS</w:t>
      </w:r>
      <w:r>
        <w:rPr>
          <w:rFonts w:ascii="Calibri" w:hAnsi="Calibri" w:cs="Calibri"/>
        </w:rPr>
        <w:t xml:space="preserve"> applicable à la période de référence à venir.</w:t>
      </w:r>
      <w:r>
        <w:rPr>
          <w:rFonts w:ascii="Calibri" w:hAnsi="Calibri" w:cs="Calibri"/>
        </w:rPr>
      </w:r>
      <w:r>
        <w:rPr>
          <w:rFonts w:ascii="Calibri" w:hAnsi="Calibri" w:cs="Calibri"/>
        </w:rPr>
      </w:r>
    </w:p>
    <w:p w14:paraId="39A120E7"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35D7EFEA" w14:textId="1D646C5D">
      <w:pPr>
        <w:pStyle w:val="895"/>
        <w:pBdr/>
        <w:spacing/>
        <w:ind/>
        <w:jc w:val="both"/>
        <w:rPr>
          <w:rFonts w:ascii="Calibri" w:hAnsi="Calibri" w:cs="Calibri"/>
        </w:rPr>
      </w:pPr>
      <w:r>
        <w:rPr>
          <w:rFonts w:ascii="Calibri" w:hAnsi="Calibri" w:cs="Calibri"/>
        </w:rPr>
        <w:t xml:space="preserve">Ce calcul </w:t>
      </w:r>
      <w:r>
        <w:rPr>
          <w:rFonts w:ascii="Calibri" w:hAnsi="Calibri" w:cs="Calibri"/>
        </w:rPr>
        <w:t xml:space="preserve">doit être</w:t>
      </w:r>
      <w:r>
        <w:rPr>
          <w:rFonts w:ascii="Calibri" w:hAnsi="Calibri" w:cs="Calibri"/>
        </w:rPr>
        <w:t xml:space="preserve"> actualisé chaque année</w:t>
      </w:r>
      <w:r>
        <w:rPr>
          <w:rFonts w:ascii="Calibri" w:hAnsi="Calibri" w:cs="Calibri"/>
        </w:rPr>
        <w:t xml:space="preserve"> puisqu</w:t>
      </w:r>
      <w:r>
        <w:rPr>
          <w:rFonts w:ascii="Calibri" w:hAnsi="Calibri" w:cs="Calibri"/>
        </w:rPr>
        <w:t xml:space="preserve">’</w:t>
      </w:r>
      <w:r>
        <w:rPr>
          <w:rFonts w:ascii="Calibri" w:hAnsi="Calibri" w:cs="Calibri"/>
        </w:rPr>
        <w:t xml:space="preserve">en fonction du calendrier</w:t>
      </w:r>
      <w:r>
        <w:rPr>
          <w:rFonts w:ascii="Calibri" w:hAnsi="Calibri" w:cs="Calibri"/>
        </w:rPr>
        <w:t xml:space="preserve"> (</w:t>
      </w:r>
      <w:r>
        <w:rPr>
          <w:rFonts w:ascii="Calibri" w:hAnsi="Calibri" w:cs="Calibri"/>
        </w:rPr>
        <w:t xml:space="preserve">positionnement des jours fériés</w:t>
      </w:r>
      <w:r>
        <w:rPr>
          <w:rFonts w:ascii="Calibri" w:hAnsi="Calibri" w:cs="Calibri"/>
        </w:rPr>
        <w:t xml:space="preserve"> ou année bissextiles)</w:t>
      </w:r>
      <w:r>
        <w:rPr>
          <w:rFonts w:ascii="Calibri" w:hAnsi="Calibri" w:cs="Calibri"/>
        </w:rPr>
        <w:t xml:space="preserve">, </w:t>
      </w:r>
      <w:r>
        <w:rPr>
          <w:rFonts w:ascii="Calibri" w:hAnsi="Calibri" w:cs="Calibri"/>
        </w:rPr>
        <w:t xml:space="preserve">le nombre de JRS varie</w:t>
      </w:r>
      <w:r>
        <w:rPr>
          <w:rFonts w:ascii="Calibri" w:hAnsi="Calibri" w:cs="Calibri"/>
        </w:rPr>
        <w:t xml:space="preserve">.</w:t>
      </w:r>
      <w:r>
        <w:rPr>
          <w:rFonts w:ascii="Calibri" w:hAnsi="Calibri" w:cs="Calibri"/>
        </w:rPr>
      </w:r>
      <w:r>
        <w:rPr>
          <w:rFonts w:ascii="Calibri" w:hAnsi="Calibri" w:cs="Calibri"/>
        </w:rPr>
      </w:r>
    </w:p>
    <w:p w14:paraId="39B3992E"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5ED5D8ED" w14:textId="41EF8769">
      <w:pPr>
        <w:pStyle w:val="895"/>
        <w:pBdr/>
        <w:spacing/>
        <w:ind/>
        <w:jc w:val="both"/>
        <w:rPr>
          <w:rFonts w:ascii="Calibri" w:hAnsi="Calibri" w:cs="Calibri"/>
        </w:rPr>
      </w:pPr>
      <w:r>
        <w:rPr>
          <w:rFonts w:ascii="Calibri" w:hAnsi="Calibri" w:cs="Calibri"/>
        </w:rPr>
        <w:t xml:space="preserve">Pour les salariés ne bénéficiant pas de congés payés annuels complets (par exemple,</w:t>
      </w:r>
      <w:r>
        <w:rPr>
          <w:rFonts w:ascii="Calibri" w:hAnsi="Calibri" w:cs="Calibri"/>
        </w:rPr>
        <w:t xml:space="preserve"> salarié de moins d’un an d’ancienneté ou en cas de report de congés payés), le nombre de jours de travail prévu par la convention individuelle de forfait est augmenté à concurrence du nombre de jours de congés légaux auxquels le salarié ne peut prétendre.</w:t>
      </w:r>
      <w:r>
        <w:rPr>
          <w:rFonts w:ascii="Calibri" w:hAnsi="Calibri" w:cs="Calibri"/>
        </w:rPr>
      </w:r>
      <w:r>
        <w:rPr>
          <w:rFonts w:ascii="Calibri" w:hAnsi="Calibri" w:cs="Calibri"/>
        </w:rPr>
      </w:r>
    </w:p>
    <w:p w14:paraId="4CEFEA18"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2AF46713" w14:textId="23008E11">
      <w:pPr>
        <w:pStyle w:val="895"/>
        <w:pBdr/>
        <w:spacing/>
        <w:ind/>
        <w:jc w:val="both"/>
        <w:outlineLvl w:val="1"/>
        <w:rPr>
          <w:rFonts w:ascii="Calibri" w:hAnsi="Calibri" w:cs="Calibri"/>
          <w:b/>
          <w:bCs/>
          <w:u w:val="single"/>
        </w:rPr>
      </w:pPr>
      <w:r/>
      <w:bookmarkStart w:id="32" w:name="_Toc222407111"/>
      <w:r>
        <w:rPr>
          <w:rFonts w:ascii="Calibri" w:hAnsi="Calibri" w:cs="Calibri"/>
          <w:b/>
          <w:bCs/>
          <w:u w:val="single"/>
        </w:rPr>
        <w:t xml:space="preserve">ARTICLE  2</w:t>
      </w:r>
      <w:r>
        <w:rPr>
          <w:rFonts w:ascii="Calibri" w:hAnsi="Calibri" w:cs="Calibri"/>
          <w:b/>
          <w:bCs/>
          <w:u w:val="single"/>
        </w:rPr>
        <w:t xml:space="preserve">3</w:t>
      </w:r>
      <w:r>
        <w:rPr>
          <w:rFonts w:ascii="Calibri" w:hAnsi="Calibri" w:cs="Calibri"/>
          <w:b/>
          <w:bCs/>
          <w:u w:val="single"/>
        </w:rPr>
        <w:t xml:space="preserve"> – Conséquences des absences, des entrées et des sorties en cours de période de référence sur le nombre de jours travaillés et le nombre de jours de repos supplémentaires</w:t>
      </w:r>
      <w:bookmarkEnd w:id="32"/>
      <w:r>
        <w:rPr>
          <w:rFonts w:ascii="Calibri" w:hAnsi="Calibri" w:cs="Calibri"/>
          <w:b/>
          <w:bCs/>
          <w:u w:val="single"/>
        </w:rPr>
      </w:r>
      <w:r>
        <w:rPr>
          <w:rFonts w:ascii="Calibri" w:hAnsi="Calibri" w:cs="Calibri"/>
          <w:b/>
          <w:bCs/>
          <w:u w:val="single"/>
        </w:rPr>
      </w:r>
    </w:p>
    <w:p w14:paraId="7D22FAE5"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42002FD5" w14:textId="77777777">
      <w:pPr>
        <w:pStyle w:val="895"/>
        <w:pBdr/>
        <w:spacing/>
        <w:ind/>
        <w:jc w:val="both"/>
        <w:rPr>
          <w:rFonts w:ascii="Calibri" w:hAnsi="Calibri" w:cs="Calibri"/>
        </w:rPr>
      </w:pPr>
      <w:r>
        <w:rPr>
          <w:rFonts w:ascii="Calibri" w:hAnsi="Calibri" w:cs="Calibri"/>
        </w:rPr>
        <w:t xml:space="preserve">Une absence non assimilée à du temps de travail effectif (comme l’arrêt maladie, le congé maternité, le congé paternité, …) entraine une diminution proportionnelle à la durée de cette absence :</w:t>
      </w:r>
      <w:r>
        <w:rPr>
          <w:rFonts w:ascii="Calibri" w:hAnsi="Calibri" w:cs="Calibri"/>
        </w:rPr>
      </w:r>
      <w:r>
        <w:rPr>
          <w:rFonts w:ascii="Calibri" w:hAnsi="Calibri" w:cs="Calibri"/>
        </w:rPr>
      </w:r>
    </w:p>
    <w:p w14:paraId="1C37D5F9"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482E2EB4" w14:textId="77777777">
      <w:pPr>
        <w:pStyle w:val="895"/>
        <w:numPr>
          <w:ilvl w:val="0"/>
          <w:numId w:val="1"/>
        </w:numPr>
        <w:pBdr/>
        <w:spacing/>
        <w:ind/>
        <w:jc w:val="both"/>
        <w:rPr>
          <w:rFonts w:ascii="Calibri" w:hAnsi="Calibri" w:cs="Calibri"/>
        </w:rPr>
      </w:pPr>
      <w:r>
        <w:rPr>
          <w:rFonts w:ascii="Calibri" w:hAnsi="Calibri" w:cs="Calibri"/>
        </w:rPr>
        <w:t xml:space="preserve">d’une</w:t>
      </w:r>
      <w:r>
        <w:rPr>
          <w:rFonts w:ascii="Calibri" w:hAnsi="Calibri" w:cs="Calibri"/>
        </w:rPr>
        <w:t xml:space="preserve"> part, du nombre de jours restant à travailler par le salarié ;</w:t>
      </w:r>
      <w:r>
        <w:rPr>
          <w:rFonts w:ascii="Calibri" w:hAnsi="Calibri" w:cs="Calibri"/>
        </w:rPr>
      </w:r>
      <w:r>
        <w:rPr>
          <w:rFonts w:ascii="Calibri" w:hAnsi="Calibri" w:cs="Calibri"/>
        </w:rPr>
      </w:r>
    </w:p>
    <w:p w14:paraId="35D64020" w14:textId="2086CD03">
      <w:pPr>
        <w:pStyle w:val="895"/>
        <w:numPr>
          <w:ilvl w:val="0"/>
          <w:numId w:val="1"/>
        </w:numPr>
        <w:pBdr/>
        <w:spacing/>
        <w:ind/>
        <w:jc w:val="both"/>
        <w:rPr>
          <w:rFonts w:ascii="Calibri" w:hAnsi="Calibri" w:cs="Calibri"/>
        </w:rPr>
      </w:pPr>
      <w:r>
        <w:rPr>
          <w:rFonts w:ascii="Calibri" w:hAnsi="Calibri" w:cs="Calibri"/>
        </w:rPr>
        <w:t xml:space="preserve">et</w:t>
      </w:r>
      <w:r>
        <w:rPr>
          <w:rFonts w:ascii="Calibri" w:hAnsi="Calibri" w:cs="Calibri"/>
        </w:rPr>
        <w:t xml:space="preserve">, d’autre part, du nombre de jours </w:t>
      </w:r>
      <w:r>
        <w:rPr>
          <w:rFonts w:ascii="Calibri" w:hAnsi="Calibri" w:cs="Calibri"/>
        </w:rPr>
        <w:t xml:space="preserve">de repos </w:t>
      </w:r>
      <w:r>
        <w:rPr>
          <w:rFonts w:ascii="Calibri" w:hAnsi="Calibri" w:cs="Calibri"/>
        </w:rPr>
        <w:t xml:space="preserve">restant (JRS).</w:t>
      </w:r>
      <w:r>
        <w:rPr>
          <w:rFonts w:ascii="Calibri" w:hAnsi="Calibri" w:cs="Calibri"/>
        </w:rPr>
      </w:r>
      <w:r>
        <w:rPr>
          <w:rFonts w:ascii="Calibri" w:hAnsi="Calibri" w:cs="Calibri"/>
        </w:rPr>
      </w:r>
    </w:p>
    <w:p w14:paraId="7766CE9C"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3E111F59" w14:textId="21FC1351">
      <w:pPr>
        <w:pStyle w:val="895"/>
        <w:pBdr/>
        <w:spacing/>
        <w:ind/>
        <w:jc w:val="both"/>
        <w:rPr>
          <w:rFonts w:ascii="Calibri" w:hAnsi="Calibri" w:cs="Calibri"/>
        </w:rPr>
      </w:pPr>
      <w:r>
        <w:rPr>
          <w:rFonts w:ascii="Calibri" w:hAnsi="Calibri" w:cs="Calibri"/>
        </w:rPr>
        <w:t xml:space="preserve">Ainsi, en cas d’absence non assimilée à du temps de travail effectif, ou en cas d’entrées/sorties en cours de période de référence, le nombre de jours restant à travailler (T) et le nombre de jours </w:t>
      </w:r>
      <w:r>
        <w:rPr>
          <w:rFonts w:ascii="Calibri" w:hAnsi="Calibri" w:cs="Calibri"/>
        </w:rPr>
        <w:t xml:space="preserve">de repos</w:t>
      </w:r>
      <w:r>
        <w:rPr>
          <w:rFonts w:ascii="Calibri" w:hAnsi="Calibri" w:cs="Calibri"/>
        </w:rPr>
        <w:t xml:space="preserve"> restant (S) est déterminé par les étapes suivantes</w:t>
      </w:r>
      <w:r>
        <w:rPr>
          <w:rFonts w:ascii="Calibri" w:hAnsi="Calibri" w:cs="Calibri"/>
        </w:rPr>
        <w:t xml:space="preserve"> :</w:t>
      </w:r>
      <w:r>
        <w:rPr>
          <w:rFonts w:ascii="Calibri" w:hAnsi="Calibri" w:cs="Calibri"/>
        </w:rPr>
      </w:r>
      <w:r>
        <w:rPr>
          <w:rFonts w:ascii="Calibri" w:hAnsi="Calibri" w:cs="Calibri"/>
        </w:rPr>
      </w:r>
    </w:p>
    <w:p w14:paraId="31EC69BB"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55A100F3" w14:textId="445616BC">
      <w:pPr>
        <w:pStyle w:val="895"/>
        <w:pBdr/>
        <w:spacing/>
        <w:ind/>
        <w:jc w:val="both"/>
        <w:rPr>
          <w:rFonts w:ascii="Calibri" w:hAnsi="Calibri" w:cs="Calibri"/>
        </w:rPr>
      </w:pPr>
      <w:r>
        <w:rPr>
          <w:rFonts w:ascii="Calibri" w:hAnsi="Calibri" w:cs="Calibri"/>
        </w:rPr>
        <w:t xml:space="preserve">1/ Calcul du nombre de semaines travaillées (Y) en moyenne sur la période de référence, à partir du nombre de jours potentiellement travaillé (P)</w:t>
      </w:r>
      <w:r>
        <w:rPr>
          <w:rFonts w:ascii="Calibri" w:hAnsi="Calibri" w:cs="Calibri"/>
        </w:rPr>
        <w:t xml:space="preserve"> </w:t>
      </w:r>
      <w:r>
        <w:rPr>
          <w:rFonts w:ascii="Calibri" w:hAnsi="Calibri" w:cs="Calibri"/>
        </w:rPr>
        <w:t xml:space="preserve">:</w:t>
      </w:r>
      <w:r>
        <w:rPr>
          <w:rFonts w:ascii="Calibri" w:hAnsi="Calibri" w:cs="Calibri"/>
        </w:rPr>
      </w:r>
      <w:r>
        <w:rPr>
          <w:rFonts w:ascii="Calibri" w:hAnsi="Calibri" w:cs="Calibri"/>
        </w:rPr>
      </w:r>
    </w:p>
    <w:p w14:paraId="5D0B0920"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0B69F688" w14:textId="4AEF68D3">
      <w:pPr>
        <w:pStyle w:val="895"/>
        <w:pBdr/>
        <w:spacing/>
        <w:ind w:left="567"/>
        <w:jc w:val="both"/>
        <w:rPr>
          <w:rFonts w:ascii="Calibri" w:hAnsi="Calibri" w:cs="Calibri"/>
        </w:rPr>
      </w:pPr>
      <w:r>
        <w:rPr>
          <w:rFonts w:ascii="Calibri" w:hAnsi="Calibri" w:cs="Calibri"/>
        </w:rPr>
        <w:t xml:space="preserve">P = N – RH – JF – CP </w:t>
      </w:r>
      <w:r>
        <w:rPr>
          <w:rFonts w:ascii="Calibri" w:hAnsi="Calibri" w:cs="Calibri"/>
        </w:rPr>
      </w:r>
      <w:r>
        <w:rPr>
          <w:rFonts w:ascii="Calibri" w:hAnsi="Calibri" w:cs="Calibri"/>
        </w:rPr>
      </w:r>
    </w:p>
    <w:p w14:paraId="7B237414" w14:textId="77777777">
      <w:pPr>
        <w:pStyle w:val="895"/>
        <w:pBdr/>
        <w:spacing/>
        <w:ind w:left="567"/>
        <w:jc w:val="both"/>
        <w:rPr>
          <w:rFonts w:ascii="Calibri" w:hAnsi="Calibri" w:cs="Calibri"/>
        </w:rPr>
      </w:pPr>
      <w:r>
        <w:rPr>
          <w:rFonts w:ascii="Calibri" w:hAnsi="Calibri" w:cs="Calibri"/>
        </w:rPr>
        <w:t xml:space="preserve">Y = P / 5 jours par semaine</w:t>
      </w:r>
      <w:r>
        <w:rPr>
          <w:rFonts w:ascii="Calibri" w:hAnsi="Calibri" w:cs="Calibri"/>
        </w:rPr>
      </w:r>
      <w:r>
        <w:rPr>
          <w:rFonts w:ascii="Calibri" w:hAnsi="Calibri" w:cs="Calibri"/>
        </w:rPr>
      </w:r>
    </w:p>
    <w:p w14:paraId="1A2917B5"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357F38B8" w14:textId="5E7DD9B3">
      <w:pPr>
        <w:pStyle w:val="895"/>
        <w:pBdr/>
        <w:spacing/>
        <w:ind/>
        <w:jc w:val="both"/>
        <w:rPr>
          <w:rFonts w:ascii="Calibri" w:hAnsi="Calibri" w:cs="Calibri"/>
        </w:rPr>
      </w:pPr>
      <w:r>
        <w:rPr>
          <w:rFonts w:ascii="Calibri" w:hAnsi="Calibri" w:cs="Calibri"/>
        </w:rPr>
        <w:t xml:space="preserve">2/ Calcul du nombre </w:t>
      </w:r>
      <w:r>
        <w:rPr>
          <w:rFonts w:ascii="Calibri" w:hAnsi="Calibri" w:cs="Calibri"/>
        </w:rPr>
        <w:t xml:space="preserve">théorique </w:t>
      </w:r>
      <w:r>
        <w:rPr>
          <w:rFonts w:ascii="Calibri" w:hAnsi="Calibri" w:cs="Calibri"/>
        </w:rPr>
        <w:t xml:space="preserve">de jours </w:t>
      </w:r>
      <w:r>
        <w:rPr>
          <w:rFonts w:ascii="Calibri" w:hAnsi="Calibri" w:cs="Calibri"/>
        </w:rPr>
        <w:t xml:space="preserve">supplémentaires de repos (JRS)</w:t>
      </w:r>
      <w:r>
        <w:rPr>
          <w:rFonts w:ascii="Calibri" w:hAnsi="Calibri" w:cs="Calibri"/>
        </w:rPr>
        <w:t xml:space="preserve"> </w:t>
      </w:r>
      <w:r>
        <w:rPr>
          <w:rFonts w:ascii="Calibri" w:hAnsi="Calibri" w:cs="Calibri"/>
        </w:rPr>
        <w:t xml:space="preserve">:</w:t>
      </w:r>
      <w:r>
        <w:rPr>
          <w:rFonts w:ascii="Calibri" w:hAnsi="Calibri" w:cs="Calibri"/>
        </w:rPr>
      </w:r>
      <w:r>
        <w:rPr>
          <w:rFonts w:ascii="Calibri" w:hAnsi="Calibri" w:cs="Calibri"/>
        </w:rPr>
      </w:r>
    </w:p>
    <w:p w14:paraId="6CAFCCFF"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7B67BBC7" w14:textId="4AFA841A">
      <w:pPr>
        <w:pStyle w:val="895"/>
        <w:pBdr/>
        <w:spacing/>
        <w:ind w:left="567"/>
        <w:jc w:val="both"/>
        <w:rPr>
          <w:rFonts w:ascii="Calibri" w:hAnsi="Calibri" w:cs="Calibri"/>
        </w:rPr>
      </w:pPr>
      <w:r>
        <w:rPr>
          <w:rFonts w:ascii="Calibri" w:hAnsi="Calibri" w:cs="Calibri"/>
        </w:rPr>
        <w:t xml:space="preserve">JRS = P – F (218)</w:t>
      </w:r>
      <w:r>
        <w:rPr>
          <w:rFonts w:ascii="Calibri" w:hAnsi="Calibri" w:cs="Calibri"/>
        </w:rPr>
      </w:r>
      <w:r>
        <w:rPr>
          <w:rFonts w:ascii="Calibri" w:hAnsi="Calibri" w:cs="Calibri"/>
        </w:rPr>
      </w:r>
    </w:p>
    <w:p w14:paraId="205695DA"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34BF8E22" w14:textId="4FDC672F">
      <w:pPr>
        <w:pStyle w:val="895"/>
        <w:pBdr/>
        <w:spacing/>
        <w:ind/>
        <w:jc w:val="both"/>
        <w:rPr>
          <w:rFonts w:ascii="Calibri" w:hAnsi="Calibri" w:cs="Calibri"/>
        </w:rPr>
      </w:pPr>
      <w:r>
        <w:rPr>
          <w:rFonts w:ascii="Calibri" w:hAnsi="Calibri" w:cs="Calibri"/>
        </w:rPr>
        <w:t xml:space="preserve">3/ Calcul du nombre de jours travaillés en moyenne par semaine </w:t>
      </w:r>
      <w:r>
        <w:rPr>
          <w:rFonts w:ascii="Calibri" w:hAnsi="Calibri" w:cs="Calibri"/>
        </w:rPr>
        <w:t xml:space="preserve">(JM) </w:t>
      </w:r>
      <w:r>
        <w:rPr>
          <w:rFonts w:ascii="Calibri" w:hAnsi="Calibri" w:cs="Calibri"/>
        </w:rPr>
        <w:t xml:space="preserve">sur la période de référence en divisant le nombre de jours du forfait (F) par le nombre de semaines travaillées en moyenne (Y) :</w:t>
      </w:r>
      <w:r>
        <w:rPr>
          <w:rFonts w:ascii="Calibri" w:hAnsi="Calibri" w:cs="Calibri"/>
        </w:rPr>
      </w:r>
      <w:r>
        <w:rPr>
          <w:rFonts w:ascii="Calibri" w:hAnsi="Calibri" w:cs="Calibri"/>
        </w:rPr>
      </w:r>
    </w:p>
    <w:p w14:paraId="33BC8233"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61DB9BD1" w14:textId="77777777">
      <w:pPr>
        <w:pStyle w:val="895"/>
        <w:pBdr/>
        <w:spacing/>
        <w:ind w:left="567"/>
        <w:jc w:val="both"/>
        <w:rPr>
          <w:rFonts w:ascii="Calibri" w:hAnsi="Calibri" w:cs="Calibri"/>
        </w:rPr>
      </w:pPr>
      <w:r>
        <w:rPr>
          <w:rFonts w:ascii="Calibri" w:hAnsi="Calibri" w:cs="Calibri"/>
        </w:rPr>
        <w:t xml:space="preserve">JM = F / Y</w:t>
      </w:r>
      <w:r>
        <w:rPr>
          <w:rFonts w:ascii="Calibri" w:hAnsi="Calibri" w:cs="Calibri"/>
        </w:rPr>
      </w:r>
      <w:r>
        <w:rPr>
          <w:rFonts w:ascii="Calibri" w:hAnsi="Calibri" w:cs="Calibri"/>
        </w:rPr>
      </w:r>
    </w:p>
    <w:p w14:paraId="40F59118"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27CC1C56" w14:textId="556F5E26">
      <w:pPr>
        <w:pStyle w:val="895"/>
        <w:pBdr/>
        <w:spacing/>
        <w:ind/>
        <w:jc w:val="both"/>
        <w:rPr>
          <w:rFonts w:ascii="Calibri" w:hAnsi="Calibri" w:cs="Calibri"/>
        </w:rPr>
      </w:pPr>
      <w:r>
        <w:rPr>
          <w:rFonts w:ascii="Calibri" w:hAnsi="Calibri" w:cs="Calibri"/>
        </w:rPr>
        <w:t xml:space="preserve">4/ Calcul du nombre de jours non travaillés en moyenne par semaine </w:t>
      </w:r>
      <w:r>
        <w:rPr>
          <w:rFonts w:ascii="Calibri" w:hAnsi="Calibri" w:cs="Calibri"/>
        </w:rPr>
        <w:t xml:space="preserve">(J</w:t>
      </w:r>
      <w:r>
        <w:rPr>
          <w:rFonts w:ascii="Calibri" w:hAnsi="Calibri" w:cs="Calibri"/>
        </w:rPr>
        <w:t xml:space="preserve">RS</w:t>
      </w:r>
      <w:r>
        <w:rPr>
          <w:rFonts w:ascii="Calibri" w:hAnsi="Calibri" w:cs="Calibri"/>
        </w:rPr>
        <w:t xml:space="preserve">S) </w:t>
      </w:r>
      <w:r>
        <w:rPr>
          <w:rFonts w:ascii="Calibri" w:hAnsi="Calibri" w:cs="Calibri"/>
        </w:rPr>
        <w:t xml:space="preserve">sur la période de référence en divisant le nombre de jours non travaillés (JRS) par le nombre de semaines travaillées (Y) :</w:t>
      </w:r>
      <w:r>
        <w:rPr>
          <w:rFonts w:ascii="Calibri" w:hAnsi="Calibri" w:cs="Calibri"/>
        </w:rPr>
      </w:r>
      <w:r>
        <w:rPr>
          <w:rFonts w:ascii="Calibri" w:hAnsi="Calibri" w:cs="Calibri"/>
        </w:rPr>
      </w:r>
    </w:p>
    <w:p w14:paraId="5C67E82E"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3EDD18AD" w14:textId="76FB8AD8">
      <w:pPr>
        <w:pStyle w:val="895"/>
        <w:pBdr/>
        <w:spacing/>
        <w:ind w:left="567"/>
        <w:jc w:val="both"/>
        <w:rPr>
          <w:rFonts w:ascii="Calibri" w:hAnsi="Calibri" w:cs="Calibri"/>
        </w:rPr>
      </w:pPr>
      <w:r>
        <w:rPr>
          <w:rFonts w:ascii="Calibri" w:hAnsi="Calibri" w:cs="Calibri"/>
        </w:rPr>
        <w:t xml:space="preserve">J</w:t>
      </w:r>
      <w:r>
        <w:rPr>
          <w:rFonts w:ascii="Calibri" w:hAnsi="Calibri" w:cs="Calibri"/>
        </w:rPr>
        <w:t xml:space="preserve">RS</w:t>
      </w:r>
      <w:r>
        <w:rPr>
          <w:rFonts w:ascii="Calibri" w:hAnsi="Calibri" w:cs="Calibri"/>
        </w:rPr>
        <w:t xml:space="preserve">S </w:t>
      </w:r>
      <w:r>
        <w:rPr>
          <w:rFonts w:ascii="Calibri" w:hAnsi="Calibri" w:cs="Calibri"/>
        </w:rPr>
        <w:t xml:space="preserve">= JRS / Y</w:t>
      </w:r>
      <w:r>
        <w:rPr>
          <w:rFonts w:ascii="Calibri" w:hAnsi="Calibri" w:cs="Calibri"/>
        </w:rPr>
      </w:r>
      <w:r>
        <w:rPr>
          <w:rFonts w:ascii="Calibri" w:hAnsi="Calibri" w:cs="Calibri"/>
        </w:rPr>
      </w:r>
    </w:p>
    <w:p w14:paraId="43086E94"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3586F36A" w14:textId="77777777">
      <w:pPr>
        <w:pStyle w:val="895"/>
        <w:pBdr/>
        <w:spacing/>
        <w:ind/>
        <w:jc w:val="both"/>
        <w:rPr>
          <w:rFonts w:ascii="Calibri" w:hAnsi="Calibri" w:cs="Calibri"/>
        </w:rPr>
      </w:pPr>
      <w:r>
        <w:rPr>
          <w:rFonts w:ascii="Calibri" w:hAnsi="Calibri" w:cs="Calibri"/>
        </w:rPr>
        <w:t xml:space="preserve">Ce nombre s’obtient également en faisant la différence entre le nombre de jours ouvrés par semaine (5) et le nombre de jours travaillés en moyenne par semaine (JM) :</w:t>
      </w:r>
      <w:r>
        <w:rPr>
          <w:rFonts w:ascii="Calibri" w:hAnsi="Calibri" w:cs="Calibri"/>
        </w:rPr>
      </w:r>
      <w:r>
        <w:rPr>
          <w:rFonts w:ascii="Calibri" w:hAnsi="Calibri" w:cs="Calibri"/>
        </w:rPr>
      </w:r>
    </w:p>
    <w:p w14:paraId="15350692"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2E49D972" w14:textId="2B0A70DD">
      <w:pPr>
        <w:pStyle w:val="895"/>
        <w:pBdr/>
        <w:spacing/>
        <w:ind w:left="567"/>
        <w:jc w:val="both"/>
        <w:rPr>
          <w:rFonts w:ascii="Calibri" w:hAnsi="Calibri" w:cs="Calibri"/>
        </w:rPr>
      </w:pPr>
      <w:r>
        <w:rPr>
          <w:rFonts w:ascii="Calibri" w:hAnsi="Calibri" w:cs="Calibri"/>
        </w:rPr>
        <w:t xml:space="preserve">J</w:t>
      </w:r>
      <w:r>
        <w:rPr>
          <w:rFonts w:ascii="Calibri" w:hAnsi="Calibri" w:cs="Calibri"/>
        </w:rPr>
        <w:t xml:space="preserve">RS</w:t>
      </w:r>
      <w:r>
        <w:rPr>
          <w:rFonts w:ascii="Calibri" w:hAnsi="Calibri" w:cs="Calibri"/>
        </w:rPr>
        <w:t xml:space="preserve">S </w:t>
      </w:r>
      <w:r>
        <w:rPr>
          <w:rFonts w:ascii="Calibri" w:hAnsi="Calibri" w:cs="Calibri"/>
        </w:rPr>
        <w:t xml:space="preserve">= 5 - JM</w:t>
      </w:r>
      <w:r>
        <w:rPr>
          <w:rFonts w:ascii="Calibri" w:hAnsi="Calibri" w:cs="Calibri"/>
        </w:rPr>
      </w:r>
      <w:r>
        <w:rPr>
          <w:rFonts w:ascii="Calibri" w:hAnsi="Calibri" w:cs="Calibri"/>
        </w:rPr>
      </w:r>
    </w:p>
    <w:p w14:paraId="6227AC0D"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27004D0F" w14:textId="5F8AFC48">
      <w:pPr>
        <w:pStyle w:val="895"/>
        <w:pBdr/>
        <w:spacing/>
        <w:ind/>
        <w:jc w:val="both"/>
        <w:rPr>
          <w:rFonts w:ascii="Calibri" w:hAnsi="Calibri" w:cs="Calibri"/>
        </w:rPr>
      </w:pPr>
      <w:r>
        <w:rPr>
          <w:rFonts w:ascii="Calibri" w:hAnsi="Calibri" w:cs="Calibri"/>
        </w:rPr>
        <w:t xml:space="preserve">5/ Calcul du nombre de jours restants à travailler au </w:t>
      </w:r>
      <w:r>
        <w:rPr>
          <w:rFonts w:ascii="Calibri" w:hAnsi="Calibri" w:cs="Calibri"/>
        </w:rPr>
        <w:t xml:space="preserve">titre du forfait (T) : il convient de déduire du nombre de jours du forfait (F), les jours déjà effectivement travaillés sur la période de référence (X), ainsi que la valeur correspondant aux jours d’absences non assimilés à du temps de travail effectif (O</w:t>
      </w:r>
      <w:r>
        <w:rPr>
          <w:rFonts w:ascii="Calibri" w:hAnsi="Calibri" w:cs="Calibri"/>
        </w:rPr>
        <w:t xml:space="preserve">):</w:t>
      </w:r>
      <w:r>
        <w:rPr>
          <w:rFonts w:ascii="Calibri" w:hAnsi="Calibri" w:cs="Calibri"/>
        </w:rPr>
      </w:r>
      <w:r>
        <w:rPr>
          <w:rFonts w:ascii="Calibri" w:hAnsi="Calibri" w:cs="Calibri"/>
        </w:rPr>
      </w:r>
    </w:p>
    <w:p w14:paraId="51990639"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7690A760" w14:textId="77777777">
      <w:pPr>
        <w:pStyle w:val="895"/>
        <w:pBdr/>
        <w:spacing/>
        <w:ind w:left="567"/>
        <w:jc w:val="both"/>
        <w:rPr>
          <w:rFonts w:ascii="Calibri" w:hAnsi="Calibri" w:cs="Calibri"/>
        </w:rPr>
      </w:pPr>
      <w:r>
        <w:rPr>
          <w:rFonts w:ascii="Calibri" w:hAnsi="Calibri" w:cs="Calibri"/>
        </w:rPr>
        <w:t xml:space="preserve">O = (JM/5) x nombre de jours d’absences non assimilés à du temps de travail effectif</w:t>
      </w:r>
      <w:r>
        <w:rPr>
          <w:rFonts w:ascii="Calibri" w:hAnsi="Calibri" w:cs="Calibri"/>
        </w:rPr>
      </w:r>
      <w:r>
        <w:rPr>
          <w:rFonts w:ascii="Calibri" w:hAnsi="Calibri" w:cs="Calibri"/>
        </w:rPr>
      </w:r>
    </w:p>
    <w:p w14:paraId="2671F295" w14:textId="77777777">
      <w:pPr>
        <w:pStyle w:val="895"/>
        <w:pBdr/>
        <w:spacing/>
        <w:ind w:left="567"/>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7C73F666" w14:textId="77777777">
      <w:pPr>
        <w:pStyle w:val="895"/>
        <w:pBdr/>
        <w:spacing/>
        <w:ind w:left="567"/>
        <w:jc w:val="both"/>
        <w:rPr>
          <w:rFonts w:ascii="Calibri" w:hAnsi="Calibri" w:cs="Calibri"/>
        </w:rPr>
      </w:pPr>
      <w:r>
        <w:rPr>
          <w:rFonts w:ascii="Calibri" w:hAnsi="Calibri" w:cs="Calibri"/>
        </w:rPr>
        <w:t xml:space="preserve">T = F – X – O</w:t>
      </w:r>
      <w:r>
        <w:rPr>
          <w:rFonts w:ascii="Calibri" w:hAnsi="Calibri" w:cs="Calibri"/>
        </w:rPr>
      </w:r>
      <w:r>
        <w:rPr>
          <w:rFonts w:ascii="Calibri" w:hAnsi="Calibri" w:cs="Calibri"/>
        </w:rPr>
      </w:r>
    </w:p>
    <w:p w14:paraId="07C090B5"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017C27BB" w14:textId="4A989372">
      <w:pPr>
        <w:pStyle w:val="895"/>
        <w:pBdr/>
        <w:spacing/>
        <w:ind/>
        <w:jc w:val="both"/>
        <w:rPr>
          <w:rFonts w:ascii="Calibri" w:hAnsi="Calibri" w:cs="Calibri"/>
        </w:rPr>
      </w:pPr>
      <w:r>
        <w:rPr>
          <w:rFonts w:ascii="Calibri" w:hAnsi="Calibri" w:cs="Calibri"/>
        </w:rPr>
        <w:t xml:space="preserve">6/ Calcul du nombre de jours </w:t>
      </w:r>
      <w:r>
        <w:rPr>
          <w:rFonts w:ascii="Calibri" w:hAnsi="Calibri" w:cs="Calibri"/>
        </w:rPr>
        <w:t xml:space="preserve">de repos</w:t>
      </w:r>
      <w:r>
        <w:rPr>
          <w:rFonts w:ascii="Calibri" w:hAnsi="Calibri" w:cs="Calibri"/>
        </w:rPr>
        <w:t xml:space="preserve"> restant au titre du forfait (S) : il conv</w:t>
      </w:r>
      <w:r>
        <w:rPr>
          <w:rFonts w:ascii="Calibri" w:hAnsi="Calibri" w:cs="Calibri"/>
        </w:rPr>
        <w:t xml:space="preserve">ient de déduire du nombre de jours non travaillés (JRS), les jours déjà effectivement non travaillés au titre des JRS sur la période de référence (Q), ainsi que la valeur correspondant aux jours d’absences non assimilés à du temps de travail effectif (R) :</w:t>
      </w:r>
      <w:r>
        <w:rPr>
          <w:rFonts w:ascii="Calibri" w:hAnsi="Calibri" w:cs="Calibri"/>
        </w:rPr>
      </w:r>
      <w:r>
        <w:rPr>
          <w:rFonts w:ascii="Calibri" w:hAnsi="Calibri" w:cs="Calibri"/>
        </w:rPr>
      </w:r>
    </w:p>
    <w:p w14:paraId="130CD859"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6ED496A3" w14:textId="77777777">
      <w:pPr>
        <w:pStyle w:val="895"/>
        <w:pBdr/>
        <w:spacing/>
        <w:ind w:left="567"/>
        <w:jc w:val="both"/>
        <w:rPr>
          <w:rFonts w:ascii="Calibri" w:hAnsi="Calibri" w:cs="Calibri"/>
        </w:rPr>
      </w:pPr>
      <w:r>
        <w:rPr>
          <w:rFonts w:ascii="Calibri" w:hAnsi="Calibri" w:cs="Calibri"/>
        </w:rPr>
        <w:t xml:space="preserve">R = (JNTS/5) x nombre de jours d’absences non assimilés à du temps de travail effectif))</w:t>
      </w:r>
      <w:r>
        <w:rPr>
          <w:rFonts w:ascii="Calibri" w:hAnsi="Calibri" w:cs="Calibri"/>
        </w:rPr>
      </w:r>
      <w:r>
        <w:rPr>
          <w:rFonts w:ascii="Calibri" w:hAnsi="Calibri" w:cs="Calibri"/>
        </w:rPr>
      </w:r>
    </w:p>
    <w:p w14:paraId="6CA3DB6B" w14:textId="77777777">
      <w:pPr>
        <w:pStyle w:val="895"/>
        <w:pBdr/>
        <w:spacing/>
        <w:ind w:left="567"/>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65258531" w14:textId="77777777">
      <w:pPr>
        <w:pStyle w:val="895"/>
        <w:pBdr/>
        <w:spacing/>
        <w:ind w:left="567"/>
        <w:jc w:val="both"/>
        <w:rPr>
          <w:rFonts w:ascii="Calibri" w:hAnsi="Calibri" w:cs="Calibri"/>
        </w:rPr>
      </w:pPr>
      <w:r>
        <w:rPr>
          <w:rFonts w:ascii="Calibri" w:hAnsi="Calibri" w:cs="Calibri"/>
        </w:rPr>
        <w:t xml:space="preserve">S = JRS - Q - R</w:t>
      </w:r>
      <w:r>
        <w:rPr>
          <w:rFonts w:ascii="Calibri" w:hAnsi="Calibri" w:cs="Calibri"/>
        </w:rPr>
      </w:r>
      <w:r>
        <w:rPr>
          <w:rFonts w:ascii="Calibri" w:hAnsi="Calibri" w:cs="Calibri"/>
        </w:rPr>
      </w:r>
    </w:p>
    <w:p w14:paraId="6B73833D"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497E9E37" w14:textId="77777777">
      <w:pPr>
        <w:pStyle w:val="895"/>
        <w:pBdr/>
        <w:spacing/>
        <w:ind/>
        <w:jc w:val="both"/>
        <w:rPr>
          <w:rFonts w:ascii="Calibri" w:hAnsi="Calibri" w:cs="Calibri"/>
        </w:rPr>
      </w:pPr>
      <w:r>
        <w:rPr>
          <w:rFonts w:ascii="Calibri" w:hAnsi="Calibri" w:cs="Calibri"/>
        </w:rPr>
        <w:t xml:space="preserve">Un exemple de calcul est joint en annexe.</w:t>
      </w:r>
      <w:r>
        <w:rPr>
          <w:rFonts w:ascii="Calibri" w:hAnsi="Calibri" w:cs="Calibri"/>
        </w:rPr>
      </w:r>
      <w:r>
        <w:rPr>
          <w:rFonts w:ascii="Calibri" w:hAnsi="Calibri" w:cs="Calibri"/>
        </w:rPr>
      </w:r>
    </w:p>
    <w:p w14:paraId="198882EB"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25132A2B" w14:textId="626D6CE4">
      <w:pPr>
        <w:pStyle w:val="895"/>
        <w:pBdr/>
        <w:spacing/>
        <w:ind/>
        <w:jc w:val="both"/>
        <w:outlineLvl w:val="1"/>
        <w:rPr>
          <w:rFonts w:ascii="Calibri" w:hAnsi="Calibri" w:cs="Calibri"/>
          <w:b/>
          <w:bCs/>
          <w:u w:val="single"/>
        </w:rPr>
      </w:pPr>
      <w:r/>
      <w:bookmarkStart w:id="33" w:name="_Toc222407112"/>
      <w:r>
        <w:rPr>
          <w:rFonts w:ascii="Calibri" w:hAnsi="Calibri" w:cs="Calibri"/>
          <w:b/>
          <w:bCs/>
          <w:u w:val="single"/>
        </w:rPr>
        <w:t xml:space="preserve">ARTICLE </w:t>
      </w:r>
      <w:r>
        <w:rPr>
          <w:rFonts w:ascii="Calibri" w:hAnsi="Calibri" w:cs="Calibri"/>
          <w:b/>
          <w:bCs/>
          <w:u w:val="single"/>
        </w:rPr>
        <w:t xml:space="preserve">24</w:t>
      </w:r>
      <w:r>
        <w:rPr>
          <w:rFonts w:ascii="Calibri" w:hAnsi="Calibri" w:cs="Calibri"/>
          <w:b/>
          <w:bCs/>
          <w:u w:val="single"/>
        </w:rPr>
        <w:t xml:space="preserve"> – Incidences des absences sur la rémunération</w:t>
      </w:r>
      <w:bookmarkEnd w:id="33"/>
      <w:r>
        <w:rPr>
          <w:rFonts w:ascii="Calibri" w:hAnsi="Calibri" w:cs="Calibri"/>
          <w:b/>
          <w:bCs/>
          <w:u w:val="single"/>
        </w:rPr>
      </w:r>
      <w:r>
        <w:rPr>
          <w:rFonts w:ascii="Calibri" w:hAnsi="Calibri" w:cs="Calibri"/>
          <w:b/>
          <w:bCs/>
          <w:u w:val="single"/>
        </w:rPr>
      </w:r>
    </w:p>
    <w:p w14:paraId="6B458152"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5349712F" w14:textId="5AAC6CC9">
      <w:pPr>
        <w:pStyle w:val="895"/>
        <w:pBdr/>
        <w:spacing/>
        <w:ind/>
        <w:jc w:val="both"/>
        <w:rPr>
          <w:rFonts w:ascii="Calibri" w:hAnsi="Calibri" w:cs="Calibri"/>
        </w:rPr>
      </w:pPr>
      <w:r>
        <w:rPr>
          <w:rFonts w:ascii="Calibri" w:hAnsi="Calibri" w:cs="Calibri"/>
        </w:rPr>
        <w:t xml:space="preserve">En cas d'absence donnant lieu à indemnisation par l'employeur (pour maladie notamment), cette indemnisation est calculée sur la base de la rémunération moyenne mensuelle brute calculée sur la période de 12 mois précédant l’absence.</w:t>
      </w:r>
      <w:r>
        <w:rPr>
          <w:rFonts w:ascii="Calibri" w:hAnsi="Calibri" w:cs="Calibri"/>
        </w:rPr>
      </w:r>
      <w:r>
        <w:rPr>
          <w:rFonts w:ascii="Calibri" w:hAnsi="Calibri" w:cs="Calibri"/>
        </w:rPr>
      </w:r>
    </w:p>
    <w:p w14:paraId="75EE5540"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647F0E7D" w14:textId="30F5A5FB">
      <w:pPr>
        <w:pStyle w:val="895"/>
        <w:pBdr/>
        <w:spacing/>
        <w:ind/>
        <w:jc w:val="both"/>
        <w:rPr>
          <w:rFonts w:ascii="Calibri" w:hAnsi="Calibri" w:cs="Calibri"/>
        </w:rPr>
      </w:pPr>
      <w:r>
        <w:rPr>
          <w:rFonts w:ascii="Calibri" w:hAnsi="Calibri" w:cs="Calibri"/>
        </w:rPr>
        <w:t xml:space="preserve">En cas d'absences non rémunérées, la rémunération est réduite proportionnellement au nombre de jours d'absence</w:t>
      </w:r>
      <w:r>
        <w:rPr>
          <w:rFonts w:ascii="Calibri" w:hAnsi="Calibri" w:cs="Calibri"/>
        </w:rPr>
        <w:t xml:space="preserve">.</w:t>
      </w:r>
      <w:r>
        <w:rPr>
          <w:rFonts w:ascii="Calibri" w:hAnsi="Calibri" w:cs="Calibri"/>
        </w:rPr>
      </w:r>
      <w:r>
        <w:rPr>
          <w:rFonts w:ascii="Calibri" w:hAnsi="Calibri" w:cs="Calibri"/>
        </w:rPr>
      </w:r>
    </w:p>
    <w:p w14:paraId="795BBA3B"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44FF24B1" w14:textId="2446A47D">
      <w:pPr>
        <w:pStyle w:val="895"/>
        <w:pBdr/>
        <w:spacing/>
        <w:ind/>
        <w:jc w:val="both"/>
        <w:rPr>
          <w:rFonts w:ascii="Calibri" w:hAnsi="Calibri" w:cs="Calibri"/>
        </w:rPr>
      </w:pPr>
      <w:r>
        <w:rPr>
          <w:rFonts w:ascii="Calibri" w:hAnsi="Calibri" w:cs="Calibri"/>
        </w:rPr>
        <w:t xml:space="preserve">La valeur d’une journée d’absence est calculée comme suit :</w:t>
      </w:r>
      <w:r>
        <w:rPr>
          <w:rFonts w:ascii="Calibri" w:hAnsi="Calibri" w:cs="Calibri"/>
        </w:rPr>
      </w:r>
      <w:r>
        <w:rPr>
          <w:rFonts w:ascii="Calibri" w:hAnsi="Calibri" w:cs="Calibri"/>
        </w:rPr>
      </w:r>
    </w:p>
    <w:p w14:paraId="21C5AA1E"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48D0BDA6" w14:textId="558EEC36">
      <w:pPr>
        <w:pStyle w:val="895"/>
        <w:pBdr/>
        <w:spacing/>
        <w:ind w:left="567"/>
        <w:jc w:val="both"/>
        <w:rPr>
          <w:rFonts w:ascii="Calibri" w:hAnsi="Calibri" w:cs="Calibri"/>
        </w:rPr>
      </w:pPr>
      <w:r>
        <w:rPr>
          <w:rFonts w:ascii="Calibri" w:hAnsi="Calibri" w:cs="Calibri"/>
        </w:rPr>
        <w:t xml:space="preserve">V = (</w:t>
      </w:r>
      <w:r>
        <w:rPr>
          <w:rFonts w:ascii="Calibri" w:hAnsi="Calibri" w:cs="Calibri"/>
        </w:rPr>
        <w:t xml:space="preserve">F </w:t>
      </w:r>
      <w:r>
        <w:rPr>
          <w:rFonts w:ascii="Calibri" w:hAnsi="Calibri" w:cs="Calibri"/>
        </w:rPr>
        <w:t xml:space="preserve">+ CP + JF ne tombant pas sur un jour de repos hebdomadaire) / rémunération annuelle brute</w:t>
      </w:r>
      <w:r>
        <w:rPr>
          <w:rFonts w:ascii="Calibri" w:hAnsi="Calibri" w:cs="Calibri"/>
        </w:rPr>
      </w:r>
      <w:r>
        <w:rPr>
          <w:rFonts w:ascii="Calibri" w:hAnsi="Calibri" w:cs="Calibri"/>
        </w:rPr>
      </w:r>
    </w:p>
    <w:p w14:paraId="6E6E2E49"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13F291AC" w14:textId="1DD14B42">
      <w:pPr>
        <w:pStyle w:val="895"/>
        <w:pBdr/>
        <w:spacing/>
        <w:ind/>
        <w:jc w:val="both"/>
        <w:outlineLvl w:val="1"/>
        <w:rPr>
          <w:rFonts w:ascii="Calibri" w:hAnsi="Calibri" w:cs="Calibri"/>
          <w:b/>
          <w:bCs/>
          <w:u w:val="single"/>
        </w:rPr>
      </w:pPr>
      <w:r/>
      <w:bookmarkStart w:id="34" w:name="_Toc222407113"/>
      <w:r>
        <w:rPr>
          <w:rFonts w:ascii="Calibri" w:hAnsi="Calibri" w:cs="Calibri"/>
          <w:b/>
          <w:bCs/>
          <w:u w:val="single"/>
        </w:rPr>
        <w:t xml:space="preserve">ARTICLE 2</w:t>
      </w:r>
      <w:r>
        <w:rPr>
          <w:rFonts w:ascii="Calibri" w:hAnsi="Calibri" w:cs="Calibri"/>
          <w:b/>
          <w:bCs/>
          <w:u w:val="single"/>
        </w:rPr>
        <w:t xml:space="preserve">5</w:t>
      </w:r>
      <w:r>
        <w:rPr>
          <w:rFonts w:ascii="Calibri" w:hAnsi="Calibri" w:cs="Calibri"/>
          <w:b/>
          <w:bCs/>
          <w:u w:val="single"/>
        </w:rPr>
        <w:t xml:space="preserve"> – Organisation des jours de travail</w:t>
      </w:r>
      <w:bookmarkEnd w:id="34"/>
      <w:r>
        <w:rPr>
          <w:rFonts w:ascii="Calibri" w:hAnsi="Calibri" w:cs="Calibri"/>
          <w:b/>
          <w:bCs/>
          <w:u w:val="single"/>
        </w:rPr>
      </w:r>
      <w:r>
        <w:rPr>
          <w:rFonts w:ascii="Calibri" w:hAnsi="Calibri" w:cs="Calibri"/>
          <w:b/>
          <w:bCs/>
          <w:u w:val="single"/>
        </w:rPr>
      </w:r>
    </w:p>
    <w:p w14:paraId="5BCB1D5E"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1A328D98" w14:textId="77777777">
      <w:pPr>
        <w:pStyle w:val="895"/>
        <w:pBdr/>
        <w:spacing/>
        <w:ind/>
        <w:jc w:val="both"/>
        <w:rPr>
          <w:rFonts w:ascii="Calibri" w:hAnsi="Calibri" w:cs="Calibri"/>
        </w:rPr>
      </w:pPr>
      <w:r>
        <w:rPr>
          <w:rFonts w:ascii="Calibri" w:hAnsi="Calibri" w:cs="Calibri"/>
        </w:rPr>
        <w:t xml:space="preserve">Les salariés en forfait jours organis</w:t>
      </w:r>
      <w:r>
        <w:rPr>
          <w:rFonts w:ascii="Calibri" w:hAnsi="Calibri" w:cs="Calibri"/>
        </w:rPr>
        <w:t xml:space="preserve">ent librement de manière autonome leur emploi du temps en fonction de leur charge de travail et en tenant compte des nécessités liées au bon fonctionnement de leur service et dans le souci permanent de mener à bonne fin les missions dont ils ont la charge.</w:t>
      </w:r>
      <w:r>
        <w:rPr>
          <w:rFonts w:ascii="Calibri" w:hAnsi="Calibri" w:cs="Calibri"/>
        </w:rPr>
      </w:r>
      <w:r>
        <w:rPr>
          <w:rFonts w:ascii="Calibri" w:hAnsi="Calibri" w:cs="Calibri"/>
        </w:rPr>
      </w:r>
    </w:p>
    <w:p w14:paraId="206ED005"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562F1473" w14:textId="77777777">
      <w:pPr>
        <w:pStyle w:val="895"/>
        <w:pBdr/>
        <w:spacing/>
        <w:ind/>
        <w:jc w:val="both"/>
        <w:rPr>
          <w:rFonts w:ascii="Calibri" w:hAnsi="Calibri" w:cs="Calibri"/>
        </w:rPr>
      </w:pPr>
      <w:r>
        <w:rPr>
          <w:rFonts w:ascii="Calibri" w:hAnsi="Calibri" w:cs="Calibri"/>
        </w:rPr>
        <w:t xml:space="preserve">Il leur est ainsi demandé d’être présents aux réunions ou temps de travail en lien avec l’organisation collective de la Société et les obligations relatives aux missions.</w:t>
      </w:r>
      <w:r>
        <w:rPr>
          <w:rFonts w:ascii="Calibri" w:hAnsi="Calibri" w:cs="Calibri"/>
        </w:rPr>
      </w:r>
      <w:r>
        <w:rPr>
          <w:rFonts w:ascii="Calibri" w:hAnsi="Calibri" w:cs="Calibri"/>
        </w:rPr>
      </w:r>
    </w:p>
    <w:p w14:paraId="6730684D"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11683A9A" w14:textId="77777777">
      <w:pPr>
        <w:pStyle w:val="895"/>
        <w:pBdr/>
        <w:spacing/>
        <w:ind/>
        <w:jc w:val="both"/>
        <w:outlineLvl w:val="1"/>
        <w:rPr>
          <w:rFonts w:ascii="Calibri" w:hAnsi="Calibri" w:cs="Calibri"/>
          <w:b/>
          <w:bCs/>
          <w:u w:val="single"/>
        </w:rPr>
      </w:pPr>
      <w:r/>
      <w:bookmarkStart w:id="35" w:name="_Toc222407114"/>
      <w:r>
        <w:rPr>
          <w:rFonts w:ascii="Calibri" w:hAnsi="Calibri" w:cs="Calibri"/>
          <w:b/>
          <w:bCs/>
          <w:u w:val="single"/>
        </w:rPr>
      </w:r>
      <w:r>
        <w:rPr>
          <w:rFonts w:ascii="Calibri" w:hAnsi="Calibri" w:cs="Calibri"/>
          <w:b/>
          <w:bCs/>
          <w:u w:val="single"/>
        </w:rPr>
      </w:r>
    </w:p>
    <w:p w14:paraId="29877ED5" w14:textId="77777777">
      <w:pPr>
        <w:pStyle w:val="895"/>
        <w:pBdr/>
        <w:spacing/>
        <w:ind/>
        <w:jc w:val="both"/>
        <w:outlineLvl w:val="1"/>
        <w:rPr>
          <w:rFonts w:ascii="Calibri" w:hAnsi="Calibri" w:cs="Calibri"/>
          <w:b/>
          <w:bCs/>
          <w:u w:val="single"/>
        </w:rPr>
      </w:pPr>
      <w:r>
        <w:rPr>
          <w:rFonts w:ascii="Calibri" w:hAnsi="Calibri" w:cs="Calibri"/>
          <w:b/>
          <w:bCs/>
          <w:u w:val="single"/>
        </w:rPr>
      </w:r>
      <w:r>
        <w:rPr>
          <w:rFonts w:ascii="Calibri" w:hAnsi="Calibri" w:cs="Calibri"/>
          <w:b/>
          <w:bCs/>
          <w:u w:val="single"/>
        </w:rPr>
      </w:r>
      <w:r>
        <w:rPr>
          <w:rFonts w:ascii="Calibri" w:hAnsi="Calibri" w:cs="Calibri"/>
          <w:b/>
          <w:bCs/>
          <w:u w:val="single"/>
        </w:rPr>
      </w:r>
    </w:p>
    <w:p w14:paraId="418C3CB8" w14:textId="77777777">
      <w:pPr>
        <w:pStyle w:val="895"/>
        <w:pBdr/>
        <w:spacing/>
        <w:ind/>
        <w:jc w:val="both"/>
        <w:outlineLvl w:val="1"/>
        <w:rPr>
          <w:rFonts w:ascii="Calibri" w:hAnsi="Calibri" w:cs="Calibri"/>
          <w:b/>
          <w:bCs/>
          <w:u w:val="single"/>
        </w:rPr>
      </w:pPr>
      <w:r>
        <w:rPr>
          <w:rFonts w:ascii="Calibri" w:hAnsi="Calibri" w:cs="Calibri"/>
          <w:b/>
          <w:bCs/>
          <w:u w:val="single"/>
        </w:rPr>
      </w:r>
      <w:r>
        <w:rPr>
          <w:rFonts w:ascii="Calibri" w:hAnsi="Calibri" w:cs="Calibri"/>
          <w:b/>
          <w:bCs/>
          <w:u w:val="single"/>
        </w:rPr>
      </w:r>
      <w:r>
        <w:rPr>
          <w:rFonts w:ascii="Calibri" w:hAnsi="Calibri" w:cs="Calibri"/>
          <w:b/>
          <w:bCs/>
          <w:u w:val="single"/>
        </w:rPr>
      </w:r>
    </w:p>
    <w:p w14:paraId="471E3AB9" w14:textId="4E197437">
      <w:pPr>
        <w:pStyle w:val="895"/>
        <w:pBdr/>
        <w:spacing/>
        <w:ind/>
        <w:jc w:val="both"/>
        <w:outlineLvl w:val="1"/>
        <w:rPr>
          <w:rFonts w:ascii="Calibri" w:hAnsi="Calibri" w:cs="Calibri"/>
          <w:b/>
          <w:bCs/>
          <w:u w:val="single"/>
        </w:rPr>
      </w:pPr>
      <w:r>
        <w:rPr>
          <w:rFonts w:ascii="Calibri" w:hAnsi="Calibri" w:cs="Calibri"/>
          <w:b/>
          <w:bCs/>
          <w:u w:val="single"/>
        </w:rPr>
        <w:t xml:space="preserve">ARTICLE 2</w:t>
      </w:r>
      <w:r>
        <w:rPr>
          <w:rFonts w:ascii="Calibri" w:hAnsi="Calibri" w:cs="Calibri"/>
          <w:b/>
          <w:bCs/>
          <w:u w:val="single"/>
        </w:rPr>
        <w:t xml:space="preserve">6</w:t>
      </w:r>
      <w:r>
        <w:rPr>
          <w:rFonts w:ascii="Calibri" w:hAnsi="Calibri" w:cs="Calibri"/>
          <w:b/>
          <w:bCs/>
          <w:u w:val="single"/>
        </w:rPr>
        <w:t xml:space="preserve"> – Modalités de décompte et de prise des jours de repos</w:t>
      </w:r>
      <w:r>
        <w:rPr>
          <w:rFonts w:ascii="Calibri" w:hAnsi="Calibri" w:cs="Calibri"/>
          <w:b/>
          <w:bCs/>
          <w:u w:val="single"/>
        </w:rPr>
        <w:t xml:space="preserve"> supplémentaires</w:t>
      </w:r>
      <w:bookmarkEnd w:id="35"/>
      <w:r>
        <w:rPr>
          <w:rFonts w:ascii="Calibri" w:hAnsi="Calibri" w:cs="Calibri"/>
          <w:b/>
          <w:bCs/>
          <w:u w:val="single"/>
        </w:rPr>
        <w:t xml:space="preserve"> </w:t>
      </w:r>
      <w:r>
        <w:rPr>
          <w:rFonts w:ascii="Calibri" w:hAnsi="Calibri" w:cs="Calibri"/>
          <w:b/>
          <w:bCs/>
          <w:u w:val="single"/>
        </w:rPr>
      </w:r>
      <w:r>
        <w:rPr>
          <w:rFonts w:ascii="Calibri" w:hAnsi="Calibri" w:cs="Calibri"/>
          <w:b/>
          <w:bCs/>
          <w:u w:val="single"/>
        </w:rPr>
      </w:r>
    </w:p>
    <w:p w14:paraId="6DBFA27F"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6BC9D36D" w14:textId="77777777">
      <w:pPr>
        <w:pStyle w:val="895"/>
        <w:pBdr/>
        <w:spacing/>
        <w:ind/>
        <w:jc w:val="both"/>
        <w:rPr>
          <w:rFonts w:ascii="Calibri" w:hAnsi="Calibri" w:cs="Calibri"/>
        </w:rPr>
      </w:pPr>
      <w:r>
        <w:rPr>
          <w:rFonts w:ascii="Calibri" w:hAnsi="Calibri" w:cs="Calibri"/>
        </w:rPr>
        <w:t xml:space="preserve">Le temps de travail des salariés en forfait annuel en jours fait l’objet d’un décompte mensuel en jours ou demi-journées de travail effectif.</w:t>
      </w:r>
      <w:r>
        <w:rPr>
          <w:rFonts w:ascii="Calibri" w:hAnsi="Calibri" w:cs="Calibri"/>
        </w:rPr>
      </w:r>
      <w:r>
        <w:rPr>
          <w:rFonts w:ascii="Calibri" w:hAnsi="Calibri" w:cs="Calibri"/>
        </w:rPr>
      </w:r>
    </w:p>
    <w:p w14:paraId="38C0EF04"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5C9E2E04" w14:textId="77777777">
      <w:pPr>
        <w:pStyle w:val="895"/>
        <w:pBdr/>
        <w:spacing/>
        <w:ind/>
        <w:jc w:val="both"/>
        <w:rPr>
          <w:rFonts w:ascii="Calibri" w:hAnsi="Calibri" w:cs="Calibri"/>
        </w:rPr>
      </w:pPr>
      <w:r>
        <w:rPr>
          <w:rFonts w:ascii="Calibri" w:hAnsi="Calibri" w:cs="Calibri"/>
        </w:rPr>
        <w:t xml:space="preserve">Est considérée comme demi-journée de travail toute période se terminant avant 13 heures 30 ou débutant après 13 heures 30.</w:t>
      </w:r>
      <w:r>
        <w:rPr>
          <w:rFonts w:ascii="Calibri" w:hAnsi="Calibri" w:cs="Calibri"/>
        </w:rPr>
      </w:r>
      <w:r>
        <w:rPr>
          <w:rFonts w:ascii="Calibri" w:hAnsi="Calibri" w:cs="Calibri"/>
        </w:rPr>
      </w:r>
    </w:p>
    <w:p w14:paraId="3B5826D2"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3FD61830" w14:textId="77777777">
      <w:pPr>
        <w:pStyle w:val="895"/>
        <w:pBdr/>
        <w:spacing/>
        <w:ind/>
        <w:jc w:val="both"/>
        <w:rPr>
          <w:rFonts w:ascii="Calibri" w:hAnsi="Calibri" w:cs="Calibri"/>
        </w:rPr>
      </w:pPr>
      <w:r>
        <w:rPr>
          <w:rFonts w:ascii="Calibri" w:hAnsi="Calibri" w:cs="Calibri"/>
        </w:rPr>
        <w:t xml:space="preserve">Par principe, les salariés soumis à une convention de forfait en jours ne sont pas tenus de respecter une organisation précise de leurs horaires de travail, et ne sont pas soumis aux durées maximales de travail prévues à l’article 8 du présent accord.</w:t>
      </w:r>
      <w:r>
        <w:rPr>
          <w:rFonts w:ascii="Calibri" w:hAnsi="Calibri" w:cs="Calibri"/>
        </w:rPr>
      </w:r>
      <w:r>
        <w:rPr>
          <w:rFonts w:ascii="Calibri" w:hAnsi="Calibri" w:cs="Calibri"/>
        </w:rPr>
      </w:r>
    </w:p>
    <w:p w14:paraId="136AB15F"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7F234B5F" w14:textId="2D28DAFA">
      <w:pPr>
        <w:pStyle w:val="895"/>
        <w:pBdr/>
        <w:spacing/>
        <w:ind/>
        <w:jc w:val="both"/>
        <w:rPr>
          <w:rFonts w:ascii="Calibri" w:hAnsi="Calibri" w:cs="Calibri"/>
        </w:rPr>
      </w:pPr>
      <w:r>
        <w:rPr>
          <w:rFonts w:ascii="Calibri" w:hAnsi="Calibri" w:cs="Calibri"/>
        </w:rPr>
        <w:t xml:space="preserve">Un document mensuel de suivi est tenu et permet un suivi régulier, notamment des </w:t>
      </w:r>
      <w:r>
        <w:rPr>
          <w:rFonts w:ascii="Calibri" w:hAnsi="Calibri" w:cs="Calibri"/>
        </w:rPr>
        <w:t xml:space="preserve">JRS</w:t>
      </w:r>
      <w:r>
        <w:rPr>
          <w:rFonts w:ascii="Calibri" w:hAnsi="Calibri" w:cs="Calibri"/>
        </w:rPr>
        <w:t xml:space="preserve"> du salarié</w:t>
      </w:r>
      <w:r>
        <w:rPr>
          <w:rFonts w:ascii="Calibri" w:hAnsi="Calibri" w:cs="Calibri"/>
        </w:rPr>
        <w:t xml:space="preserve">,</w:t>
      </w:r>
      <w:r>
        <w:rPr>
          <w:rFonts w:ascii="Calibri" w:hAnsi="Calibri" w:cs="Calibri"/>
        </w:rPr>
        <w:t xml:space="preserve"> afin de favoriser la prise de l’ensemble de ces jours ainsi que des congés payés dans le courant de la période de référence. </w:t>
      </w:r>
      <w:r>
        <w:rPr>
          <w:rFonts w:ascii="Calibri" w:hAnsi="Calibri" w:cs="Calibri"/>
        </w:rPr>
      </w:r>
      <w:r>
        <w:rPr>
          <w:rFonts w:ascii="Calibri" w:hAnsi="Calibri" w:cs="Calibri"/>
        </w:rPr>
      </w:r>
    </w:p>
    <w:p w14:paraId="080F6EC1"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5318A3AD" w14:textId="5F7C55B1">
      <w:pPr>
        <w:pStyle w:val="895"/>
        <w:pBdr/>
        <w:spacing/>
        <w:ind/>
        <w:jc w:val="both"/>
        <w:rPr>
          <w:rFonts w:ascii="Calibri" w:hAnsi="Calibri" w:cs="Calibri"/>
        </w:rPr>
      </w:pPr>
      <w:r>
        <w:rPr>
          <w:rFonts w:ascii="Calibri" w:hAnsi="Calibri" w:cs="Calibri"/>
        </w:rPr>
        <w:t xml:space="preserve">Les </w:t>
      </w:r>
      <w:r>
        <w:rPr>
          <w:rFonts w:ascii="Calibri" w:hAnsi="Calibri" w:cs="Calibri"/>
        </w:rPr>
        <w:t xml:space="preserve">JRS</w:t>
      </w:r>
      <w:r>
        <w:rPr>
          <w:rFonts w:ascii="Calibri" w:hAnsi="Calibri" w:cs="Calibri"/>
        </w:rPr>
        <w:t xml:space="preserve"> peuvent être pris, d’un commun accord, par journées entières ou demi-journées, isolément ou regroupées, compte tenu des impératifs liés au poste occupé ainsi qu’au fonctionnement de la Société.</w:t>
      </w:r>
      <w:r>
        <w:rPr>
          <w:rFonts w:ascii="Calibri" w:hAnsi="Calibri" w:cs="Calibri"/>
        </w:rPr>
      </w:r>
      <w:r>
        <w:rPr>
          <w:rFonts w:ascii="Calibri" w:hAnsi="Calibri" w:cs="Calibri"/>
        </w:rPr>
      </w:r>
    </w:p>
    <w:p w14:paraId="734BFB36"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44F13EE1" w14:textId="4AA5CB28">
      <w:pPr>
        <w:pStyle w:val="895"/>
        <w:pBdr/>
        <w:spacing/>
        <w:ind/>
        <w:jc w:val="both"/>
        <w:rPr>
          <w:rFonts w:ascii="Calibri" w:hAnsi="Calibri" w:cs="Calibri"/>
        </w:rPr>
      </w:pPr>
      <w:r>
        <w:rPr>
          <w:rFonts w:ascii="Calibri" w:hAnsi="Calibri" w:cs="Calibri"/>
        </w:rPr>
        <w:t xml:space="preserve">A défaut d’accord entre les parties, les </w:t>
      </w:r>
      <w:r>
        <w:rPr>
          <w:rFonts w:ascii="Calibri" w:hAnsi="Calibri" w:cs="Calibri"/>
        </w:rPr>
        <w:t xml:space="preserve">JRS</w:t>
      </w:r>
      <w:r>
        <w:rPr>
          <w:rFonts w:ascii="Calibri" w:hAnsi="Calibri" w:cs="Calibri"/>
        </w:rPr>
        <w:t xml:space="preserve"> ainsi générés sont pris :</w:t>
      </w:r>
      <w:r>
        <w:rPr>
          <w:rFonts w:ascii="Calibri" w:hAnsi="Calibri" w:cs="Calibri"/>
        </w:rPr>
      </w:r>
      <w:r>
        <w:rPr>
          <w:rFonts w:ascii="Calibri" w:hAnsi="Calibri" w:cs="Calibri"/>
        </w:rPr>
      </w:r>
    </w:p>
    <w:p w14:paraId="760605BE"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60173937" w14:textId="77777777">
      <w:pPr>
        <w:pStyle w:val="895"/>
        <w:pBdr/>
        <w:spacing/>
        <w:ind/>
        <w:jc w:val="both"/>
        <w:rPr>
          <w:rFonts w:ascii="Calibri" w:hAnsi="Calibri" w:cs="Calibri"/>
        </w:rPr>
      </w:pPr>
      <w:r>
        <w:rPr>
          <w:rFonts w:ascii="Calibri" w:hAnsi="Calibri" w:cs="Calibri"/>
        </w:rPr>
        <w:t xml:space="preserve">•</w:t>
      </w:r>
      <w:r>
        <w:rPr>
          <w:rFonts w:ascii="Calibri" w:hAnsi="Calibri" w:cs="Calibri"/>
        </w:rPr>
        <w:tab/>
        <w:t xml:space="preserve">pour moitié sur proposition du salarié ;</w:t>
      </w:r>
      <w:r>
        <w:rPr>
          <w:rFonts w:ascii="Calibri" w:hAnsi="Calibri" w:cs="Calibri"/>
        </w:rPr>
      </w:r>
      <w:r>
        <w:rPr>
          <w:rFonts w:ascii="Calibri" w:hAnsi="Calibri" w:cs="Calibri"/>
        </w:rPr>
      </w:r>
    </w:p>
    <w:p w14:paraId="75FAE219" w14:textId="77777777">
      <w:pPr>
        <w:pStyle w:val="895"/>
        <w:pBdr/>
        <w:spacing/>
        <w:ind/>
        <w:jc w:val="both"/>
        <w:rPr>
          <w:rFonts w:ascii="Calibri" w:hAnsi="Calibri" w:cs="Calibri"/>
        </w:rPr>
      </w:pPr>
      <w:r>
        <w:rPr>
          <w:rFonts w:ascii="Calibri" w:hAnsi="Calibri" w:cs="Calibri"/>
        </w:rPr>
        <w:t xml:space="preserve">•</w:t>
      </w:r>
      <w:r>
        <w:rPr>
          <w:rFonts w:ascii="Calibri" w:hAnsi="Calibri" w:cs="Calibri"/>
        </w:rPr>
        <w:tab/>
        <w:t xml:space="preserve">pour l’autre moitié à l’initiative de l’Employeur.</w:t>
      </w:r>
      <w:r>
        <w:rPr>
          <w:rFonts w:ascii="Calibri" w:hAnsi="Calibri" w:cs="Calibri"/>
        </w:rPr>
      </w:r>
      <w:r>
        <w:rPr>
          <w:rFonts w:ascii="Calibri" w:hAnsi="Calibri" w:cs="Calibri"/>
        </w:rPr>
      </w:r>
    </w:p>
    <w:p w14:paraId="34C0C13C"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61C1E0DA" w14:textId="77777777">
      <w:pPr>
        <w:pStyle w:val="895"/>
        <w:pBdr/>
        <w:spacing/>
        <w:ind/>
        <w:jc w:val="both"/>
        <w:rPr>
          <w:rFonts w:ascii="Calibri" w:hAnsi="Calibri" w:cs="Calibri"/>
        </w:rPr>
      </w:pPr>
      <w:r>
        <w:rPr>
          <w:rFonts w:ascii="Calibri" w:hAnsi="Calibri" w:cs="Calibri"/>
        </w:rPr>
        <w:t xml:space="preserve">A cet effet, une répartition initiale peut être déterminée en début de chaque période de référence. </w:t>
      </w:r>
      <w:r>
        <w:rPr>
          <w:rFonts w:ascii="Calibri" w:hAnsi="Calibri" w:cs="Calibri"/>
        </w:rPr>
      </w:r>
      <w:r>
        <w:rPr>
          <w:rFonts w:ascii="Calibri" w:hAnsi="Calibri" w:cs="Calibri"/>
        </w:rPr>
      </w:r>
    </w:p>
    <w:p w14:paraId="65DC0507"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44B9C4B8" w14:textId="6708C342">
      <w:pPr>
        <w:pStyle w:val="895"/>
        <w:pBdr/>
        <w:spacing/>
        <w:ind/>
        <w:jc w:val="both"/>
        <w:rPr>
          <w:rFonts w:ascii="Calibri" w:hAnsi="Calibri" w:cs="Calibri"/>
        </w:rPr>
      </w:pPr>
      <w:r>
        <w:rPr>
          <w:rFonts w:ascii="Calibri" w:hAnsi="Calibri" w:cs="Calibri"/>
        </w:rPr>
        <w:t xml:space="preserve">En tou</w:t>
      </w:r>
      <w:r>
        <w:rPr>
          <w:rFonts w:ascii="Calibri" w:hAnsi="Calibri" w:cs="Calibri"/>
        </w:rPr>
        <w:t xml:space="preserve">s</w:t>
      </w:r>
      <w:r>
        <w:rPr>
          <w:rFonts w:ascii="Calibri" w:hAnsi="Calibri" w:cs="Calibri"/>
        </w:rPr>
        <w:t xml:space="preserve"> les cas, toute pose de </w:t>
      </w:r>
      <w:r>
        <w:rPr>
          <w:rFonts w:ascii="Calibri" w:hAnsi="Calibri" w:cs="Calibri"/>
        </w:rPr>
        <w:t xml:space="preserve">JRS</w:t>
      </w:r>
      <w:r>
        <w:rPr>
          <w:rFonts w:ascii="Calibri" w:hAnsi="Calibri" w:cs="Calibri"/>
        </w:rPr>
        <w:t xml:space="preserve"> aboutissant à une absence de plus d’une semaine calendaire est soumise à l’autorisation préalable de la société.</w:t>
      </w:r>
      <w:r>
        <w:rPr>
          <w:rFonts w:ascii="Calibri" w:hAnsi="Calibri" w:cs="Calibri"/>
        </w:rPr>
      </w:r>
      <w:r>
        <w:rPr>
          <w:rFonts w:ascii="Calibri" w:hAnsi="Calibri" w:cs="Calibri"/>
        </w:rPr>
      </w:r>
    </w:p>
    <w:p w14:paraId="25BCA541"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511C835B" w14:textId="77777777">
      <w:pPr>
        <w:pStyle w:val="895"/>
        <w:pBdr/>
        <w:spacing/>
        <w:ind/>
        <w:jc w:val="both"/>
        <w:rPr>
          <w:rFonts w:ascii="Calibri" w:hAnsi="Calibri" w:cs="Calibri"/>
        </w:rPr>
      </w:pPr>
      <w:r>
        <w:rPr>
          <w:rFonts w:ascii="Calibri" w:hAnsi="Calibri" w:cs="Calibri"/>
        </w:rPr>
        <w:t xml:space="preserve">En toute hypothèse, il est tenu compte de l'organisation de la Société et de la nécessité d'assurer le maintien de l’activité.</w:t>
      </w:r>
      <w:r>
        <w:rPr>
          <w:rFonts w:ascii="Calibri" w:hAnsi="Calibri" w:cs="Calibri"/>
        </w:rPr>
      </w:r>
      <w:r>
        <w:rPr>
          <w:rFonts w:ascii="Calibri" w:hAnsi="Calibri" w:cs="Calibri"/>
        </w:rPr>
      </w:r>
    </w:p>
    <w:p w14:paraId="4DE8249B"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5DD13363" w14:textId="77777777">
      <w:pPr>
        <w:pStyle w:val="895"/>
        <w:pBdr/>
        <w:spacing/>
        <w:ind/>
        <w:jc w:val="both"/>
        <w:rPr>
          <w:rFonts w:ascii="Calibri" w:hAnsi="Calibri" w:cs="Calibri"/>
        </w:rPr>
      </w:pPr>
      <w:r>
        <w:rPr>
          <w:rFonts w:ascii="Calibri" w:hAnsi="Calibri" w:cs="Calibri"/>
        </w:rPr>
        <w:t xml:space="preserve">En tout état de cause, la prise des jours de repos issus du forfait en jours doit être effective, sauf dans le cas visé à l'article L.3121-66 du Code du travail. </w:t>
      </w:r>
      <w:r>
        <w:rPr>
          <w:rFonts w:ascii="Calibri" w:hAnsi="Calibri" w:cs="Calibri"/>
        </w:rPr>
      </w:r>
      <w:r>
        <w:rPr>
          <w:rFonts w:ascii="Calibri" w:hAnsi="Calibri" w:cs="Calibri"/>
        </w:rPr>
      </w:r>
    </w:p>
    <w:p w14:paraId="3DAD3814"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394D2C4F" w14:textId="77777777">
      <w:pPr>
        <w:pStyle w:val="895"/>
        <w:pBdr/>
        <w:spacing/>
        <w:ind/>
        <w:jc w:val="both"/>
        <w:rPr>
          <w:rFonts w:ascii="Calibri" w:hAnsi="Calibri" w:cs="Calibri"/>
        </w:rPr>
      </w:pPr>
      <w:r>
        <w:rPr>
          <w:rFonts w:ascii="Calibri" w:hAnsi="Calibri" w:cs="Calibri"/>
        </w:rPr>
        <w:t xml:space="preserve">Les jours de repos supplémentaires doivent être pris au cours de la période de référence et ne sont pas reportables. </w:t>
      </w:r>
      <w:r>
        <w:rPr>
          <w:rFonts w:ascii="Calibri" w:hAnsi="Calibri" w:cs="Calibri"/>
        </w:rPr>
      </w:r>
      <w:r>
        <w:rPr>
          <w:rFonts w:ascii="Calibri" w:hAnsi="Calibri" w:cs="Calibri"/>
        </w:rPr>
      </w:r>
    </w:p>
    <w:p w14:paraId="60A9B2C1"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693B9112" w14:textId="0E0454F0">
      <w:pPr>
        <w:pStyle w:val="895"/>
        <w:pBdr/>
        <w:spacing/>
        <w:ind/>
        <w:jc w:val="both"/>
        <w:outlineLvl w:val="1"/>
        <w:rPr>
          <w:rFonts w:ascii="Calibri" w:hAnsi="Calibri" w:cs="Calibri"/>
          <w:b/>
          <w:bCs/>
          <w:u w:val="single"/>
        </w:rPr>
      </w:pPr>
      <w:r/>
      <w:bookmarkStart w:id="36" w:name="_Toc222407115"/>
      <w:r>
        <w:rPr>
          <w:rFonts w:ascii="Calibri" w:hAnsi="Calibri" w:cs="Calibri"/>
          <w:b/>
          <w:bCs/>
          <w:u w:val="single"/>
        </w:rPr>
        <w:t xml:space="preserve">ARTICLE </w:t>
      </w:r>
      <w:r>
        <w:rPr>
          <w:rFonts w:ascii="Calibri" w:hAnsi="Calibri" w:cs="Calibri"/>
          <w:b/>
          <w:bCs/>
          <w:u w:val="single"/>
        </w:rPr>
        <w:t xml:space="preserve">2</w:t>
      </w:r>
      <w:r>
        <w:rPr>
          <w:rFonts w:ascii="Calibri" w:hAnsi="Calibri" w:cs="Calibri"/>
          <w:b/>
          <w:bCs/>
          <w:u w:val="single"/>
        </w:rPr>
        <w:t xml:space="preserve">7</w:t>
      </w:r>
      <w:r>
        <w:rPr>
          <w:rFonts w:ascii="Calibri" w:hAnsi="Calibri" w:cs="Calibri"/>
          <w:b/>
          <w:bCs/>
          <w:u w:val="single"/>
        </w:rPr>
        <w:t xml:space="preserve"> – Le forfait en jours réduits</w:t>
      </w:r>
      <w:bookmarkEnd w:id="36"/>
      <w:r>
        <w:rPr>
          <w:rFonts w:ascii="Calibri" w:hAnsi="Calibri" w:cs="Calibri"/>
          <w:b/>
          <w:bCs/>
          <w:u w:val="single"/>
        </w:rPr>
      </w:r>
      <w:r>
        <w:rPr>
          <w:rFonts w:ascii="Calibri" w:hAnsi="Calibri" w:cs="Calibri"/>
          <w:b/>
          <w:bCs/>
          <w:u w:val="single"/>
        </w:rPr>
      </w:r>
    </w:p>
    <w:p w14:paraId="2D393C27"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07C56B21" w14:textId="7CD5229C">
      <w:pPr>
        <w:pStyle w:val="895"/>
        <w:pBdr/>
        <w:spacing/>
        <w:ind/>
        <w:jc w:val="both"/>
        <w:rPr>
          <w:rFonts w:ascii="Calibri" w:hAnsi="Calibri" w:cs="Calibri"/>
        </w:rPr>
      </w:pPr>
      <w:r>
        <w:rPr>
          <w:rFonts w:ascii="Calibri" w:hAnsi="Calibri" w:cs="Calibri"/>
        </w:rPr>
        <w:t xml:space="preserve">En accord avec le salarié, il est possible de conclure avec le salarié concerné une convention individuelle de forfait prévoyant un nombre de jours travaillés en deçà de 21</w:t>
      </w:r>
      <w:r>
        <w:rPr>
          <w:rFonts w:ascii="Calibri" w:hAnsi="Calibri" w:cs="Calibri"/>
        </w:rPr>
        <w:t xml:space="preserve">8</w:t>
      </w:r>
      <w:r>
        <w:rPr>
          <w:rFonts w:ascii="Calibri" w:hAnsi="Calibri" w:cs="Calibri"/>
        </w:rPr>
        <w:t xml:space="preserve"> jours.</w:t>
      </w:r>
      <w:r>
        <w:rPr>
          <w:rFonts w:ascii="Calibri" w:hAnsi="Calibri" w:cs="Calibri"/>
        </w:rPr>
      </w:r>
      <w:r>
        <w:rPr>
          <w:rFonts w:ascii="Calibri" w:hAnsi="Calibri" w:cs="Calibri"/>
        </w:rPr>
      </w:r>
    </w:p>
    <w:p w14:paraId="3BAB84FD"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7C014E8A" w14:textId="5637AD8A">
      <w:pPr>
        <w:pStyle w:val="895"/>
        <w:pBdr/>
        <w:spacing/>
        <w:ind/>
        <w:jc w:val="both"/>
        <w:rPr>
          <w:rFonts w:ascii="Calibri" w:hAnsi="Calibri" w:cs="Calibri"/>
        </w:rPr>
      </w:pPr>
      <w:r>
        <w:rPr>
          <w:rFonts w:ascii="Calibri" w:hAnsi="Calibri" w:cs="Calibri"/>
        </w:rPr>
        <w:t xml:space="preserve">Le salarié est alors rémunéré au prorata du nombre de jours fixé par sa convention de forfait, (étant précisé que sa rémunération couvre également les jours fériés) et sa charge de travail tient compte de la réduction convenue. </w:t>
      </w:r>
      <w:r>
        <w:rPr>
          <w:rFonts w:ascii="Calibri" w:hAnsi="Calibri" w:cs="Calibri"/>
        </w:rPr>
      </w:r>
      <w:r>
        <w:rPr>
          <w:rFonts w:ascii="Calibri" w:hAnsi="Calibri" w:cs="Calibri"/>
        </w:rPr>
      </w:r>
    </w:p>
    <w:p w14:paraId="777E70E1" w14:textId="77777777">
      <w:pPr>
        <w:pStyle w:val="895"/>
        <w:pBdr/>
        <w:spacing/>
        <w:ind/>
        <w:jc w:val="both"/>
        <w:rPr>
          <w:rFonts w:ascii="Calibri" w:hAnsi="Calibri" w:cs="Calibri"/>
          <w:b/>
          <w:bCs/>
          <w:u w:val="single"/>
        </w:rPr>
      </w:pPr>
      <w:r>
        <w:rPr>
          <w:rFonts w:ascii="Calibri" w:hAnsi="Calibri" w:cs="Calibri"/>
          <w:b/>
          <w:bCs/>
          <w:u w:val="single"/>
        </w:rPr>
      </w:r>
      <w:r>
        <w:rPr>
          <w:rFonts w:ascii="Calibri" w:hAnsi="Calibri" w:cs="Calibri"/>
          <w:b/>
          <w:bCs/>
          <w:u w:val="single"/>
        </w:rPr>
      </w:r>
      <w:r>
        <w:rPr>
          <w:rFonts w:ascii="Calibri" w:hAnsi="Calibri" w:cs="Calibri"/>
          <w:b/>
          <w:bCs/>
          <w:u w:val="single"/>
        </w:rPr>
      </w:r>
    </w:p>
    <w:p w14:paraId="3C148572" w14:textId="77777777">
      <w:pPr>
        <w:pBdr/>
        <w:spacing/>
        <w:ind/>
        <w:rPr>
          <w:rFonts w:ascii="Calibri" w:hAnsi="Calibri" w:cs="Calibri"/>
          <w:b/>
          <w:bCs/>
          <w:u w:val="single"/>
        </w:rPr>
      </w:pPr>
      <w:r/>
      <w:bookmarkStart w:id="37" w:name="_Toc222407116"/>
      <w:r>
        <w:rPr>
          <w:rFonts w:ascii="Calibri" w:hAnsi="Calibri" w:cs="Calibri"/>
          <w:b/>
          <w:bCs/>
          <w:u w:val="single"/>
        </w:rPr>
        <w:br w:type="page" w:clear="all"/>
      </w:r>
      <w:r>
        <w:rPr>
          <w:rFonts w:ascii="Calibri" w:hAnsi="Calibri" w:cs="Calibri"/>
          <w:b/>
          <w:bCs/>
          <w:u w:val="single"/>
        </w:rPr>
      </w:r>
      <w:r>
        <w:rPr>
          <w:rFonts w:ascii="Calibri" w:hAnsi="Calibri" w:cs="Calibri"/>
          <w:b/>
          <w:bCs/>
          <w:u w:val="single"/>
        </w:rPr>
      </w:r>
    </w:p>
    <w:p w14:paraId="592EFB58" w14:textId="3C023769">
      <w:pPr>
        <w:pStyle w:val="895"/>
        <w:pBdr/>
        <w:spacing/>
        <w:ind/>
        <w:jc w:val="both"/>
        <w:outlineLvl w:val="1"/>
        <w:rPr>
          <w:rFonts w:ascii="Calibri" w:hAnsi="Calibri" w:cs="Calibri"/>
          <w:b/>
          <w:bCs/>
          <w:u w:val="single"/>
        </w:rPr>
      </w:pPr>
      <w:r>
        <w:rPr>
          <w:rFonts w:ascii="Calibri" w:hAnsi="Calibri" w:cs="Calibri"/>
          <w:b/>
          <w:bCs/>
          <w:u w:val="single"/>
        </w:rPr>
        <w:t xml:space="preserve">ARTICLE </w:t>
      </w:r>
      <w:r>
        <w:rPr>
          <w:rFonts w:ascii="Calibri" w:hAnsi="Calibri" w:cs="Calibri"/>
          <w:b/>
          <w:bCs/>
          <w:u w:val="single"/>
        </w:rPr>
        <w:t xml:space="preserve">2</w:t>
      </w:r>
      <w:r>
        <w:rPr>
          <w:rFonts w:ascii="Calibri" w:hAnsi="Calibri" w:cs="Calibri"/>
          <w:b/>
          <w:bCs/>
          <w:u w:val="single"/>
        </w:rPr>
        <w:t xml:space="preserve">8</w:t>
      </w:r>
      <w:r>
        <w:rPr>
          <w:rFonts w:ascii="Calibri" w:hAnsi="Calibri" w:cs="Calibri"/>
          <w:b/>
          <w:bCs/>
          <w:u w:val="single"/>
        </w:rPr>
        <w:t xml:space="preserve"> - Garanties</w:t>
      </w:r>
      <w:bookmarkEnd w:id="37"/>
      <w:r>
        <w:rPr>
          <w:rFonts w:ascii="Calibri" w:hAnsi="Calibri" w:cs="Calibri"/>
          <w:b/>
          <w:bCs/>
          <w:u w:val="single"/>
        </w:rPr>
      </w:r>
      <w:r>
        <w:rPr>
          <w:rFonts w:ascii="Calibri" w:hAnsi="Calibri" w:cs="Calibri"/>
          <w:b/>
          <w:bCs/>
          <w:u w:val="single"/>
        </w:rPr>
      </w:r>
    </w:p>
    <w:p w14:paraId="7A6D3881"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4B1DAF63" w14:textId="5AA4BFB3">
      <w:pPr>
        <w:pStyle w:val="895"/>
        <w:pBdr/>
        <w:spacing/>
        <w:ind/>
        <w:jc w:val="both"/>
        <w:outlineLvl w:val="2"/>
        <w:rPr>
          <w:rFonts w:ascii="Calibri" w:hAnsi="Calibri" w:cs="Calibri"/>
          <w:b/>
          <w:bCs/>
        </w:rPr>
      </w:pPr>
      <w:r/>
      <w:bookmarkStart w:id="38" w:name="_Toc222407117"/>
      <w:r>
        <w:rPr>
          <w:rFonts w:ascii="Calibri" w:hAnsi="Calibri" w:cs="Calibri"/>
          <w:b/>
          <w:bCs/>
        </w:rPr>
        <w:t xml:space="preserve">28</w:t>
      </w:r>
      <w:r>
        <w:rPr>
          <w:rFonts w:ascii="Calibri" w:hAnsi="Calibri" w:cs="Calibri"/>
          <w:b/>
          <w:bCs/>
        </w:rPr>
        <w:t xml:space="preserve">.1. Temps de repos</w:t>
      </w:r>
      <w:bookmarkEnd w:id="38"/>
      <w:r>
        <w:rPr>
          <w:rFonts w:ascii="Calibri" w:hAnsi="Calibri" w:cs="Calibri"/>
          <w:b/>
          <w:bCs/>
        </w:rPr>
      </w:r>
      <w:r>
        <w:rPr>
          <w:rFonts w:ascii="Calibri" w:hAnsi="Calibri" w:cs="Calibri"/>
          <w:b/>
          <w:bCs/>
        </w:rPr>
      </w:r>
    </w:p>
    <w:p w14:paraId="4CDE52FD"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08228E94" w14:textId="1570DC79">
      <w:pPr>
        <w:pStyle w:val="895"/>
        <w:pBdr/>
        <w:spacing/>
        <w:ind/>
        <w:jc w:val="both"/>
        <w:rPr>
          <w:rFonts w:ascii="Calibri" w:hAnsi="Calibri" w:cs="Calibri"/>
          <w:u w:val="single"/>
        </w:rPr>
      </w:pPr>
      <w:r>
        <w:rPr>
          <w:rFonts w:ascii="Calibri" w:hAnsi="Calibri" w:cs="Calibri"/>
          <w:u w:val="single"/>
        </w:rPr>
        <w:t xml:space="preserve">28</w:t>
      </w:r>
      <w:r>
        <w:rPr>
          <w:rFonts w:ascii="Calibri" w:hAnsi="Calibri" w:cs="Calibri"/>
          <w:u w:val="single"/>
        </w:rPr>
        <w:t xml:space="preserve">.1.1. Repos quotidien</w:t>
      </w:r>
      <w:r>
        <w:rPr>
          <w:rFonts w:ascii="Calibri" w:hAnsi="Calibri" w:cs="Calibri"/>
          <w:u w:val="single"/>
        </w:rPr>
      </w:r>
      <w:r>
        <w:rPr>
          <w:rFonts w:ascii="Calibri" w:hAnsi="Calibri" w:cs="Calibri"/>
          <w:u w:val="single"/>
        </w:rPr>
      </w:r>
    </w:p>
    <w:p w14:paraId="30C46F00"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7AE3256B" w14:textId="77777777">
      <w:pPr>
        <w:pStyle w:val="895"/>
        <w:pBdr/>
        <w:spacing/>
        <w:ind/>
        <w:jc w:val="both"/>
        <w:rPr>
          <w:rFonts w:ascii="Calibri" w:hAnsi="Calibri" w:cs="Calibri"/>
        </w:rPr>
      </w:pPr>
      <w:r>
        <w:rPr>
          <w:rFonts w:ascii="Calibri" w:hAnsi="Calibri" w:cs="Calibri"/>
        </w:rPr>
        <w:t xml:space="preserve">En application des dispositions de l’article L.3131-1 du Code du travail, la durée du repos quotidien est </w:t>
      </w:r>
      <w:r>
        <w:rPr>
          <w:rFonts w:ascii="Calibri" w:hAnsi="Calibri" w:cs="Calibri"/>
        </w:rPr>
        <w:t xml:space="preserve">au minimum de 11 heures consécutives</w:t>
      </w:r>
      <w:r>
        <w:rPr>
          <w:rFonts w:ascii="Calibri" w:hAnsi="Calibri" w:cs="Calibri"/>
        </w:rPr>
        <w:t xml:space="preserve"> sauf dérogation dans les conditions fixées par les dispositions législatives et conventionnelles en vigueur.</w:t>
      </w:r>
      <w:r>
        <w:rPr>
          <w:rFonts w:ascii="Calibri" w:hAnsi="Calibri" w:cs="Calibri"/>
        </w:rPr>
      </w:r>
      <w:r>
        <w:rPr>
          <w:rFonts w:ascii="Calibri" w:hAnsi="Calibri" w:cs="Calibri"/>
        </w:rPr>
      </w:r>
    </w:p>
    <w:p w14:paraId="771F7294"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0C7B8996" w14:textId="77777777">
      <w:pPr>
        <w:pStyle w:val="895"/>
        <w:pBdr/>
        <w:spacing/>
        <w:ind/>
        <w:jc w:val="both"/>
        <w:rPr>
          <w:rFonts w:ascii="Calibri" w:hAnsi="Calibri" w:cs="Calibri"/>
        </w:rPr>
      </w:pPr>
      <w:r>
        <w:rPr>
          <w:rFonts w:ascii="Calibri" w:hAnsi="Calibri" w:cs="Calibri"/>
        </w:rPr>
        <w:t xml:space="preserve">L’amplitude de la journée de travail ne peut être supérieure à 13 heures.</w:t>
      </w:r>
      <w:r>
        <w:rPr>
          <w:rFonts w:ascii="Calibri" w:hAnsi="Calibri" w:cs="Calibri"/>
        </w:rPr>
      </w:r>
      <w:r>
        <w:rPr>
          <w:rFonts w:ascii="Calibri" w:hAnsi="Calibri" w:cs="Calibri"/>
        </w:rPr>
      </w:r>
    </w:p>
    <w:p w14:paraId="7A59EFAB"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674C6B74" w14:textId="750C7865">
      <w:pPr>
        <w:pStyle w:val="895"/>
        <w:pBdr/>
        <w:spacing/>
        <w:ind/>
        <w:jc w:val="both"/>
        <w:rPr>
          <w:rFonts w:ascii="Calibri" w:hAnsi="Calibri" w:cs="Calibri"/>
          <w:u w:val="single"/>
        </w:rPr>
      </w:pPr>
      <w:r>
        <w:rPr>
          <w:rFonts w:ascii="Calibri" w:hAnsi="Calibri" w:cs="Calibri"/>
          <w:u w:val="single"/>
        </w:rPr>
        <w:t xml:space="preserve">28</w:t>
      </w:r>
      <w:r>
        <w:rPr>
          <w:rFonts w:ascii="Calibri" w:hAnsi="Calibri" w:cs="Calibri"/>
          <w:u w:val="single"/>
        </w:rPr>
        <w:t xml:space="preserve">.1.2. Repos hebdomadaire</w:t>
      </w:r>
      <w:r>
        <w:rPr>
          <w:rFonts w:ascii="Calibri" w:hAnsi="Calibri" w:cs="Calibri"/>
          <w:u w:val="single"/>
        </w:rPr>
      </w:r>
      <w:r>
        <w:rPr>
          <w:rFonts w:ascii="Calibri" w:hAnsi="Calibri" w:cs="Calibri"/>
          <w:u w:val="single"/>
        </w:rPr>
      </w:r>
    </w:p>
    <w:p w14:paraId="79C3368D"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5110B143" w14:textId="31097CEC">
      <w:pPr>
        <w:pStyle w:val="895"/>
        <w:pBdr/>
        <w:spacing/>
        <w:ind/>
        <w:jc w:val="both"/>
        <w:rPr>
          <w:rFonts w:ascii="Calibri" w:hAnsi="Calibri" w:cs="Calibri"/>
        </w:rPr>
      </w:pPr>
      <w:r>
        <w:rPr>
          <w:rFonts w:ascii="Calibri" w:hAnsi="Calibri" w:cs="Calibri"/>
        </w:rPr>
        <w:t xml:space="preserve">En application des dispositions de l’article L.3132-2 du Code du travail, et bien que le temps de travail puisse être réparti su</w:t>
      </w:r>
      <w:r>
        <w:rPr>
          <w:rFonts w:ascii="Calibri" w:hAnsi="Calibri" w:cs="Calibri"/>
        </w:rPr>
        <w:t xml:space="preserve">r certains ou sur tous les jours ouvrables de la semaine, en journées ou demi-journées de travail, le salarié doit bénéficier d'un temps de repos hebdomadaire de 24 heures consécutives auxquelles s'ajoutent les heures de repos quotidien ci-dessus prévues. </w:t>
      </w:r>
      <w:r>
        <w:rPr>
          <w:rFonts w:ascii="Calibri" w:hAnsi="Calibri" w:cs="Calibri"/>
        </w:rPr>
      </w:r>
      <w:r>
        <w:rPr>
          <w:rFonts w:ascii="Calibri" w:hAnsi="Calibri" w:cs="Calibri"/>
        </w:rPr>
      </w:r>
    </w:p>
    <w:p w14:paraId="511ABE30"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09FF115B" w14:textId="0551CFB5">
      <w:pPr>
        <w:pStyle w:val="895"/>
        <w:pBdr/>
        <w:spacing/>
        <w:ind/>
        <w:jc w:val="both"/>
        <w:outlineLvl w:val="2"/>
        <w:rPr>
          <w:rFonts w:ascii="Calibri" w:hAnsi="Calibri" w:cs="Calibri"/>
          <w:b/>
          <w:bCs/>
        </w:rPr>
      </w:pPr>
      <w:r/>
      <w:bookmarkStart w:id="39" w:name="_Toc222407118"/>
      <w:r>
        <w:rPr>
          <w:rFonts w:ascii="Calibri" w:hAnsi="Calibri" w:cs="Calibri"/>
          <w:b/>
          <w:bCs/>
        </w:rPr>
        <w:t xml:space="preserve">28</w:t>
      </w:r>
      <w:r>
        <w:rPr>
          <w:rFonts w:ascii="Calibri" w:hAnsi="Calibri" w:cs="Calibri"/>
          <w:b/>
          <w:bCs/>
        </w:rPr>
        <w:t xml:space="preserve">.2. Suivi</w:t>
      </w:r>
      <w:bookmarkEnd w:id="39"/>
      <w:r>
        <w:rPr>
          <w:rFonts w:ascii="Calibri" w:hAnsi="Calibri" w:cs="Calibri"/>
          <w:b/>
          <w:bCs/>
        </w:rPr>
      </w:r>
      <w:r>
        <w:rPr>
          <w:rFonts w:ascii="Calibri" w:hAnsi="Calibri" w:cs="Calibri"/>
          <w:b/>
          <w:bCs/>
        </w:rPr>
      </w:r>
    </w:p>
    <w:p w14:paraId="19498257"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3419F283" w14:textId="77777777">
      <w:pPr>
        <w:pStyle w:val="895"/>
        <w:pBdr/>
        <w:spacing/>
        <w:ind/>
        <w:jc w:val="both"/>
        <w:rPr>
          <w:rFonts w:ascii="Calibri" w:hAnsi="Calibri" w:cs="Calibri"/>
        </w:rPr>
      </w:pPr>
      <w:r>
        <w:rPr>
          <w:rFonts w:ascii="Calibri" w:hAnsi="Calibri" w:cs="Calibri"/>
        </w:rPr>
        <w:t xml:space="preserve">L’amplitude et la charge de travail du salarié doivent rester raisonnables et assurer une bonne répartition, dans le temps, du travail de l’intéressé.</w:t>
      </w:r>
      <w:r>
        <w:rPr>
          <w:rFonts w:ascii="Calibri" w:hAnsi="Calibri" w:cs="Calibri"/>
        </w:rPr>
      </w:r>
      <w:r>
        <w:rPr>
          <w:rFonts w:ascii="Calibri" w:hAnsi="Calibri" w:cs="Calibri"/>
        </w:rPr>
      </w:r>
    </w:p>
    <w:p w14:paraId="62795A30"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6485D208" w14:textId="77777777">
      <w:pPr>
        <w:pStyle w:val="895"/>
        <w:pBdr/>
        <w:spacing/>
        <w:ind/>
        <w:jc w:val="both"/>
        <w:rPr>
          <w:rFonts w:ascii="Calibri" w:hAnsi="Calibri" w:cs="Calibri"/>
        </w:rPr>
      </w:pPr>
      <w:r>
        <w:rPr>
          <w:rFonts w:ascii="Calibri" w:hAnsi="Calibri" w:cs="Calibri"/>
        </w:rPr>
        <w:t xml:space="preserve">L’o</w:t>
      </w:r>
      <w:r>
        <w:rPr>
          <w:rFonts w:ascii="Calibri" w:hAnsi="Calibri" w:cs="Calibri"/>
        </w:rPr>
        <w:t xml:space="preserve">rganisation du travail fera l’objet d’un suivi régulier par la hiérarchie qui doit notamment veiller aux éventuelles surcharges de travail et favoriser la prise de l’ensemble des jours de repos et de congés payés dans le courant de la période de référence.</w:t>
      </w:r>
      <w:r>
        <w:rPr>
          <w:rFonts w:ascii="Calibri" w:hAnsi="Calibri" w:cs="Calibri"/>
        </w:rPr>
      </w:r>
      <w:r>
        <w:rPr>
          <w:rFonts w:ascii="Calibri" w:hAnsi="Calibri" w:cs="Calibri"/>
        </w:rPr>
      </w:r>
    </w:p>
    <w:p w14:paraId="7CD75AA3"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6CBD2855" w14:textId="77777777">
      <w:pPr>
        <w:pStyle w:val="895"/>
        <w:pBdr/>
        <w:spacing/>
        <w:ind/>
        <w:jc w:val="both"/>
        <w:rPr>
          <w:rFonts w:ascii="Calibri" w:hAnsi="Calibri" w:cs="Calibri"/>
        </w:rPr>
      </w:pPr>
      <w:r>
        <w:rPr>
          <w:rFonts w:ascii="Calibri" w:hAnsi="Calibri" w:cs="Calibri"/>
        </w:rPr>
        <w:t xml:space="preserve">A cet effet et dans le souci de prévenir les effets d'une charge</w:t>
      </w:r>
      <w:r>
        <w:rPr>
          <w:rFonts w:ascii="Calibri" w:hAnsi="Calibri" w:cs="Calibri"/>
        </w:rPr>
        <w:t xml:space="preserve"> de travail trop importante sur la santé, et afin de décompter le nombre de journées ou de demi-journées travaillées, ainsi que celui des journées ou demi-journées de repos prises, l'employeur est tenu d'établir un document de contrôle faisant apparaître :</w:t>
      </w:r>
      <w:r>
        <w:rPr>
          <w:rFonts w:ascii="Calibri" w:hAnsi="Calibri" w:cs="Calibri"/>
        </w:rPr>
      </w:r>
      <w:r>
        <w:rPr>
          <w:rFonts w:ascii="Calibri" w:hAnsi="Calibri" w:cs="Calibri"/>
        </w:rPr>
      </w:r>
    </w:p>
    <w:p w14:paraId="0F931EBE"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211A2FB1" w14:textId="21F0AD65">
      <w:pPr>
        <w:pStyle w:val="895"/>
        <w:numPr>
          <w:ilvl w:val="0"/>
          <w:numId w:val="1"/>
        </w:numPr>
        <w:pBdr/>
        <w:spacing/>
        <w:ind/>
        <w:jc w:val="both"/>
        <w:rPr>
          <w:rFonts w:ascii="Calibri" w:hAnsi="Calibri" w:cs="Calibri"/>
        </w:rPr>
      </w:pPr>
      <w:r>
        <w:rPr>
          <w:rFonts w:ascii="Calibri" w:hAnsi="Calibri" w:cs="Calibri"/>
        </w:rPr>
        <w:t xml:space="preserve">le</w:t>
      </w:r>
      <w:r>
        <w:rPr>
          <w:rFonts w:ascii="Calibri" w:hAnsi="Calibri" w:cs="Calibri"/>
        </w:rPr>
        <w:t xml:space="preserve"> nombre et la date des journées ou demi-journées travaillées, </w:t>
      </w:r>
      <w:r>
        <w:rPr>
          <w:rFonts w:ascii="Calibri" w:hAnsi="Calibri" w:cs="Calibri"/>
        </w:rPr>
      </w:r>
      <w:r>
        <w:rPr>
          <w:rFonts w:ascii="Calibri" w:hAnsi="Calibri" w:cs="Calibri"/>
        </w:rPr>
      </w:r>
    </w:p>
    <w:p w14:paraId="32E22943" w14:textId="0ECAEE3C">
      <w:pPr>
        <w:pStyle w:val="895"/>
        <w:numPr>
          <w:ilvl w:val="0"/>
          <w:numId w:val="1"/>
        </w:numPr>
        <w:pBdr/>
        <w:spacing/>
        <w:ind/>
        <w:jc w:val="both"/>
        <w:rPr>
          <w:rFonts w:ascii="Calibri" w:hAnsi="Calibri" w:cs="Calibri"/>
        </w:rPr>
      </w:pPr>
      <w:r>
        <w:rPr>
          <w:rFonts w:ascii="Calibri" w:hAnsi="Calibri" w:cs="Calibri"/>
        </w:rPr>
        <w:t xml:space="preserve">le</w:t>
      </w:r>
      <w:r>
        <w:rPr>
          <w:rFonts w:ascii="Calibri" w:hAnsi="Calibri" w:cs="Calibri"/>
        </w:rPr>
        <w:t xml:space="preserve"> positionnement des jours de repos,</w:t>
      </w:r>
      <w:r>
        <w:rPr>
          <w:rFonts w:ascii="Calibri" w:hAnsi="Calibri" w:cs="Calibri"/>
        </w:rPr>
      </w:r>
      <w:r>
        <w:rPr>
          <w:rFonts w:ascii="Calibri" w:hAnsi="Calibri" w:cs="Calibri"/>
        </w:rPr>
      </w:r>
    </w:p>
    <w:p w14:paraId="2955B7DF" w14:textId="48C3DDA5">
      <w:pPr>
        <w:pStyle w:val="895"/>
        <w:numPr>
          <w:ilvl w:val="0"/>
          <w:numId w:val="1"/>
        </w:numPr>
        <w:pBdr/>
        <w:spacing/>
        <w:ind/>
        <w:jc w:val="both"/>
        <w:rPr>
          <w:rFonts w:ascii="Calibri" w:hAnsi="Calibri" w:cs="Calibri"/>
        </w:rPr>
      </w:pPr>
      <w:r>
        <w:rPr>
          <w:rFonts w:ascii="Calibri" w:hAnsi="Calibri" w:cs="Calibri"/>
        </w:rPr>
        <w:t xml:space="preserve">la</w:t>
      </w:r>
      <w:r>
        <w:rPr>
          <w:rFonts w:ascii="Calibri" w:hAnsi="Calibri" w:cs="Calibri"/>
        </w:rPr>
        <w:t xml:space="preserve"> qualification des jours de repos en :</w:t>
      </w:r>
      <w:r>
        <w:rPr>
          <w:rFonts w:ascii="Calibri" w:hAnsi="Calibri" w:cs="Calibri"/>
        </w:rPr>
      </w:r>
      <w:r>
        <w:rPr>
          <w:rFonts w:ascii="Calibri" w:hAnsi="Calibri" w:cs="Calibri"/>
        </w:rPr>
      </w:r>
    </w:p>
    <w:p w14:paraId="587BB942" w14:textId="29D238ED">
      <w:pPr>
        <w:pStyle w:val="895"/>
        <w:numPr>
          <w:ilvl w:val="1"/>
          <w:numId w:val="1"/>
        </w:numPr>
        <w:pBdr/>
        <w:spacing/>
        <w:ind/>
        <w:jc w:val="both"/>
        <w:rPr>
          <w:rFonts w:ascii="Calibri" w:hAnsi="Calibri" w:cs="Calibri"/>
        </w:rPr>
      </w:pPr>
      <w:r>
        <w:rPr>
          <w:rFonts w:ascii="Calibri" w:hAnsi="Calibri" w:cs="Calibri"/>
        </w:rPr>
        <w:t xml:space="preserve">jours</w:t>
      </w:r>
      <w:r>
        <w:rPr>
          <w:rFonts w:ascii="Calibri" w:hAnsi="Calibri" w:cs="Calibri"/>
        </w:rPr>
        <w:t xml:space="preserve"> de repos hebdomadaire,</w:t>
      </w:r>
      <w:r>
        <w:rPr>
          <w:rFonts w:ascii="Calibri" w:hAnsi="Calibri" w:cs="Calibri"/>
        </w:rPr>
      </w:r>
      <w:r>
        <w:rPr>
          <w:rFonts w:ascii="Calibri" w:hAnsi="Calibri" w:cs="Calibri"/>
        </w:rPr>
      </w:r>
    </w:p>
    <w:p w14:paraId="1D7EEB40" w14:textId="20070859">
      <w:pPr>
        <w:pStyle w:val="895"/>
        <w:numPr>
          <w:ilvl w:val="1"/>
          <w:numId w:val="1"/>
        </w:numPr>
        <w:pBdr/>
        <w:spacing/>
        <w:ind/>
        <w:jc w:val="both"/>
        <w:rPr>
          <w:rFonts w:ascii="Calibri" w:hAnsi="Calibri" w:cs="Calibri"/>
        </w:rPr>
      </w:pPr>
      <w:r>
        <w:rPr>
          <w:rFonts w:ascii="Calibri" w:hAnsi="Calibri" w:cs="Calibri"/>
        </w:rPr>
        <w:t xml:space="preserve">jours</w:t>
      </w:r>
      <w:r>
        <w:rPr>
          <w:rFonts w:ascii="Calibri" w:hAnsi="Calibri" w:cs="Calibri"/>
        </w:rPr>
        <w:t xml:space="preserve"> ouvrés de congés payés légaux et/ou conventionnels,</w:t>
      </w:r>
      <w:r>
        <w:rPr>
          <w:rFonts w:ascii="Calibri" w:hAnsi="Calibri" w:cs="Calibri"/>
        </w:rPr>
      </w:r>
      <w:r>
        <w:rPr>
          <w:rFonts w:ascii="Calibri" w:hAnsi="Calibri" w:cs="Calibri"/>
        </w:rPr>
      </w:r>
    </w:p>
    <w:p w14:paraId="2913BAA9" w14:textId="2E197590">
      <w:pPr>
        <w:pStyle w:val="895"/>
        <w:numPr>
          <w:ilvl w:val="1"/>
          <w:numId w:val="1"/>
        </w:numPr>
        <w:pBdr/>
        <w:spacing/>
        <w:ind/>
        <w:jc w:val="both"/>
        <w:rPr>
          <w:rFonts w:ascii="Calibri" w:hAnsi="Calibri" w:cs="Calibri"/>
        </w:rPr>
      </w:pPr>
      <w:r>
        <w:rPr>
          <w:rFonts w:ascii="Calibri" w:hAnsi="Calibri" w:cs="Calibri"/>
        </w:rPr>
        <w:t xml:space="preserve">jours</w:t>
      </w:r>
      <w:r>
        <w:rPr>
          <w:rFonts w:ascii="Calibri" w:hAnsi="Calibri" w:cs="Calibri"/>
        </w:rPr>
        <w:t xml:space="preserve"> fériés chômés non positionnés dans les jours de repos hebdomadaire et de congés payés,</w:t>
      </w:r>
      <w:r>
        <w:rPr>
          <w:rFonts w:ascii="Calibri" w:hAnsi="Calibri" w:cs="Calibri"/>
        </w:rPr>
      </w:r>
      <w:r>
        <w:rPr>
          <w:rFonts w:ascii="Calibri" w:hAnsi="Calibri" w:cs="Calibri"/>
        </w:rPr>
      </w:r>
    </w:p>
    <w:p w14:paraId="74ECB903" w14:textId="3B53AB24">
      <w:pPr>
        <w:pStyle w:val="895"/>
        <w:numPr>
          <w:ilvl w:val="1"/>
          <w:numId w:val="1"/>
        </w:numPr>
        <w:pBdr/>
        <w:spacing/>
        <w:ind/>
        <w:jc w:val="both"/>
        <w:rPr>
          <w:rFonts w:ascii="Calibri" w:hAnsi="Calibri" w:cs="Calibri"/>
        </w:rPr>
      </w:pPr>
      <w:r>
        <w:rPr>
          <w:rFonts w:ascii="Calibri" w:hAnsi="Calibri" w:cs="Calibri"/>
        </w:rPr>
        <w:t xml:space="preserve">jours</w:t>
      </w:r>
      <w:r>
        <w:rPr>
          <w:rFonts w:ascii="Calibri" w:hAnsi="Calibri" w:cs="Calibri"/>
        </w:rPr>
        <w:t xml:space="preserve"> de repos liés au forfait jour</w:t>
      </w:r>
      <w:r>
        <w:rPr>
          <w:rFonts w:ascii="Calibri" w:hAnsi="Calibri" w:cs="Calibri"/>
        </w:rPr>
        <w:t xml:space="preserve">,</w:t>
      </w:r>
      <w:r>
        <w:rPr>
          <w:rFonts w:ascii="Calibri" w:hAnsi="Calibri" w:cs="Calibri"/>
        </w:rPr>
      </w:r>
      <w:r>
        <w:rPr>
          <w:rFonts w:ascii="Calibri" w:hAnsi="Calibri" w:cs="Calibri"/>
        </w:rPr>
      </w:r>
    </w:p>
    <w:p w14:paraId="38829D34"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05D5AA23" w14:textId="77777777">
      <w:pPr>
        <w:pStyle w:val="895"/>
        <w:pBdr/>
        <w:spacing/>
        <w:ind/>
        <w:jc w:val="both"/>
        <w:rPr>
          <w:rFonts w:ascii="Calibri" w:hAnsi="Calibri" w:cs="Calibri"/>
        </w:rPr>
      </w:pPr>
      <w:r>
        <w:rPr>
          <w:rFonts w:ascii="Calibri" w:hAnsi="Calibri" w:cs="Calibri"/>
        </w:rPr>
        <w:t xml:space="preserve">Ce document est tenu par le salarié sous la responsabilité de l'employeur.</w:t>
      </w:r>
      <w:r>
        <w:rPr>
          <w:rFonts w:ascii="Calibri" w:hAnsi="Calibri" w:cs="Calibri"/>
        </w:rPr>
      </w:r>
      <w:r>
        <w:rPr>
          <w:rFonts w:ascii="Calibri" w:hAnsi="Calibri" w:cs="Calibri"/>
        </w:rPr>
      </w:r>
    </w:p>
    <w:p w14:paraId="70ECB6CF"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442E28F2" w14:textId="77777777">
      <w:pPr>
        <w:pStyle w:val="895"/>
        <w:pBdr/>
        <w:spacing/>
        <w:ind/>
        <w:jc w:val="both"/>
        <w:rPr>
          <w:rFonts w:ascii="Calibri" w:hAnsi="Calibri" w:cs="Calibri"/>
        </w:rPr>
      </w:pPr>
      <w:r>
        <w:rPr>
          <w:rFonts w:ascii="Calibri" w:hAnsi="Calibri" w:cs="Calibri"/>
        </w:rPr>
        <w:t xml:space="preserve">Un espace relatif à la charge de travail devra être prévu dans le document de contrôle afin que le salarié puisse préciser s’il a bien bénéficié ou non de ses temps de repos et qu’il puisse y indiquer ses éventuelles difficultés.</w:t>
      </w:r>
      <w:r>
        <w:rPr>
          <w:rFonts w:ascii="Calibri" w:hAnsi="Calibri" w:cs="Calibri"/>
        </w:rPr>
      </w:r>
      <w:r>
        <w:rPr>
          <w:rFonts w:ascii="Calibri" w:hAnsi="Calibri" w:cs="Calibri"/>
        </w:rPr>
      </w:r>
    </w:p>
    <w:p w14:paraId="39E5AE98"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3B67DF86" w14:textId="77777777">
      <w:pPr>
        <w:pStyle w:val="895"/>
        <w:pBdr/>
        <w:spacing/>
        <w:ind/>
        <w:jc w:val="both"/>
        <w:rPr>
          <w:rFonts w:ascii="Calibri" w:hAnsi="Calibri" w:cs="Calibri"/>
        </w:rPr>
      </w:pPr>
      <w:r>
        <w:rPr>
          <w:rFonts w:ascii="Calibri" w:hAnsi="Calibri" w:cs="Calibri"/>
        </w:rPr>
        <w:t xml:space="preserve">Il revient à l'employeur ou son représentant d’analyser régulièrement les informations relatives au suivi des jours travaillés. </w:t>
      </w:r>
      <w:r>
        <w:rPr>
          <w:rFonts w:ascii="Calibri" w:hAnsi="Calibri" w:cs="Calibri"/>
        </w:rPr>
      </w:r>
      <w:r>
        <w:rPr>
          <w:rFonts w:ascii="Calibri" w:hAnsi="Calibri" w:cs="Calibri"/>
        </w:rPr>
      </w:r>
    </w:p>
    <w:p w14:paraId="1AF6FD83"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1068384D" w14:textId="77777777">
      <w:pPr>
        <w:pStyle w:val="895"/>
        <w:pBdr/>
        <w:spacing/>
        <w:ind/>
        <w:jc w:val="both"/>
        <w:rPr>
          <w:rFonts w:ascii="Calibri" w:hAnsi="Calibri" w:cs="Calibri"/>
        </w:rPr>
      </w:pPr>
      <w:r>
        <w:rPr>
          <w:rFonts w:ascii="Calibri" w:hAnsi="Calibri" w:cs="Calibri"/>
        </w:rPr>
        <w:t xml:space="preserve">S'il apparaît que la charge de travail et l'organisation du salarié révèlent une situation anormale, il reçoit le salarié concerné à un entretien, sans at</w:t>
      </w:r>
      <w:r>
        <w:rPr>
          <w:rFonts w:ascii="Calibri" w:hAnsi="Calibri" w:cs="Calibri"/>
        </w:rPr>
        <w:t xml:space="preserve">tendre les entretiens prévus ci-dessous, afin d'examiner avec lui l'organisation de son travail, sa charge de travail, l'amplitude de ses journées d'activité, et d'envisager toute solution permettant de traiter les difficultés qui auraient été identifiées.</w:t>
      </w:r>
      <w:r>
        <w:rPr>
          <w:rFonts w:ascii="Calibri" w:hAnsi="Calibri" w:cs="Calibri"/>
        </w:rPr>
      </w:r>
      <w:r>
        <w:rPr>
          <w:rFonts w:ascii="Calibri" w:hAnsi="Calibri" w:cs="Calibri"/>
        </w:rPr>
      </w:r>
    </w:p>
    <w:p w14:paraId="09448DCF"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2600FBA4" w14:textId="01BE3EFE">
      <w:pPr>
        <w:pStyle w:val="895"/>
        <w:pBdr/>
        <w:spacing/>
        <w:ind/>
        <w:jc w:val="both"/>
        <w:outlineLvl w:val="2"/>
        <w:rPr>
          <w:rFonts w:ascii="Calibri" w:hAnsi="Calibri" w:cs="Calibri"/>
          <w:b/>
          <w:bCs/>
        </w:rPr>
      </w:pPr>
      <w:r/>
      <w:bookmarkStart w:id="40" w:name="_Toc222407119"/>
      <w:r>
        <w:rPr>
          <w:rFonts w:ascii="Calibri" w:hAnsi="Calibri" w:cs="Calibri"/>
          <w:b/>
          <w:bCs/>
        </w:rPr>
        <w:t xml:space="preserve">28</w:t>
      </w:r>
      <w:r>
        <w:rPr>
          <w:rFonts w:ascii="Calibri" w:hAnsi="Calibri" w:cs="Calibri"/>
          <w:b/>
          <w:bCs/>
        </w:rPr>
        <w:t xml:space="preserve">.3. Dispositif d’alerte pour le salarié</w:t>
      </w:r>
      <w:bookmarkEnd w:id="40"/>
      <w:r>
        <w:rPr>
          <w:rFonts w:ascii="Calibri" w:hAnsi="Calibri" w:cs="Calibri"/>
          <w:b/>
          <w:bCs/>
        </w:rPr>
      </w:r>
      <w:r>
        <w:rPr>
          <w:rFonts w:ascii="Calibri" w:hAnsi="Calibri" w:cs="Calibri"/>
          <w:b/>
          <w:bCs/>
        </w:rPr>
      </w:r>
    </w:p>
    <w:p w14:paraId="0EC29A53"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5AA70A2A" w14:textId="77777777">
      <w:pPr>
        <w:pStyle w:val="895"/>
        <w:pBdr/>
        <w:spacing/>
        <w:ind/>
        <w:jc w:val="both"/>
        <w:rPr>
          <w:rFonts w:ascii="Calibri" w:hAnsi="Calibri" w:cs="Calibri"/>
        </w:rPr>
      </w:pPr>
      <w:r>
        <w:rPr>
          <w:rFonts w:ascii="Calibri" w:hAnsi="Calibri" w:cs="Calibri"/>
        </w:rPr>
        <w:t xml:space="preserve">Le cas échéant, il appartient au salarié de signaler à son supérieur hiérarchique toute difficu</w:t>
      </w:r>
      <w:r>
        <w:rPr>
          <w:rFonts w:ascii="Calibri" w:hAnsi="Calibri" w:cs="Calibri"/>
        </w:rPr>
        <w:t xml:space="preserve">lté qu’il rencontrerait dans l’organisation ou la charge de son travail et de solliciter un entretien auprès de lui en vue de déterminer les actions correctives appropriées, et ce sans attendre les entretiens prévus ci-dessous et sans qu’il s’y substitue. </w:t>
      </w:r>
      <w:r>
        <w:rPr>
          <w:rFonts w:ascii="Calibri" w:hAnsi="Calibri" w:cs="Calibri"/>
        </w:rPr>
      </w:r>
      <w:r>
        <w:rPr>
          <w:rFonts w:ascii="Calibri" w:hAnsi="Calibri" w:cs="Calibri"/>
        </w:rPr>
      </w:r>
    </w:p>
    <w:p w14:paraId="553DC6F2"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3E061C03" w14:textId="77777777">
      <w:pPr>
        <w:pStyle w:val="895"/>
        <w:pBdr/>
        <w:spacing/>
        <w:ind/>
        <w:jc w:val="both"/>
        <w:rPr>
          <w:rFonts w:ascii="Calibri" w:hAnsi="Calibri" w:cs="Calibri"/>
        </w:rPr>
      </w:pPr>
      <w:r>
        <w:rPr>
          <w:rFonts w:ascii="Calibri" w:hAnsi="Calibri" w:cs="Calibri"/>
        </w:rPr>
        <w:t xml:space="preserve">A cet effet, le salarié peut alerter</w:t>
      </w:r>
      <w:r>
        <w:rPr>
          <w:rFonts w:ascii="Calibri" w:hAnsi="Calibri" w:cs="Calibri"/>
        </w:rPr>
        <w:t xml:space="preserve"> sa hiérarchie à tout moment de l’année (par le biais du document de contrôle ou par tout autre moyen), s’il rencontre des difficultés dans l’exercice de ses fonctions liées à une surcharge de travail et à une impossibilité de respecter ses temps de repos.</w:t>
      </w:r>
      <w:r>
        <w:rPr>
          <w:rFonts w:ascii="Calibri" w:hAnsi="Calibri" w:cs="Calibri"/>
        </w:rPr>
      </w:r>
      <w:r>
        <w:rPr>
          <w:rFonts w:ascii="Calibri" w:hAnsi="Calibri" w:cs="Calibri"/>
        </w:rPr>
      </w:r>
    </w:p>
    <w:p w14:paraId="0B6D80BA"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02F006B0" w14:textId="77777777">
      <w:pPr>
        <w:pStyle w:val="895"/>
        <w:pBdr/>
        <w:spacing/>
        <w:ind/>
        <w:jc w:val="both"/>
        <w:rPr>
          <w:rFonts w:ascii="Calibri" w:hAnsi="Calibri" w:cs="Calibri"/>
        </w:rPr>
      </w:pPr>
      <w:r>
        <w:rPr>
          <w:rFonts w:ascii="Calibri" w:hAnsi="Calibri" w:cs="Calibri"/>
        </w:rPr>
        <w:t xml:space="preserve">Dans les meilleurs délais, et au plus tard 10 jours calendaires à compter de cette information, le supérieur hiérarchique (ou manager) reçoit en entretien le salarié en forfait jours concerné, et ce sans attendre les entret</w:t>
      </w:r>
      <w:r>
        <w:rPr>
          <w:rFonts w:ascii="Calibri" w:hAnsi="Calibri" w:cs="Calibri"/>
        </w:rPr>
        <w:t xml:space="preserve">iens prévus ci-dessous, afin d’examiner avec lui l'organisation de son travail, sa charge de travail, l'amplitude de ses journées d'activité, et, le cas échéant, d’envisager toute solution permettant de traiter les difficultés qui auraient été identifiées.</w:t>
      </w:r>
      <w:r>
        <w:rPr>
          <w:rFonts w:ascii="Calibri" w:hAnsi="Calibri" w:cs="Calibri"/>
        </w:rPr>
      </w:r>
      <w:r>
        <w:rPr>
          <w:rFonts w:ascii="Calibri" w:hAnsi="Calibri" w:cs="Calibri"/>
        </w:rPr>
      </w:r>
    </w:p>
    <w:p w14:paraId="4D3D3A5F"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40F51D57" w14:textId="331FD87B">
      <w:pPr>
        <w:pStyle w:val="895"/>
        <w:pBdr/>
        <w:spacing/>
        <w:ind/>
        <w:jc w:val="both"/>
        <w:outlineLvl w:val="2"/>
        <w:rPr>
          <w:rFonts w:ascii="Calibri" w:hAnsi="Calibri" w:cs="Calibri"/>
          <w:b/>
          <w:bCs/>
        </w:rPr>
      </w:pPr>
      <w:r/>
      <w:bookmarkStart w:id="41" w:name="_Toc222407120"/>
      <w:r>
        <w:rPr>
          <w:rFonts w:ascii="Calibri" w:hAnsi="Calibri" w:cs="Calibri"/>
          <w:b/>
          <w:bCs/>
        </w:rPr>
        <w:t xml:space="preserve">28</w:t>
      </w:r>
      <w:r>
        <w:rPr>
          <w:rFonts w:ascii="Calibri" w:hAnsi="Calibri" w:cs="Calibri"/>
          <w:b/>
          <w:bCs/>
        </w:rPr>
        <w:t xml:space="preserve">.4. Entretiens semestriels et annuels</w:t>
      </w:r>
      <w:bookmarkEnd w:id="41"/>
      <w:r>
        <w:rPr>
          <w:rFonts w:ascii="Calibri" w:hAnsi="Calibri" w:cs="Calibri"/>
          <w:b/>
          <w:bCs/>
        </w:rPr>
      </w:r>
      <w:r>
        <w:rPr>
          <w:rFonts w:ascii="Calibri" w:hAnsi="Calibri" w:cs="Calibri"/>
          <w:b/>
          <w:bCs/>
        </w:rPr>
      </w:r>
    </w:p>
    <w:p w14:paraId="16736062"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634557E8" w14:textId="77777777">
      <w:pPr>
        <w:pStyle w:val="895"/>
        <w:pBdr/>
        <w:spacing/>
        <w:ind/>
        <w:jc w:val="both"/>
        <w:rPr>
          <w:rFonts w:ascii="Calibri" w:hAnsi="Calibri" w:cs="Calibri"/>
        </w:rPr>
      </w:pPr>
      <w:r>
        <w:rPr>
          <w:rFonts w:ascii="Calibri" w:hAnsi="Calibri" w:cs="Calibri"/>
        </w:rPr>
        <w:t xml:space="preserve">Le salarié bénéficie annuellement d’un entretien avec son supérieur hiérarchique au cours duquel seront évoquées :</w:t>
      </w:r>
      <w:r>
        <w:rPr>
          <w:rFonts w:ascii="Calibri" w:hAnsi="Calibri" w:cs="Calibri"/>
        </w:rPr>
      </w:r>
      <w:r>
        <w:rPr>
          <w:rFonts w:ascii="Calibri" w:hAnsi="Calibri" w:cs="Calibri"/>
        </w:rPr>
      </w:r>
    </w:p>
    <w:p w14:paraId="764A43FB"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1A1EF92F" w14:textId="77777777">
      <w:pPr>
        <w:pStyle w:val="895"/>
        <w:pBdr/>
        <w:spacing/>
        <w:ind/>
        <w:jc w:val="both"/>
        <w:rPr>
          <w:rFonts w:ascii="Calibri" w:hAnsi="Calibri" w:cs="Calibri"/>
        </w:rPr>
      </w:pPr>
      <w:r>
        <w:rPr>
          <w:rFonts w:ascii="Calibri" w:hAnsi="Calibri" w:cs="Calibri"/>
        </w:rPr>
        <w:t xml:space="preserve">-</w:t>
      </w:r>
      <w:r>
        <w:rPr>
          <w:rFonts w:ascii="Calibri" w:hAnsi="Calibri" w:cs="Calibri"/>
        </w:rPr>
        <w:tab/>
        <w:t xml:space="preserve">l'organisation du travail dans la Société ;</w:t>
      </w:r>
      <w:r>
        <w:rPr>
          <w:rFonts w:ascii="Calibri" w:hAnsi="Calibri" w:cs="Calibri"/>
        </w:rPr>
      </w:r>
      <w:r>
        <w:rPr>
          <w:rFonts w:ascii="Calibri" w:hAnsi="Calibri" w:cs="Calibri"/>
        </w:rPr>
      </w:r>
    </w:p>
    <w:p w14:paraId="314A4370" w14:textId="77777777">
      <w:pPr>
        <w:pStyle w:val="895"/>
        <w:pBdr/>
        <w:spacing/>
        <w:ind/>
        <w:jc w:val="both"/>
        <w:rPr>
          <w:rFonts w:ascii="Calibri" w:hAnsi="Calibri" w:cs="Calibri"/>
        </w:rPr>
      </w:pPr>
      <w:r>
        <w:rPr>
          <w:rFonts w:ascii="Calibri" w:hAnsi="Calibri" w:cs="Calibri"/>
        </w:rPr>
        <w:t xml:space="preserve">-</w:t>
      </w:r>
      <w:r>
        <w:rPr>
          <w:rFonts w:ascii="Calibri" w:hAnsi="Calibri" w:cs="Calibri"/>
        </w:rPr>
        <w:tab/>
        <w:t xml:space="preserve">la charge de travail de l'intéressé ;</w:t>
      </w:r>
      <w:r>
        <w:rPr>
          <w:rFonts w:ascii="Calibri" w:hAnsi="Calibri" w:cs="Calibri"/>
        </w:rPr>
      </w:r>
      <w:r>
        <w:rPr>
          <w:rFonts w:ascii="Calibri" w:hAnsi="Calibri" w:cs="Calibri"/>
        </w:rPr>
      </w:r>
    </w:p>
    <w:p w14:paraId="0909DE7B" w14:textId="77777777">
      <w:pPr>
        <w:pStyle w:val="895"/>
        <w:pBdr/>
        <w:spacing/>
        <w:ind/>
        <w:jc w:val="both"/>
        <w:rPr>
          <w:rFonts w:ascii="Calibri" w:hAnsi="Calibri" w:cs="Calibri"/>
        </w:rPr>
      </w:pPr>
      <w:r>
        <w:rPr>
          <w:rFonts w:ascii="Calibri" w:hAnsi="Calibri" w:cs="Calibri"/>
        </w:rPr>
        <w:t xml:space="preserve">-</w:t>
      </w:r>
      <w:r>
        <w:rPr>
          <w:rFonts w:ascii="Calibri" w:hAnsi="Calibri" w:cs="Calibri"/>
        </w:rPr>
        <w:tab/>
        <w:t xml:space="preserve">l'amplitude de ses journées d'activité ;</w:t>
      </w:r>
      <w:r>
        <w:rPr>
          <w:rFonts w:ascii="Calibri" w:hAnsi="Calibri" w:cs="Calibri"/>
        </w:rPr>
      </w:r>
      <w:r>
        <w:rPr>
          <w:rFonts w:ascii="Calibri" w:hAnsi="Calibri" w:cs="Calibri"/>
        </w:rPr>
      </w:r>
    </w:p>
    <w:p w14:paraId="5AA8D066" w14:textId="77777777">
      <w:pPr>
        <w:pStyle w:val="895"/>
        <w:pBdr/>
        <w:spacing/>
        <w:ind/>
        <w:jc w:val="both"/>
        <w:rPr>
          <w:rFonts w:ascii="Calibri" w:hAnsi="Calibri" w:cs="Calibri"/>
        </w:rPr>
      </w:pPr>
      <w:r>
        <w:rPr>
          <w:rFonts w:ascii="Calibri" w:hAnsi="Calibri" w:cs="Calibri"/>
        </w:rPr>
        <w:t xml:space="preserve">-</w:t>
      </w:r>
      <w:r>
        <w:rPr>
          <w:rFonts w:ascii="Calibri" w:hAnsi="Calibri" w:cs="Calibri"/>
        </w:rPr>
        <w:tab/>
        <w:t xml:space="preserve">l'articulation entre son activité professionnelle et sa vie personnelle ;</w:t>
      </w:r>
      <w:r>
        <w:rPr>
          <w:rFonts w:ascii="Calibri" w:hAnsi="Calibri" w:cs="Calibri"/>
        </w:rPr>
      </w:r>
      <w:r>
        <w:rPr>
          <w:rFonts w:ascii="Calibri" w:hAnsi="Calibri" w:cs="Calibri"/>
        </w:rPr>
      </w:r>
    </w:p>
    <w:p w14:paraId="194FD058" w14:textId="77777777">
      <w:pPr>
        <w:pStyle w:val="895"/>
        <w:pBdr/>
        <w:spacing/>
        <w:ind/>
        <w:jc w:val="both"/>
        <w:rPr>
          <w:rFonts w:ascii="Calibri" w:hAnsi="Calibri" w:cs="Calibri"/>
        </w:rPr>
      </w:pPr>
      <w:r>
        <w:rPr>
          <w:rFonts w:ascii="Calibri" w:hAnsi="Calibri" w:cs="Calibri"/>
        </w:rPr>
        <w:t xml:space="preserve">-</w:t>
      </w:r>
      <w:r>
        <w:rPr>
          <w:rFonts w:ascii="Calibri" w:hAnsi="Calibri" w:cs="Calibri"/>
        </w:rPr>
        <w:tab/>
        <w:t xml:space="preserve">la rémunération du salarié.</w:t>
      </w:r>
      <w:r>
        <w:rPr>
          <w:rFonts w:ascii="Calibri" w:hAnsi="Calibri" w:cs="Calibri"/>
        </w:rPr>
      </w:r>
      <w:r>
        <w:rPr>
          <w:rFonts w:ascii="Calibri" w:hAnsi="Calibri" w:cs="Calibri"/>
        </w:rPr>
      </w:r>
    </w:p>
    <w:p w14:paraId="25F87A0A"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486EA2B4" w14:textId="77777777">
      <w:pPr>
        <w:pStyle w:val="895"/>
        <w:pBdr/>
        <w:spacing/>
        <w:ind/>
        <w:jc w:val="both"/>
        <w:rPr>
          <w:rFonts w:ascii="Calibri" w:hAnsi="Calibri" w:cs="Calibri"/>
        </w:rPr>
      </w:pPr>
      <w:r>
        <w:rPr>
          <w:rFonts w:ascii="Calibri" w:hAnsi="Calibri" w:cs="Calibri"/>
        </w:rPr>
        <w:t xml:space="preserve">Un entretien intermédiaire est également réalisé en cours d’année par le supérieur hiérarchique, pour s’assurer que la charge de travail des salariés reste raisonnable.</w:t>
      </w:r>
      <w:r>
        <w:rPr>
          <w:rFonts w:ascii="Calibri" w:hAnsi="Calibri" w:cs="Calibri"/>
        </w:rPr>
      </w:r>
      <w:r>
        <w:rPr>
          <w:rFonts w:ascii="Calibri" w:hAnsi="Calibri" w:cs="Calibri"/>
        </w:rPr>
      </w:r>
    </w:p>
    <w:p w14:paraId="5764C1C2"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4F6A1EAB" w14:textId="6C97CA8E">
      <w:pPr>
        <w:pStyle w:val="895"/>
        <w:pBdr/>
        <w:spacing/>
        <w:ind/>
        <w:jc w:val="both"/>
        <w:outlineLvl w:val="1"/>
        <w:rPr>
          <w:rFonts w:ascii="Calibri" w:hAnsi="Calibri" w:cs="Calibri"/>
          <w:b/>
          <w:bCs/>
          <w:u w:val="single"/>
        </w:rPr>
      </w:pPr>
      <w:r/>
      <w:bookmarkStart w:id="42" w:name="_Toc222407121"/>
      <w:r>
        <w:rPr>
          <w:rFonts w:ascii="Calibri" w:hAnsi="Calibri" w:cs="Calibri"/>
          <w:b/>
          <w:bCs/>
          <w:u w:val="single"/>
        </w:rPr>
        <w:t xml:space="preserve">ARTICLE </w:t>
      </w:r>
      <w:r>
        <w:rPr>
          <w:rFonts w:ascii="Calibri" w:hAnsi="Calibri" w:cs="Calibri"/>
          <w:b/>
          <w:bCs/>
          <w:u w:val="single"/>
        </w:rPr>
        <w:t xml:space="preserve">29</w:t>
      </w:r>
      <w:r>
        <w:rPr>
          <w:rFonts w:ascii="Calibri" w:hAnsi="Calibri" w:cs="Calibri"/>
          <w:b/>
          <w:bCs/>
          <w:u w:val="single"/>
        </w:rPr>
        <w:t xml:space="preserve"> - Rémunération</w:t>
      </w:r>
      <w:bookmarkEnd w:id="42"/>
      <w:r>
        <w:rPr>
          <w:rFonts w:ascii="Calibri" w:hAnsi="Calibri" w:cs="Calibri"/>
          <w:b/>
          <w:bCs/>
          <w:u w:val="single"/>
        </w:rPr>
      </w:r>
      <w:r>
        <w:rPr>
          <w:rFonts w:ascii="Calibri" w:hAnsi="Calibri" w:cs="Calibri"/>
          <w:b/>
          <w:bCs/>
          <w:u w:val="single"/>
        </w:rPr>
      </w:r>
    </w:p>
    <w:p w14:paraId="3527753E"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45C98D4F" w14:textId="77777777">
      <w:pPr>
        <w:pStyle w:val="895"/>
        <w:pBdr/>
        <w:spacing/>
        <w:ind/>
        <w:jc w:val="both"/>
        <w:rPr>
          <w:rFonts w:ascii="Calibri" w:hAnsi="Calibri" w:cs="Calibri"/>
        </w:rPr>
      </w:pPr>
      <w:r>
        <w:rPr>
          <w:rFonts w:ascii="Calibri" w:hAnsi="Calibri" w:cs="Calibri"/>
        </w:rPr>
        <w:t xml:space="preserve">La rémunération doit tenir compte des responsabilités confiées au salarié dans le cadre de sa fonction.</w:t>
      </w:r>
      <w:r>
        <w:rPr>
          <w:rFonts w:ascii="Calibri" w:hAnsi="Calibri" w:cs="Calibri"/>
        </w:rPr>
      </w:r>
      <w:r>
        <w:rPr>
          <w:rFonts w:ascii="Calibri" w:hAnsi="Calibri" w:cs="Calibri"/>
        </w:rPr>
      </w:r>
    </w:p>
    <w:p w14:paraId="603EFBF8"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6B5544FD" w14:textId="77777777">
      <w:pPr>
        <w:pStyle w:val="895"/>
        <w:pBdr/>
        <w:spacing/>
        <w:ind/>
        <w:jc w:val="both"/>
        <w:rPr>
          <w:rFonts w:ascii="Calibri" w:hAnsi="Calibri" w:cs="Calibri"/>
        </w:rPr>
      </w:pPr>
      <w:r>
        <w:rPr>
          <w:rFonts w:ascii="Calibri" w:hAnsi="Calibri" w:cs="Calibri"/>
        </w:rPr>
        <w:t xml:space="preserve">La rémunération forfaitaire mensuelle est indépendante du nombre d’heures de travail effectif accompli durant la période de paie considérée.</w:t>
      </w:r>
      <w:r>
        <w:rPr>
          <w:rFonts w:ascii="Calibri" w:hAnsi="Calibri" w:cs="Calibri"/>
        </w:rPr>
      </w:r>
      <w:r>
        <w:rPr>
          <w:rFonts w:ascii="Calibri" w:hAnsi="Calibri" w:cs="Calibri"/>
        </w:rPr>
      </w:r>
    </w:p>
    <w:p w14:paraId="41448D54"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5AE43159" w14:textId="068A8419">
      <w:pPr>
        <w:pStyle w:val="895"/>
        <w:pBdr/>
        <w:spacing/>
        <w:ind/>
        <w:jc w:val="both"/>
        <w:rPr>
          <w:rFonts w:ascii="Calibri" w:hAnsi="Calibri" w:cs="Calibri"/>
          <w:b/>
          <w:bCs/>
          <w:u w:val="single"/>
        </w:rPr>
      </w:pPr>
      <w:r>
        <w:rPr>
          <w:rFonts w:ascii="Calibri" w:hAnsi="Calibri" w:cs="Calibri"/>
        </w:rPr>
        <w:t xml:space="preserve">Le bulletin de paie mensuel doit faire apparaître que la rémunération est calculée selon un nombre annuel de jours de travail en précisant ce nombre.</w:t>
      </w:r>
      <w:r>
        <w:rPr>
          <w:rFonts w:ascii="Calibri" w:hAnsi="Calibri" w:cs="Calibri"/>
          <w:b/>
          <w:bCs/>
          <w:u w:val="single"/>
        </w:rPr>
      </w:r>
      <w:r>
        <w:rPr>
          <w:rFonts w:ascii="Calibri" w:hAnsi="Calibri" w:cs="Calibri"/>
          <w:b/>
          <w:bCs/>
          <w:u w:val="single"/>
        </w:rPr>
      </w:r>
    </w:p>
    <w:p w14:paraId="3C25261D" w14:textId="77777777">
      <w:pPr>
        <w:pStyle w:val="895"/>
        <w:pBdr/>
        <w:spacing/>
        <w:ind/>
        <w:jc w:val="both"/>
        <w:rPr>
          <w:rFonts w:ascii="Calibri" w:hAnsi="Calibri" w:cs="Calibri"/>
          <w:b/>
          <w:bCs/>
          <w:u w:val="single"/>
        </w:rPr>
      </w:pPr>
      <w:r>
        <w:rPr>
          <w:rFonts w:ascii="Calibri" w:hAnsi="Calibri" w:cs="Calibri"/>
          <w:b/>
          <w:bCs/>
          <w:u w:val="single"/>
        </w:rPr>
      </w:r>
      <w:r>
        <w:rPr>
          <w:rFonts w:ascii="Calibri" w:hAnsi="Calibri" w:cs="Calibri"/>
          <w:b/>
          <w:bCs/>
          <w:u w:val="single"/>
        </w:rPr>
      </w:r>
      <w:r>
        <w:rPr>
          <w:rFonts w:ascii="Calibri" w:hAnsi="Calibri" w:cs="Calibri"/>
          <w:b/>
          <w:bCs/>
          <w:u w:val="single"/>
        </w:rPr>
      </w:r>
    </w:p>
    <w:p w14:paraId="717236C9" w14:textId="7F460470">
      <w:pPr>
        <w:pStyle w:val="895"/>
        <w:pBdr/>
        <w:spacing/>
        <w:ind/>
        <w:jc w:val="both"/>
        <w:outlineLvl w:val="1"/>
        <w:rPr>
          <w:rFonts w:ascii="Calibri" w:hAnsi="Calibri" w:cs="Calibri"/>
          <w:b/>
          <w:bCs/>
          <w:u w:val="single"/>
        </w:rPr>
      </w:pPr>
      <w:r/>
      <w:bookmarkStart w:id="43" w:name="_Toc222407122"/>
      <w:r>
        <w:rPr>
          <w:rFonts w:ascii="Calibri" w:hAnsi="Calibri" w:cs="Calibri"/>
          <w:b/>
          <w:bCs/>
          <w:u w:val="single"/>
        </w:rPr>
        <w:t xml:space="preserve">ARTICLE  3</w:t>
      </w:r>
      <w:r>
        <w:rPr>
          <w:rFonts w:ascii="Calibri" w:hAnsi="Calibri" w:cs="Calibri"/>
          <w:b/>
          <w:bCs/>
          <w:u w:val="single"/>
        </w:rPr>
        <w:t xml:space="preserve">0</w:t>
      </w:r>
      <w:r>
        <w:rPr>
          <w:rFonts w:ascii="Calibri" w:hAnsi="Calibri" w:cs="Calibri"/>
          <w:b/>
          <w:bCs/>
          <w:u w:val="single"/>
        </w:rPr>
        <w:t xml:space="preserve"> – Renonciation à des jours de repos</w:t>
      </w:r>
      <w:bookmarkEnd w:id="43"/>
      <w:r>
        <w:rPr>
          <w:rFonts w:ascii="Calibri" w:hAnsi="Calibri" w:cs="Calibri"/>
          <w:b/>
          <w:bCs/>
          <w:u w:val="single"/>
        </w:rPr>
      </w:r>
      <w:r>
        <w:rPr>
          <w:rFonts w:ascii="Calibri" w:hAnsi="Calibri" w:cs="Calibri"/>
          <w:b/>
          <w:bCs/>
          <w:u w:val="single"/>
        </w:rPr>
      </w:r>
    </w:p>
    <w:p w14:paraId="45ACACAA"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0C68C21D" w14:textId="77777777">
      <w:pPr>
        <w:pStyle w:val="895"/>
        <w:pBdr/>
        <w:spacing/>
        <w:ind/>
        <w:jc w:val="both"/>
        <w:rPr>
          <w:rFonts w:ascii="Calibri" w:hAnsi="Calibri" w:cs="Calibri"/>
        </w:rPr>
      </w:pPr>
      <w:r>
        <w:rPr>
          <w:rFonts w:ascii="Calibri" w:hAnsi="Calibri" w:cs="Calibri"/>
        </w:rPr>
        <w:t xml:space="preserve">Le salarié qui le souhaite peut, en accord avec l’entreprise, renoncer à une partie de ses jours de repos supplémentaires en contrepartie d'une majoration de son salaire. </w:t>
      </w:r>
      <w:r>
        <w:rPr>
          <w:rFonts w:ascii="Calibri" w:hAnsi="Calibri" w:cs="Calibri"/>
        </w:rPr>
      </w:r>
      <w:r>
        <w:rPr>
          <w:rFonts w:ascii="Calibri" w:hAnsi="Calibri" w:cs="Calibri"/>
        </w:rPr>
      </w:r>
    </w:p>
    <w:p w14:paraId="29EB8989"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4C080CAF" w14:textId="77777777">
      <w:pPr>
        <w:pStyle w:val="895"/>
        <w:pBdr/>
        <w:spacing/>
        <w:ind/>
        <w:jc w:val="both"/>
        <w:rPr>
          <w:rFonts w:ascii="Calibri" w:hAnsi="Calibri" w:cs="Calibri"/>
        </w:rPr>
      </w:pPr>
      <w:r>
        <w:rPr>
          <w:rFonts w:ascii="Calibri" w:hAnsi="Calibri" w:cs="Calibri"/>
        </w:rPr>
        <w:t xml:space="preserve">Dans cette hypothèse, un avenant à la convention de forfait est établi entre le salarié et l’entreprise. </w:t>
      </w:r>
      <w:r>
        <w:rPr>
          <w:rFonts w:ascii="Calibri" w:hAnsi="Calibri" w:cs="Calibri"/>
        </w:rPr>
      </w:r>
      <w:r>
        <w:rPr>
          <w:rFonts w:ascii="Calibri" w:hAnsi="Calibri" w:cs="Calibri"/>
        </w:rPr>
      </w:r>
    </w:p>
    <w:p w14:paraId="6BDB6D17"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5BF4EB30" w14:textId="77777777">
      <w:pPr>
        <w:pStyle w:val="895"/>
        <w:pBdr/>
        <w:spacing/>
        <w:ind/>
        <w:jc w:val="both"/>
        <w:rPr>
          <w:rFonts w:ascii="Calibri" w:hAnsi="Calibri" w:cs="Calibri"/>
        </w:rPr>
      </w:pPr>
      <w:r>
        <w:rPr>
          <w:rFonts w:ascii="Calibri" w:hAnsi="Calibri" w:cs="Calibri"/>
        </w:rPr>
        <w:t xml:space="preserve">Il est précisé qu’en application des dispositions de l’article L.3121-59 du Code du travail, cet avenant est valable pour l’année en cours et ne peut être reconduit de manière tacite.</w:t>
      </w:r>
      <w:r>
        <w:rPr>
          <w:rFonts w:ascii="Calibri" w:hAnsi="Calibri" w:cs="Calibri"/>
        </w:rPr>
      </w:r>
      <w:r>
        <w:rPr>
          <w:rFonts w:ascii="Calibri" w:hAnsi="Calibri" w:cs="Calibri"/>
        </w:rPr>
      </w:r>
    </w:p>
    <w:p w14:paraId="5DEF7690"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46A46241" w14:textId="3F08A1EF">
      <w:pPr>
        <w:pStyle w:val="895"/>
        <w:pBdr/>
        <w:spacing/>
        <w:ind/>
        <w:jc w:val="both"/>
        <w:rPr>
          <w:rFonts w:ascii="Calibri" w:hAnsi="Calibri" w:cs="Calibri"/>
        </w:rPr>
      </w:pPr>
      <w:r>
        <w:rPr>
          <w:rFonts w:ascii="Calibri" w:hAnsi="Calibri" w:cs="Calibri"/>
        </w:rPr>
        <w:t xml:space="preserve">Le taux de majoration applicable à la rémunération en cas de renonciation est fixé à </w:t>
      </w:r>
      <w:r>
        <w:rPr>
          <w:rFonts w:ascii="Calibri" w:hAnsi="Calibri" w:cs="Calibri"/>
        </w:rPr>
        <w:t xml:space="preserve">10</w:t>
      </w:r>
      <w:r>
        <w:rPr>
          <w:rFonts w:ascii="Calibri" w:hAnsi="Calibri" w:cs="Calibri"/>
        </w:rPr>
        <w:t xml:space="preserve"> %. </w:t>
      </w:r>
      <w:r>
        <w:rPr>
          <w:rFonts w:ascii="Calibri" w:hAnsi="Calibri" w:cs="Calibri"/>
        </w:rPr>
      </w:r>
      <w:r>
        <w:rPr>
          <w:rFonts w:ascii="Calibri" w:hAnsi="Calibri" w:cs="Calibri"/>
        </w:rPr>
      </w:r>
    </w:p>
    <w:p w14:paraId="2B5A3FB1"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77F69C2D" w14:textId="77777777">
      <w:pPr>
        <w:pStyle w:val="895"/>
        <w:pBdr/>
        <w:spacing/>
        <w:ind/>
        <w:jc w:val="both"/>
        <w:rPr>
          <w:rFonts w:ascii="Calibri" w:hAnsi="Calibri" w:cs="Calibri"/>
        </w:rPr>
      </w:pPr>
      <w:r>
        <w:rPr>
          <w:rFonts w:ascii="Calibri" w:hAnsi="Calibri" w:cs="Calibri"/>
        </w:rPr>
        <w:t xml:space="preserve"> </w:t>
      </w:r>
      <w:r>
        <w:rPr>
          <w:rFonts w:ascii="Calibri" w:hAnsi="Calibri" w:cs="Calibri"/>
        </w:rPr>
      </w:r>
      <w:r>
        <w:rPr>
          <w:rFonts w:ascii="Calibri" w:hAnsi="Calibri" w:cs="Calibri"/>
        </w:rPr>
      </w:r>
    </w:p>
    <w:p w14:paraId="4B4494B7" w14:textId="77777777">
      <w:pPr>
        <w:pBdr/>
        <w:spacing/>
        <w:ind/>
        <w:rPr>
          <w:rFonts w:ascii="Calibri" w:hAnsi="Calibri" w:cs="Calibri"/>
          <w:b/>
          <w:bCs/>
          <w:u w:val="single"/>
        </w:rPr>
      </w:pPr>
      <w:r>
        <w:rPr>
          <w:rFonts w:ascii="Calibri" w:hAnsi="Calibri" w:cs="Calibri"/>
          <w:b/>
          <w:bCs/>
          <w:u w:val="single"/>
        </w:rPr>
        <w:br w:type="page" w:clear="all"/>
      </w:r>
      <w:r>
        <w:rPr>
          <w:rFonts w:ascii="Calibri" w:hAnsi="Calibri" w:cs="Calibri"/>
          <w:b/>
          <w:bCs/>
          <w:u w:val="single"/>
        </w:rPr>
      </w:r>
      <w:r>
        <w:rPr>
          <w:rFonts w:ascii="Calibri" w:hAnsi="Calibri" w:cs="Calibri"/>
          <w:b/>
          <w:bCs/>
          <w:u w:val="single"/>
        </w:rPr>
      </w:r>
    </w:p>
    <w:p w14:paraId="4AD25964" w14:textId="040EEA71">
      <w:pPr>
        <w:pStyle w:val="895"/>
        <w:pBdr/>
        <w:spacing/>
        <w:ind/>
        <w:jc w:val="both"/>
        <w:outlineLvl w:val="0"/>
        <w:rPr>
          <w:rFonts w:ascii="Calibri" w:hAnsi="Calibri" w:cs="Calibri"/>
          <w:b/>
          <w:bCs/>
          <w:sz w:val="28"/>
          <w:szCs w:val="28"/>
          <w:u w:val="single"/>
        </w:rPr>
      </w:pPr>
      <w:r/>
      <w:bookmarkStart w:id="44" w:name="_Toc222407123"/>
      <w:r>
        <w:rPr>
          <w:rFonts w:ascii="Calibri" w:hAnsi="Calibri" w:cs="Calibri"/>
          <w:b/>
          <w:bCs/>
          <w:sz w:val="28"/>
          <w:szCs w:val="28"/>
          <w:u w:val="single"/>
        </w:rPr>
        <w:t xml:space="preserve">CHAPITRE 5 : DISPOSITIONS FINALES</w:t>
      </w:r>
      <w:bookmarkEnd w:id="44"/>
      <w:r>
        <w:rPr>
          <w:rFonts w:ascii="Calibri" w:hAnsi="Calibri" w:cs="Calibri"/>
          <w:b/>
          <w:bCs/>
          <w:sz w:val="28"/>
          <w:szCs w:val="28"/>
          <w:u w:val="single"/>
        </w:rPr>
      </w:r>
      <w:r>
        <w:rPr>
          <w:rFonts w:ascii="Calibri" w:hAnsi="Calibri" w:cs="Calibri"/>
          <w:b/>
          <w:bCs/>
          <w:sz w:val="28"/>
          <w:szCs w:val="28"/>
          <w:u w:val="single"/>
        </w:rPr>
      </w:r>
    </w:p>
    <w:p w14:paraId="02BC32AA"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08F0555D" w14:textId="7B86D0FF">
      <w:pPr>
        <w:pStyle w:val="895"/>
        <w:pBdr/>
        <w:spacing/>
        <w:ind/>
        <w:jc w:val="both"/>
        <w:outlineLvl w:val="1"/>
        <w:rPr>
          <w:rFonts w:ascii="Calibri" w:hAnsi="Calibri" w:cs="Calibri"/>
          <w:b/>
          <w:bCs/>
          <w:u w:val="single"/>
        </w:rPr>
      </w:pPr>
      <w:r/>
      <w:bookmarkStart w:id="45" w:name="_Toc222407124"/>
      <w:r>
        <w:rPr>
          <w:rFonts w:ascii="Calibri" w:hAnsi="Calibri" w:cs="Calibri"/>
          <w:b/>
          <w:bCs/>
          <w:u w:val="single"/>
        </w:rPr>
        <w:t xml:space="preserve">ARTICLE 3</w:t>
      </w:r>
      <w:r>
        <w:rPr>
          <w:rFonts w:ascii="Calibri" w:hAnsi="Calibri" w:cs="Calibri"/>
          <w:b/>
          <w:bCs/>
          <w:u w:val="single"/>
        </w:rPr>
        <w:t xml:space="preserve">1</w:t>
      </w:r>
      <w:r>
        <w:rPr>
          <w:rFonts w:ascii="Calibri" w:hAnsi="Calibri" w:cs="Calibri"/>
          <w:b/>
          <w:bCs/>
          <w:u w:val="single"/>
        </w:rPr>
        <w:t xml:space="preserve"> – Durée et entrée en vigueur</w:t>
      </w:r>
      <w:bookmarkEnd w:id="45"/>
      <w:r>
        <w:rPr>
          <w:rFonts w:ascii="Calibri" w:hAnsi="Calibri" w:cs="Calibri"/>
          <w:b/>
          <w:bCs/>
          <w:u w:val="single"/>
        </w:rPr>
      </w:r>
      <w:r>
        <w:rPr>
          <w:rFonts w:ascii="Calibri" w:hAnsi="Calibri" w:cs="Calibri"/>
          <w:b/>
          <w:bCs/>
          <w:u w:val="single"/>
        </w:rPr>
      </w:r>
    </w:p>
    <w:p w14:paraId="07078DB5"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47D416B6" w14:textId="356FBEA7">
      <w:pPr>
        <w:pStyle w:val="895"/>
        <w:pBdr/>
        <w:spacing/>
        <w:ind/>
        <w:jc w:val="both"/>
        <w:rPr>
          <w:rFonts w:ascii="Calibri" w:hAnsi="Calibri" w:cs="Calibri"/>
        </w:rPr>
      </w:pPr>
      <w:r>
        <w:rPr>
          <w:rFonts w:ascii="Calibri" w:hAnsi="Calibri" w:cs="Calibri"/>
        </w:rPr>
        <w:t xml:space="preserve">Le présent accord, conclu pour une durée indéterminée, entre en vigueur le 1er mars </w:t>
      </w:r>
      <w:r>
        <w:rPr>
          <w:rFonts w:ascii="Calibri" w:hAnsi="Calibri" w:cs="Calibri"/>
        </w:rPr>
        <w:t xml:space="preserve">2026.</w:t>
      </w:r>
      <w:r>
        <w:rPr>
          <w:rFonts w:ascii="Calibri" w:hAnsi="Calibri" w:cs="Calibri"/>
        </w:rPr>
      </w:r>
      <w:r>
        <w:rPr>
          <w:rFonts w:ascii="Calibri" w:hAnsi="Calibri" w:cs="Calibri"/>
        </w:rPr>
      </w:r>
    </w:p>
    <w:p w14:paraId="2E781704"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5017D1AA" w14:textId="3720CA2D">
      <w:pPr>
        <w:pStyle w:val="895"/>
        <w:pBdr/>
        <w:spacing/>
        <w:ind/>
        <w:jc w:val="both"/>
        <w:outlineLvl w:val="1"/>
        <w:rPr>
          <w:rFonts w:ascii="Calibri" w:hAnsi="Calibri" w:cs="Calibri"/>
          <w:b/>
          <w:bCs/>
          <w:u w:val="single"/>
        </w:rPr>
      </w:pPr>
      <w:r/>
      <w:bookmarkStart w:id="46" w:name="_Toc222407125"/>
      <w:r>
        <w:rPr>
          <w:rFonts w:ascii="Calibri" w:hAnsi="Calibri" w:cs="Calibri"/>
          <w:b/>
          <w:bCs/>
          <w:u w:val="single"/>
        </w:rPr>
        <w:t xml:space="preserve">ARTICLE </w:t>
      </w:r>
      <w:r>
        <w:rPr>
          <w:rFonts w:ascii="Calibri" w:hAnsi="Calibri" w:cs="Calibri"/>
          <w:b/>
          <w:bCs/>
          <w:u w:val="single"/>
        </w:rPr>
        <w:t xml:space="preserve">3</w:t>
      </w:r>
      <w:r>
        <w:rPr>
          <w:rFonts w:ascii="Calibri" w:hAnsi="Calibri" w:cs="Calibri"/>
          <w:b/>
          <w:bCs/>
          <w:u w:val="single"/>
        </w:rPr>
        <w:t xml:space="preserve">2</w:t>
      </w:r>
      <w:r>
        <w:rPr>
          <w:rFonts w:ascii="Calibri" w:hAnsi="Calibri" w:cs="Calibri"/>
          <w:b/>
          <w:bCs/>
          <w:u w:val="single"/>
        </w:rPr>
        <w:t xml:space="preserve"> </w:t>
      </w:r>
      <w:r>
        <w:rPr>
          <w:rFonts w:ascii="Calibri" w:hAnsi="Calibri" w:cs="Calibri"/>
          <w:b/>
          <w:bCs/>
          <w:u w:val="single"/>
        </w:rPr>
        <w:t xml:space="preserve">– Suivi de l’accord et clause de rendez-vous</w:t>
      </w:r>
      <w:bookmarkEnd w:id="46"/>
      <w:r>
        <w:rPr>
          <w:rFonts w:ascii="Calibri" w:hAnsi="Calibri" w:cs="Calibri"/>
          <w:b/>
          <w:bCs/>
          <w:u w:val="single"/>
        </w:rPr>
      </w:r>
      <w:r>
        <w:rPr>
          <w:rFonts w:ascii="Calibri" w:hAnsi="Calibri" w:cs="Calibri"/>
          <w:b/>
          <w:bCs/>
          <w:u w:val="single"/>
        </w:rPr>
      </w:r>
    </w:p>
    <w:p w14:paraId="3CD33F19"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0F2881D8" w14:textId="77777777">
      <w:pPr>
        <w:pStyle w:val="895"/>
        <w:pBdr/>
        <w:spacing/>
        <w:ind/>
        <w:jc w:val="both"/>
        <w:rPr>
          <w:rFonts w:ascii="Calibri" w:hAnsi="Calibri" w:cs="Calibri"/>
        </w:rPr>
      </w:pPr>
      <w:r>
        <w:rPr>
          <w:rFonts w:ascii="Calibri" w:hAnsi="Calibri" w:cs="Calibri"/>
        </w:rPr>
        <w:t xml:space="preserve">L’application du présent accord est </w:t>
      </w:r>
      <w:r>
        <w:rPr>
          <w:rFonts w:ascii="Calibri" w:hAnsi="Calibri" w:cs="Calibri"/>
        </w:rPr>
        <w:t xml:space="preserve">suivie</w:t>
      </w:r>
      <w:r>
        <w:rPr>
          <w:rFonts w:ascii="Calibri" w:hAnsi="Calibri" w:cs="Calibri"/>
        </w:rPr>
        <w:t xml:space="preserve"> par une commission de suivi composée de l’employeur ou son représentant et de deux membres du Comité Social et Économique volontaires (un représentant la catégorie professionnelle non-cadre, l’autre représentant la catégorie professionnelle cadre).</w:t>
      </w:r>
      <w:r>
        <w:rPr>
          <w:rFonts w:ascii="Calibri" w:hAnsi="Calibri" w:cs="Calibri"/>
        </w:rPr>
      </w:r>
      <w:r>
        <w:rPr>
          <w:rFonts w:ascii="Calibri" w:hAnsi="Calibri" w:cs="Calibri"/>
        </w:rPr>
      </w:r>
    </w:p>
    <w:p w14:paraId="2009F431"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38E9C289" w14:textId="77777777">
      <w:pPr>
        <w:pStyle w:val="895"/>
        <w:pBdr/>
        <w:spacing/>
        <w:ind/>
        <w:jc w:val="both"/>
        <w:rPr>
          <w:rFonts w:ascii="Calibri" w:hAnsi="Calibri" w:cs="Calibri"/>
        </w:rPr>
      </w:pPr>
      <w:r>
        <w:rPr>
          <w:rFonts w:ascii="Calibri" w:hAnsi="Calibri" w:cs="Calibri"/>
        </w:rPr>
        <w:t xml:space="preserve">La commission se réuni une fois par an. A la demande de l'une des parties, la commission peut se réunir de manière exceptionnelle.</w:t>
      </w:r>
      <w:r>
        <w:rPr>
          <w:rFonts w:ascii="Calibri" w:hAnsi="Calibri" w:cs="Calibri"/>
        </w:rPr>
      </w:r>
      <w:r>
        <w:rPr>
          <w:rFonts w:ascii="Calibri" w:hAnsi="Calibri" w:cs="Calibri"/>
        </w:rPr>
      </w:r>
    </w:p>
    <w:p w14:paraId="7AD8C73A"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695FE485" w14:textId="77777777">
      <w:pPr>
        <w:pStyle w:val="895"/>
        <w:pBdr/>
        <w:spacing/>
        <w:ind/>
        <w:jc w:val="both"/>
        <w:rPr>
          <w:rFonts w:ascii="Calibri" w:hAnsi="Calibri" w:cs="Calibri"/>
        </w:rPr>
      </w:pPr>
      <w:r>
        <w:rPr>
          <w:rFonts w:ascii="Calibri" w:hAnsi="Calibri" w:cs="Calibri"/>
        </w:rPr>
        <w:t xml:space="preserve">Cette commission a pour mission de suivre la bonne application du présent accord et de rechercher toute solution aux difficultés qui pourraient naître de son interprétation.</w:t>
      </w:r>
      <w:r>
        <w:rPr>
          <w:rFonts w:ascii="Calibri" w:hAnsi="Calibri" w:cs="Calibri"/>
        </w:rPr>
      </w:r>
      <w:r>
        <w:rPr>
          <w:rFonts w:ascii="Calibri" w:hAnsi="Calibri" w:cs="Calibri"/>
        </w:rPr>
      </w:r>
    </w:p>
    <w:p w14:paraId="1ECEA440"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787FEE3C" w14:textId="46FA7396">
      <w:pPr>
        <w:pStyle w:val="895"/>
        <w:pBdr/>
        <w:spacing/>
        <w:ind/>
        <w:jc w:val="both"/>
        <w:outlineLvl w:val="1"/>
        <w:rPr>
          <w:rFonts w:ascii="Calibri" w:hAnsi="Calibri" w:cs="Calibri"/>
          <w:b/>
          <w:bCs/>
          <w:u w:val="single"/>
        </w:rPr>
      </w:pPr>
      <w:r/>
      <w:bookmarkStart w:id="47" w:name="_Toc222407126"/>
      <w:r>
        <w:rPr>
          <w:rFonts w:ascii="Calibri" w:hAnsi="Calibri" w:cs="Calibri"/>
          <w:b/>
          <w:bCs/>
          <w:u w:val="single"/>
        </w:rPr>
        <w:t xml:space="preserve">ARTICLE </w:t>
      </w:r>
      <w:r>
        <w:rPr>
          <w:rFonts w:ascii="Calibri" w:hAnsi="Calibri" w:cs="Calibri"/>
          <w:b/>
          <w:bCs/>
          <w:u w:val="single"/>
        </w:rPr>
        <w:t xml:space="preserve">3</w:t>
      </w:r>
      <w:r>
        <w:rPr>
          <w:rFonts w:ascii="Calibri" w:hAnsi="Calibri" w:cs="Calibri"/>
          <w:b/>
          <w:bCs/>
          <w:u w:val="single"/>
        </w:rPr>
        <w:t xml:space="preserve">3</w:t>
      </w:r>
      <w:r>
        <w:rPr>
          <w:rFonts w:ascii="Calibri" w:hAnsi="Calibri" w:cs="Calibri"/>
          <w:b/>
          <w:bCs/>
          <w:u w:val="single"/>
        </w:rPr>
        <w:t xml:space="preserve"> </w:t>
      </w:r>
      <w:r>
        <w:rPr>
          <w:rFonts w:ascii="Calibri" w:hAnsi="Calibri" w:cs="Calibri"/>
          <w:b/>
          <w:bCs/>
          <w:u w:val="single"/>
        </w:rPr>
        <w:t xml:space="preserve">– Révision</w:t>
      </w:r>
      <w:bookmarkEnd w:id="47"/>
      <w:r>
        <w:rPr>
          <w:rFonts w:ascii="Calibri" w:hAnsi="Calibri" w:cs="Calibri"/>
          <w:b/>
          <w:bCs/>
          <w:u w:val="single"/>
        </w:rPr>
      </w:r>
      <w:r>
        <w:rPr>
          <w:rFonts w:ascii="Calibri" w:hAnsi="Calibri" w:cs="Calibri"/>
          <w:b/>
          <w:bCs/>
          <w:u w:val="single"/>
        </w:rPr>
      </w:r>
    </w:p>
    <w:p w14:paraId="5EE35C78"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535F5E5B" w14:textId="77777777">
      <w:pPr>
        <w:pStyle w:val="895"/>
        <w:pBdr/>
        <w:spacing/>
        <w:ind/>
        <w:jc w:val="both"/>
        <w:rPr>
          <w:rFonts w:ascii="Calibri" w:hAnsi="Calibri" w:cs="Calibri"/>
        </w:rPr>
      </w:pPr>
      <w:r>
        <w:rPr>
          <w:rFonts w:ascii="Calibri" w:hAnsi="Calibri" w:cs="Calibri"/>
        </w:rPr>
        <w:t xml:space="preserve">Le présent accord est susceptible de faire l’objet de révision, notamment en cas d’évolution des dispositions législatives, réglementaires ou conventionnelles qui nécessiteraient l’adaptation de l’une ou plusieurs de ses dispositions.</w:t>
      </w:r>
      <w:r>
        <w:rPr>
          <w:rFonts w:ascii="Calibri" w:hAnsi="Calibri" w:cs="Calibri"/>
        </w:rPr>
      </w:r>
      <w:r>
        <w:rPr>
          <w:rFonts w:ascii="Calibri" w:hAnsi="Calibri" w:cs="Calibri"/>
        </w:rPr>
      </w:r>
    </w:p>
    <w:p w14:paraId="0CB39F14"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61EA89D2" w14:textId="77777777">
      <w:pPr>
        <w:pStyle w:val="895"/>
        <w:pBdr/>
        <w:spacing/>
        <w:ind/>
        <w:jc w:val="both"/>
        <w:rPr>
          <w:rFonts w:ascii="Calibri" w:hAnsi="Calibri" w:cs="Calibri"/>
        </w:rPr>
      </w:pPr>
      <w:r>
        <w:rPr>
          <w:rFonts w:ascii="Calibri" w:hAnsi="Calibri" w:cs="Calibri"/>
        </w:rPr>
        <w:t xml:space="preserve">L’accord doit être révisé selon les dispositions légales en vigueur.</w:t>
      </w:r>
      <w:r>
        <w:rPr>
          <w:rFonts w:ascii="Calibri" w:hAnsi="Calibri" w:cs="Calibri"/>
        </w:rPr>
      </w:r>
      <w:r>
        <w:rPr>
          <w:rFonts w:ascii="Calibri" w:hAnsi="Calibri" w:cs="Calibri"/>
        </w:rPr>
      </w:r>
    </w:p>
    <w:p w14:paraId="7DB62908"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50511FC0" w14:textId="77777777">
      <w:pPr>
        <w:pStyle w:val="895"/>
        <w:pBdr/>
        <w:spacing/>
        <w:ind/>
        <w:jc w:val="both"/>
        <w:rPr>
          <w:rFonts w:ascii="Calibri" w:hAnsi="Calibri" w:cs="Calibri"/>
        </w:rPr>
      </w:pPr>
      <w:r>
        <w:rPr>
          <w:rFonts w:ascii="Calibri" w:hAnsi="Calibri" w:cs="Calibri"/>
        </w:rPr>
        <w:t xml:space="preserve">Les dispositions de l’avenant portant révision se substituent de plein droit à celles du présent accord qu’elles</w:t>
      </w:r>
      <w:r>
        <w:rPr>
          <w:rFonts w:ascii="Calibri" w:hAnsi="Calibri" w:cs="Calibri"/>
        </w:rPr>
        <w:t xml:space="preserve"> modifient, et sont opposables aux parties signataires et adhérentes du présent accord, ainsi qu’aux bénéficiaires de cet accord, soit à la date qui aura été expressément convenue dans l’avenant, soit, à défaut, à partir du jour qui suivra son dépôt légal.</w:t>
      </w:r>
      <w:r>
        <w:rPr>
          <w:rFonts w:ascii="Calibri" w:hAnsi="Calibri" w:cs="Calibri"/>
        </w:rPr>
      </w:r>
      <w:r>
        <w:rPr>
          <w:rFonts w:ascii="Calibri" w:hAnsi="Calibri" w:cs="Calibri"/>
        </w:rPr>
      </w:r>
    </w:p>
    <w:p w14:paraId="533BEEBA"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3D423794" w14:textId="77777777">
      <w:pPr>
        <w:pStyle w:val="895"/>
        <w:pBdr/>
        <w:spacing/>
        <w:ind/>
        <w:jc w:val="both"/>
        <w:rPr>
          <w:rFonts w:ascii="Calibri" w:hAnsi="Calibri" w:cs="Calibri"/>
        </w:rPr>
      </w:pPr>
      <w:r>
        <w:rPr>
          <w:rFonts w:ascii="Calibri" w:hAnsi="Calibri" w:cs="Calibri"/>
        </w:rPr>
        <w:t xml:space="preserve">Il est entendu que les dispositions du présent accord demeurent en vigueur jusqu’à l’entrée en vigueur des nouvelles dispositions et seront maintenues dans l’hypothèse selon laquelle la négociation d’un nouveau texte n’aboutirait pas.</w:t>
      </w:r>
      <w:r>
        <w:rPr>
          <w:rFonts w:ascii="Calibri" w:hAnsi="Calibri" w:cs="Calibri"/>
        </w:rPr>
      </w:r>
      <w:r>
        <w:rPr>
          <w:rFonts w:ascii="Calibri" w:hAnsi="Calibri" w:cs="Calibri"/>
        </w:rPr>
      </w:r>
    </w:p>
    <w:p w14:paraId="305AF2B9"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2C1E6166" w14:textId="4E7330F9">
      <w:pPr>
        <w:pStyle w:val="895"/>
        <w:pBdr/>
        <w:spacing/>
        <w:ind/>
        <w:jc w:val="both"/>
        <w:outlineLvl w:val="1"/>
        <w:rPr>
          <w:rFonts w:ascii="Calibri" w:hAnsi="Calibri" w:cs="Calibri"/>
          <w:b/>
          <w:bCs/>
          <w:u w:val="single"/>
        </w:rPr>
      </w:pPr>
      <w:r/>
      <w:bookmarkStart w:id="48" w:name="_Toc222407127"/>
      <w:r>
        <w:rPr>
          <w:rFonts w:ascii="Calibri" w:hAnsi="Calibri" w:cs="Calibri"/>
          <w:b/>
          <w:bCs/>
          <w:u w:val="single"/>
        </w:rPr>
        <w:t xml:space="preserve">ARTICLE </w:t>
      </w:r>
      <w:r>
        <w:rPr>
          <w:rFonts w:ascii="Calibri" w:hAnsi="Calibri" w:cs="Calibri"/>
          <w:b/>
          <w:bCs/>
          <w:u w:val="single"/>
        </w:rPr>
        <w:t xml:space="preserve">3</w:t>
      </w:r>
      <w:r>
        <w:rPr>
          <w:rFonts w:ascii="Calibri" w:hAnsi="Calibri" w:cs="Calibri"/>
          <w:b/>
          <w:bCs/>
          <w:u w:val="single"/>
        </w:rPr>
        <w:t xml:space="preserve">4</w:t>
      </w:r>
      <w:r>
        <w:rPr>
          <w:rFonts w:ascii="Calibri" w:hAnsi="Calibri" w:cs="Calibri"/>
          <w:b/>
          <w:bCs/>
          <w:u w:val="single"/>
        </w:rPr>
        <w:t xml:space="preserve"> </w:t>
      </w:r>
      <w:r>
        <w:rPr>
          <w:rFonts w:ascii="Calibri" w:hAnsi="Calibri" w:cs="Calibri"/>
          <w:b/>
          <w:bCs/>
          <w:u w:val="single"/>
        </w:rPr>
        <w:t xml:space="preserve">– Dénonciation</w:t>
      </w:r>
      <w:bookmarkEnd w:id="48"/>
      <w:r>
        <w:rPr>
          <w:rFonts w:ascii="Calibri" w:hAnsi="Calibri" w:cs="Calibri"/>
          <w:b/>
          <w:bCs/>
          <w:u w:val="single"/>
        </w:rPr>
        <w:t xml:space="preserve"> </w:t>
      </w:r>
      <w:r>
        <w:rPr>
          <w:rFonts w:ascii="Calibri" w:hAnsi="Calibri" w:cs="Calibri"/>
          <w:b/>
          <w:bCs/>
          <w:u w:val="single"/>
        </w:rPr>
      </w:r>
      <w:r>
        <w:rPr>
          <w:rFonts w:ascii="Calibri" w:hAnsi="Calibri" w:cs="Calibri"/>
          <w:b/>
          <w:bCs/>
          <w:u w:val="single"/>
        </w:rPr>
      </w:r>
    </w:p>
    <w:p w14:paraId="248B56C1"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108BF5A5" w14:textId="77777777">
      <w:pPr>
        <w:pStyle w:val="895"/>
        <w:pBdr/>
        <w:spacing/>
        <w:ind/>
        <w:jc w:val="both"/>
        <w:rPr>
          <w:rFonts w:ascii="Calibri" w:hAnsi="Calibri" w:cs="Calibri"/>
        </w:rPr>
      </w:pPr>
      <w:r>
        <w:rPr>
          <w:rFonts w:ascii="Calibri" w:hAnsi="Calibri" w:cs="Calibri"/>
        </w:rPr>
        <w:t xml:space="preserve">L’accord et ses avenants éventuels, conclus pour une durée indéterminée, peuvent être dénoncés à tout moment par l’une ou l’autre des parties, sous réserve de respecter un préavis de 3 mois.</w:t>
      </w:r>
      <w:r>
        <w:rPr>
          <w:rFonts w:ascii="Calibri" w:hAnsi="Calibri" w:cs="Calibri"/>
        </w:rPr>
      </w:r>
      <w:r>
        <w:rPr>
          <w:rFonts w:ascii="Calibri" w:hAnsi="Calibri" w:cs="Calibri"/>
        </w:rPr>
      </w:r>
    </w:p>
    <w:p w14:paraId="645B7203"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2331CA56" w14:textId="77777777">
      <w:pPr>
        <w:pStyle w:val="895"/>
        <w:pBdr/>
        <w:spacing/>
        <w:ind/>
        <w:jc w:val="both"/>
        <w:rPr>
          <w:rFonts w:ascii="Calibri" w:hAnsi="Calibri" w:cs="Calibri"/>
        </w:rPr>
      </w:pPr>
      <w:r>
        <w:rPr>
          <w:rFonts w:ascii="Calibri" w:hAnsi="Calibri" w:cs="Calibri"/>
        </w:rPr>
        <w:t xml:space="preserve">La dénonciation doit être notifiée par son auteur aux autres parties signataires et adhérentes, à la DREETS compétente, ainsi qu’au Greffe du Conseil de Prud’hommes d’Angers.</w:t>
      </w:r>
      <w:r>
        <w:rPr>
          <w:rFonts w:ascii="Calibri" w:hAnsi="Calibri" w:cs="Calibri"/>
        </w:rPr>
      </w:r>
      <w:r>
        <w:rPr>
          <w:rFonts w:ascii="Calibri" w:hAnsi="Calibri" w:cs="Calibri"/>
        </w:rPr>
      </w:r>
    </w:p>
    <w:p w14:paraId="482C18A3"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5EBA056C" w14:textId="047B62B1">
      <w:pPr>
        <w:pStyle w:val="895"/>
        <w:pBdr/>
        <w:spacing/>
        <w:ind/>
        <w:jc w:val="both"/>
        <w:outlineLvl w:val="1"/>
        <w:rPr>
          <w:rFonts w:ascii="Calibri" w:hAnsi="Calibri" w:cs="Calibri"/>
          <w:b/>
          <w:bCs/>
          <w:u w:val="single"/>
        </w:rPr>
      </w:pPr>
      <w:r/>
      <w:bookmarkStart w:id="49" w:name="_Toc222407128"/>
      <w:r>
        <w:rPr>
          <w:rFonts w:ascii="Calibri" w:hAnsi="Calibri" w:cs="Calibri"/>
          <w:b/>
          <w:bCs/>
          <w:u w:val="single"/>
        </w:rPr>
        <w:t xml:space="preserve">ARTICLE </w:t>
      </w:r>
      <w:r>
        <w:rPr>
          <w:rFonts w:ascii="Calibri" w:hAnsi="Calibri" w:cs="Calibri"/>
          <w:b/>
          <w:bCs/>
          <w:u w:val="single"/>
        </w:rPr>
        <w:t xml:space="preserve">3</w:t>
      </w:r>
      <w:r>
        <w:rPr>
          <w:rFonts w:ascii="Calibri" w:hAnsi="Calibri" w:cs="Calibri"/>
          <w:b/>
          <w:bCs/>
          <w:u w:val="single"/>
        </w:rPr>
        <w:t xml:space="preserve">5</w:t>
      </w:r>
      <w:r>
        <w:rPr>
          <w:rFonts w:ascii="Calibri" w:hAnsi="Calibri" w:cs="Calibri"/>
          <w:b/>
          <w:bCs/>
          <w:u w:val="single"/>
        </w:rPr>
        <w:t xml:space="preserve"> </w:t>
      </w:r>
      <w:r>
        <w:rPr>
          <w:rFonts w:ascii="Calibri" w:hAnsi="Calibri" w:cs="Calibri"/>
          <w:b/>
          <w:bCs/>
          <w:u w:val="single"/>
        </w:rPr>
        <w:t xml:space="preserve">– Consultation et dépôt</w:t>
      </w:r>
      <w:bookmarkEnd w:id="49"/>
      <w:r>
        <w:rPr>
          <w:rFonts w:ascii="Calibri" w:hAnsi="Calibri" w:cs="Calibri"/>
          <w:b/>
          <w:bCs/>
          <w:u w:val="single"/>
        </w:rPr>
      </w:r>
      <w:r>
        <w:rPr>
          <w:rFonts w:ascii="Calibri" w:hAnsi="Calibri" w:cs="Calibri"/>
          <w:b/>
          <w:bCs/>
          <w:u w:val="single"/>
        </w:rPr>
      </w:r>
    </w:p>
    <w:p w14:paraId="216EE2C4"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35FE4D93" w14:textId="77777777">
      <w:pPr>
        <w:pStyle w:val="895"/>
        <w:pBdr/>
        <w:spacing/>
        <w:ind/>
        <w:jc w:val="both"/>
        <w:rPr>
          <w:rFonts w:ascii="Calibri" w:hAnsi="Calibri" w:cs="Calibri"/>
        </w:rPr>
      </w:pPr>
      <w:r>
        <w:rPr>
          <w:rFonts w:ascii="Calibri" w:hAnsi="Calibri" w:cs="Calibri"/>
        </w:rPr>
        <w:t xml:space="preserve">En application du décret n°2018-362 du 15 mai 2018 relatif à la procédure de dépôt des accords collectifs, les formalités de dépôt sont effectuées par le représentant légal de la Société.</w:t>
      </w:r>
      <w:r>
        <w:rPr>
          <w:rFonts w:ascii="Calibri" w:hAnsi="Calibri" w:cs="Calibri"/>
        </w:rPr>
      </w:r>
      <w:r>
        <w:rPr>
          <w:rFonts w:ascii="Calibri" w:hAnsi="Calibri" w:cs="Calibri"/>
        </w:rPr>
      </w:r>
    </w:p>
    <w:p w14:paraId="77F2C81B"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37F3AD7E" w14:textId="77777777">
      <w:pPr>
        <w:pStyle w:val="895"/>
        <w:pBdr/>
        <w:spacing/>
        <w:ind/>
        <w:jc w:val="both"/>
        <w:rPr>
          <w:rFonts w:ascii="Calibri" w:hAnsi="Calibri" w:cs="Calibri"/>
        </w:rPr>
      </w:pPr>
      <w:r>
        <w:rPr>
          <w:rFonts w:ascii="Calibri" w:hAnsi="Calibri" w:cs="Calibri"/>
        </w:rPr>
        <w:t xml:space="preserve">Ce dernier dépose l’accord collectif sur la plateforme nationale "</w:t>
      </w:r>
      <w:r>
        <w:rPr>
          <w:rFonts w:ascii="Calibri" w:hAnsi="Calibri" w:cs="Calibri"/>
        </w:rPr>
        <w:t xml:space="preserve">TéléAccords</w:t>
      </w:r>
      <w:r>
        <w:rPr>
          <w:rFonts w:ascii="Calibri" w:hAnsi="Calibri" w:cs="Calibri"/>
        </w:rPr>
        <w:t xml:space="preserve">" à l’adresse suivante : www.teleaccords.travail-emploi.gouv.fr.</w:t>
      </w:r>
      <w:r>
        <w:rPr>
          <w:rFonts w:ascii="Calibri" w:hAnsi="Calibri" w:cs="Calibri"/>
        </w:rPr>
      </w:r>
      <w:r>
        <w:rPr>
          <w:rFonts w:ascii="Calibri" w:hAnsi="Calibri" w:cs="Calibri"/>
        </w:rPr>
      </w:r>
    </w:p>
    <w:p w14:paraId="1A539404"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13621DBF" w14:textId="77777777">
      <w:pPr>
        <w:pStyle w:val="895"/>
        <w:pBdr/>
        <w:spacing/>
        <w:ind/>
        <w:jc w:val="both"/>
        <w:rPr>
          <w:rFonts w:ascii="Calibri" w:hAnsi="Calibri" w:cs="Calibri"/>
        </w:rPr>
      </w:pPr>
      <w:r>
        <w:rPr>
          <w:rFonts w:ascii="Calibri" w:hAnsi="Calibri" w:cs="Calibri"/>
        </w:rPr>
        <w:t xml:space="preserve">Le déposant adresse un exemplaire de l’accord au secrétariat greffe du Conseil de Prud'hommes d’Angers.</w:t>
      </w:r>
      <w:r>
        <w:rPr>
          <w:rFonts w:ascii="Calibri" w:hAnsi="Calibri" w:cs="Calibri"/>
        </w:rPr>
      </w:r>
      <w:r>
        <w:rPr>
          <w:rFonts w:ascii="Calibri" w:hAnsi="Calibri" w:cs="Calibri"/>
        </w:rPr>
      </w:r>
    </w:p>
    <w:p w14:paraId="361BD605"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64EE490B" w14:textId="77777777">
      <w:pPr>
        <w:pStyle w:val="895"/>
        <w:pBdr/>
        <w:spacing/>
        <w:ind/>
        <w:jc w:val="both"/>
        <w:rPr>
          <w:rFonts w:ascii="Calibri" w:hAnsi="Calibri" w:cs="Calibri"/>
        </w:rPr>
      </w:pPr>
      <w:r>
        <w:rPr>
          <w:rFonts w:ascii="Calibri" w:hAnsi="Calibri" w:cs="Calibri"/>
        </w:rPr>
        <w:t xml:space="preserve">Les Parties rappellent que, dans un acte distinct du présent accor</w:t>
      </w:r>
      <w:r>
        <w:rPr>
          <w:rFonts w:ascii="Calibri" w:hAnsi="Calibri" w:cs="Calibri"/>
        </w:rPr>
        <w:t xml:space="preserve">d, elles pourront convenir qu’une partie du présent accord ne fera pas l’objet de la publication prévue à l’article L.2231-5-1 du Code du travail. En outre, l'employeur peut occulter les éléments portant atteinte aux intérêts stratégiques de l'entreprise. </w:t>
      </w:r>
      <w:r>
        <w:rPr>
          <w:rFonts w:ascii="Calibri" w:hAnsi="Calibri" w:cs="Calibri"/>
        </w:rPr>
      </w:r>
      <w:r>
        <w:rPr>
          <w:rFonts w:ascii="Calibri" w:hAnsi="Calibri" w:cs="Calibri"/>
        </w:rPr>
      </w:r>
    </w:p>
    <w:p w14:paraId="247512EC"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3A63BF1A" w14:textId="77777777">
      <w:pPr>
        <w:pStyle w:val="895"/>
        <w:pBdr/>
        <w:spacing/>
        <w:ind/>
        <w:jc w:val="both"/>
        <w:rPr>
          <w:rFonts w:ascii="Calibri" w:hAnsi="Calibri" w:cs="Calibri"/>
        </w:rPr>
      </w:pPr>
      <w:r>
        <w:rPr>
          <w:rFonts w:ascii="Calibri" w:hAnsi="Calibri" w:cs="Calibri"/>
        </w:rPr>
        <w:t xml:space="preserve">A défaut, le présent accord sera publié dans une version intégrale.</w:t>
      </w:r>
      <w:r>
        <w:rPr>
          <w:rFonts w:ascii="Calibri" w:hAnsi="Calibri" w:cs="Calibri"/>
        </w:rPr>
      </w:r>
      <w:r>
        <w:rPr>
          <w:rFonts w:ascii="Calibri" w:hAnsi="Calibri" w:cs="Calibri"/>
        </w:rPr>
      </w:r>
    </w:p>
    <w:p w14:paraId="1FA71A58"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68AA69E6" w14:textId="71FEB90F">
      <w:pPr>
        <w:pStyle w:val="895"/>
        <w:pBdr/>
        <w:spacing/>
        <w:ind/>
        <w:jc w:val="both"/>
        <w:outlineLvl w:val="1"/>
        <w:rPr>
          <w:rFonts w:ascii="Calibri" w:hAnsi="Calibri" w:cs="Calibri"/>
          <w:b/>
          <w:bCs/>
          <w:u w:val="single"/>
        </w:rPr>
      </w:pPr>
      <w:r/>
      <w:bookmarkStart w:id="50" w:name="_Toc222407129"/>
      <w:r>
        <w:rPr>
          <w:rFonts w:ascii="Calibri" w:hAnsi="Calibri" w:cs="Calibri"/>
          <w:b/>
          <w:bCs/>
          <w:u w:val="single"/>
        </w:rPr>
        <w:t xml:space="preserve">ARTICLE 3</w:t>
      </w:r>
      <w:r>
        <w:rPr>
          <w:rFonts w:ascii="Calibri" w:hAnsi="Calibri" w:cs="Calibri"/>
          <w:b/>
          <w:bCs/>
          <w:u w:val="single"/>
        </w:rPr>
        <w:t xml:space="preserve">6</w:t>
      </w:r>
      <w:r>
        <w:rPr>
          <w:rFonts w:ascii="Calibri" w:hAnsi="Calibri" w:cs="Calibri"/>
          <w:b/>
          <w:bCs/>
          <w:u w:val="single"/>
        </w:rPr>
        <w:t xml:space="preserve"> – Information</w:t>
      </w:r>
      <w:bookmarkEnd w:id="50"/>
      <w:r>
        <w:rPr>
          <w:rFonts w:ascii="Calibri" w:hAnsi="Calibri" w:cs="Calibri"/>
          <w:b/>
          <w:bCs/>
          <w:u w:val="single"/>
        </w:rPr>
      </w:r>
      <w:r>
        <w:rPr>
          <w:rFonts w:ascii="Calibri" w:hAnsi="Calibri" w:cs="Calibri"/>
          <w:b/>
          <w:bCs/>
          <w:u w:val="single"/>
        </w:rPr>
      </w:r>
    </w:p>
    <w:p w14:paraId="6CAD84C7"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57CBB988" w14:textId="77777777">
      <w:pPr>
        <w:pStyle w:val="895"/>
        <w:pBdr/>
        <w:spacing/>
        <w:ind/>
        <w:jc w:val="both"/>
        <w:rPr>
          <w:rFonts w:ascii="Calibri" w:hAnsi="Calibri" w:cs="Calibri"/>
        </w:rPr>
      </w:pPr>
      <w:r>
        <w:rPr>
          <w:rFonts w:ascii="Calibri" w:hAnsi="Calibri" w:cs="Calibri"/>
        </w:rPr>
        <w:t xml:space="preserve">En application de l’article R.2262-2 du Code du travail, la Société procure un exemplaire de cet accord aux représentants du personnel.</w:t>
      </w:r>
      <w:r>
        <w:rPr>
          <w:rFonts w:ascii="Calibri" w:hAnsi="Calibri" w:cs="Calibri"/>
        </w:rPr>
      </w:r>
      <w:r>
        <w:rPr>
          <w:rFonts w:ascii="Calibri" w:hAnsi="Calibri" w:cs="Calibri"/>
        </w:rPr>
      </w:r>
    </w:p>
    <w:p w14:paraId="3D997E55"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44905A3F" w14:textId="0BBA2389">
      <w:pPr>
        <w:pStyle w:val="895"/>
        <w:pBdr/>
        <w:spacing/>
        <w:ind/>
        <w:jc w:val="both"/>
        <w:outlineLvl w:val="1"/>
        <w:rPr>
          <w:rFonts w:ascii="Calibri" w:hAnsi="Calibri" w:cs="Calibri"/>
          <w:b/>
          <w:bCs/>
          <w:u w:val="single"/>
        </w:rPr>
      </w:pPr>
      <w:r/>
      <w:bookmarkStart w:id="51" w:name="_Toc222407130"/>
      <w:r>
        <w:rPr>
          <w:rFonts w:ascii="Calibri" w:hAnsi="Calibri" w:cs="Calibri"/>
          <w:b/>
          <w:bCs/>
          <w:u w:val="single"/>
        </w:rPr>
        <w:t xml:space="preserve">ARTICLE </w:t>
      </w:r>
      <w:r>
        <w:rPr>
          <w:rFonts w:ascii="Calibri" w:hAnsi="Calibri" w:cs="Calibri"/>
          <w:b/>
          <w:bCs/>
          <w:u w:val="single"/>
        </w:rPr>
        <w:t xml:space="preserve">3</w:t>
      </w:r>
      <w:r>
        <w:rPr>
          <w:rFonts w:ascii="Calibri" w:hAnsi="Calibri" w:cs="Calibri"/>
          <w:b/>
          <w:bCs/>
          <w:u w:val="single"/>
        </w:rPr>
        <w:t xml:space="preserve">7</w:t>
      </w:r>
      <w:r>
        <w:rPr>
          <w:rFonts w:ascii="Calibri" w:hAnsi="Calibri" w:cs="Calibri"/>
          <w:b/>
          <w:bCs/>
          <w:u w:val="single"/>
        </w:rPr>
        <w:t xml:space="preserve"> – Communication</w:t>
      </w:r>
      <w:bookmarkEnd w:id="51"/>
      <w:r>
        <w:rPr>
          <w:rFonts w:ascii="Calibri" w:hAnsi="Calibri" w:cs="Calibri"/>
          <w:b/>
          <w:bCs/>
          <w:u w:val="single"/>
        </w:rPr>
      </w:r>
      <w:r>
        <w:rPr>
          <w:rFonts w:ascii="Calibri" w:hAnsi="Calibri" w:cs="Calibri"/>
          <w:b/>
          <w:bCs/>
          <w:u w:val="single"/>
        </w:rPr>
      </w:r>
    </w:p>
    <w:p w14:paraId="70E2F4C8"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4DD58AF3" w14:textId="77777777">
      <w:pPr>
        <w:pStyle w:val="895"/>
        <w:pBdr/>
        <w:spacing/>
        <w:ind/>
        <w:jc w:val="both"/>
        <w:rPr>
          <w:rFonts w:ascii="Calibri" w:hAnsi="Calibri" w:cs="Calibri"/>
        </w:rPr>
      </w:pPr>
      <w:r>
        <w:rPr>
          <w:rFonts w:ascii="Calibri" w:hAnsi="Calibri" w:cs="Calibri"/>
        </w:rPr>
        <w:t xml:space="preserve">Le présent accord est diffusé dans l’entreprise sous forme d’une information complète, assurée par des représentants de la Société.</w:t>
      </w:r>
      <w:r>
        <w:rPr>
          <w:rFonts w:ascii="Calibri" w:hAnsi="Calibri" w:cs="Calibri"/>
        </w:rPr>
      </w:r>
      <w:r>
        <w:rPr>
          <w:rFonts w:ascii="Calibri" w:hAnsi="Calibri" w:cs="Calibri"/>
        </w:rPr>
      </w:r>
    </w:p>
    <w:p w14:paraId="14407481"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07C245BE" w14:textId="77777777">
      <w:pPr>
        <w:pStyle w:val="895"/>
        <w:pBdr/>
        <w:spacing/>
        <w:ind/>
        <w:jc w:val="both"/>
        <w:rPr>
          <w:rFonts w:ascii="Calibri" w:hAnsi="Calibri" w:cs="Calibri"/>
        </w:rPr>
      </w:pPr>
      <w:r>
        <w:rPr>
          <w:rFonts w:ascii="Calibri" w:hAnsi="Calibri" w:cs="Calibri"/>
        </w:rPr>
        <w:t xml:space="preserve">En application de l’article R.2262-3 du Code du travail, un exemplaire du présent accord est tenu à la disposition du personnel, un avis étant affiché.</w:t>
      </w:r>
      <w:r>
        <w:rPr>
          <w:rFonts w:ascii="Calibri" w:hAnsi="Calibri" w:cs="Calibri"/>
        </w:rPr>
      </w:r>
      <w:r>
        <w:rPr>
          <w:rFonts w:ascii="Calibri" w:hAnsi="Calibri" w:cs="Calibri"/>
        </w:rPr>
      </w:r>
    </w:p>
    <w:p w14:paraId="42FA4B70"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172CD11F"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2D5F460A" w14:textId="7C318D9D">
      <w:pPr>
        <w:pStyle w:val="895"/>
        <w:pBdr/>
        <w:spacing/>
        <w:ind/>
        <w:jc w:val="both"/>
        <w:rPr>
          <w:rFonts w:ascii="Calibri" w:hAnsi="Calibri" w:cs="Calibri"/>
        </w:rPr>
      </w:pPr>
      <w:r>
        <w:rPr>
          <w:rFonts w:ascii="Calibri" w:hAnsi="Calibri" w:cs="Calibri"/>
        </w:rPr>
        <w:t xml:space="preserve">Fait </w:t>
      </w:r>
      <w:r>
        <w:rPr>
          <w:rFonts w:ascii="Calibri" w:hAnsi="Calibri" w:cs="Calibri"/>
        </w:rPr>
        <w:t xml:space="preserve">à [adresse]</w:t>
      </w:r>
      <w:r>
        <w:rPr>
          <w:rFonts w:ascii="Calibri" w:hAnsi="Calibri" w:cs="Calibri"/>
        </w:rPr>
      </w:r>
      <w:r>
        <w:rPr>
          <w:rFonts w:ascii="Calibri" w:hAnsi="Calibri" w:cs="Calibri"/>
        </w:rPr>
      </w:r>
    </w:p>
    <w:p w14:paraId="3B0EB4D1" w14:textId="77777777">
      <w:pPr>
        <w:pStyle w:val="895"/>
        <w:pBdr/>
        <w:spacing/>
        <w:ind/>
        <w:jc w:val="both"/>
        <w:rPr>
          <w:rFonts w:ascii="Calibri" w:hAnsi="Calibri" w:cs="Calibri"/>
        </w:rPr>
      </w:pPr>
      <w:r>
        <w:rPr>
          <w:rFonts w:ascii="Calibri" w:hAnsi="Calibri" w:cs="Calibri"/>
        </w:rPr>
        <w:t xml:space="preserve">Le</w:t>
      </w:r>
      <w:r>
        <w:rPr>
          <w:rFonts w:ascii="Calibri" w:hAnsi="Calibri" w:cs="Calibri"/>
        </w:rPr>
      </w:r>
      <w:r>
        <w:rPr>
          <w:rFonts w:ascii="Calibri" w:hAnsi="Calibri" w:cs="Calibri"/>
        </w:rPr>
      </w:r>
    </w:p>
    <w:p w14:paraId="3E3B7ED5" w14:textId="77777777">
      <w:pPr>
        <w:pStyle w:val="895"/>
        <w:pBdr/>
        <w:spacing/>
        <w:ind/>
        <w:jc w:val="both"/>
        <w:rPr>
          <w:rFonts w:ascii="Calibri" w:hAnsi="Calibri" w:cs="Calibri"/>
        </w:rPr>
      </w:pPr>
      <w:r>
        <w:rPr>
          <w:rFonts w:ascii="Calibri" w:hAnsi="Calibri" w:cs="Calibri"/>
        </w:rPr>
        <w:t xml:space="preserve">En 5 exemplaires originaux</w:t>
      </w:r>
      <w:r>
        <w:rPr>
          <w:rFonts w:ascii="Calibri" w:hAnsi="Calibri" w:cs="Calibri"/>
        </w:rPr>
      </w:r>
      <w:r>
        <w:rPr>
          <w:rFonts w:ascii="Calibri" w:hAnsi="Calibri" w:cs="Calibri"/>
        </w:rPr>
      </w:r>
    </w:p>
    <w:p w14:paraId="4413FBB3"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0B7D811B"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tbl>
      <w:tblPr>
        <w:tblStyle w:val="902"/>
        <w:tblW w:w="0" w:type="auto"/>
        <w:tblBorders/>
        <w:tblpPr w:horzAnchor="margin" w:tblpXSpec="left" w:vertAnchor="text" w:tblpY="1130" w:leftFromText="141" w:topFromText="0" w:rightFromText="141" w:bottomFromText="0"/>
        <w:tblLook w:val="04A0" w:firstRow="1" w:lastRow="0" w:firstColumn="1" w:lastColumn="0" w:noHBand="0" w:noVBand="1"/>
      </w:tblPr>
      <w:tblGrid>
        <w:gridCol w:w="4531"/>
        <w:gridCol w:w="4531"/>
      </w:tblGrid>
      <w:tr>
        <w:trPr/>
        <w:tc>
          <w:tcPr>
            <w:tcBorders/>
            <w:tcW w:w="4531" w:type="dxa"/>
            <w:textDirection w:val="lrTb"/>
            <w:noWrap w:val="false"/>
          </w:tcPr>
          <w:p w14:paraId="2AC6495A" w14:textId="38331838">
            <w:pPr>
              <w:pStyle w:val="895"/>
              <w:pBdr/>
              <w:spacing/>
              <w:ind/>
              <w:jc w:val="both"/>
              <w:rPr>
                <w:rFonts w:ascii="Calibri" w:hAnsi="Calibri" w:cs="Calibri"/>
                <w14:ligatures w14:val="none"/>
              </w:rPr>
            </w:pPr>
            <w:r>
              <w:rPr>
                <w:rFonts w:ascii="Calibri" w:hAnsi="Calibri" w:cs="Calibri"/>
              </w:rPr>
            </w:r>
            <w:r>
              <w:rPr>
                <w:rFonts w:ascii="Calibri" w:hAnsi="Calibri" w:cs="Calibri"/>
              </w:rPr>
              <w:t xml:space="preserve">Le représentant légal</w:t>
            </w:r>
            <w:r>
              <w:rPr>
                <w:rFonts w:ascii="Calibri" w:hAnsi="Calibri" w:cs="Calibri"/>
              </w:rPr>
            </w:r>
            <w:r>
              <w:rPr>
                <w:rFonts w:ascii="Calibri" w:hAnsi="Calibri" w:cs="Calibri"/>
                <w14:ligatures w14:val="none"/>
              </w:rPr>
            </w:r>
          </w:p>
        </w:tc>
        <w:tc>
          <w:tcPr>
            <w:tcBorders/>
            <w:tcW w:w="4531" w:type="dxa"/>
            <w:textDirection w:val="lrTb"/>
            <w:noWrap w:val="false"/>
          </w:tcPr>
          <w:p w14:paraId="53BD153A" w14:textId="77777777">
            <w:pPr>
              <w:pStyle w:val="895"/>
              <w:pBdr/>
              <w:spacing/>
              <w:ind/>
              <w:jc w:val="both"/>
              <w:rPr>
                <w:rFonts w:ascii="Calibri" w:hAnsi="Calibri" w:cs="Calibri"/>
              </w:rPr>
            </w:pPr>
            <w:r>
              <w:rPr>
                <w:rFonts w:ascii="Calibri" w:hAnsi="Calibri" w:cs="Calibri"/>
              </w:rPr>
              <w:t xml:space="preserve">Les membres élus titulaires du Comité Social et Economique représentant la majorité des suffrages exprimés lors des dernières élections professionnelles</w:t>
            </w:r>
            <w:r>
              <w:rPr>
                <w:rFonts w:ascii="Calibri" w:hAnsi="Calibri" w:cs="Calibri"/>
              </w:rPr>
            </w:r>
            <w:r>
              <w:rPr>
                <w:rFonts w:ascii="Calibri" w:hAnsi="Calibri" w:cs="Calibri"/>
              </w:rPr>
            </w:r>
          </w:p>
          <w:p w14:paraId="13F8D28C" w14:textId="77777777">
            <w:pPr>
              <w:pStyle w:val="895"/>
              <w:pBdr/>
              <w:spacing/>
              <w:ind/>
              <w:jc w:val="both"/>
              <w:rPr>
                <w:rFonts w:ascii="Calibri" w:hAnsi="Calibri" w:cs="Calibri"/>
                <w:b/>
                <w:bCs/>
                <w:u w:val="single"/>
              </w:rPr>
            </w:pPr>
            <w:r>
              <w:rPr>
                <w:rFonts w:ascii="Calibri" w:hAnsi="Calibri" w:cs="Calibri"/>
                <w:b/>
                <w:bCs/>
                <w:u w:val="single"/>
              </w:rPr>
            </w:r>
            <w:r>
              <w:rPr>
                <w:rFonts w:ascii="Calibri" w:hAnsi="Calibri" w:cs="Calibri"/>
                <w:b/>
                <w:bCs/>
                <w:u w:val="single"/>
              </w:rPr>
            </w:r>
            <w:r>
              <w:rPr>
                <w:rFonts w:ascii="Calibri" w:hAnsi="Calibri" w:cs="Calibri"/>
                <w:b/>
                <w:bCs/>
                <w:u w:val="single"/>
              </w:rPr>
            </w:r>
          </w:p>
        </w:tc>
      </w:tr>
      <w:tr>
        <w:trPr>
          <w:trHeight w:val="2315"/>
        </w:trPr>
        <w:tc>
          <w:tcPr>
            <w:tcBorders/>
            <w:tcW w:w="4531" w:type="dxa"/>
            <w:textDirection w:val="lrTb"/>
            <w:noWrap w:val="false"/>
          </w:tcPr>
          <w:p w14:paraId="05826D91" w14:textId="77777777">
            <w:pPr>
              <w:pStyle w:val="895"/>
              <w:pBdr/>
              <w:spacing/>
              <w:ind/>
              <w:jc w:val="both"/>
              <w:rPr>
                <w:rFonts w:ascii="Calibri" w:hAnsi="Calibri" w:cs="Calibri"/>
                <w:b/>
                <w:bCs/>
                <w:u w:val="single"/>
              </w:rPr>
            </w:pPr>
            <w:r>
              <w:rPr>
                <w:rFonts w:ascii="Calibri" w:hAnsi="Calibri" w:cs="Calibri"/>
                <w:b/>
                <w:bCs/>
                <w:u w:val="single"/>
              </w:rPr>
            </w:r>
            <w:r>
              <w:rPr>
                <w:rFonts w:ascii="Calibri" w:hAnsi="Calibri" w:cs="Calibri"/>
                <w:b/>
                <w:bCs/>
                <w:u w:val="single"/>
              </w:rPr>
            </w:r>
            <w:r>
              <w:rPr>
                <w:rFonts w:ascii="Calibri" w:hAnsi="Calibri" w:cs="Calibri"/>
                <w:b/>
                <w:bCs/>
                <w:u w:val="single"/>
              </w:rPr>
            </w:r>
          </w:p>
        </w:tc>
        <w:tc>
          <w:tcPr>
            <w:tcBorders/>
            <w:tcW w:w="4531" w:type="dxa"/>
            <w:textDirection w:val="lrTb"/>
            <w:noWrap w:val="false"/>
          </w:tcPr>
          <w:p w14:paraId="24CAF872" w14:textId="77777777">
            <w:pPr>
              <w:pBdr/>
              <w:spacing/>
              <w:ind/>
              <w:rPr>
                <w:rFonts w:ascii="Calibri" w:hAnsi="Calibri" w:cs="Calibri"/>
              </w:rPr>
            </w:pPr>
            <w:r>
              <w:rPr>
                <w:rFonts w:ascii="Calibri" w:hAnsi="Calibri" w:cs="Calibri"/>
              </w:rPr>
              <w:t xml:space="preserve">Les délégués syndicaux</w:t>
            </w:r>
            <w:r>
              <w:rPr>
                <w:rFonts w:ascii="Calibri" w:hAnsi="Calibri" w:cs="Calibri"/>
              </w:rPr>
            </w:r>
            <w:r>
              <w:rPr>
                <w:rFonts w:ascii="Calibri" w:hAnsi="Calibri" w:cs="Calibri"/>
              </w:rPr>
            </w:r>
          </w:p>
          <w:p w14:paraId="198FAC3C" w14:textId="77777777">
            <w:pPr>
              <w:pBdr/>
              <w:spacing/>
              <w:ind/>
              <w:rPr>
                <w:rFonts w:ascii="Calibri" w:hAnsi="Calibri" w:cs="Calibri"/>
              </w:rPr>
            </w:pPr>
            <w:r>
              <w:rPr>
                <w:rFonts w:ascii="Calibri" w:hAnsi="Calibri" w:cs="Calibri"/>
              </w:rPr>
            </w:r>
            <w:r>
              <w:rPr>
                <w:rFonts w:ascii="Calibri" w:hAnsi="Calibri" w:cs="Calibri"/>
              </w:rPr>
            </w:r>
            <w:r>
              <w:rPr>
                <w:rFonts w:ascii="Calibri" w:hAnsi="Calibri" w:cs="Calibri"/>
              </w:rPr>
            </w:r>
          </w:p>
          <w:p w14:paraId="2427EFA9" w14:textId="77777777">
            <w:pPr>
              <w:pBdr/>
              <w:spacing/>
              <w:ind/>
              <w:rPr>
                <w:rFonts w:ascii="Calibri" w:hAnsi="Calibri" w:cs="Calibri"/>
              </w:rPr>
            </w:pPr>
            <w:r>
              <w:rPr>
                <w:rFonts w:ascii="Calibri" w:hAnsi="Calibri" w:cs="Calibri"/>
              </w:rPr>
            </w:r>
            <w:r>
              <w:rPr>
                <w:rFonts w:ascii="Calibri" w:hAnsi="Calibri" w:cs="Calibri"/>
              </w:rPr>
            </w:r>
            <w:r>
              <w:rPr>
                <w:rFonts w:ascii="Calibri" w:hAnsi="Calibri" w:cs="Calibri"/>
              </w:rPr>
            </w:r>
          </w:p>
          <w:p w14:paraId="66339F9B" w14:textId="77777777">
            <w:pPr>
              <w:pBdr/>
              <w:spacing/>
              <w:ind/>
              <w:rPr>
                <w:rFonts w:ascii="Calibri" w:hAnsi="Calibri" w:cs="Calibri"/>
              </w:rPr>
            </w:pPr>
            <w:r>
              <w:rPr>
                <w:rFonts w:ascii="Calibri" w:hAnsi="Calibri" w:cs="Calibri"/>
              </w:rPr>
            </w:r>
            <w:r>
              <w:rPr>
                <w:rFonts w:ascii="Calibri" w:hAnsi="Calibri" w:cs="Calibri"/>
              </w:rPr>
            </w:r>
            <w:r>
              <w:rPr>
                <w:rFonts w:ascii="Calibri" w:hAnsi="Calibri" w:cs="Calibri"/>
              </w:rPr>
            </w:r>
          </w:p>
          <w:p w14:paraId="77B1F4F1" w14:textId="77777777">
            <w:pPr>
              <w:pStyle w:val="895"/>
              <w:pBdr/>
              <w:spacing/>
              <w:ind/>
              <w:jc w:val="both"/>
              <w:rPr>
                <w:rFonts w:ascii="Calibri" w:hAnsi="Calibri" w:cs="Calibri"/>
                <w:b/>
                <w:bCs/>
                <w:u w:val="single"/>
              </w:rPr>
            </w:pPr>
            <w:r>
              <w:rPr>
                <w:rFonts w:ascii="Calibri" w:hAnsi="Calibri" w:cs="Calibri"/>
                <w:b/>
                <w:bCs/>
                <w:u w:val="single"/>
              </w:rPr>
            </w:r>
            <w:r>
              <w:rPr>
                <w:rFonts w:ascii="Calibri" w:hAnsi="Calibri" w:cs="Calibri"/>
                <w:b/>
                <w:bCs/>
                <w:u w:val="single"/>
              </w:rPr>
            </w:r>
            <w:r>
              <w:rPr>
                <w:rFonts w:ascii="Calibri" w:hAnsi="Calibri" w:cs="Calibri"/>
                <w:b/>
                <w:bCs/>
                <w:u w:val="single"/>
              </w:rPr>
            </w:r>
          </w:p>
        </w:tc>
      </w:tr>
    </w:tbl>
    <w:p w14:paraId="178C68A7"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5367E913"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66A18110" w14:textId="51082FC8">
      <w:pPr>
        <w:pBdr/>
        <w:spacing/>
        <w:ind/>
        <w:rPr>
          <w:rFonts w:ascii="Calibri" w:hAnsi="Calibri" w:cs="Calibri"/>
        </w:rPr>
      </w:pPr>
      <w:r>
        <w:rPr>
          <w:rFonts w:ascii="Calibri" w:hAnsi="Calibri" w:cs="Calibri"/>
        </w:rPr>
        <w:br w:type="page" w:clear="all"/>
      </w:r>
      <w:r>
        <w:rPr>
          <w:rFonts w:ascii="Calibri" w:hAnsi="Calibri" w:cs="Calibri"/>
        </w:rPr>
      </w:r>
      <w:r>
        <w:rPr>
          <w:rFonts w:ascii="Calibri" w:hAnsi="Calibri" w:cs="Calibri"/>
        </w:rPr>
      </w:r>
    </w:p>
    <w:p w14:paraId="6BF2A44F" w14:textId="77777777">
      <w:pPr>
        <w:pStyle w:val="895"/>
        <w:pBdr/>
        <w:spacing/>
        <w:ind/>
        <w:jc w:val="both"/>
        <w:outlineLvl w:val="0"/>
        <w:rPr>
          <w:rFonts w:ascii="Calibri" w:hAnsi="Calibri" w:cs="Calibri"/>
          <w:b/>
          <w:bCs/>
        </w:rPr>
      </w:pPr>
      <w:r/>
      <w:bookmarkStart w:id="52" w:name="_Toc222407131"/>
      <w:r>
        <w:rPr>
          <w:rFonts w:ascii="Calibri" w:hAnsi="Calibri" w:cs="Calibri"/>
          <w:b/>
          <w:bCs/>
        </w:rPr>
        <w:t xml:space="preserve">Annexe 1 : Incidences sur le nombre de jours dus au titre du forfait en cas d’absence, d’arrivée ou de départ en cours de période</w:t>
      </w:r>
      <w:bookmarkEnd w:id="52"/>
      <w:r>
        <w:rPr>
          <w:rFonts w:ascii="Calibri" w:hAnsi="Calibri" w:cs="Calibri"/>
          <w:b/>
          <w:bCs/>
        </w:rPr>
      </w:r>
      <w:r>
        <w:rPr>
          <w:rFonts w:ascii="Calibri" w:hAnsi="Calibri" w:cs="Calibri"/>
          <w:b/>
          <w:bCs/>
        </w:rPr>
      </w:r>
    </w:p>
    <w:p w14:paraId="56966C66"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63C96F14" w14:textId="13969AC1">
      <w:pPr>
        <w:pStyle w:val="895"/>
        <w:pBdr/>
        <w:spacing/>
        <w:ind/>
        <w:jc w:val="both"/>
        <w:rPr>
          <w:rFonts w:ascii="Calibri" w:hAnsi="Calibri" w:cs="Calibri"/>
          <w:i/>
          <w:iCs/>
        </w:rPr>
      </w:pPr>
      <w:r>
        <w:rPr>
          <w:rFonts w:ascii="Calibri" w:hAnsi="Calibri" w:cs="Calibri"/>
          <w:i/>
          <w:iCs/>
        </w:rPr>
        <w:t xml:space="preserve">Exemple : Forfait de de 218 jours sur la période de référence du 1er mai 2026 au 30 avril 2027</w:t>
      </w:r>
      <w:r>
        <w:rPr>
          <w:rFonts w:ascii="Calibri" w:hAnsi="Calibri" w:cs="Calibri"/>
          <w:i/>
          <w:iCs/>
        </w:rPr>
      </w:r>
      <w:r>
        <w:rPr>
          <w:rFonts w:ascii="Calibri" w:hAnsi="Calibri" w:cs="Calibri"/>
          <w:i/>
          <w:iCs/>
        </w:rPr>
      </w:r>
    </w:p>
    <w:p w14:paraId="41B72CEE" w14:textId="77777777">
      <w:pPr>
        <w:pStyle w:val="895"/>
        <w:pBdr/>
        <w:spacing/>
        <w:ind/>
        <w:jc w:val="both"/>
        <w:rPr>
          <w:rFonts w:ascii="Calibri" w:hAnsi="Calibri" w:cs="Calibri"/>
          <w:i/>
          <w:iCs/>
        </w:rPr>
      </w:pPr>
      <w:r>
        <w:rPr>
          <w:rFonts w:ascii="Calibri" w:hAnsi="Calibri" w:cs="Calibri"/>
          <w:i/>
          <w:iCs/>
        </w:rPr>
        <w:t xml:space="preserve">Le salarié est placé en arrêt maladie du 1er au 30 septembre 2026.</w:t>
      </w:r>
      <w:r>
        <w:rPr>
          <w:rFonts w:ascii="Calibri" w:hAnsi="Calibri" w:cs="Calibri"/>
          <w:i/>
          <w:iCs/>
        </w:rPr>
      </w:r>
      <w:r>
        <w:rPr>
          <w:rFonts w:ascii="Calibri" w:hAnsi="Calibri" w:cs="Calibri"/>
          <w:i/>
          <w:iCs/>
        </w:rPr>
      </w:r>
    </w:p>
    <w:p w14:paraId="2B43780F" w14:textId="20458314">
      <w:pPr>
        <w:pStyle w:val="895"/>
        <w:pBdr/>
        <w:spacing/>
        <w:ind/>
        <w:jc w:val="both"/>
        <w:rPr>
          <w:rFonts w:ascii="Calibri" w:hAnsi="Calibri" w:cs="Calibri"/>
          <w:i/>
          <w:iCs/>
        </w:rPr>
      </w:pPr>
      <w:r>
        <w:rPr>
          <w:rFonts w:ascii="Calibri" w:hAnsi="Calibri" w:cs="Calibri"/>
          <w:i/>
          <w:iCs/>
        </w:rPr>
        <w:t xml:space="preserve">Il a utilisé 2 jours de congé payé et 3 JRS. </w:t>
      </w:r>
      <w:r>
        <w:rPr>
          <w:rFonts w:ascii="Calibri" w:hAnsi="Calibri" w:cs="Calibri"/>
          <w:i/>
          <w:iCs/>
        </w:rPr>
      </w:r>
      <w:r>
        <w:rPr>
          <w:rFonts w:ascii="Calibri" w:hAnsi="Calibri" w:cs="Calibri"/>
          <w:i/>
          <w:iCs/>
        </w:rPr>
      </w:r>
    </w:p>
    <w:p w14:paraId="5661A9DF"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7BBEA25B" w14:textId="128CD446">
      <w:pPr>
        <w:pStyle w:val="895"/>
        <w:pBdr/>
        <w:spacing/>
        <w:ind/>
        <w:jc w:val="both"/>
        <w:rPr>
          <w:rFonts w:ascii="Calibri" w:hAnsi="Calibri" w:cs="Calibri"/>
        </w:rPr>
      </w:pPr>
      <w:r>
        <w:rPr>
          <w:rFonts w:ascii="Calibri" w:hAnsi="Calibri" w:cs="Calibri"/>
        </w:rPr>
        <w:t xml:space="preserve">Il s’agit de déterminer le nombre de jours restants à travailler et de jours restants </w:t>
      </w:r>
      <w:r>
        <w:rPr>
          <w:rFonts w:ascii="Calibri" w:hAnsi="Calibri" w:cs="Calibri"/>
        </w:rPr>
        <w:t xml:space="preserve">de repos</w:t>
      </w:r>
      <w:r>
        <w:rPr>
          <w:rFonts w:ascii="Calibri" w:hAnsi="Calibri" w:cs="Calibri"/>
        </w:rPr>
        <w:t xml:space="preserve"> sur la période du 1er octobre 2026 au 30 avril 2027.</w:t>
      </w:r>
      <w:r>
        <w:rPr>
          <w:rFonts w:ascii="Calibri" w:hAnsi="Calibri" w:cs="Calibri"/>
        </w:rPr>
      </w:r>
      <w:r>
        <w:rPr>
          <w:rFonts w:ascii="Calibri" w:hAnsi="Calibri" w:cs="Calibri"/>
        </w:rPr>
      </w:r>
    </w:p>
    <w:p w14:paraId="5B676ECC"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2A127E20" w14:textId="69E67933">
      <w:pPr>
        <w:pStyle w:val="895"/>
        <w:numPr>
          <w:ilvl w:val="0"/>
          <w:numId w:val="1"/>
        </w:numPr>
        <w:pBdr/>
        <w:spacing/>
        <w:ind/>
        <w:jc w:val="both"/>
        <w:rPr>
          <w:rFonts w:ascii="Calibri" w:hAnsi="Calibri" w:cs="Calibri"/>
        </w:rPr>
      </w:pPr>
      <w:r>
        <w:rPr>
          <w:rFonts w:ascii="Calibri" w:hAnsi="Calibri" w:cs="Calibri"/>
        </w:rPr>
        <w:t xml:space="preserve">soit</w:t>
      </w:r>
      <w:r>
        <w:rPr>
          <w:rFonts w:ascii="Calibri" w:hAnsi="Calibri" w:cs="Calibri"/>
        </w:rPr>
        <w:t xml:space="preserve"> N le nombre de jours calendaires sur la période de référence ;</w:t>
      </w:r>
      <w:r>
        <w:rPr>
          <w:rFonts w:ascii="Calibri" w:hAnsi="Calibri" w:cs="Calibri"/>
        </w:rPr>
      </w:r>
      <w:r>
        <w:rPr>
          <w:rFonts w:ascii="Calibri" w:hAnsi="Calibri" w:cs="Calibri"/>
        </w:rPr>
      </w:r>
    </w:p>
    <w:p w14:paraId="227D4853" w14:textId="3A42694B">
      <w:pPr>
        <w:pStyle w:val="895"/>
        <w:numPr>
          <w:ilvl w:val="0"/>
          <w:numId w:val="1"/>
        </w:numPr>
        <w:pBdr/>
        <w:spacing/>
        <w:ind/>
        <w:jc w:val="both"/>
        <w:rPr>
          <w:rFonts w:ascii="Calibri" w:hAnsi="Calibri" w:cs="Calibri"/>
        </w:rPr>
      </w:pPr>
      <w:r>
        <w:rPr>
          <w:rFonts w:ascii="Calibri" w:hAnsi="Calibri" w:cs="Calibri"/>
        </w:rPr>
        <w:t xml:space="preserve">soit</w:t>
      </w:r>
      <w:r>
        <w:rPr>
          <w:rFonts w:ascii="Calibri" w:hAnsi="Calibri" w:cs="Calibri"/>
        </w:rPr>
        <w:t xml:space="preserve"> RH le nombre de jours de repos hebdomadaires sur la période de référence ;</w:t>
      </w:r>
      <w:r>
        <w:rPr>
          <w:rFonts w:ascii="Calibri" w:hAnsi="Calibri" w:cs="Calibri"/>
        </w:rPr>
      </w:r>
      <w:r>
        <w:rPr>
          <w:rFonts w:ascii="Calibri" w:hAnsi="Calibri" w:cs="Calibri"/>
        </w:rPr>
      </w:r>
    </w:p>
    <w:p w14:paraId="3B4C628F" w14:textId="3A275B11">
      <w:pPr>
        <w:pStyle w:val="895"/>
        <w:numPr>
          <w:ilvl w:val="0"/>
          <w:numId w:val="1"/>
        </w:numPr>
        <w:pBdr/>
        <w:spacing/>
        <w:ind/>
        <w:jc w:val="both"/>
        <w:rPr>
          <w:rFonts w:ascii="Calibri" w:hAnsi="Calibri" w:cs="Calibri"/>
        </w:rPr>
      </w:pPr>
      <w:r>
        <w:rPr>
          <w:rFonts w:ascii="Calibri" w:hAnsi="Calibri" w:cs="Calibri"/>
        </w:rPr>
        <w:t xml:space="preserve">soit</w:t>
      </w:r>
      <w:r>
        <w:rPr>
          <w:rFonts w:ascii="Calibri" w:hAnsi="Calibri" w:cs="Calibri"/>
        </w:rPr>
        <w:t xml:space="preserve"> JF le nombre de jours fériés ne tombant pas sur un jour de repos hebdomadaire sur la période de référence ;</w:t>
      </w:r>
      <w:r>
        <w:rPr>
          <w:rFonts w:ascii="Calibri" w:hAnsi="Calibri" w:cs="Calibri"/>
        </w:rPr>
      </w:r>
      <w:r>
        <w:rPr>
          <w:rFonts w:ascii="Calibri" w:hAnsi="Calibri" w:cs="Calibri"/>
        </w:rPr>
      </w:r>
    </w:p>
    <w:p w14:paraId="7C6DC995" w14:textId="6363FA95">
      <w:pPr>
        <w:pStyle w:val="895"/>
        <w:numPr>
          <w:ilvl w:val="0"/>
          <w:numId w:val="1"/>
        </w:numPr>
        <w:pBdr/>
        <w:spacing/>
        <w:ind/>
        <w:jc w:val="both"/>
        <w:rPr>
          <w:rFonts w:ascii="Calibri" w:hAnsi="Calibri" w:cs="Calibri"/>
        </w:rPr>
      </w:pPr>
      <w:r>
        <w:rPr>
          <w:rFonts w:ascii="Calibri" w:hAnsi="Calibri" w:cs="Calibri"/>
        </w:rPr>
        <w:t xml:space="preserve">soit</w:t>
      </w:r>
      <w:r>
        <w:rPr>
          <w:rFonts w:ascii="Calibri" w:hAnsi="Calibri" w:cs="Calibri"/>
        </w:rPr>
        <w:t xml:space="preserve"> CP le nombre de congés payés dû sur la période de référence</w:t>
      </w:r>
      <w:r>
        <w:rPr>
          <w:rFonts w:ascii="Calibri" w:hAnsi="Calibri" w:cs="Calibri"/>
        </w:rPr>
        <w:t xml:space="preserve"> </w:t>
      </w:r>
      <w:r>
        <w:rPr>
          <w:rFonts w:ascii="Calibri" w:hAnsi="Calibri" w:cs="Calibri"/>
        </w:rPr>
        <w:t xml:space="preserve">;</w:t>
      </w:r>
      <w:r>
        <w:rPr>
          <w:rFonts w:ascii="Calibri" w:hAnsi="Calibri" w:cs="Calibri"/>
        </w:rPr>
      </w:r>
      <w:r>
        <w:rPr>
          <w:rFonts w:ascii="Calibri" w:hAnsi="Calibri" w:cs="Calibri"/>
        </w:rPr>
      </w:r>
    </w:p>
    <w:p w14:paraId="04F022ED" w14:textId="57C2B95B">
      <w:pPr>
        <w:pStyle w:val="895"/>
        <w:numPr>
          <w:ilvl w:val="0"/>
          <w:numId w:val="1"/>
        </w:numPr>
        <w:pBdr/>
        <w:spacing/>
        <w:ind/>
        <w:jc w:val="both"/>
        <w:rPr>
          <w:rFonts w:ascii="Calibri" w:hAnsi="Calibri" w:cs="Calibri"/>
        </w:rPr>
      </w:pPr>
      <w:r>
        <w:rPr>
          <w:rFonts w:ascii="Calibri" w:hAnsi="Calibri" w:cs="Calibri"/>
        </w:rPr>
        <w:t xml:space="preserve">soit</w:t>
      </w:r>
      <w:r>
        <w:rPr>
          <w:rFonts w:ascii="Calibri" w:hAnsi="Calibri" w:cs="Calibri"/>
        </w:rPr>
        <w:t xml:space="preserve"> F le nombre de jours du forfait jours sur la période de référence.</w:t>
      </w:r>
      <w:r>
        <w:rPr>
          <w:rFonts w:ascii="Calibri" w:hAnsi="Calibri" w:cs="Calibri"/>
        </w:rPr>
      </w:r>
      <w:r>
        <w:rPr>
          <w:rFonts w:ascii="Calibri" w:hAnsi="Calibri" w:cs="Calibri"/>
        </w:rPr>
      </w:r>
    </w:p>
    <w:p w14:paraId="0B789878"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2C7DFA2D" w14:textId="0D3C4663">
      <w:pPr>
        <w:pStyle w:val="895"/>
        <w:pBdr/>
        <w:spacing/>
        <w:ind/>
        <w:jc w:val="both"/>
        <w:rPr>
          <w:rFonts w:ascii="Calibri" w:hAnsi="Calibri" w:cs="Calibri"/>
        </w:rPr>
      </w:pPr>
      <w:r>
        <w:rPr>
          <w:rFonts w:ascii="Calibri" w:hAnsi="Calibri" w:cs="Calibri"/>
        </w:rPr>
        <w:t xml:space="preserve">1/ Calcul du nombre de semaines travaillées en moyenne sur la période de référence</w:t>
      </w:r>
      <w:r>
        <w:rPr>
          <w:rFonts w:ascii="Calibri" w:hAnsi="Calibri" w:cs="Calibri"/>
        </w:rPr>
        <w:t xml:space="preserve"> </w:t>
      </w:r>
      <w:r>
        <w:rPr>
          <w:rFonts w:ascii="Calibri" w:hAnsi="Calibri" w:cs="Calibri"/>
        </w:rPr>
        <w:t xml:space="preserve">(Y), à partir du nombre de jours potentiellement travaillé (P) : </w:t>
      </w:r>
      <w:r>
        <w:rPr>
          <w:rFonts w:ascii="Calibri" w:hAnsi="Calibri" w:cs="Calibri"/>
        </w:rPr>
      </w:r>
      <w:r>
        <w:rPr>
          <w:rFonts w:ascii="Calibri" w:hAnsi="Calibri" w:cs="Calibri"/>
        </w:rPr>
      </w:r>
    </w:p>
    <w:p w14:paraId="77F36E3B"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50D8BE20" w14:textId="77777777">
      <w:pPr>
        <w:pStyle w:val="895"/>
        <w:pBdr/>
        <w:spacing/>
        <w:ind/>
        <w:jc w:val="both"/>
        <w:rPr>
          <w:rFonts w:ascii="Calibri" w:hAnsi="Calibri" w:cs="Calibri"/>
        </w:rPr>
      </w:pPr>
      <w:r>
        <w:rPr>
          <w:rFonts w:ascii="Calibri" w:hAnsi="Calibri" w:cs="Calibri"/>
        </w:rPr>
        <w:t xml:space="preserve">Le nombre de semaines travaillées (Y) sur la période de référence est déterminé comme suit :</w:t>
      </w:r>
      <w:r>
        <w:rPr>
          <w:rFonts w:ascii="Calibri" w:hAnsi="Calibri" w:cs="Calibri"/>
        </w:rPr>
      </w:r>
      <w:r>
        <w:rPr>
          <w:rFonts w:ascii="Calibri" w:hAnsi="Calibri" w:cs="Calibri"/>
        </w:rPr>
      </w:r>
    </w:p>
    <w:p w14:paraId="2602B2A9"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508CB97D" w14:textId="643E4B40">
      <w:pPr>
        <w:pStyle w:val="895"/>
        <w:pBdr/>
        <w:spacing/>
        <w:ind w:left="567"/>
        <w:jc w:val="both"/>
        <w:rPr>
          <w:rFonts w:ascii="Calibri" w:hAnsi="Calibri" w:cs="Calibri"/>
        </w:rPr>
      </w:pPr>
      <w:r>
        <w:rPr>
          <w:rFonts w:ascii="Calibri" w:hAnsi="Calibri" w:cs="Calibri"/>
        </w:rPr>
        <w:t xml:space="preserve">N (365) – RH (104) – CP (25) </w:t>
      </w:r>
      <w:r>
        <w:rPr>
          <w:rFonts w:ascii="Calibri" w:hAnsi="Calibri" w:cs="Calibri"/>
        </w:rPr>
        <w:t xml:space="preserve">– </w:t>
      </w:r>
      <w:r>
        <w:rPr>
          <w:rFonts w:ascii="Calibri" w:hAnsi="Calibri" w:cs="Calibri"/>
        </w:rPr>
        <w:t xml:space="preserve">JF (9) = P (22</w:t>
      </w:r>
      <w:r>
        <w:rPr>
          <w:rFonts w:ascii="Calibri" w:hAnsi="Calibri" w:cs="Calibri"/>
        </w:rPr>
        <w:t xml:space="preserve">7</w:t>
      </w:r>
      <w:r>
        <w:rPr>
          <w:rFonts w:ascii="Calibri" w:hAnsi="Calibri" w:cs="Calibri"/>
        </w:rPr>
        <w:t xml:space="preserve"> jours potentiellement travaillés),</w:t>
      </w:r>
      <w:r>
        <w:rPr>
          <w:rFonts w:ascii="Calibri" w:hAnsi="Calibri" w:cs="Calibri"/>
        </w:rPr>
      </w:r>
      <w:r>
        <w:rPr>
          <w:rFonts w:ascii="Calibri" w:hAnsi="Calibri" w:cs="Calibri"/>
        </w:rPr>
      </w:r>
    </w:p>
    <w:p w14:paraId="41B4BDD0" w14:textId="77777777">
      <w:pPr>
        <w:pStyle w:val="895"/>
        <w:pBdr/>
        <w:spacing/>
        <w:ind w:left="567"/>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4DE2A064" w14:textId="7BF66362">
      <w:pPr>
        <w:pStyle w:val="895"/>
        <w:pBdr/>
        <w:spacing/>
        <w:ind w:left="567"/>
        <w:jc w:val="both"/>
        <w:rPr>
          <w:rFonts w:ascii="Calibri" w:hAnsi="Calibri" w:cs="Calibri"/>
        </w:rPr>
      </w:pPr>
      <w:r>
        <w:rPr>
          <w:rFonts w:ascii="Calibri" w:hAnsi="Calibri" w:cs="Calibri"/>
        </w:rPr>
        <w:t xml:space="preserve">P (22</w:t>
      </w:r>
      <w:r>
        <w:rPr>
          <w:rFonts w:ascii="Calibri" w:hAnsi="Calibri" w:cs="Calibri"/>
        </w:rPr>
        <w:t xml:space="preserve">7</w:t>
      </w:r>
      <w:r>
        <w:rPr>
          <w:rFonts w:ascii="Calibri" w:hAnsi="Calibri" w:cs="Calibri"/>
        </w:rPr>
        <w:t xml:space="preserve">) / 5 jours par semaine = Y (45,</w:t>
      </w:r>
      <w:r>
        <w:rPr>
          <w:rFonts w:ascii="Calibri" w:hAnsi="Calibri" w:cs="Calibri"/>
        </w:rPr>
        <w:t xml:space="preserve">4</w:t>
      </w:r>
      <w:r>
        <w:rPr>
          <w:rFonts w:ascii="Calibri" w:hAnsi="Calibri" w:cs="Calibri"/>
        </w:rPr>
        <w:t xml:space="preserve"> semaines travaillées sur la période de référence).</w:t>
      </w:r>
      <w:r>
        <w:rPr>
          <w:rFonts w:ascii="Calibri" w:hAnsi="Calibri" w:cs="Calibri"/>
        </w:rPr>
      </w:r>
      <w:r>
        <w:rPr>
          <w:rFonts w:ascii="Calibri" w:hAnsi="Calibri" w:cs="Calibri"/>
        </w:rPr>
      </w:r>
    </w:p>
    <w:p w14:paraId="0A2FEF47"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6BFB2D30" w14:textId="3B8DBCC4">
      <w:pPr>
        <w:pStyle w:val="895"/>
        <w:pBdr/>
        <w:spacing/>
        <w:ind/>
        <w:jc w:val="both"/>
        <w:rPr>
          <w:rFonts w:ascii="Calibri" w:hAnsi="Calibri" w:cs="Calibri"/>
        </w:rPr>
      </w:pPr>
      <w:r>
        <w:rPr>
          <w:rFonts w:ascii="Calibri" w:hAnsi="Calibri" w:cs="Calibri"/>
        </w:rPr>
        <w:t xml:space="preserve">2/ Calcul du nombre </w:t>
      </w:r>
      <w:r>
        <w:rPr>
          <w:rFonts w:ascii="Calibri" w:hAnsi="Calibri" w:cs="Calibri"/>
        </w:rPr>
        <w:t xml:space="preserve">théorique</w:t>
      </w:r>
      <w:r>
        <w:rPr>
          <w:rFonts w:ascii="Calibri" w:hAnsi="Calibri" w:cs="Calibri"/>
        </w:rPr>
        <w:t xml:space="preserve"> de jours </w:t>
      </w:r>
      <w:r>
        <w:rPr>
          <w:rFonts w:ascii="Calibri" w:hAnsi="Calibri" w:cs="Calibri"/>
        </w:rPr>
        <w:t xml:space="preserve">supplémentaires de repos (JRS) </w:t>
      </w:r>
      <w:r>
        <w:rPr>
          <w:rFonts w:ascii="Calibri" w:hAnsi="Calibri" w:cs="Calibri"/>
        </w:rPr>
        <w:t xml:space="preserve">:</w:t>
      </w:r>
      <w:r>
        <w:rPr>
          <w:rFonts w:ascii="Calibri" w:hAnsi="Calibri" w:cs="Calibri"/>
        </w:rPr>
      </w:r>
      <w:r>
        <w:rPr>
          <w:rFonts w:ascii="Calibri" w:hAnsi="Calibri" w:cs="Calibri"/>
        </w:rPr>
      </w:r>
    </w:p>
    <w:p w14:paraId="6626BD3B"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1EDF8AFA" w14:textId="755E015A">
      <w:pPr>
        <w:pStyle w:val="895"/>
        <w:pBdr/>
        <w:spacing/>
        <w:ind w:left="567"/>
        <w:jc w:val="both"/>
        <w:rPr>
          <w:rFonts w:ascii="Calibri" w:hAnsi="Calibri" w:cs="Calibri"/>
        </w:rPr>
      </w:pPr>
      <w:r>
        <w:rPr>
          <w:rFonts w:ascii="Calibri" w:hAnsi="Calibri" w:cs="Calibri"/>
        </w:rPr>
        <w:t xml:space="preserve">P (227) – f (218) = JRS (9)</w:t>
      </w:r>
      <w:r>
        <w:rPr>
          <w:rFonts w:ascii="Calibri" w:hAnsi="Calibri" w:cs="Calibri"/>
        </w:rPr>
      </w:r>
      <w:r>
        <w:rPr>
          <w:rFonts w:ascii="Calibri" w:hAnsi="Calibri" w:cs="Calibri"/>
        </w:rPr>
      </w:r>
    </w:p>
    <w:p w14:paraId="00E35418"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2C1DDAD6" w14:textId="45B57FFA">
      <w:pPr>
        <w:pStyle w:val="895"/>
        <w:pBdr/>
        <w:spacing/>
        <w:ind/>
        <w:jc w:val="both"/>
        <w:rPr>
          <w:rFonts w:ascii="Calibri" w:hAnsi="Calibri" w:cs="Calibri"/>
        </w:rPr>
      </w:pPr>
      <w:r>
        <w:rPr>
          <w:rFonts w:ascii="Calibri" w:hAnsi="Calibri" w:cs="Calibri"/>
        </w:rPr>
        <w:t xml:space="preserve">2/ Calcul du nombre de jours travaillés en moyenne par semaine sur la période de référence</w:t>
      </w:r>
      <w:r>
        <w:rPr>
          <w:rFonts w:ascii="Calibri" w:hAnsi="Calibri" w:cs="Calibri"/>
        </w:rPr>
        <w:t xml:space="preserve"> </w:t>
      </w:r>
      <w:r>
        <w:rPr>
          <w:rFonts w:ascii="Calibri" w:hAnsi="Calibri" w:cs="Calibri"/>
        </w:rPr>
        <w:t xml:space="preserve">(JM) en divisant le nombre de jours du forfait (F) par le nombre de semaines travaillées en moyenne (Y).</w:t>
      </w:r>
      <w:r>
        <w:rPr>
          <w:rFonts w:ascii="Calibri" w:hAnsi="Calibri" w:cs="Calibri"/>
        </w:rPr>
      </w:r>
      <w:r>
        <w:rPr>
          <w:rFonts w:ascii="Calibri" w:hAnsi="Calibri" w:cs="Calibri"/>
        </w:rPr>
      </w:r>
    </w:p>
    <w:p w14:paraId="44AD1585"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3F1F5A2C" w14:textId="51B624EF">
      <w:pPr>
        <w:pStyle w:val="895"/>
        <w:pBdr/>
        <w:spacing/>
        <w:ind w:left="567"/>
        <w:jc w:val="both"/>
        <w:rPr>
          <w:rFonts w:ascii="Calibri" w:hAnsi="Calibri" w:cs="Calibri"/>
        </w:rPr>
      </w:pPr>
      <w:r>
        <w:rPr>
          <w:rFonts w:ascii="Calibri" w:hAnsi="Calibri" w:cs="Calibri"/>
        </w:rPr>
        <w:t xml:space="preserve">F (21</w:t>
      </w:r>
      <w:r>
        <w:rPr>
          <w:rFonts w:ascii="Calibri" w:hAnsi="Calibri" w:cs="Calibri"/>
        </w:rPr>
        <w:t xml:space="preserve">8</w:t>
      </w:r>
      <w:r>
        <w:rPr>
          <w:rFonts w:ascii="Calibri" w:hAnsi="Calibri" w:cs="Calibri"/>
        </w:rPr>
        <w:t xml:space="preserve">) / Y (45,</w:t>
      </w:r>
      <w:r>
        <w:rPr>
          <w:rFonts w:ascii="Calibri" w:hAnsi="Calibri" w:cs="Calibri"/>
        </w:rPr>
        <w:t xml:space="preserve">4</w:t>
      </w:r>
      <w:r>
        <w:rPr>
          <w:rFonts w:ascii="Calibri" w:hAnsi="Calibri" w:cs="Calibri"/>
        </w:rPr>
        <w:t xml:space="preserve">) = JM (4,</w:t>
      </w:r>
      <w:r>
        <w:rPr>
          <w:rFonts w:ascii="Calibri" w:hAnsi="Calibri" w:cs="Calibri"/>
        </w:rPr>
        <w:t xml:space="preserve">80</w:t>
      </w:r>
      <w:r>
        <w:rPr>
          <w:rFonts w:ascii="Calibri" w:hAnsi="Calibri" w:cs="Calibri"/>
        </w:rPr>
        <w:t xml:space="preserve"> </w:t>
      </w:r>
      <w:r>
        <w:rPr>
          <w:rFonts w:ascii="Calibri" w:hAnsi="Calibri" w:cs="Calibri"/>
        </w:rPr>
        <w:t xml:space="preserve">jours travaillés en moyenne par semaine) </w:t>
      </w:r>
      <w:r>
        <w:rPr>
          <w:rFonts w:ascii="Calibri" w:hAnsi="Calibri" w:cs="Calibri"/>
        </w:rPr>
      </w:r>
      <w:r>
        <w:rPr>
          <w:rFonts w:ascii="Calibri" w:hAnsi="Calibri" w:cs="Calibri"/>
        </w:rPr>
      </w:r>
    </w:p>
    <w:p w14:paraId="30D30F12"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2BF5EB26" w14:textId="36D594F4">
      <w:pPr>
        <w:pStyle w:val="895"/>
        <w:pBdr/>
        <w:spacing/>
        <w:ind/>
        <w:jc w:val="both"/>
        <w:rPr>
          <w:rFonts w:ascii="Calibri" w:hAnsi="Calibri" w:cs="Calibri"/>
        </w:rPr>
      </w:pPr>
      <w:r>
        <w:rPr>
          <w:rFonts w:ascii="Calibri" w:hAnsi="Calibri" w:cs="Calibri"/>
        </w:rPr>
        <w:t xml:space="preserve">3/ Calcul du nombre de jours </w:t>
      </w:r>
      <w:r>
        <w:rPr>
          <w:rFonts w:ascii="Calibri" w:hAnsi="Calibri" w:cs="Calibri"/>
        </w:rPr>
        <w:t xml:space="preserve">de repos</w:t>
      </w:r>
      <w:r>
        <w:rPr>
          <w:rFonts w:ascii="Calibri" w:hAnsi="Calibri" w:cs="Calibri"/>
        </w:rPr>
        <w:t xml:space="preserve"> en moyenne par semaine sur la période de référence </w:t>
      </w:r>
      <w:r>
        <w:rPr>
          <w:rFonts w:ascii="Calibri" w:hAnsi="Calibri" w:cs="Calibri"/>
        </w:rPr>
        <w:t xml:space="preserve">(J</w:t>
      </w:r>
      <w:r>
        <w:rPr>
          <w:rFonts w:ascii="Calibri" w:hAnsi="Calibri" w:cs="Calibri"/>
        </w:rPr>
        <w:t xml:space="preserve">RS</w:t>
      </w:r>
      <w:r>
        <w:rPr>
          <w:rFonts w:ascii="Calibri" w:hAnsi="Calibri" w:cs="Calibri"/>
        </w:rPr>
        <w:t xml:space="preserve">S)</w:t>
      </w:r>
      <w:r>
        <w:rPr>
          <w:rFonts w:ascii="Calibri" w:hAnsi="Calibri" w:cs="Calibri"/>
        </w:rPr>
        <w:t xml:space="preserve"> </w:t>
      </w:r>
      <w:r>
        <w:rPr>
          <w:rFonts w:ascii="Calibri" w:hAnsi="Calibri" w:cs="Calibri"/>
        </w:rPr>
        <w:t xml:space="preserve">en divisant le nombre de jours non travaillés (JRS) par le nombre de semaines travaillées (Y) :</w:t>
      </w:r>
      <w:r>
        <w:rPr>
          <w:rFonts w:ascii="Calibri" w:hAnsi="Calibri" w:cs="Calibri"/>
        </w:rPr>
      </w:r>
      <w:r>
        <w:rPr>
          <w:rFonts w:ascii="Calibri" w:hAnsi="Calibri" w:cs="Calibri"/>
        </w:rPr>
      </w:r>
    </w:p>
    <w:p w14:paraId="144AE0D5"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7723549D" w14:textId="257E682C">
      <w:pPr>
        <w:pStyle w:val="895"/>
        <w:pBdr/>
        <w:spacing/>
        <w:ind w:left="567"/>
        <w:jc w:val="both"/>
        <w:rPr>
          <w:rFonts w:ascii="Calibri" w:hAnsi="Calibri" w:cs="Calibri"/>
        </w:rPr>
      </w:pPr>
      <w:r>
        <w:rPr>
          <w:rFonts w:ascii="Calibri" w:hAnsi="Calibri" w:cs="Calibri"/>
        </w:rPr>
        <w:t xml:space="preserve">JRS (9) / Y (45,4) = 1,20 (JRSS)</w:t>
      </w:r>
      <w:r>
        <w:rPr>
          <w:rFonts w:ascii="Calibri" w:hAnsi="Calibri" w:cs="Calibri"/>
        </w:rPr>
      </w:r>
      <w:r>
        <w:rPr>
          <w:rFonts w:ascii="Calibri" w:hAnsi="Calibri" w:cs="Calibri"/>
        </w:rPr>
      </w:r>
    </w:p>
    <w:p w14:paraId="6B7A86EE" w14:textId="77777777">
      <w:pPr>
        <w:pStyle w:val="895"/>
        <w:pBdr/>
        <w:spacing/>
        <w:ind w:left="567"/>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179FFE8F" w14:textId="55E5D2CE">
      <w:pPr>
        <w:pStyle w:val="895"/>
        <w:pBdr/>
        <w:spacing/>
        <w:ind/>
        <w:jc w:val="both"/>
        <w:rPr>
          <w:rFonts w:ascii="Calibri" w:hAnsi="Calibri" w:cs="Calibri"/>
        </w:rPr>
      </w:pPr>
      <w:r>
        <w:rPr>
          <w:rFonts w:ascii="Calibri" w:hAnsi="Calibri" w:cs="Calibri"/>
        </w:rPr>
        <w:t xml:space="preserve">Le nombre de jours non travaillés en moyenne par semaine (J</w:t>
      </w:r>
      <w:r>
        <w:rPr>
          <w:rFonts w:ascii="Calibri" w:hAnsi="Calibri" w:cs="Calibri"/>
        </w:rPr>
        <w:t xml:space="preserve">RS</w:t>
      </w:r>
      <w:r>
        <w:rPr>
          <w:rFonts w:ascii="Calibri" w:hAnsi="Calibri" w:cs="Calibri"/>
        </w:rPr>
        <w:t xml:space="preserve">S) </w:t>
      </w:r>
      <w:r>
        <w:rPr>
          <w:rFonts w:ascii="Calibri" w:hAnsi="Calibri" w:cs="Calibri"/>
        </w:rPr>
        <w:t xml:space="preserve">peut également être</w:t>
      </w:r>
      <w:r>
        <w:rPr>
          <w:rFonts w:ascii="Calibri" w:hAnsi="Calibri" w:cs="Calibri"/>
        </w:rPr>
        <w:t xml:space="preserve"> déterminé par la différence entre le nombre de jours ouvrés par semaine (5) et le nombre de jours travaillés en moyenne par semaine (JM) :</w:t>
      </w:r>
      <w:r>
        <w:rPr>
          <w:rFonts w:ascii="Calibri" w:hAnsi="Calibri" w:cs="Calibri"/>
        </w:rPr>
      </w:r>
      <w:r>
        <w:rPr>
          <w:rFonts w:ascii="Calibri" w:hAnsi="Calibri" w:cs="Calibri"/>
        </w:rPr>
      </w:r>
    </w:p>
    <w:p w14:paraId="6FF569BF"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34E6AE43" w14:textId="7A4CD2E6">
      <w:pPr>
        <w:pStyle w:val="895"/>
        <w:pBdr/>
        <w:spacing/>
        <w:ind w:left="567"/>
        <w:jc w:val="both"/>
        <w:rPr>
          <w:rFonts w:ascii="Calibri" w:hAnsi="Calibri" w:cs="Calibri"/>
        </w:rPr>
      </w:pPr>
      <w:r>
        <w:rPr>
          <w:rFonts w:ascii="Calibri" w:hAnsi="Calibri" w:cs="Calibri"/>
        </w:rPr>
        <w:t xml:space="preserve">5 - JM (4,</w:t>
      </w:r>
      <w:r>
        <w:rPr>
          <w:rFonts w:ascii="Calibri" w:hAnsi="Calibri" w:cs="Calibri"/>
        </w:rPr>
        <w:t xml:space="preserve">80</w:t>
      </w:r>
      <w:r>
        <w:rPr>
          <w:rFonts w:ascii="Calibri" w:hAnsi="Calibri" w:cs="Calibri"/>
        </w:rPr>
        <w:t xml:space="preserve">) = JNTS (0,</w:t>
      </w:r>
      <w:r>
        <w:rPr>
          <w:rFonts w:ascii="Calibri" w:hAnsi="Calibri" w:cs="Calibri"/>
        </w:rPr>
        <w:t xml:space="preserve">20</w:t>
      </w:r>
      <w:r>
        <w:rPr>
          <w:rFonts w:ascii="Calibri" w:hAnsi="Calibri" w:cs="Calibri"/>
        </w:rPr>
        <w:t xml:space="preserve"> </w:t>
      </w:r>
      <w:r>
        <w:rPr>
          <w:rFonts w:ascii="Calibri" w:hAnsi="Calibri" w:cs="Calibri"/>
        </w:rPr>
        <w:t xml:space="preserve">JRSS</w:t>
      </w:r>
      <w:r>
        <w:rPr>
          <w:rFonts w:ascii="Calibri" w:hAnsi="Calibri" w:cs="Calibri"/>
        </w:rPr>
        <w:t xml:space="preserve">)</w:t>
      </w:r>
      <w:r>
        <w:rPr>
          <w:rFonts w:ascii="Calibri" w:hAnsi="Calibri" w:cs="Calibri"/>
        </w:rPr>
      </w:r>
      <w:r>
        <w:rPr>
          <w:rFonts w:ascii="Calibri" w:hAnsi="Calibri" w:cs="Calibri"/>
        </w:rPr>
      </w:r>
    </w:p>
    <w:p w14:paraId="5C2B1804"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7C452B4A" w14:textId="28BE9EB3">
      <w:pPr>
        <w:pStyle w:val="895"/>
        <w:pBdr/>
        <w:spacing/>
        <w:ind/>
        <w:jc w:val="both"/>
        <w:rPr>
          <w:rFonts w:ascii="Calibri" w:hAnsi="Calibri" w:cs="Calibri"/>
        </w:rPr>
      </w:pPr>
      <w:r>
        <w:rPr>
          <w:rFonts w:ascii="Calibri" w:hAnsi="Calibri" w:cs="Calibri"/>
        </w:rPr>
        <w:t xml:space="preserve">Ainsi, une semaine d’absence non assimilée à du temps de travail effectif entraine une diminution du nombre de jours travaillés dû par le salarié de 4,</w:t>
      </w:r>
      <w:r>
        <w:rPr>
          <w:rFonts w:ascii="Calibri" w:hAnsi="Calibri" w:cs="Calibri"/>
        </w:rPr>
        <w:t xml:space="preserve">80</w:t>
      </w:r>
      <w:r>
        <w:rPr>
          <w:rFonts w:ascii="Calibri" w:hAnsi="Calibri" w:cs="Calibri"/>
        </w:rPr>
        <w:t xml:space="preserve"> jours et entraine une diminution du nombre de jours non travaillés auquel le salarié a droit de 0,</w:t>
      </w:r>
      <w:r>
        <w:rPr>
          <w:rFonts w:ascii="Calibri" w:hAnsi="Calibri" w:cs="Calibri"/>
        </w:rPr>
        <w:t xml:space="preserve">20</w:t>
      </w:r>
      <w:r>
        <w:rPr>
          <w:rFonts w:ascii="Calibri" w:hAnsi="Calibri" w:cs="Calibri"/>
        </w:rPr>
        <w:t xml:space="preserve"> jour.</w:t>
      </w:r>
      <w:r>
        <w:rPr>
          <w:rFonts w:ascii="Calibri" w:hAnsi="Calibri" w:cs="Calibri"/>
        </w:rPr>
      </w:r>
      <w:r>
        <w:rPr>
          <w:rFonts w:ascii="Calibri" w:hAnsi="Calibri" w:cs="Calibri"/>
        </w:rPr>
      </w:r>
    </w:p>
    <w:p w14:paraId="049AADEC"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3D0EE9E9" w14:textId="77777777">
      <w:pPr>
        <w:pStyle w:val="895"/>
        <w:pBdr/>
        <w:spacing/>
        <w:ind/>
        <w:jc w:val="both"/>
        <w:rPr>
          <w:rFonts w:ascii="Calibri" w:hAnsi="Calibri" w:cs="Calibri"/>
        </w:rPr>
      </w:pPr>
      <w:r>
        <w:rPr>
          <w:rFonts w:ascii="Calibri" w:hAnsi="Calibri" w:cs="Calibri"/>
        </w:rPr>
        <w:t xml:space="preserve">4/ Calcul du nombre de jours restants à travailler au titre du forfait (T) : </w:t>
      </w:r>
      <w:r>
        <w:rPr>
          <w:rFonts w:ascii="Calibri" w:hAnsi="Calibri" w:cs="Calibri"/>
        </w:rPr>
      </w:r>
      <w:r>
        <w:rPr>
          <w:rFonts w:ascii="Calibri" w:hAnsi="Calibri" w:cs="Calibri"/>
        </w:rPr>
      </w:r>
    </w:p>
    <w:p w14:paraId="00306BD0"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5CA4A7B5" w14:textId="77777777">
      <w:pPr>
        <w:pStyle w:val="895"/>
        <w:pBdr/>
        <w:spacing/>
        <w:ind/>
        <w:jc w:val="both"/>
        <w:rPr>
          <w:rFonts w:ascii="Calibri" w:hAnsi="Calibri" w:cs="Calibri"/>
        </w:rPr>
      </w:pPr>
      <w:r>
        <w:rPr>
          <w:rFonts w:ascii="Calibri" w:hAnsi="Calibri" w:cs="Calibri"/>
        </w:rPr>
        <w:t xml:space="preserve">Il convient de déduire du nombre de jours du forfait (F), les jo</w:t>
      </w:r>
      <w:r>
        <w:rPr>
          <w:rFonts w:ascii="Calibri" w:hAnsi="Calibri" w:cs="Calibri"/>
        </w:rPr>
        <w:t xml:space="preserve">urs déjà effectivement travaillés sur la période de référence (X), ainsi que la valeur correspondant aux jours d’absences non assimilés à du temps de travail effectif (O = ((JM/5) x nombre de jours d’absences non assimilés à du temps de travail effectif)).</w:t>
      </w:r>
      <w:r>
        <w:rPr>
          <w:rFonts w:ascii="Calibri" w:hAnsi="Calibri" w:cs="Calibri"/>
        </w:rPr>
      </w:r>
      <w:r>
        <w:rPr>
          <w:rFonts w:ascii="Calibri" w:hAnsi="Calibri" w:cs="Calibri"/>
        </w:rPr>
      </w:r>
    </w:p>
    <w:p w14:paraId="33C2BDD9"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50F9EFB1" w14:textId="0112D408">
      <w:pPr>
        <w:pStyle w:val="895"/>
        <w:pBdr/>
        <w:spacing/>
        <w:ind w:left="567"/>
        <w:jc w:val="both"/>
        <w:rPr>
          <w:rFonts w:ascii="Calibri" w:hAnsi="Calibri" w:cs="Calibri"/>
        </w:rPr>
      </w:pPr>
      <w:r>
        <w:rPr>
          <w:rFonts w:ascii="Calibri" w:hAnsi="Calibri" w:cs="Calibri"/>
        </w:rPr>
        <w:t xml:space="preserve">(JM 4,</w:t>
      </w:r>
      <w:r>
        <w:rPr>
          <w:rFonts w:ascii="Calibri" w:hAnsi="Calibri" w:cs="Calibri"/>
        </w:rPr>
        <w:t xml:space="preserve">80</w:t>
      </w:r>
      <w:r>
        <w:rPr>
          <w:rFonts w:ascii="Calibri" w:hAnsi="Calibri" w:cs="Calibri"/>
        </w:rPr>
        <w:t xml:space="preserve">/5) x 22 = O (</w:t>
      </w:r>
      <w:r>
        <w:rPr>
          <w:rFonts w:ascii="Calibri" w:hAnsi="Calibri" w:cs="Calibri"/>
        </w:rPr>
        <w:t xml:space="preserve">21,12</w:t>
      </w:r>
      <w:r>
        <w:rPr>
          <w:rFonts w:ascii="Calibri" w:hAnsi="Calibri" w:cs="Calibri"/>
        </w:rPr>
        <w:t xml:space="preserve">)</w:t>
      </w:r>
      <w:r>
        <w:rPr>
          <w:rFonts w:ascii="Calibri" w:hAnsi="Calibri" w:cs="Calibri"/>
        </w:rPr>
      </w:r>
      <w:r>
        <w:rPr>
          <w:rFonts w:ascii="Calibri" w:hAnsi="Calibri" w:cs="Calibri"/>
        </w:rPr>
      </w:r>
    </w:p>
    <w:p w14:paraId="1F6D4C8B"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3F1E31E9" w14:textId="0D6627CD">
      <w:pPr>
        <w:pStyle w:val="895"/>
        <w:pBdr/>
        <w:spacing/>
        <w:ind w:left="567"/>
        <w:jc w:val="both"/>
        <w:rPr>
          <w:rFonts w:ascii="Calibri" w:hAnsi="Calibri" w:cs="Calibri"/>
        </w:rPr>
      </w:pPr>
      <w:r>
        <w:rPr>
          <w:rFonts w:ascii="Calibri" w:hAnsi="Calibri" w:cs="Calibri"/>
        </w:rPr>
        <w:t xml:space="preserve">F (21</w:t>
      </w:r>
      <w:r>
        <w:rPr>
          <w:rFonts w:ascii="Calibri" w:hAnsi="Calibri" w:cs="Calibri"/>
        </w:rPr>
        <w:t xml:space="preserve">8</w:t>
      </w:r>
      <w:r>
        <w:rPr>
          <w:rFonts w:ascii="Calibri" w:hAnsi="Calibri" w:cs="Calibri"/>
        </w:rPr>
        <w:t xml:space="preserve">) - X (77 (82 - 2 CP - 3 JRS) - O (</w:t>
      </w:r>
      <w:r>
        <w:rPr>
          <w:rFonts w:ascii="Calibri" w:hAnsi="Calibri" w:cs="Calibri"/>
        </w:rPr>
        <w:t xml:space="preserve">21,12</w:t>
      </w:r>
      <w:r>
        <w:rPr>
          <w:rFonts w:ascii="Calibri" w:hAnsi="Calibri" w:cs="Calibri"/>
        </w:rPr>
        <w:t xml:space="preserve">) = T (</w:t>
      </w:r>
      <w:r>
        <w:rPr>
          <w:rFonts w:ascii="Calibri" w:hAnsi="Calibri" w:cs="Calibri"/>
        </w:rPr>
        <w:t xml:space="preserve">119,88</w:t>
      </w:r>
      <w:r>
        <w:rPr>
          <w:rFonts w:ascii="Calibri" w:hAnsi="Calibri" w:cs="Calibri"/>
        </w:rPr>
        <w:t xml:space="preserve">, arrondi à 1</w:t>
      </w:r>
      <w:r>
        <w:rPr>
          <w:rFonts w:ascii="Calibri" w:hAnsi="Calibri" w:cs="Calibri"/>
        </w:rPr>
        <w:t xml:space="preserve">20</w:t>
      </w:r>
      <w:r>
        <w:rPr>
          <w:rFonts w:ascii="Calibri" w:hAnsi="Calibri" w:cs="Calibri"/>
        </w:rPr>
        <w:t xml:space="preserve"> jours restants à travailler sur la période du 1er octobre 2026 au 30 avril 2027)</w:t>
      </w:r>
      <w:r>
        <w:rPr>
          <w:rFonts w:ascii="Calibri" w:hAnsi="Calibri" w:cs="Calibri"/>
        </w:rPr>
      </w:r>
      <w:r>
        <w:rPr>
          <w:rFonts w:ascii="Calibri" w:hAnsi="Calibri" w:cs="Calibri"/>
        </w:rPr>
      </w:r>
    </w:p>
    <w:p w14:paraId="046D8114"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77FD900A" w14:textId="77777777">
      <w:pPr>
        <w:pStyle w:val="895"/>
        <w:pBdr/>
        <w:spacing/>
        <w:ind/>
        <w:jc w:val="both"/>
        <w:rPr>
          <w:rFonts w:ascii="Calibri" w:hAnsi="Calibri" w:cs="Calibri"/>
        </w:rPr>
      </w:pPr>
      <w:r>
        <w:rPr>
          <w:rFonts w:ascii="Calibri" w:hAnsi="Calibri" w:cs="Calibri"/>
        </w:rPr>
        <w:t xml:space="preserve">5/ Calcul du nombre de jours non travaillés restant au titre du forfait (S) : </w:t>
      </w:r>
      <w:r>
        <w:rPr>
          <w:rFonts w:ascii="Calibri" w:hAnsi="Calibri" w:cs="Calibri"/>
        </w:rPr>
      </w:r>
      <w:r>
        <w:rPr>
          <w:rFonts w:ascii="Calibri" w:hAnsi="Calibri" w:cs="Calibri"/>
        </w:rPr>
      </w:r>
    </w:p>
    <w:p w14:paraId="558BBD2D"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6CE556C3" w14:textId="6F89F586">
      <w:pPr>
        <w:pStyle w:val="895"/>
        <w:pBdr/>
        <w:spacing/>
        <w:ind/>
        <w:jc w:val="both"/>
        <w:rPr>
          <w:rFonts w:ascii="Calibri" w:hAnsi="Calibri" w:cs="Calibri"/>
        </w:rPr>
      </w:pPr>
      <w:r>
        <w:rPr>
          <w:rFonts w:ascii="Calibri" w:hAnsi="Calibri" w:cs="Calibri"/>
        </w:rPr>
        <w:t xml:space="preserve">Il convient de déduire du nombre de jours </w:t>
      </w:r>
      <w:r>
        <w:rPr>
          <w:rFonts w:ascii="Calibri" w:hAnsi="Calibri" w:cs="Calibri"/>
        </w:rPr>
        <w:t xml:space="preserve">de repos</w:t>
      </w:r>
      <w:r>
        <w:rPr>
          <w:rFonts w:ascii="Calibri" w:hAnsi="Calibri" w:cs="Calibri"/>
        </w:rPr>
        <w:t xml:space="preserve"> (JRS), les jours </w:t>
      </w:r>
      <w:r>
        <w:rPr>
          <w:rFonts w:ascii="Calibri" w:hAnsi="Calibri" w:cs="Calibri"/>
        </w:rPr>
        <w:t xml:space="preserve">déjà pris </w:t>
      </w:r>
      <w:r>
        <w:rPr>
          <w:rFonts w:ascii="Calibri" w:hAnsi="Calibri" w:cs="Calibri"/>
        </w:rPr>
        <w:t xml:space="preserve">déjà </w:t>
      </w:r>
      <w:r>
        <w:rPr>
          <w:rFonts w:ascii="Calibri" w:hAnsi="Calibri" w:cs="Calibri"/>
        </w:rPr>
        <w:t xml:space="preserve">pris</w:t>
      </w:r>
      <w:r>
        <w:rPr>
          <w:rFonts w:ascii="Calibri" w:hAnsi="Calibri" w:cs="Calibri"/>
        </w:rPr>
        <w:t xml:space="preserve"> au titre des JRS sur la période de référence (Q), ainsi que la valeur correspondant aux jours d’absences non assimilés à du temps de travail effectif (R = ((J</w:t>
      </w:r>
      <w:r>
        <w:rPr>
          <w:rFonts w:ascii="Calibri" w:hAnsi="Calibri" w:cs="Calibri"/>
        </w:rPr>
        <w:t xml:space="preserve">RS</w:t>
      </w:r>
      <w:r>
        <w:rPr>
          <w:rFonts w:ascii="Calibri" w:hAnsi="Calibri" w:cs="Calibri"/>
        </w:rPr>
        <w:t xml:space="preserve">S/5) x nombre de jours d’absences non assimilés à du temps de travail effectif))</w:t>
      </w:r>
      <w:r>
        <w:rPr>
          <w:rFonts w:ascii="Calibri" w:hAnsi="Calibri" w:cs="Calibri"/>
        </w:rPr>
      </w:r>
      <w:r>
        <w:rPr>
          <w:rFonts w:ascii="Calibri" w:hAnsi="Calibri" w:cs="Calibri"/>
        </w:rPr>
      </w:r>
    </w:p>
    <w:p w14:paraId="353E7ADD"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38FC4C39" w14:textId="11D004CF">
      <w:pPr>
        <w:pStyle w:val="895"/>
        <w:pBdr/>
        <w:spacing/>
        <w:ind w:left="567"/>
        <w:jc w:val="both"/>
        <w:rPr>
          <w:rFonts w:ascii="Calibri" w:hAnsi="Calibri" w:cs="Calibri"/>
        </w:rPr>
      </w:pPr>
      <w:r>
        <w:rPr>
          <w:rFonts w:ascii="Calibri" w:hAnsi="Calibri" w:cs="Calibri"/>
        </w:rPr>
        <w:t xml:space="preserve">((0,</w:t>
      </w:r>
      <w:r>
        <w:rPr>
          <w:rFonts w:ascii="Calibri" w:hAnsi="Calibri" w:cs="Calibri"/>
        </w:rPr>
        <w:t xml:space="preserve">20</w:t>
      </w:r>
      <w:r>
        <w:rPr>
          <w:rFonts w:ascii="Calibri" w:hAnsi="Calibri" w:cs="Calibri"/>
        </w:rPr>
        <w:t xml:space="preserve">/5) x 22)) = R (</w:t>
      </w:r>
      <w:r>
        <w:rPr>
          <w:rFonts w:ascii="Calibri" w:hAnsi="Calibri" w:cs="Calibri"/>
        </w:rPr>
        <w:t xml:space="preserve">0,88</w:t>
      </w:r>
      <w:r>
        <w:rPr>
          <w:rFonts w:ascii="Calibri" w:hAnsi="Calibri" w:cs="Calibri"/>
        </w:rPr>
        <w:t xml:space="preserve">)</w:t>
      </w:r>
      <w:r>
        <w:rPr>
          <w:rFonts w:ascii="Calibri" w:hAnsi="Calibri" w:cs="Calibri"/>
        </w:rPr>
      </w:r>
      <w:r>
        <w:rPr>
          <w:rFonts w:ascii="Calibri" w:hAnsi="Calibri" w:cs="Calibri"/>
        </w:rPr>
      </w:r>
    </w:p>
    <w:p w14:paraId="4204FBAD" w14:textId="77777777">
      <w:pPr>
        <w:pStyle w:val="895"/>
        <w:pBdr/>
        <w:spacing/>
        <w:ind w:left="567"/>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5437F4F0" w14:textId="2CE8A5FB">
      <w:pPr>
        <w:pStyle w:val="895"/>
        <w:pBdr/>
        <w:spacing/>
        <w:ind w:left="567"/>
        <w:jc w:val="both"/>
        <w:rPr>
          <w:rFonts w:ascii="Calibri" w:hAnsi="Calibri" w:cs="Calibri"/>
        </w:rPr>
      </w:pPr>
      <w:r>
        <w:rPr>
          <w:rFonts w:ascii="Calibri" w:hAnsi="Calibri" w:cs="Calibri"/>
        </w:rPr>
        <w:t xml:space="preserve">JRS (</w:t>
      </w:r>
      <w:r>
        <w:rPr>
          <w:rFonts w:ascii="Calibri" w:hAnsi="Calibri" w:cs="Calibri"/>
        </w:rPr>
        <w:t xml:space="preserve">9</w:t>
      </w:r>
      <w:r>
        <w:rPr>
          <w:rFonts w:ascii="Calibri" w:hAnsi="Calibri" w:cs="Calibri"/>
        </w:rPr>
        <w:t xml:space="preserve">) – Q (3) - R (</w:t>
      </w:r>
      <w:r>
        <w:rPr>
          <w:rFonts w:ascii="Calibri" w:hAnsi="Calibri" w:cs="Calibri"/>
        </w:rPr>
        <w:t xml:space="preserve">0,88</w:t>
      </w:r>
      <w:r>
        <w:rPr>
          <w:rFonts w:ascii="Calibri" w:hAnsi="Calibri" w:cs="Calibri"/>
        </w:rPr>
        <w:t xml:space="preserve">) = S (</w:t>
      </w:r>
      <w:r>
        <w:rPr>
          <w:rFonts w:ascii="Calibri" w:hAnsi="Calibri" w:cs="Calibri"/>
        </w:rPr>
        <w:t xml:space="preserve">5,12</w:t>
      </w:r>
      <w:r>
        <w:rPr>
          <w:rFonts w:ascii="Calibri" w:hAnsi="Calibri" w:cs="Calibri"/>
        </w:rPr>
        <w:t xml:space="preserve">, arrondi à </w:t>
      </w:r>
      <w:r>
        <w:rPr>
          <w:rFonts w:ascii="Calibri" w:hAnsi="Calibri" w:cs="Calibri"/>
        </w:rPr>
        <w:t xml:space="preserve">5</w:t>
      </w:r>
      <w:r>
        <w:rPr>
          <w:rFonts w:ascii="Calibri" w:hAnsi="Calibri" w:cs="Calibri"/>
        </w:rPr>
        <w:t xml:space="preserve"> jours </w:t>
      </w:r>
      <w:r>
        <w:rPr>
          <w:rFonts w:ascii="Calibri" w:hAnsi="Calibri" w:cs="Calibri"/>
        </w:rPr>
        <w:t xml:space="preserve">de repos</w:t>
      </w:r>
      <w:r>
        <w:rPr>
          <w:rFonts w:ascii="Calibri" w:hAnsi="Calibri" w:cs="Calibri"/>
        </w:rPr>
        <w:t xml:space="preserve"> restants sur la période du 1er octobre 2026 au 30 avril 2027)</w:t>
      </w:r>
      <w:r>
        <w:rPr>
          <w:rFonts w:ascii="Calibri" w:hAnsi="Calibri" w:cs="Calibri"/>
        </w:rPr>
      </w:r>
      <w:r>
        <w:rPr>
          <w:rFonts w:ascii="Calibri" w:hAnsi="Calibri" w:cs="Calibri"/>
        </w:rPr>
      </w:r>
    </w:p>
    <w:p w14:paraId="01BC73E8"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35B74128" w14:textId="77777777">
      <w:pPr>
        <w:pStyle w:val="895"/>
        <w:pBdr/>
        <w:spacing/>
        <w:ind/>
        <w:jc w:val="both"/>
        <w:rPr>
          <w:rFonts w:ascii="Calibri" w:hAnsi="Calibri" w:cs="Calibri"/>
        </w:rPr>
      </w:pPr>
      <w:r>
        <w:rPr>
          <w:rFonts w:ascii="Calibri" w:hAnsi="Calibri" w:cs="Calibri"/>
        </w:rPr>
        <w:t xml:space="preserve">Ainsi, une semaine d’absence, non assimilée à du temps de travail effectif, entraine une diminution proportionnelle :</w:t>
      </w:r>
      <w:r>
        <w:rPr>
          <w:rFonts w:ascii="Calibri" w:hAnsi="Calibri" w:cs="Calibri"/>
        </w:rPr>
      </w:r>
      <w:r>
        <w:rPr>
          <w:rFonts w:ascii="Calibri" w:hAnsi="Calibri" w:cs="Calibri"/>
        </w:rPr>
      </w:r>
    </w:p>
    <w:p w14:paraId="524B6603"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319560B3" w14:textId="4E1FE163">
      <w:pPr>
        <w:pStyle w:val="895"/>
        <w:numPr>
          <w:ilvl w:val="0"/>
          <w:numId w:val="1"/>
        </w:numPr>
        <w:pBdr/>
        <w:spacing/>
        <w:ind/>
        <w:jc w:val="both"/>
        <w:rPr>
          <w:rFonts w:ascii="Calibri" w:hAnsi="Calibri" w:cs="Calibri"/>
        </w:rPr>
      </w:pPr>
      <w:r>
        <w:rPr>
          <w:rFonts w:ascii="Calibri" w:hAnsi="Calibri" w:cs="Calibri"/>
        </w:rPr>
        <w:t xml:space="preserve">d’une</w:t>
      </w:r>
      <w:r>
        <w:rPr>
          <w:rFonts w:ascii="Calibri" w:hAnsi="Calibri" w:cs="Calibri"/>
        </w:rPr>
        <w:t xml:space="preserve"> part, du nombre de jours travaillés dû par le salarié</w:t>
      </w:r>
      <w:r>
        <w:rPr>
          <w:rFonts w:ascii="Calibri" w:hAnsi="Calibri" w:cs="Calibri"/>
        </w:rPr>
        <w:t xml:space="preserve">,</w:t>
      </w:r>
      <w:r>
        <w:rPr>
          <w:rFonts w:ascii="Calibri" w:hAnsi="Calibri" w:cs="Calibri"/>
        </w:rPr>
      </w:r>
      <w:r>
        <w:rPr>
          <w:rFonts w:ascii="Calibri" w:hAnsi="Calibri" w:cs="Calibri"/>
        </w:rPr>
      </w:r>
    </w:p>
    <w:p w14:paraId="4AAB842D" w14:textId="2FFEB830">
      <w:pPr>
        <w:pStyle w:val="895"/>
        <w:numPr>
          <w:ilvl w:val="0"/>
          <w:numId w:val="1"/>
        </w:numPr>
        <w:pBdr/>
        <w:spacing/>
        <w:ind/>
        <w:jc w:val="both"/>
        <w:rPr>
          <w:rFonts w:ascii="Calibri" w:hAnsi="Calibri" w:cs="Calibri"/>
        </w:rPr>
      </w:pPr>
      <w:r>
        <w:rPr>
          <w:rFonts w:ascii="Calibri" w:hAnsi="Calibri" w:cs="Calibri"/>
        </w:rPr>
        <w:t xml:space="preserve">d’autre</w:t>
      </w:r>
      <w:r>
        <w:rPr>
          <w:rFonts w:ascii="Calibri" w:hAnsi="Calibri" w:cs="Calibri"/>
        </w:rPr>
        <w:t xml:space="preserve"> part, du nombre de jours non travaillés du au salarié.</w:t>
      </w:r>
      <w:r>
        <w:rPr>
          <w:rFonts w:ascii="Calibri" w:hAnsi="Calibri" w:cs="Calibri"/>
        </w:rPr>
      </w:r>
      <w:r>
        <w:rPr>
          <w:rFonts w:ascii="Calibri" w:hAnsi="Calibri" w:cs="Calibri"/>
        </w:rPr>
      </w:r>
    </w:p>
    <w:p w14:paraId="30FA8153"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154011DD" w14:textId="13B37767">
      <w:pPr>
        <w:pStyle w:val="895"/>
        <w:pBdr/>
        <w:spacing/>
        <w:ind/>
        <w:jc w:val="both"/>
        <w:rPr>
          <w:rFonts w:ascii="Calibri" w:hAnsi="Calibri" w:cs="Calibri"/>
        </w:rPr>
      </w:pPr>
      <w:r>
        <w:rPr>
          <w:rFonts w:ascii="Calibri" w:hAnsi="Calibri" w:cs="Calibri"/>
        </w:rPr>
        <w:t xml:space="preserve">Pour les salariés entrant ou sortant en cours de la période de référence ci-dessus, le nombre de jours dû au titre du forfait (à savoir le nombre de jours de travail dus (T) et le nombre de jours </w:t>
      </w:r>
      <w:r>
        <w:rPr>
          <w:rFonts w:ascii="Calibri" w:hAnsi="Calibri" w:cs="Calibri"/>
        </w:rPr>
        <w:t xml:space="preserve">restants </w:t>
      </w:r>
      <w:r>
        <w:rPr>
          <w:rFonts w:ascii="Calibri" w:hAnsi="Calibri" w:cs="Calibri"/>
        </w:rPr>
        <w:t xml:space="preserve">(S) est déterminé de la même manière qu’exposé ci-dessus. </w:t>
      </w:r>
      <w:r>
        <w:rPr>
          <w:rFonts w:ascii="Calibri" w:hAnsi="Calibri" w:cs="Calibri"/>
        </w:rPr>
      </w:r>
      <w:r>
        <w:rPr>
          <w:rFonts w:ascii="Calibri" w:hAnsi="Calibri" w:cs="Calibri"/>
        </w:rPr>
      </w:r>
    </w:p>
    <w:p w14:paraId="421DF588"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1796D1CB"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296DC999" w14:textId="788E8FB6">
      <w:pPr>
        <w:pStyle w:val="895"/>
        <w:pBdr/>
        <w:spacing/>
        <w:ind/>
        <w:jc w:val="both"/>
        <w:outlineLvl w:val="0"/>
        <w:rPr>
          <w:rFonts w:ascii="Calibri" w:hAnsi="Calibri" w:cs="Calibri"/>
          <w:b/>
          <w:bCs/>
        </w:rPr>
      </w:pPr>
      <w:r/>
      <w:bookmarkStart w:id="53" w:name="_Toc222407132"/>
      <w:r>
        <w:rPr>
          <w:rFonts w:ascii="Calibri" w:hAnsi="Calibri" w:cs="Calibri"/>
          <w:b/>
          <w:bCs/>
        </w:rPr>
        <w:t xml:space="preserve">Annexe </w:t>
      </w:r>
      <w:r>
        <w:rPr>
          <w:rFonts w:ascii="Calibri" w:hAnsi="Calibri" w:cs="Calibri"/>
          <w:b/>
          <w:bCs/>
        </w:rPr>
        <w:t xml:space="preserve">2</w:t>
      </w:r>
      <w:r>
        <w:rPr>
          <w:rFonts w:ascii="Calibri" w:hAnsi="Calibri" w:cs="Calibri"/>
          <w:b/>
          <w:bCs/>
        </w:rPr>
        <w:t xml:space="preserve"> : </w:t>
      </w:r>
      <w:r>
        <w:rPr>
          <w:rFonts w:ascii="Calibri" w:hAnsi="Calibri" w:cs="Calibri"/>
          <w:b/>
          <w:bCs/>
        </w:rPr>
        <w:t xml:space="preserve">Attestations des élus titulaires du CSE</w:t>
      </w:r>
      <w:bookmarkEnd w:id="53"/>
      <w:r>
        <w:rPr>
          <w:rFonts w:ascii="Calibri" w:hAnsi="Calibri" w:cs="Calibri"/>
          <w:b/>
          <w:bCs/>
        </w:rPr>
      </w:r>
      <w:r>
        <w:rPr>
          <w:rFonts w:ascii="Calibri" w:hAnsi="Calibri" w:cs="Calibri"/>
          <w:b/>
          <w:bCs/>
        </w:rPr>
      </w:r>
    </w:p>
    <w:p w14:paraId="2F46FEE7"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7B0CB650" w14:textId="77777777">
      <w:pPr>
        <w:pStyle w:val="895"/>
        <w:pBdr/>
        <w:spacing/>
        <w:ind/>
        <w:jc w:val="both"/>
        <w:outlineLvl w:val="0"/>
        <w:rPr>
          <w:rFonts w:ascii="Calibri" w:hAnsi="Calibri" w:cs="Calibri"/>
        </w:rPr>
      </w:pPr>
      <w:r>
        <w:rPr>
          <w:rFonts w:ascii="Calibri" w:hAnsi="Calibri" w:cs="Calibri"/>
        </w:rPr>
      </w:r>
      <w:r>
        <w:rPr>
          <w:rFonts w:ascii="Calibri" w:hAnsi="Calibri" w:cs="Calibri"/>
        </w:rPr>
      </w:r>
      <w:r>
        <w:rPr>
          <w:rFonts w:ascii="Calibri" w:hAnsi="Calibri" w:cs="Calibri"/>
        </w:rPr>
      </w:r>
    </w:p>
    <w:p w14:paraId="1C9E00B9" w14:textId="77F9C002">
      <w:pPr>
        <w:pStyle w:val="895"/>
        <w:pBdr/>
        <w:spacing/>
        <w:ind/>
        <w:jc w:val="both"/>
        <w:outlineLvl w:val="0"/>
        <w:rPr>
          <w:rFonts w:ascii="Calibri" w:hAnsi="Calibri" w:cs="Calibri"/>
          <w:b/>
          <w:bCs/>
        </w:rPr>
      </w:pPr>
      <w:r/>
      <w:bookmarkStart w:id="54" w:name="_Toc222407133"/>
      <w:r>
        <w:rPr>
          <w:rFonts w:ascii="Calibri" w:hAnsi="Calibri" w:cs="Calibri"/>
          <w:b/>
          <w:bCs/>
        </w:rPr>
        <w:t xml:space="preserve">Annexe </w:t>
      </w:r>
      <w:r>
        <w:rPr>
          <w:rFonts w:ascii="Calibri" w:hAnsi="Calibri" w:cs="Calibri"/>
          <w:b/>
          <w:bCs/>
        </w:rPr>
        <w:t xml:space="preserve">3</w:t>
      </w:r>
      <w:r>
        <w:rPr>
          <w:rFonts w:ascii="Calibri" w:hAnsi="Calibri" w:cs="Calibri"/>
          <w:b/>
          <w:bCs/>
        </w:rPr>
        <w:t xml:space="preserve"> : </w:t>
      </w:r>
      <w:r>
        <w:rPr>
          <w:rFonts w:ascii="Calibri" w:hAnsi="Calibri" w:cs="Calibri"/>
          <w:b/>
          <w:bCs/>
        </w:rPr>
        <w:t xml:space="preserve">La copie du formulaire CERFA de procès-verbal des dernières élections des représentants du personnel ayant conclu l’accord</w:t>
      </w:r>
      <w:bookmarkEnd w:id="54"/>
      <w:r>
        <w:rPr>
          <w:rFonts w:ascii="Calibri" w:hAnsi="Calibri" w:cs="Calibri"/>
          <w:b/>
          <w:bCs/>
        </w:rPr>
      </w:r>
      <w:r>
        <w:rPr>
          <w:rFonts w:ascii="Calibri" w:hAnsi="Calibri" w:cs="Calibri"/>
          <w:b/>
          <w:bCs/>
        </w:rPr>
      </w:r>
    </w:p>
    <w:p w14:paraId="3BB8A5C9" w14:textId="748E7DC3">
      <w:pPr>
        <w:pStyle w:val="895"/>
        <w:pBdr/>
        <w:tabs>
          <w:tab w:val="left" w:leader="none" w:pos="1785"/>
        </w:tabs>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p w14:paraId="385D96D9" w14:textId="77777777">
      <w:pPr>
        <w:pStyle w:val="895"/>
        <w:pBdr/>
        <w:spacing/>
        <w:ind/>
        <w:jc w:val="both"/>
        <w:rPr>
          <w:rFonts w:ascii="Calibri" w:hAnsi="Calibri" w:cs="Calibri"/>
        </w:rPr>
      </w:pPr>
      <w:r>
        <w:rPr>
          <w:rFonts w:ascii="Calibri" w:hAnsi="Calibri" w:cs="Calibri"/>
        </w:rPr>
      </w:r>
      <w:r>
        <w:rPr>
          <w:rFonts w:ascii="Calibri" w:hAnsi="Calibri" w:cs="Calibri"/>
        </w:rPr>
      </w:r>
      <w:r>
        <w:rPr>
          <w:rFonts w:ascii="Calibri" w:hAnsi="Calibri" w:cs="Calibri"/>
        </w:rPr>
      </w:r>
    </w:p>
    <w:sectPr>
      <w:footnotePr/>
      <w:endnotePr/>
      <w:type w:val="nextPage"/>
      <w:pgSz w:h="16838" w:orient="portrait" w:w="11906"/>
      <w:pgMar w:top="1417" w:right="1417" w:bottom="1417" w:left="1417" w:header="708" w:footer="708"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14:paraId="56D67331" w14:textId="77777777">
      <w:pPr>
        <w:pBdr/>
        <w:spacing w:after="0" w:line="240" w:lineRule="auto"/>
        <w:ind/>
        <w:rPr/>
      </w:pPr>
      <w:r>
        <w:separator/>
      </w:r>
      <w:r/>
    </w:p>
  </w:endnote>
  <w:endnote w:type="continuationSeparator" w:id="0">
    <w:p w14:paraId="4169E1D5" w14:textId="77777777">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font>
  <w:font w:name="Symbol">
    <w:panose1 w:val="05050102010706020507"/>
  </w:font>
  <w:font w:name="Wingdings">
    <w:panose1 w:val="05000000000000000000"/>
  </w:font>
  <w:font w:name="Courier New">
    <w:panose1 w:val="02070309020205020404"/>
  </w:font>
  <w:font w:name="Calibri">
    <w:panose1 w:val="020F0502020204030204"/>
  </w:font>
  <w:font w:name="Arial">
    <w:panose1 w:val="020B060402020202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14:paraId="4B37EC92" w14:textId="77777777">
      <w:pPr>
        <w:pBdr/>
        <w:spacing w:after="0" w:line="240" w:lineRule="auto"/>
        <w:ind/>
        <w:rPr/>
      </w:pPr>
      <w:r>
        <w:separator/>
      </w:r>
      <w:r/>
    </w:p>
  </w:footnote>
  <w:footnote w:type="continuationSeparator" w:id="0">
    <w:p w14:paraId="0C2A54CA" w14:textId="77777777">
      <w:pPr>
        <w:pBdr/>
        <w:spacing w:after="0" w:line="240" w:lineRule="auto"/>
        <w:ind/>
        <w:rPr/>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C77B5A"/>
    <w:lvl w:ilvl="0">
      <w:isLgl w:val="false"/>
      <w:lvlJc w:val="left"/>
      <w:lvlText w:val="-"/>
      <w:numFmt w:val="bullet"/>
      <w:pPr>
        <w:pBdr/>
        <w:spacing/>
        <w:ind w:hanging="360" w:left="720"/>
      </w:pPr>
      <w:rPr>
        <w:rFonts w:hint="default" w:ascii="Calibri" w:hAnsi="Calibri" w:cs="Calibri" w:eastAsiaTheme="minorHAnsi"/>
      </w:rPr>
      <w:start w:val="0"/>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
    <w:nsid w:val="2F533CC4"/>
    <w:lvl w:ilvl="0">
      <w:isLgl w:val="false"/>
      <w:lvlJc w:val="left"/>
      <w:lvlText w:val="-"/>
      <w:numFmt w:val="bullet"/>
      <w:pPr>
        <w:pBdr/>
        <w:spacing/>
        <w:ind w:hanging="360" w:left="720"/>
      </w:pPr>
      <w:rPr>
        <w:rFonts w:hint="default" w:ascii="Calibri" w:hAnsi="Calibri" w:cs="Calibri" w:eastAsiaTheme="minorHAnsi"/>
      </w:rPr>
      <w:start w:val="0"/>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
    <w:nsid w:val="37AC7350"/>
    <w:lvl w:ilvl="0">
      <w:isLgl w:val="false"/>
      <w:lvlJc w:val="left"/>
      <w:lvlText w:val="-"/>
      <w:numFmt w:val="bullet"/>
      <w:pPr>
        <w:pBdr/>
        <w:spacing/>
        <w:ind w:hanging="360" w:left="720"/>
      </w:pPr>
      <w:rPr>
        <w:rFonts w:hint="default" w:ascii="Times New Roman" w:hAnsi="Times New Roman" w:eastAsia="Times New Roman" w:cs="Times New Roman"/>
      </w:rPr>
      <w:start w:val="7"/>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fr-FR" w:eastAsia="en-US" w:bidi="ar-SA"/>
        <w14:ligatures w14:val="standardContextual"/>
      </w:rPr>
    </w:rPrDefault>
    <w:pPrDefault>
      <w:pPr>
        <w:pBdr/>
        <w:spacing w:after="160" w:afterAutospacing="0" w:before="0" w:beforeAutospacing="0" w:line="259"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07">
    <w:name w:val="Table Grid Light"/>
    <w:basedOn w:val="873"/>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8">
    <w:name w:val="Plain Table 1"/>
    <w:basedOn w:val="873"/>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9">
    <w:name w:val="Plain Table 2"/>
    <w:basedOn w:val="873"/>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0">
    <w:name w:val="Plain Table 3"/>
    <w:basedOn w:val="87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1">
    <w:name w:val="Plain Table 4"/>
    <w:basedOn w:val="87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2">
    <w:name w:val="Plain Table 5"/>
    <w:basedOn w:val="87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3">
    <w:name w:val="Grid Table 1 Light"/>
    <w:basedOn w:val="873"/>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4">
    <w:name w:val="Grid Table 1 Light - Accent 1"/>
    <w:basedOn w:val="87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5">
    <w:name w:val="Grid Table 1 Light - Accent 2"/>
    <w:basedOn w:val="87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6">
    <w:name w:val="Grid Table 1 Light - Accent 3"/>
    <w:basedOn w:val="87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7">
    <w:name w:val="Grid Table 1 Light - Accent 4"/>
    <w:basedOn w:val="87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8">
    <w:name w:val="Grid Table 1 Light - Accent 5"/>
    <w:basedOn w:val="87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9">
    <w:name w:val="Grid Table 1 Light - Accent 6"/>
    <w:basedOn w:val="87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Grid Table 2"/>
    <w:basedOn w:val="87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Grid Table 2 - Accent 1"/>
    <w:basedOn w:val="87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c0e4f5"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c0e4f5"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2 - Accent 2"/>
    <w:basedOn w:val="87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3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3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2 - Accent 3"/>
    <w:basedOn w:val="87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c1f0c7"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c1f0c7"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2 - Accent 4"/>
    <w:basedOn w:val="87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c9edf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c9edf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2 - Accent 5"/>
    <w:basedOn w:val="87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f2ceee"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f2ceee"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2 - Accent 6"/>
    <w:basedOn w:val="87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d9f2d0"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d9f2d0"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3"/>
    <w:basedOn w:val="87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3 - Accent 1"/>
    <w:basedOn w:val="87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c0e4f5"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c0e4f5"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3 - Accent 2"/>
    <w:basedOn w:val="87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3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3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3 - Accent 3"/>
    <w:basedOn w:val="87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c1f0c7"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c1f0c7"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3 - Accent 4"/>
    <w:basedOn w:val="87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c9edf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c9edf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3 - Accent 5"/>
    <w:basedOn w:val="87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f2ceee"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f2ceee"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3 - Accent 6"/>
    <w:basedOn w:val="87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d9f2d0"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d9f2d0"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4"/>
    <w:basedOn w:val="873"/>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4 - Accent 1"/>
    <w:basedOn w:val="873"/>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c2e5f5"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c2e5f5"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19739b"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4 - Accent 2"/>
    <w:basedOn w:val="873"/>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3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3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2ab8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4 - Accent 3"/>
    <w:basedOn w:val="873"/>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c1f0c7"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c1f0c7"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196c24"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4 - Accent 4"/>
    <w:basedOn w:val="873"/>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c9edf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c9edf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60cbf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4 - Accent 5"/>
    <w:basedOn w:val="873"/>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f2ceee"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f2ceee"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a02b93"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4 - Accent 6"/>
    <w:basedOn w:val="873"/>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d9f2d0"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d9f2d0"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4ea72e"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5 Dark"/>
    <w:basedOn w:val="87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5 Dark- Accent 1"/>
    <w:basedOn w:val="87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c0e4f5" w:themeFill="accent1" w:themeFillTint="34"/>
    </w:tblPr>
    <w:tcPr>
      <w:tcBorders/>
    </w:tcPr>
    <w:tblStylePr w:type="band1Horz">
      <w:pPr>
        <w:pBdr/>
        <w:spacing/>
        <w:ind/>
      </w:pPr>
      <w:tblPr>
        <w:tblBorders/>
      </w:tblPr>
      <w:tcPr>
        <w:shd w:val="clear" w:color="ffffff" w:themeColor="accent1" w:themeTint="75" w:fill="71c3e8" w:themeFill="accent1" w:themeFillTint="75"/>
        <w:tcBorders/>
      </w:tcPr>
    </w:tblStylePr>
    <w:tblStylePr w:type="band1Vert">
      <w:pPr>
        <w:pBdr/>
        <w:spacing/>
        <w:ind/>
      </w:pPr>
      <w:tblPr>
        <w:tblBorders/>
      </w:tblPr>
      <w:tcPr>
        <w:shd w:val="clear" w:color="ffffff" w:themeColor="accent1" w:themeTint="75" w:fill="71c3e8"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156082" w:themeFill="accent1"/>
        <w:tcBorders/>
      </w:tcPr>
    </w:tblStylePr>
    <w:tblStylePr w:type="firstRow">
      <w:rPr>
        <w:rFonts w:ascii="Arial" w:hAnsi="Arial"/>
        <w:b/>
        <w:color w:val="ffffff"/>
        <w:sz w:val="22"/>
      </w:rPr>
      <w:pPr>
        <w:pBdr/>
        <w:spacing/>
        <w:ind/>
      </w:pPr>
      <w:tblPr>
        <w:tblBorders/>
      </w:tblPr>
      <w:tcPr>
        <w:shd w:val="clear" w:color="ffffff" w:themeColor="accent1" w:fill="156082" w:themeFill="accent1"/>
        <w:tcBorders/>
      </w:tcPr>
    </w:tblStylePr>
    <w:tblStylePr w:type="lastCol">
      <w:rPr>
        <w:rFonts w:ascii="Arial" w:hAnsi="Arial"/>
        <w:b/>
        <w:color w:val="ffffff"/>
        <w:sz w:val="22"/>
      </w:rPr>
      <w:pPr>
        <w:pBdr/>
        <w:spacing/>
        <w:ind/>
      </w:pPr>
      <w:tblPr>
        <w:tblBorders/>
      </w:tblPr>
      <w:tcPr>
        <w:shd w:val="clear" w:color="ffffff" w:themeColor="accent1" w:fill="156082" w:themeFill="accent1"/>
        <w:tcBorders/>
      </w:tcPr>
    </w:tblStylePr>
    <w:tblStylePr w:type="lastRow">
      <w:rPr>
        <w:rFonts w:ascii="Arial" w:hAnsi="Arial"/>
        <w:b/>
        <w:color w:val="ffffff"/>
        <w:sz w:val="22"/>
      </w:rPr>
      <w:pPr>
        <w:pBdr/>
        <w:spacing/>
        <w:ind/>
      </w:pPr>
      <w:tblPr>
        <w:tblBorders/>
      </w:tblPr>
      <w:tcPr>
        <w:shd w:val="clear" w:color="ffffff" w:themeColor="accent1" w:fill="156082"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5 Dark - Accent 2"/>
    <w:basedOn w:val="87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3d7" w:themeFill="accent2" w:themeFillTint="32"/>
    </w:tblPr>
    <w:tcPr>
      <w:tcBorders/>
    </w:tcPr>
    <w:tblStylePr w:type="band1Horz">
      <w:pPr>
        <w:pBdr/>
        <w:spacing/>
        <w:ind/>
      </w:pPr>
      <w:tblPr>
        <w:tblBorders/>
      </w:tblPr>
      <w:tcPr>
        <w:shd w:val="clear" w:color="ffffff" w:themeColor="accent2" w:themeTint="75" w:fill="f5bea1" w:themeFill="accent2" w:themeFillTint="75"/>
        <w:tcBorders/>
      </w:tcPr>
    </w:tblStylePr>
    <w:tblStylePr w:type="band1Vert">
      <w:pPr>
        <w:pBdr/>
        <w:spacing/>
        <w:ind/>
      </w:pPr>
      <w:tblPr>
        <w:tblBorders/>
      </w:tblPr>
      <w:tcPr>
        <w:shd w:val="clear" w:color="ffffff" w:themeColor="accent2" w:themeTint="75" w:fill="f5bea1"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97132" w:themeFill="accent2"/>
        <w:tcBorders/>
      </w:tcPr>
    </w:tblStylePr>
    <w:tblStylePr w:type="firstRow">
      <w:rPr>
        <w:rFonts w:ascii="Arial" w:hAnsi="Arial"/>
        <w:b/>
        <w:color w:val="ffffff"/>
        <w:sz w:val="22"/>
      </w:rPr>
      <w:pPr>
        <w:pBdr/>
        <w:spacing/>
        <w:ind/>
      </w:pPr>
      <w:tblPr>
        <w:tblBorders/>
      </w:tblPr>
      <w:tcPr>
        <w:shd w:val="clear" w:color="ffffff" w:themeColor="accent2" w:fill="e97132" w:themeFill="accent2"/>
        <w:tcBorders/>
      </w:tcPr>
    </w:tblStylePr>
    <w:tblStylePr w:type="lastCol">
      <w:rPr>
        <w:rFonts w:ascii="Arial" w:hAnsi="Arial"/>
        <w:b/>
        <w:color w:val="ffffff"/>
        <w:sz w:val="22"/>
      </w:rPr>
      <w:pPr>
        <w:pBdr/>
        <w:spacing/>
        <w:ind/>
      </w:pPr>
      <w:tblPr>
        <w:tblBorders/>
      </w:tblPr>
      <w:tcPr>
        <w:shd w:val="clear" w:color="ffffff" w:themeColor="accent2" w:fill="e97132" w:themeFill="accent2"/>
        <w:tcBorders/>
      </w:tcPr>
    </w:tblStylePr>
    <w:tblStylePr w:type="lastRow">
      <w:rPr>
        <w:rFonts w:ascii="Arial" w:hAnsi="Arial"/>
        <w:b/>
        <w:color w:val="ffffff"/>
        <w:sz w:val="22"/>
      </w:rPr>
      <w:pPr>
        <w:pBdr/>
        <w:spacing/>
        <w:ind/>
      </w:pPr>
      <w:tblPr>
        <w:tblBorders/>
      </w:tblPr>
      <w:tcPr>
        <w:shd w:val="clear" w:color="ffffff" w:themeColor="accent2" w:fill="e97132"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5 Dark - Accent 3"/>
    <w:basedOn w:val="87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c1f0c7" w:themeFill="accent3" w:themeFillTint="34"/>
    </w:tblPr>
    <w:tcPr>
      <w:tcBorders/>
    </w:tcPr>
    <w:tblStylePr w:type="band1Horz">
      <w:pPr>
        <w:pBdr/>
        <w:spacing/>
        <w:ind/>
      </w:pPr>
      <w:tblPr>
        <w:tblBorders/>
      </w:tblPr>
      <w:tcPr>
        <w:shd w:val="clear" w:color="ffffff" w:themeColor="accent3" w:themeTint="75" w:fill="72de81" w:themeFill="accent3" w:themeFillTint="75"/>
        <w:tcBorders/>
      </w:tcPr>
    </w:tblStylePr>
    <w:tblStylePr w:type="band1Vert">
      <w:pPr>
        <w:pBdr/>
        <w:spacing/>
        <w:ind/>
      </w:pPr>
      <w:tblPr>
        <w:tblBorders/>
      </w:tblPr>
      <w:tcPr>
        <w:shd w:val="clear" w:color="ffffff" w:themeColor="accent3" w:themeTint="75" w:fill="72de81"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196b24" w:themeFill="accent3"/>
        <w:tcBorders/>
      </w:tcPr>
    </w:tblStylePr>
    <w:tblStylePr w:type="firstRow">
      <w:rPr>
        <w:rFonts w:ascii="Arial" w:hAnsi="Arial"/>
        <w:b/>
        <w:color w:val="ffffff"/>
        <w:sz w:val="22"/>
      </w:rPr>
      <w:pPr>
        <w:pBdr/>
        <w:spacing/>
        <w:ind/>
      </w:pPr>
      <w:tblPr>
        <w:tblBorders/>
      </w:tblPr>
      <w:tcPr>
        <w:shd w:val="clear" w:color="ffffff" w:themeColor="accent3" w:fill="196b24" w:themeFill="accent3"/>
        <w:tcBorders/>
      </w:tcPr>
    </w:tblStylePr>
    <w:tblStylePr w:type="lastCol">
      <w:rPr>
        <w:rFonts w:ascii="Arial" w:hAnsi="Arial"/>
        <w:b/>
        <w:color w:val="ffffff"/>
        <w:sz w:val="22"/>
      </w:rPr>
      <w:pPr>
        <w:pBdr/>
        <w:spacing/>
        <w:ind/>
      </w:pPr>
      <w:tblPr>
        <w:tblBorders/>
      </w:tblPr>
      <w:tcPr>
        <w:shd w:val="clear" w:color="ffffff" w:themeColor="accent3" w:fill="196b24" w:themeFill="accent3"/>
        <w:tcBorders/>
      </w:tcPr>
    </w:tblStylePr>
    <w:tblStylePr w:type="lastRow">
      <w:rPr>
        <w:rFonts w:ascii="Arial" w:hAnsi="Arial"/>
        <w:b/>
        <w:color w:val="ffffff"/>
        <w:sz w:val="22"/>
      </w:rPr>
      <w:pPr>
        <w:pBdr/>
        <w:spacing/>
        <w:ind/>
      </w:pPr>
      <w:tblPr>
        <w:tblBorders/>
      </w:tblPr>
      <w:tcPr>
        <w:shd w:val="clear" w:color="ffffff" w:themeColor="accent3" w:fill="196b24"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5 Dark- Accent 4"/>
    <w:basedOn w:val="87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c9edfb" w:themeFill="accent4" w:themeFillTint="34"/>
    </w:tblPr>
    <w:tcPr>
      <w:tcBorders/>
    </w:tcPr>
    <w:tblStylePr w:type="band1Horz">
      <w:pPr>
        <w:pBdr/>
        <w:spacing/>
        <w:ind/>
      </w:pPr>
      <w:tblPr>
        <w:tblBorders/>
      </w:tblPr>
      <w:tcPr>
        <w:shd w:val="clear" w:color="ffffff" w:themeColor="accent4" w:themeTint="75" w:fill="86d7f6" w:themeFill="accent4" w:themeFillTint="75"/>
        <w:tcBorders/>
      </w:tcPr>
    </w:tblStylePr>
    <w:tblStylePr w:type="band1Vert">
      <w:pPr>
        <w:pBdr/>
        <w:spacing/>
        <w:ind/>
      </w:pPr>
      <w:tblPr>
        <w:tblBorders/>
      </w:tblPr>
      <w:tcPr>
        <w:shd w:val="clear" w:color="ffffff" w:themeColor="accent4" w:themeTint="75" w:fill="86d7f6"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0f9ed5" w:themeFill="accent4"/>
        <w:tcBorders/>
      </w:tcPr>
    </w:tblStylePr>
    <w:tblStylePr w:type="firstRow">
      <w:rPr>
        <w:rFonts w:ascii="Arial" w:hAnsi="Arial"/>
        <w:b/>
        <w:color w:val="ffffff"/>
        <w:sz w:val="22"/>
      </w:rPr>
      <w:pPr>
        <w:pBdr/>
        <w:spacing/>
        <w:ind/>
      </w:pPr>
      <w:tblPr>
        <w:tblBorders/>
      </w:tblPr>
      <w:tcPr>
        <w:shd w:val="clear" w:color="ffffff" w:themeColor="accent4" w:fill="0f9ed5" w:themeFill="accent4"/>
        <w:tcBorders/>
      </w:tcPr>
    </w:tblStylePr>
    <w:tblStylePr w:type="lastCol">
      <w:rPr>
        <w:rFonts w:ascii="Arial" w:hAnsi="Arial"/>
        <w:b/>
        <w:color w:val="ffffff"/>
        <w:sz w:val="22"/>
      </w:rPr>
      <w:pPr>
        <w:pBdr/>
        <w:spacing/>
        <w:ind/>
      </w:pPr>
      <w:tblPr>
        <w:tblBorders/>
      </w:tblPr>
      <w:tcPr>
        <w:shd w:val="clear" w:color="ffffff" w:themeColor="accent4" w:fill="0f9ed5" w:themeFill="accent4"/>
        <w:tcBorders/>
      </w:tcPr>
    </w:tblStylePr>
    <w:tblStylePr w:type="lastRow">
      <w:rPr>
        <w:rFonts w:ascii="Arial" w:hAnsi="Arial"/>
        <w:b/>
        <w:color w:val="ffffff"/>
        <w:sz w:val="22"/>
      </w:rPr>
      <w:pPr>
        <w:pBdr/>
        <w:spacing/>
        <w:ind/>
      </w:pPr>
      <w:tblPr>
        <w:tblBorders/>
      </w:tblPr>
      <w:tcPr>
        <w:shd w:val="clear" w:color="ffffff" w:themeColor="accent4" w:fill="0f9ed5"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5 Dark - Accent 5"/>
    <w:basedOn w:val="87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f2ceee" w:themeFill="accent5" w:themeFillTint="34"/>
    </w:tblPr>
    <w:tcPr>
      <w:tcBorders/>
    </w:tcPr>
    <w:tblStylePr w:type="band1Horz">
      <w:pPr>
        <w:pBdr/>
        <w:spacing/>
        <w:ind/>
      </w:pPr>
      <w:tblPr>
        <w:tblBorders/>
      </w:tblPr>
      <w:tcPr>
        <w:shd w:val="clear" w:color="ffffff" w:themeColor="accent5" w:themeTint="75" w:fill="e190d8" w:themeFill="accent5" w:themeFillTint="75"/>
        <w:tcBorders/>
      </w:tcPr>
    </w:tblStylePr>
    <w:tblStylePr w:type="band1Vert">
      <w:pPr>
        <w:pBdr/>
        <w:spacing/>
        <w:ind/>
      </w:pPr>
      <w:tblPr>
        <w:tblBorders/>
      </w:tblPr>
      <w:tcPr>
        <w:shd w:val="clear" w:color="ffffff" w:themeColor="accent5" w:themeTint="75" w:fill="e190d8"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a02b93" w:themeFill="accent5"/>
        <w:tcBorders/>
      </w:tcPr>
    </w:tblStylePr>
    <w:tblStylePr w:type="firstRow">
      <w:rPr>
        <w:rFonts w:ascii="Arial" w:hAnsi="Arial"/>
        <w:b/>
        <w:color w:val="ffffff"/>
        <w:sz w:val="22"/>
      </w:rPr>
      <w:pPr>
        <w:pBdr/>
        <w:spacing/>
        <w:ind/>
      </w:pPr>
      <w:tblPr>
        <w:tblBorders/>
      </w:tblPr>
      <w:tcPr>
        <w:shd w:val="clear" w:color="ffffff" w:themeColor="accent5" w:fill="a02b93" w:themeFill="accent5"/>
        <w:tcBorders/>
      </w:tcPr>
    </w:tblStylePr>
    <w:tblStylePr w:type="lastCol">
      <w:rPr>
        <w:rFonts w:ascii="Arial" w:hAnsi="Arial"/>
        <w:b/>
        <w:color w:val="ffffff"/>
        <w:sz w:val="22"/>
      </w:rPr>
      <w:pPr>
        <w:pBdr/>
        <w:spacing/>
        <w:ind/>
      </w:pPr>
      <w:tblPr>
        <w:tblBorders/>
      </w:tblPr>
      <w:tcPr>
        <w:shd w:val="clear" w:color="ffffff" w:themeColor="accent5" w:fill="a02b93" w:themeFill="accent5"/>
        <w:tcBorders/>
      </w:tcPr>
    </w:tblStylePr>
    <w:tblStylePr w:type="lastRow">
      <w:rPr>
        <w:rFonts w:ascii="Arial" w:hAnsi="Arial"/>
        <w:b/>
        <w:color w:val="ffffff"/>
        <w:sz w:val="22"/>
      </w:rPr>
      <w:pPr>
        <w:pBdr/>
        <w:spacing/>
        <w:ind/>
      </w:pPr>
      <w:tblPr>
        <w:tblBorders/>
      </w:tblPr>
      <w:tcPr>
        <w:shd w:val="clear" w:color="ffffff" w:themeColor="accent5" w:fill="a02b93"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5 Dark - Accent 6"/>
    <w:basedOn w:val="87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d9f2d0" w:themeFill="accent6" w:themeFillTint="34"/>
    </w:tblPr>
    <w:tcPr>
      <w:tcBorders/>
    </w:tcPr>
    <w:tblStylePr w:type="band1Horz">
      <w:pPr>
        <w:pBdr/>
        <w:spacing/>
        <w:ind/>
      </w:pPr>
      <w:tblPr>
        <w:tblBorders/>
      </w:tblPr>
      <w:tcPr>
        <w:shd w:val="clear" w:color="ffffff" w:themeColor="accent6" w:themeTint="75" w:fill="a9e294" w:themeFill="accent6" w:themeFillTint="75"/>
        <w:tcBorders/>
      </w:tcPr>
    </w:tblStylePr>
    <w:tblStylePr w:type="band1Vert">
      <w:pPr>
        <w:pBdr/>
        <w:spacing/>
        <w:ind/>
      </w:pPr>
      <w:tblPr>
        <w:tblBorders/>
      </w:tblPr>
      <w:tcPr>
        <w:shd w:val="clear" w:color="ffffff" w:themeColor="accent6" w:themeTint="75" w:fill="a9e294"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4ea72e" w:themeFill="accent6"/>
        <w:tcBorders/>
      </w:tcPr>
    </w:tblStylePr>
    <w:tblStylePr w:type="firstRow">
      <w:rPr>
        <w:rFonts w:ascii="Arial" w:hAnsi="Arial"/>
        <w:b/>
        <w:color w:val="ffffff"/>
        <w:sz w:val="22"/>
      </w:rPr>
      <w:pPr>
        <w:pBdr/>
        <w:spacing/>
        <w:ind/>
      </w:pPr>
      <w:tblPr>
        <w:tblBorders/>
      </w:tblPr>
      <w:tcPr>
        <w:shd w:val="clear" w:color="ffffff" w:themeColor="accent6" w:fill="4ea72e" w:themeFill="accent6"/>
        <w:tcBorders/>
      </w:tcPr>
    </w:tblStylePr>
    <w:tblStylePr w:type="lastCol">
      <w:rPr>
        <w:rFonts w:ascii="Arial" w:hAnsi="Arial"/>
        <w:b/>
        <w:color w:val="ffffff"/>
        <w:sz w:val="22"/>
      </w:rPr>
      <w:pPr>
        <w:pBdr/>
        <w:spacing/>
        <w:ind/>
      </w:pPr>
      <w:tblPr>
        <w:tblBorders/>
      </w:tblPr>
      <w:tcPr>
        <w:shd w:val="clear" w:color="ffffff" w:themeColor="accent6" w:fill="4ea72e" w:themeFill="accent6"/>
        <w:tcBorders/>
      </w:tcPr>
    </w:tblStylePr>
    <w:tblStylePr w:type="lastRow">
      <w:rPr>
        <w:rFonts w:ascii="Arial" w:hAnsi="Arial"/>
        <w:b/>
        <w:color w:val="ffffff"/>
        <w:sz w:val="22"/>
      </w:rPr>
      <w:pPr>
        <w:pBdr/>
        <w:spacing/>
        <w:ind/>
      </w:pPr>
      <w:tblPr>
        <w:tblBorders/>
      </w:tblPr>
      <w:tcPr>
        <w:shd w:val="clear" w:color="ffffff" w:themeColor="accent6" w:fill="4ea72e"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6 Colorful"/>
    <w:basedOn w:val="873"/>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49">
    <w:name w:val="Grid Table 6 Colorful - Accent 1"/>
    <w:basedOn w:val="873"/>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c0e4f5" w:themeFill="accent1" w:themeFillTint="34"/>
        <w:tcBorders/>
      </w:tcPr>
    </w:tblStylePr>
    <w:tblStylePr w:type="band1Vert">
      <w:pPr>
        <w:pBdr/>
        <w:spacing/>
        <w:ind/>
      </w:pPr>
      <w:tblPr>
        <w:tblBorders/>
      </w:tblPr>
      <w:tcPr>
        <w:shd w:val="clear" w:color="ffffff" w:themeColor="accent1" w:themeTint="34" w:fill="c0e4f5"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1b7ba6" w:themeColor="accent1" w:themeTint="80" w:themeShade="95"/>
      </w:rPr>
      <w:pPr>
        <w:pBdr/>
        <w:spacing/>
        <w:ind/>
      </w:pPr>
      <w:tblPr>
        <w:tblBorders/>
      </w:tblPr>
      <w:tcPr>
        <w:tcBorders/>
      </w:tcPr>
    </w:tblStylePr>
    <w:tblStylePr w:type="firstRow">
      <w:rPr>
        <w:b/>
        <w:color w:val="1b7ba6" w:themeColor="accent1" w:themeTint="80" w:themeShade="95"/>
      </w:rPr>
      <w:pPr>
        <w:pBdr/>
        <w:spacing/>
        <w:ind/>
      </w:pPr>
      <w:tblPr>
        <w:tblBorders/>
      </w:tblPr>
      <w:tcPr>
        <w:tcBorders>
          <w:bottom w:val="single" w:color="000000" w:themeColor="accent1" w:themeTint="80" w:sz="12" w:space="0"/>
        </w:tcBorders>
      </w:tcPr>
    </w:tblStylePr>
    <w:tblStylePr w:type="lastCol">
      <w:rPr>
        <w:b/>
        <w:color w:val="1b7ba6" w:themeColor="accent1" w:themeTint="80" w:themeShade="95"/>
      </w:rPr>
      <w:pPr>
        <w:pBdr/>
        <w:spacing/>
        <w:ind/>
      </w:pPr>
      <w:tblPr>
        <w:tblBorders/>
      </w:tblPr>
      <w:tcPr>
        <w:tcBorders/>
      </w:tcPr>
    </w:tblStylePr>
    <w:tblStylePr w:type="lastRow">
      <w:rPr>
        <w:b/>
        <w:color w:val="1b7ba6"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50">
    <w:name w:val="Grid Table 6 Colorful - Accent 2"/>
    <w:basedOn w:val="87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3d7" w:themeFill="accent2" w:themeFillTint="32"/>
        <w:tcBorders/>
      </w:tcPr>
    </w:tblStylePr>
    <w:tblStylePr w:type="band1Vert">
      <w:pPr>
        <w:pBdr/>
        <w:spacing/>
        <w:ind/>
      </w:pPr>
      <w:tblPr>
        <w:tblBorders/>
      </w:tblPr>
      <w:tcPr>
        <w:shd w:val="clear" w:color="ffffff" w:themeColor="accent2" w:themeTint="32" w:fill="fbe3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65215" w:themeColor="accent2" w:themeTint="97" w:themeShade="95"/>
      </w:rPr>
      <w:pPr>
        <w:pBdr/>
        <w:spacing/>
        <w:ind/>
      </w:pPr>
      <w:tblPr>
        <w:tblBorders/>
      </w:tblPr>
      <w:tcPr>
        <w:tcBorders/>
      </w:tcPr>
    </w:tblStylePr>
    <w:tblStylePr w:type="firstRow">
      <w:rPr>
        <w:b/>
        <w:color w:val="c65215" w:themeColor="accent2" w:themeTint="97" w:themeShade="95"/>
      </w:rPr>
      <w:pPr>
        <w:pBdr/>
        <w:spacing/>
        <w:ind/>
      </w:pPr>
      <w:tblPr>
        <w:tblBorders/>
      </w:tblPr>
      <w:tcPr>
        <w:tcBorders>
          <w:bottom w:val="single" w:color="000000" w:themeColor="accent2" w:themeTint="97" w:sz="12" w:space="0"/>
        </w:tcBorders>
      </w:tcPr>
    </w:tblStylePr>
    <w:tblStylePr w:type="lastCol">
      <w:rPr>
        <w:b/>
        <w:color w:val="c65215" w:themeColor="accent2" w:themeTint="97" w:themeShade="95"/>
      </w:rPr>
      <w:pPr>
        <w:pBdr/>
        <w:spacing/>
        <w:ind/>
      </w:pPr>
      <w:tblPr>
        <w:tblBorders/>
      </w:tblPr>
      <w:tcPr>
        <w:tcBorders/>
      </w:tcPr>
    </w:tblStylePr>
    <w:tblStylePr w:type="lastRow">
      <w:rPr>
        <w:b/>
        <w:color w:val="c65215"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51">
    <w:name w:val="Grid Table 6 Colorful - Accent 3"/>
    <w:basedOn w:val="873"/>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c1f0c7" w:themeFill="accent3" w:themeFillTint="34"/>
        <w:tcBorders/>
      </w:tcPr>
    </w:tblStylePr>
    <w:tblStylePr w:type="band1Vert">
      <w:pPr>
        <w:pBdr/>
        <w:spacing/>
        <w:ind/>
      </w:pPr>
      <w:tblPr>
        <w:tblBorders/>
      </w:tblPr>
      <w:tcPr>
        <w:shd w:val="clear" w:color="ffffff" w:themeColor="accent3" w:themeTint="34" w:fill="c1f0c7"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0f3f15" w:themeColor="accent3" w:themeTint="FE" w:themeShade="95"/>
      </w:rPr>
      <w:pPr>
        <w:pBdr/>
        <w:spacing/>
        <w:ind/>
      </w:pPr>
      <w:tblPr>
        <w:tblBorders/>
      </w:tblPr>
      <w:tcPr>
        <w:tcBorders/>
      </w:tcPr>
    </w:tblStylePr>
    <w:tblStylePr w:type="firstRow">
      <w:rPr>
        <w:b/>
        <w:color w:val="0f3f15" w:themeColor="accent3" w:themeTint="FE" w:themeShade="95"/>
      </w:rPr>
      <w:pPr>
        <w:pBdr/>
        <w:spacing/>
        <w:ind/>
      </w:pPr>
      <w:tblPr>
        <w:tblBorders/>
      </w:tblPr>
      <w:tcPr>
        <w:tcBorders>
          <w:bottom w:val="single" w:color="000000" w:themeColor="accent3" w:themeTint="FE" w:sz="12" w:space="0"/>
        </w:tcBorders>
      </w:tcPr>
    </w:tblStylePr>
    <w:tblStylePr w:type="lastCol">
      <w:rPr>
        <w:b/>
        <w:color w:val="0f3f15" w:themeColor="accent3" w:themeTint="FE" w:themeShade="95"/>
      </w:rPr>
      <w:pPr>
        <w:pBdr/>
        <w:spacing/>
        <w:ind/>
      </w:pPr>
      <w:tblPr>
        <w:tblBorders/>
      </w:tblPr>
      <w:tcPr>
        <w:tcBorders/>
      </w:tcPr>
    </w:tblStylePr>
    <w:tblStylePr w:type="lastRow">
      <w:rPr>
        <w:b/>
        <w:color w:val="0f3f1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52">
    <w:name w:val="Grid Table 6 Colorful - Accent 4"/>
    <w:basedOn w:val="87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c9edfb" w:themeFill="accent4" w:themeFillTint="34"/>
        <w:tcBorders/>
      </w:tcPr>
    </w:tblStylePr>
    <w:tblStylePr w:type="band1Vert">
      <w:pPr>
        <w:pBdr/>
        <w:spacing/>
        <w:ind/>
      </w:pPr>
      <w:tblPr>
        <w:tblBorders/>
      </w:tblPr>
      <w:tcPr>
        <w:shd w:val="clear" w:color="ffffff" w:themeColor="accent4" w:themeTint="34" w:fill="c9edf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0d8ab9" w:themeColor="accent4" w:themeTint="9A" w:themeShade="95"/>
      </w:rPr>
      <w:pPr>
        <w:pBdr/>
        <w:spacing/>
        <w:ind/>
      </w:pPr>
      <w:tblPr>
        <w:tblBorders/>
      </w:tblPr>
      <w:tcPr>
        <w:tcBorders/>
      </w:tcPr>
    </w:tblStylePr>
    <w:tblStylePr w:type="firstRow">
      <w:rPr>
        <w:b/>
        <w:color w:val="0d8ab9" w:themeColor="accent4" w:themeTint="9A" w:themeShade="95"/>
      </w:rPr>
      <w:pPr>
        <w:pBdr/>
        <w:spacing/>
        <w:ind/>
      </w:pPr>
      <w:tblPr>
        <w:tblBorders/>
      </w:tblPr>
      <w:tcPr>
        <w:tcBorders>
          <w:bottom w:val="single" w:color="000000" w:themeColor="accent4" w:themeTint="9A" w:sz="12" w:space="0"/>
        </w:tcBorders>
      </w:tcPr>
    </w:tblStylePr>
    <w:tblStylePr w:type="lastCol">
      <w:rPr>
        <w:b/>
        <w:color w:val="0d8ab9" w:themeColor="accent4" w:themeTint="9A" w:themeShade="95"/>
      </w:rPr>
      <w:pPr>
        <w:pBdr/>
        <w:spacing/>
        <w:ind/>
      </w:pPr>
      <w:tblPr>
        <w:tblBorders/>
      </w:tblPr>
      <w:tcPr>
        <w:tcBorders/>
      </w:tcPr>
    </w:tblStylePr>
    <w:tblStylePr w:type="lastRow">
      <w:rPr>
        <w:b/>
        <w:color w:val="0d8ab9"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53">
    <w:name w:val="Grid Table 6 Colorful - Accent 5"/>
    <w:basedOn w:val="873"/>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f2ceee" w:themeFill="accent5" w:themeFillTint="34"/>
        <w:tcBorders/>
      </w:tcPr>
    </w:tblStylePr>
    <w:tblStylePr w:type="band1Vert">
      <w:pPr>
        <w:pBdr/>
        <w:spacing/>
        <w:ind/>
      </w:pPr>
      <w:tblPr>
        <w:tblBorders/>
      </w:tblPr>
      <w:tcPr>
        <w:shd w:val="clear" w:color="ffffff" w:themeColor="accent5" w:themeTint="34" w:fill="f2ceee"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1956" w:themeColor="accent5" w:themeShade="95"/>
      </w:rPr>
      <w:pPr>
        <w:pBdr/>
        <w:spacing/>
        <w:ind/>
      </w:pPr>
      <w:tblPr>
        <w:tblBorders/>
      </w:tblPr>
      <w:tcPr>
        <w:tcBorders/>
      </w:tcPr>
    </w:tblStylePr>
    <w:tblStylePr w:type="firstRow">
      <w:rPr>
        <w:b/>
        <w:color w:val="5d1956" w:themeColor="accent5" w:themeShade="95"/>
      </w:rPr>
      <w:pPr>
        <w:pBdr/>
        <w:spacing/>
        <w:ind/>
      </w:pPr>
      <w:tblPr>
        <w:tblBorders/>
      </w:tblPr>
      <w:tcPr>
        <w:tcBorders>
          <w:bottom w:val="single" w:color="000000" w:themeColor="accent5" w:sz="12" w:space="0"/>
        </w:tcBorders>
      </w:tcPr>
    </w:tblStylePr>
    <w:tblStylePr w:type="lastCol">
      <w:rPr>
        <w:b/>
        <w:color w:val="5d1956" w:themeColor="accent5" w:themeShade="95"/>
      </w:rPr>
      <w:pPr>
        <w:pBdr/>
        <w:spacing/>
        <w:ind/>
      </w:pPr>
      <w:tblPr>
        <w:tblBorders/>
      </w:tblPr>
      <w:tcPr>
        <w:tcBorders/>
      </w:tcPr>
    </w:tblStylePr>
    <w:tblStylePr w:type="lastRow">
      <w:rPr>
        <w:b/>
        <w:color w:val="5d1956"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54">
    <w:name w:val="Grid Table 6 Colorful - Accent 6"/>
    <w:basedOn w:val="873"/>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d9f2d0" w:themeFill="accent6" w:themeFillTint="34"/>
        <w:tcBorders/>
      </w:tcPr>
    </w:tblStylePr>
    <w:tblStylePr w:type="band1Vert">
      <w:pPr>
        <w:pBdr/>
        <w:spacing/>
        <w:ind/>
      </w:pPr>
      <w:tblPr>
        <w:tblBorders/>
      </w:tblPr>
      <w:tcPr>
        <w:shd w:val="clear" w:color="ffffff" w:themeColor="accent6" w:themeTint="34" w:fill="d9f2d0"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1956" w:themeColor="accent5" w:themeShade="95"/>
      </w:rPr>
      <w:pPr>
        <w:pBdr/>
        <w:spacing/>
        <w:ind/>
      </w:pPr>
      <w:tblPr>
        <w:tblBorders/>
      </w:tblPr>
      <w:tcPr>
        <w:tcBorders/>
      </w:tcPr>
    </w:tblStylePr>
    <w:tblStylePr w:type="firstRow">
      <w:rPr>
        <w:b/>
        <w:color w:val="5d1956" w:themeColor="accent5" w:themeShade="95"/>
      </w:rPr>
      <w:pPr>
        <w:pBdr/>
        <w:spacing/>
        <w:ind/>
      </w:pPr>
      <w:tblPr>
        <w:tblBorders/>
      </w:tblPr>
      <w:tcPr>
        <w:tcBorders>
          <w:bottom w:val="single" w:color="000000" w:themeColor="accent6" w:sz="12" w:space="0"/>
        </w:tcBorders>
      </w:tcPr>
    </w:tblStylePr>
    <w:tblStylePr w:type="lastCol">
      <w:rPr>
        <w:b/>
        <w:color w:val="5d1956" w:themeColor="accent5" w:themeShade="95"/>
      </w:rPr>
      <w:pPr>
        <w:pBdr/>
        <w:spacing/>
        <w:ind/>
      </w:pPr>
      <w:tblPr>
        <w:tblBorders/>
      </w:tblPr>
      <w:tcPr>
        <w:tcBorders/>
      </w:tcPr>
    </w:tblStylePr>
    <w:tblStylePr w:type="lastRow">
      <w:rPr>
        <w:b/>
        <w:color w:val="5d1956"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55">
    <w:name w:val="Grid Table 7 Colorful"/>
    <w:basedOn w:val="873"/>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7 Colorful - Accent 1"/>
    <w:basedOn w:val="873"/>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1b7ba6" w:themeColor="accent1" w:themeTint="80" w:themeShade="95"/>
        <w:sz w:val="22"/>
      </w:rPr>
      <w:pPr>
        <w:pBdr/>
        <w:spacing/>
        <w:ind/>
      </w:pPr>
      <w:tblPr>
        <w:tblBorders/>
      </w:tblPr>
      <w:tcPr>
        <w:shd w:val="clear" w:color="ffffff" w:themeColor="accent1" w:themeTint="34" w:fill="c0e4f5" w:themeFill="accent1" w:themeFillTint="34"/>
        <w:tcBorders/>
      </w:tcPr>
    </w:tblStylePr>
    <w:tblStylePr w:type="band1Vert">
      <w:pPr>
        <w:pBdr/>
        <w:spacing/>
        <w:ind/>
      </w:pPr>
      <w:tblPr>
        <w:tblBorders/>
      </w:tblPr>
      <w:tcPr>
        <w:shd w:val="clear" w:color="ffffff" w:themeColor="accent1" w:themeTint="34" w:fill="c0e4f5" w:themeFill="accent1" w:themeFillTint="34"/>
        <w:tcBorders/>
      </w:tcPr>
    </w:tblStylePr>
    <w:tblStylePr w:type="band2Horz">
      <w:rPr>
        <w:rFonts w:ascii="Arial" w:hAnsi="Arial"/>
        <w:color w:val="1b7ba6"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1b7ba6"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1b7ba6"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1b7ba6"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1b7ba6"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7 Colorful - Accent 2"/>
    <w:basedOn w:val="873"/>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65215" w:themeColor="accent2" w:themeTint="97" w:themeShade="95"/>
        <w:sz w:val="22"/>
      </w:rPr>
      <w:pPr>
        <w:pBdr/>
        <w:spacing/>
        <w:ind/>
      </w:pPr>
      <w:tblPr>
        <w:tblBorders/>
      </w:tblPr>
      <w:tcPr>
        <w:shd w:val="clear" w:color="ffffff" w:themeColor="accent2" w:themeTint="32" w:fill="fbe3d7" w:themeFill="accent2" w:themeFillTint="32"/>
        <w:tcBorders/>
      </w:tcPr>
    </w:tblStylePr>
    <w:tblStylePr w:type="band1Vert">
      <w:pPr>
        <w:pBdr/>
        <w:spacing/>
        <w:ind/>
      </w:pPr>
      <w:tblPr>
        <w:tblBorders/>
      </w:tblPr>
      <w:tcPr>
        <w:shd w:val="clear" w:color="ffffff" w:themeColor="accent2" w:themeTint="32" w:fill="fbe3d7" w:themeFill="accent2" w:themeFillTint="32"/>
        <w:tcBorders/>
      </w:tcPr>
    </w:tblStylePr>
    <w:tblStylePr w:type="band2Horz">
      <w:rPr>
        <w:rFonts w:ascii="Arial" w:hAnsi="Arial"/>
        <w:color w:val="c6521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65215"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65215"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65215"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65215"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7 Colorful - Accent 3"/>
    <w:basedOn w:val="873"/>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0f3f15" w:themeColor="accent3" w:themeTint="FE" w:themeShade="95"/>
        <w:sz w:val="22"/>
      </w:rPr>
      <w:pPr>
        <w:pBdr/>
        <w:spacing/>
        <w:ind/>
      </w:pPr>
      <w:tblPr>
        <w:tblBorders/>
      </w:tblPr>
      <w:tcPr>
        <w:shd w:val="clear" w:color="ffffff" w:themeColor="accent3" w:themeTint="34" w:fill="c1f0c7" w:themeFill="accent3" w:themeFillTint="34"/>
        <w:tcBorders/>
      </w:tcPr>
    </w:tblStylePr>
    <w:tblStylePr w:type="band1Vert">
      <w:pPr>
        <w:pBdr/>
        <w:spacing/>
        <w:ind/>
      </w:pPr>
      <w:tblPr>
        <w:tblBorders/>
      </w:tblPr>
      <w:tcPr>
        <w:shd w:val="clear" w:color="ffffff" w:themeColor="accent3" w:themeTint="34" w:fill="c1f0c7" w:themeFill="accent3" w:themeFillTint="34"/>
        <w:tcBorders/>
      </w:tcPr>
    </w:tblStylePr>
    <w:tblStylePr w:type="band2Horz">
      <w:rPr>
        <w:rFonts w:ascii="Arial" w:hAnsi="Arial"/>
        <w:color w:val="0f3f1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0f3f15"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0f3f15"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0f3f15"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0f3f15"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7 Colorful - Accent 4"/>
    <w:basedOn w:val="873"/>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0d8ab9" w:themeColor="accent4" w:themeTint="9A" w:themeShade="95"/>
        <w:sz w:val="22"/>
      </w:rPr>
      <w:pPr>
        <w:pBdr/>
        <w:spacing/>
        <w:ind/>
      </w:pPr>
      <w:tblPr>
        <w:tblBorders/>
      </w:tblPr>
      <w:tcPr>
        <w:shd w:val="clear" w:color="ffffff" w:themeColor="accent4" w:themeTint="34" w:fill="c9edfb" w:themeFill="accent4" w:themeFillTint="34"/>
        <w:tcBorders/>
      </w:tcPr>
    </w:tblStylePr>
    <w:tblStylePr w:type="band1Vert">
      <w:pPr>
        <w:pBdr/>
        <w:spacing/>
        <w:ind/>
      </w:pPr>
      <w:tblPr>
        <w:tblBorders/>
      </w:tblPr>
      <w:tcPr>
        <w:shd w:val="clear" w:color="ffffff" w:themeColor="accent4" w:themeTint="34" w:fill="c9edfb" w:themeFill="accent4" w:themeFillTint="34"/>
        <w:tcBorders/>
      </w:tcPr>
    </w:tblStylePr>
    <w:tblStylePr w:type="band2Horz">
      <w:rPr>
        <w:rFonts w:ascii="Arial" w:hAnsi="Arial"/>
        <w:color w:val="0d8ab9"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0d8ab9"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0d8ab9"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0d8ab9"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0d8ab9"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7 Colorful - Accent 5"/>
    <w:basedOn w:val="873"/>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5d1956" w:themeColor="accent5" w:themeShade="95"/>
        <w:sz w:val="22"/>
      </w:rPr>
      <w:pPr>
        <w:pBdr/>
        <w:spacing/>
        <w:ind/>
      </w:pPr>
      <w:tblPr>
        <w:tblBorders/>
      </w:tblPr>
      <w:tcPr>
        <w:shd w:val="clear" w:color="ffffff" w:themeColor="accent5" w:themeTint="34" w:fill="f2ceee" w:themeFill="accent5" w:themeFillTint="34"/>
        <w:tcBorders/>
      </w:tcPr>
    </w:tblStylePr>
    <w:tblStylePr w:type="band1Vert">
      <w:pPr>
        <w:pBdr/>
        <w:spacing/>
        <w:ind/>
      </w:pPr>
      <w:tblPr>
        <w:tblBorders/>
      </w:tblPr>
      <w:tcPr>
        <w:shd w:val="clear" w:color="ffffff" w:themeColor="accent5" w:themeTint="34" w:fill="f2ceee" w:themeFill="accent5" w:themeFillTint="34"/>
        <w:tcBorders/>
      </w:tcPr>
    </w:tblStylePr>
    <w:tblStylePr w:type="band2Horz">
      <w:rPr>
        <w:rFonts w:ascii="Arial" w:hAnsi="Arial"/>
        <w:color w:val="5d1956"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d1956"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5d1956"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5d1956"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5d1956"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7 Colorful - Accent 6"/>
    <w:basedOn w:val="873"/>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2e621b" w:themeColor="accent6" w:themeShade="95"/>
        <w:sz w:val="22"/>
      </w:rPr>
      <w:pPr>
        <w:pBdr/>
        <w:spacing/>
        <w:ind/>
      </w:pPr>
      <w:tblPr>
        <w:tblBorders/>
      </w:tblPr>
      <w:tcPr>
        <w:shd w:val="clear" w:color="ffffff" w:themeColor="accent6" w:themeTint="34" w:fill="d9f2d0" w:themeFill="accent6" w:themeFillTint="34"/>
        <w:tcBorders/>
      </w:tcPr>
    </w:tblStylePr>
    <w:tblStylePr w:type="band1Vert">
      <w:pPr>
        <w:pBdr/>
        <w:spacing/>
        <w:ind/>
      </w:pPr>
      <w:tblPr>
        <w:tblBorders/>
      </w:tblPr>
      <w:tcPr>
        <w:shd w:val="clear" w:color="ffffff" w:themeColor="accent6" w:themeTint="34" w:fill="d9f2d0" w:themeFill="accent6" w:themeFillTint="34"/>
        <w:tcBorders/>
      </w:tcPr>
    </w:tblStylePr>
    <w:tblStylePr w:type="band2Horz">
      <w:rPr>
        <w:rFonts w:ascii="Arial" w:hAnsi="Arial"/>
        <w:color w:val="2e621b"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e621b"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2e621b"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2e621b"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2e621b"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List Table 1 Light"/>
    <w:basedOn w:val="87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List Table 1 Light - Accent 1"/>
    <w:basedOn w:val="87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b1def2" w:themeFill="accent1" w:themeFillTint="40"/>
        <w:tcBorders/>
      </w:tcPr>
    </w:tblStylePr>
    <w:tblStylePr w:type="band1Vert">
      <w:pPr>
        <w:pBdr/>
        <w:spacing/>
        <w:ind/>
      </w:pPr>
      <w:tblPr>
        <w:tblBorders/>
      </w:tblPr>
      <w:tcPr>
        <w:shd w:val="clear" w:color="ffffff" w:themeColor="accent1" w:themeTint="40" w:fill="b1def2"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List Table 1 Light - Accent 2"/>
    <w:basedOn w:val="87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9dbcc" w:themeFill="accent2" w:themeFillTint="40"/>
        <w:tcBorders/>
      </w:tcPr>
    </w:tblStylePr>
    <w:tblStylePr w:type="band1Vert">
      <w:pPr>
        <w:pBdr/>
        <w:spacing/>
        <w:ind/>
      </w:pPr>
      <w:tblPr>
        <w:tblBorders/>
      </w:tblPr>
      <w:tcPr>
        <w:shd w:val="clear" w:color="ffffff" w:themeColor="accent2" w:themeTint="40" w:fill="f9dbcc"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List Table 1 Light - Accent 3"/>
    <w:basedOn w:val="87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b2edba" w:themeFill="accent3" w:themeFillTint="40"/>
        <w:tcBorders/>
      </w:tcPr>
    </w:tblStylePr>
    <w:tblStylePr w:type="band1Vert">
      <w:pPr>
        <w:pBdr/>
        <w:spacing/>
        <w:ind/>
      </w:pPr>
      <w:tblPr>
        <w:tblBorders/>
      </w:tblPr>
      <w:tcPr>
        <w:shd w:val="clear" w:color="ffffff" w:themeColor="accent3" w:themeTint="40" w:fill="b2edba"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List Table 1 Light - Accent 4"/>
    <w:basedOn w:val="87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bde9fa" w:themeFill="accent4" w:themeFillTint="40"/>
        <w:tcBorders/>
      </w:tcPr>
    </w:tblStylePr>
    <w:tblStylePr w:type="band1Vert">
      <w:pPr>
        <w:pBdr/>
        <w:spacing/>
        <w:ind/>
      </w:pPr>
      <w:tblPr>
        <w:tblBorders/>
      </w:tblPr>
      <w:tcPr>
        <w:shd w:val="clear" w:color="ffffff" w:themeColor="accent4" w:themeTint="40" w:fill="bde9fa"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List Table 1 Light - Accent 5"/>
    <w:basedOn w:val="87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efc2ea" w:themeFill="accent5" w:themeFillTint="40"/>
        <w:tcBorders/>
      </w:tcPr>
    </w:tblStylePr>
    <w:tblStylePr w:type="band1Vert">
      <w:pPr>
        <w:pBdr/>
        <w:spacing/>
        <w:ind/>
      </w:pPr>
      <w:tblPr>
        <w:tblBorders/>
      </w:tblPr>
      <w:tcPr>
        <w:shd w:val="clear" w:color="ffffff" w:themeColor="accent5" w:themeTint="40" w:fill="efc2ea"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List Table 1 Light - Accent 6"/>
    <w:basedOn w:val="87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0efc5" w:themeFill="accent6" w:themeFillTint="40"/>
        <w:tcBorders/>
      </w:tcPr>
    </w:tblStylePr>
    <w:tblStylePr w:type="band1Vert">
      <w:pPr>
        <w:pBdr/>
        <w:spacing/>
        <w:ind/>
      </w:pPr>
      <w:tblPr>
        <w:tblBorders/>
      </w:tblPr>
      <w:tcPr>
        <w:shd w:val="clear" w:color="ffffff" w:themeColor="accent6" w:themeTint="40" w:fill="d0efc5"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List Table 2"/>
    <w:basedOn w:val="873"/>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2 - Accent 1"/>
    <w:basedOn w:val="873"/>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b1def2"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b1def2"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List Table 2 - Accent 2"/>
    <w:basedOn w:val="873"/>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9dbcc"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9dbcc"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2 - Accent 3"/>
    <w:basedOn w:val="873"/>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b2edba"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b2edba"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List Table 2 - Accent 4"/>
    <w:basedOn w:val="873"/>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bde9fa"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bde9fa"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2 - Accent 5"/>
    <w:basedOn w:val="873"/>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efc2ea"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efc2ea"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2 - Accent 6"/>
    <w:basedOn w:val="873"/>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0efc5"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0efc5"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3"/>
    <w:basedOn w:val="87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3 - Accent 1"/>
    <w:basedOn w:val="873"/>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156082"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3 - Accent 2"/>
    <w:basedOn w:val="87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2ab8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3 - Accent 3"/>
    <w:basedOn w:val="873"/>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48d45b"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3 - Accent 4"/>
    <w:basedOn w:val="87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60cbf4"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3 - Accent 5"/>
    <w:basedOn w:val="873"/>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d86dcc"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3 - Accent 6"/>
    <w:basedOn w:val="873"/>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8fd974"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4"/>
    <w:basedOn w:val="87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4 - Accent 1"/>
    <w:basedOn w:val="873"/>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b1def2"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b1def2"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156082"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4 - Accent 2"/>
    <w:basedOn w:val="873"/>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9dbcc"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9dbcc"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97132"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4 - Accent 3"/>
    <w:basedOn w:val="873"/>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b2edba"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b2edba"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196b24"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4 - Accent 4"/>
    <w:basedOn w:val="873"/>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bde9fa"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bde9fa"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0f9ed5"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4 - Accent 5"/>
    <w:basedOn w:val="873"/>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efc2ea"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efc2ea"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a02b93"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4 - Accent 6"/>
    <w:basedOn w:val="873"/>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0efc5"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0efc5"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4ea72e"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5 Dark"/>
    <w:basedOn w:val="873"/>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1">
    <w:name w:val="List Table 5 Dark - Accent 1"/>
    <w:basedOn w:val="873"/>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156082" w:themeFill="accent1"/>
    </w:tblPr>
    <w:tcPr>
      <w:tcBorders/>
    </w:tcPr>
    <w:tblStylePr w:type="band1Horz">
      <w:pPr>
        <w:pBdr/>
        <w:spacing/>
        <w:ind/>
      </w:pPr>
      <w:tblPr>
        <w:tblBorders/>
      </w:tblPr>
      <w:tcPr>
        <w:shd w:val="clear" w:color="ffffff" w:themeColor="accent1" w:fill="156082"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156082"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156082"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156082"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2">
    <w:name w:val="List Table 5 Dark - Accent 2"/>
    <w:basedOn w:val="873"/>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2ab86" w:themeFill="accent2" w:themeFillTint="97"/>
    </w:tblPr>
    <w:tcPr>
      <w:tcBorders/>
    </w:tcPr>
    <w:tblStylePr w:type="band1Horz">
      <w:pPr>
        <w:pBdr/>
        <w:spacing/>
        <w:ind/>
      </w:pPr>
      <w:tblPr>
        <w:tblBorders/>
      </w:tblPr>
      <w:tcPr>
        <w:shd w:val="clear" w:color="ffffff" w:themeColor="accent2" w:themeTint="97" w:fill="f2ab8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2ab8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2ab8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2ab8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3">
    <w:name w:val="List Table 5 Dark - Accent 3"/>
    <w:basedOn w:val="873"/>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48d45b" w:themeFill="accent3" w:themeFillTint="98"/>
    </w:tblPr>
    <w:tcPr>
      <w:tcBorders/>
    </w:tcPr>
    <w:tblStylePr w:type="band1Horz">
      <w:pPr>
        <w:pBdr/>
        <w:spacing/>
        <w:ind/>
      </w:pPr>
      <w:tblPr>
        <w:tblBorders/>
      </w:tblPr>
      <w:tcPr>
        <w:shd w:val="clear" w:color="ffffff" w:themeColor="accent3" w:themeTint="98" w:fill="48d45b"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48d45b"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48d45b"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48d45b"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4">
    <w:name w:val="List Table 5 Dark - Accent 4"/>
    <w:basedOn w:val="873"/>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60cbf4" w:themeFill="accent4" w:themeFillTint="9A"/>
    </w:tblPr>
    <w:tcPr>
      <w:tcBorders/>
    </w:tcPr>
    <w:tblStylePr w:type="band1Horz">
      <w:pPr>
        <w:pBdr/>
        <w:spacing/>
        <w:ind/>
      </w:pPr>
      <w:tblPr>
        <w:tblBorders/>
      </w:tblPr>
      <w:tcPr>
        <w:shd w:val="clear" w:color="ffffff" w:themeColor="accent4" w:themeTint="9A" w:fill="60cbf4"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60cbf4"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60cbf4"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60cbf4"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5">
    <w:name w:val="List Table 5 Dark - Accent 5"/>
    <w:basedOn w:val="873"/>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d86dcc" w:themeFill="accent5" w:themeFillTint="9A"/>
    </w:tblPr>
    <w:tcPr>
      <w:tcBorders/>
    </w:tcPr>
    <w:tblStylePr w:type="band1Horz">
      <w:pPr>
        <w:pBdr/>
        <w:spacing/>
        <w:ind/>
      </w:pPr>
      <w:tblPr>
        <w:tblBorders/>
      </w:tblPr>
      <w:tcPr>
        <w:shd w:val="clear" w:color="ffffff" w:themeColor="accent5" w:themeTint="9A" w:fill="d86dcc"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d86dcc"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d86dcc"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d86dcc"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6">
    <w:name w:val="List Table 5 Dark - Accent 6"/>
    <w:basedOn w:val="873"/>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8fd974" w:themeFill="accent6" w:themeFillTint="98"/>
    </w:tblPr>
    <w:tcPr>
      <w:tcBorders/>
    </w:tcPr>
    <w:tblStylePr w:type="band1Horz">
      <w:pPr>
        <w:pBdr/>
        <w:spacing/>
        <w:ind/>
      </w:pPr>
      <w:tblPr>
        <w:tblBorders/>
      </w:tblPr>
      <w:tcPr>
        <w:shd w:val="clear" w:color="ffffff" w:themeColor="accent6" w:themeTint="98" w:fill="8fd974"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8fd974"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8fd974"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8fd974"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7">
    <w:name w:val="List Table 6 Colorful"/>
    <w:basedOn w:val="873"/>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6 Colorful - Accent 1"/>
    <w:basedOn w:val="873"/>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b1def2" w:themeFill="accent1" w:themeFillTint="40"/>
        <w:tcBorders/>
      </w:tcPr>
    </w:tblStylePr>
    <w:tblStylePr w:type="band1Vert">
      <w:pPr>
        <w:pBdr/>
        <w:spacing/>
        <w:ind/>
      </w:pPr>
      <w:tblPr>
        <w:tblBorders/>
      </w:tblPr>
      <w:tcPr>
        <w:shd w:val="clear" w:color="ffffff" w:themeColor="accent1" w:themeTint="40" w:fill="b1def2"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0c384c" w:themeColor="accent1" w:themeShade="95"/>
      </w:rPr>
      <w:pPr>
        <w:pBdr/>
        <w:spacing/>
        <w:ind/>
      </w:pPr>
      <w:tblPr>
        <w:tblBorders/>
      </w:tblPr>
      <w:tcPr>
        <w:tcBorders/>
      </w:tcPr>
    </w:tblStylePr>
    <w:tblStylePr w:type="firstRow">
      <w:rPr>
        <w:b/>
        <w:color w:val="0c384c" w:themeColor="accent1" w:themeShade="95"/>
      </w:rPr>
      <w:pPr>
        <w:pBdr/>
        <w:spacing/>
        <w:ind/>
      </w:pPr>
      <w:tblPr>
        <w:tblBorders/>
      </w:tblPr>
      <w:tcPr>
        <w:tcBorders>
          <w:bottom w:val="single" w:color="000000" w:themeColor="accent1" w:sz="4" w:space="0"/>
        </w:tcBorders>
      </w:tcPr>
    </w:tblStylePr>
    <w:tblStylePr w:type="lastCol">
      <w:rPr>
        <w:b/>
        <w:color w:val="0c384c" w:themeColor="accent1" w:themeShade="95"/>
      </w:rPr>
      <w:pPr>
        <w:pBdr/>
        <w:spacing/>
        <w:ind/>
      </w:pPr>
      <w:tblPr>
        <w:tblBorders/>
      </w:tblPr>
      <w:tcPr>
        <w:tcBorders/>
      </w:tcPr>
    </w:tblStylePr>
    <w:tblStylePr w:type="lastRow">
      <w:rPr>
        <w:b/>
        <w:color w:val="0c384c"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6 Colorful - Accent 2"/>
    <w:basedOn w:val="873"/>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9dbcc" w:themeFill="accent2" w:themeFillTint="40"/>
        <w:tcBorders/>
      </w:tcPr>
    </w:tblStylePr>
    <w:tblStylePr w:type="band1Vert">
      <w:pPr>
        <w:pBdr/>
        <w:spacing/>
        <w:ind/>
      </w:pPr>
      <w:tblPr>
        <w:tblBorders/>
      </w:tblPr>
      <w:tcPr>
        <w:shd w:val="clear" w:color="ffffff" w:themeColor="accent2" w:themeTint="40" w:fill="f9dbcc"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65215" w:themeColor="accent2" w:themeTint="97" w:themeShade="95"/>
      </w:rPr>
      <w:pPr>
        <w:pBdr/>
        <w:spacing/>
        <w:ind/>
      </w:pPr>
      <w:tblPr>
        <w:tblBorders/>
      </w:tblPr>
      <w:tcPr>
        <w:tcBorders/>
      </w:tcPr>
    </w:tblStylePr>
    <w:tblStylePr w:type="firstRow">
      <w:rPr>
        <w:b/>
        <w:color w:val="c65215" w:themeColor="accent2" w:themeTint="97" w:themeShade="95"/>
      </w:rPr>
      <w:pPr>
        <w:pBdr/>
        <w:spacing/>
        <w:ind/>
      </w:pPr>
      <w:tblPr>
        <w:tblBorders/>
      </w:tblPr>
      <w:tcPr>
        <w:tcBorders>
          <w:bottom w:val="single" w:color="000000" w:themeColor="accent2" w:themeTint="97" w:sz="4" w:space="0"/>
        </w:tcBorders>
      </w:tcPr>
    </w:tblStylePr>
    <w:tblStylePr w:type="lastCol">
      <w:rPr>
        <w:b/>
        <w:color w:val="c65215" w:themeColor="accent2" w:themeTint="97" w:themeShade="95"/>
      </w:rPr>
      <w:pPr>
        <w:pBdr/>
        <w:spacing/>
        <w:ind/>
      </w:pPr>
      <w:tblPr>
        <w:tblBorders/>
      </w:tblPr>
      <w:tcPr>
        <w:tcBorders/>
      </w:tcPr>
    </w:tblStylePr>
    <w:tblStylePr w:type="lastRow">
      <w:rPr>
        <w:b/>
        <w:color w:val="c65215"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6 Colorful - Accent 3"/>
    <w:basedOn w:val="873"/>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b2edba" w:themeFill="accent3" w:themeFillTint="40"/>
        <w:tcBorders/>
      </w:tcPr>
    </w:tblStylePr>
    <w:tblStylePr w:type="band1Vert">
      <w:pPr>
        <w:pBdr/>
        <w:spacing/>
        <w:ind/>
      </w:pPr>
      <w:tblPr>
        <w:tblBorders/>
      </w:tblPr>
      <w:tcPr>
        <w:shd w:val="clear" w:color="ffffff" w:themeColor="accent3" w:themeTint="40" w:fill="b2edba"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0872d" w:themeColor="accent3" w:themeTint="98" w:themeShade="95"/>
      </w:rPr>
      <w:pPr>
        <w:pBdr/>
        <w:spacing/>
        <w:ind/>
      </w:pPr>
      <w:tblPr>
        <w:tblBorders/>
      </w:tblPr>
      <w:tcPr>
        <w:tcBorders/>
      </w:tcPr>
    </w:tblStylePr>
    <w:tblStylePr w:type="firstRow">
      <w:rPr>
        <w:b/>
        <w:color w:val="20872d" w:themeColor="accent3" w:themeTint="98" w:themeShade="95"/>
      </w:rPr>
      <w:pPr>
        <w:pBdr/>
        <w:spacing/>
        <w:ind/>
      </w:pPr>
      <w:tblPr>
        <w:tblBorders/>
      </w:tblPr>
      <w:tcPr>
        <w:tcBorders>
          <w:bottom w:val="single" w:color="000000" w:themeColor="accent3" w:themeTint="98" w:sz="4" w:space="0"/>
        </w:tcBorders>
      </w:tcPr>
    </w:tblStylePr>
    <w:tblStylePr w:type="lastCol">
      <w:rPr>
        <w:b/>
        <w:color w:val="20872d" w:themeColor="accent3" w:themeTint="98" w:themeShade="95"/>
      </w:rPr>
      <w:pPr>
        <w:pBdr/>
        <w:spacing/>
        <w:ind/>
      </w:pPr>
      <w:tblPr>
        <w:tblBorders/>
      </w:tblPr>
      <w:tcPr>
        <w:tcBorders/>
      </w:tcPr>
    </w:tblStylePr>
    <w:tblStylePr w:type="lastRow">
      <w:rPr>
        <w:b/>
        <w:color w:val="20872d"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6 Colorful - Accent 4"/>
    <w:basedOn w:val="873"/>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bde9fa" w:themeFill="accent4" w:themeFillTint="40"/>
        <w:tcBorders/>
      </w:tcPr>
    </w:tblStylePr>
    <w:tblStylePr w:type="band1Vert">
      <w:pPr>
        <w:pBdr/>
        <w:spacing/>
        <w:ind/>
      </w:pPr>
      <w:tblPr>
        <w:tblBorders/>
      </w:tblPr>
      <w:tcPr>
        <w:shd w:val="clear" w:color="ffffff" w:themeColor="accent4" w:themeTint="40" w:fill="bde9fa"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0d8ab9" w:themeColor="accent4" w:themeTint="9A" w:themeShade="95"/>
      </w:rPr>
      <w:pPr>
        <w:pBdr/>
        <w:spacing/>
        <w:ind/>
      </w:pPr>
      <w:tblPr>
        <w:tblBorders/>
      </w:tblPr>
      <w:tcPr>
        <w:tcBorders/>
      </w:tcPr>
    </w:tblStylePr>
    <w:tblStylePr w:type="firstRow">
      <w:rPr>
        <w:b/>
        <w:color w:val="0d8ab9" w:themeColor="accent4" w:themeTint="9A" w:themeShade="95"/>
      </w:rPr>
      <w:pPr>
        <w:pBdr/>
        <w:spacing/>
        <w:ind/>
      </w:pPr>
      <w:tblPr>
        <w:tblBorders/>
      </w:tblPr>
      <w:tcPr>
        <w:tcBorders>
          <w:bottom w:val="single" w:color="000000" w:themeColor="accent4" w:themeTint="9A" w:sz="4" w:space="0"/>
        </w:tcBorders>
      </w:tcPr>
    </w:tblStylePr>
    <w:tblStylePr w:type="lastCol">
      <w:rPr>
        <w:b/>
        <w:color w:val="0d8ab9" w:themeColor="accent4" w:themeTint="9A" w:themeShade="95"/>
      </w:rPr>
      <w:pPr>
        <w:pBdr/>
        <w:spacing/>
        <w:ind/>
      </w:pPr>
      <w:tblPr>
        <w:tblBorders/>
      </w:tblPr>
      <w:tcPr>
        <w:tcBorders/>
      </w:tcPr>
    </w:tblStylePr>
    <w:tblStylePr w:type="lastRow">
      <w:rPr>
        <w:b/>
        <w:color w:val="0d8ab9"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6 Colorful - Accent 5"/>
    <w:basedOn w:val="873"/>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efc2ea" w:themeFill="accent5" w:themeFillTint="40"/>
        <w:tcBorders/>
      </w:tcPr>
    </w:tblStylePr>
    <w:tblStylePr w:type="band1Vert">
      <w:pPr>
        <w:pBdr/>
        <w:spacing/>
        <w:ind/>
      </w:pPr>
      <w:tblPr>
        <w:tblBorders/>
      </w:tblPr>
      <w:tcPr>
        <w:shd w:val="clear" w:color="ffffff" w:themeColor="accent5" w:themeTint="40" w:fill="efc2ea"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52889" w:themeColor="accent5" w:themeTint="9A" w:themeShade="95"/>
      </w:rPr>
      <w:pPr>
        <w:pBdr/>
        <w:spacing/>
        <w:ind/>
      </w:pPr>
      <w:tblPr>
        <w:tblBorders/>
      </w:tblPr>
      <w:tcPr>
        <w:tcBorders/>
      </w:tcPr>
    </w:tblStylePr>
    <w:tblStylePr w:type="firstRow">
      <w:rPr>
        <w:b/>
        <w:color w:val="952889" w:themeColor="accent5" w:themeTint="9A" w:themeShade="95"/>
      </w:rPr>
      <w:pPr>
        <w:pBdr/>
        <w:spacing/>
        <w:ind/>
      </w:pPr>
      <w:tblPr>
        <w:tblBorders/>
      </w:tblPr>
      <w:tcPr>
        <w:tcBorders>
          <w:bottom w:val="single" w:color="000000" w:themeColor="accent5" w:themeTint="9A" w:sz="4" w:space="0"/>
        </w:tcBorders>
      </w:tcPr>
    </w:tblStylePr>
    <w:tblStylePr w:type="lastCol">
      <w:rPr>
        <w:b/>
        <w:color w:val="952889" w:themeColor="accent5" w:themeTint="9A" w:themeShade="95"/>
      </w:rPr>
      <w:pPr>
        <w:pBdr/>
        <w:spacing/>
        <w:ind/>
      </w:pPr>
      <w:tblPr>
        <w:tblBorders/>
      </w:tblPr>
      <w:tcPr>
        <w:tcBorders/>
      </w:tcPr>
    </w:tblStylePr>
    <w:tblStylePr w:type="lastRow">
      <w:rPr>
        <w:b/>
        <w:color w:val="952889"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6 Colorful - Accent 6"/>
    <w:basedOn w:val="873"/>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0efc5" w:themeFill="accent6" w:themeFillTint="40"/>
        <w:tcBorders/>
      </w:tcPr>
    </w:tblStylePr>
    <w:tblStylePr w:type="band1Vert">
      <w:pPr>
        <w:pBdr/>
        <w:spacing/>
        <w:ind/>
      </w:pPr>
      <w:tblPr>
        <w:tblBorders/>
      </w:tblPr>
      <w:tcPr>
        <w:shd w:val="clear" w:color="ffffff" w:themeColor="accent6" w:themeTint="40" w:fill="d0efc5"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7992a" w:themeColor="accent6" w:themeTint="98" w:themeShade="95"/>
      </w:rPr>
      <w:pPr>
        <w:pBdr/>
        <w:spacing/>
        <w:ind/>
      </w:pPr>
      <w:tblPr>
        <w:tblBorders/>
      </w:tblPr>
      <w:tcPr>
        <w:tcBorders/>
      </w:tcPr>
    </w:tblStylePr>
    <w:tblStylePr w:type="firstRow">
      <w:rPr>
        <w:b/>
        <w:color w:val="47992a" w:themeColor="accent6" w:themeTint="98" w:themeShade="95"/>
      </w:rPr>
      <w:pPr>
        <w:pBdr/>
        <w:spacing/>
        <w:ind/>
      </w:pPr>
      <w:tblPr>
        <w:tblBorders/>
      </w:tblPr>
      <w:tcPr>
        <w:tcBorders>
          <w:bottom w:val="single" w:color="000000" w:themeColor="accent6" w:themeTint="98" w:sz="4" w:space="0"/>
        </w:tcBorders>
      </w:tcPr>
    </w:tblStylePr>
    <w:tblStylePr w:type="lastCol">
      <w:rPr>
        <w:b/>
        <w:color w:val="47992a" w:themeColor="accent6" w:themeTint="98" w:themeShade="95"/>
      </w:rPr>
      <w:pPr>
        <w:pBdr/>
        <w:spacing/>
        <w:ind/>
      </w:pPr>
      <w:tblPr>
        <w:tblBorders/>
      </w:tblPr>
      <w:tcPr>
        <w:tcBorders/>
      </w:tcPr>
    </w:tblStylePr>
    <w:tblStylePr w:type="lastRow">
      <w:rPr>
        <w:b/>
        <w:color w:val="47992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7 Colorful"/>
    <w:basedOn w:val="873"/>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05">
    <w:name w:val="List Table 7 Colorful - Accent 1"/>
    <w:basedOn w:val="873"/>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0c384c" w:themeColor="accent1" w:themeShade="95"/>
        <w:sz w:val="22"/>
      </w:rPr>
      <w:pPr>
        <w:pBdr/>
        <w:spacing/>
        <w:ind/>
      </w:pPr>
      <w:tblPr>
        <w:tblBorders/>
      </w:tblPr>
      <w:tcPr>
        <w:shd w:val="clear" w:color="ffffff" w:themeColor="accent1" w:themeTint="40" w:fill="b1def2" w:themeFill="accent1" w:themeFillTint="40"/>
        <w:tcBorders/>
      </w:tcPr>
    </w:tblStylePr>
    <w:tblStylePr w:type="band1Vert">
      <w:pPr>
        <w:pBdr/>
        <w:spacing/>
        <w:ind/>
      </w:pPr>
      <w:tblPr>
        <w:tblBorders/>
      </w:tblPr>
      <w:tcPr>
        <w:shd w:val="clear" w:color="ffffff" w:themeColor="accent1" w:themeTint="40" w:fill="b1def2" w:themeFill="accent1" w:themeFillTint="40"/>
        <w:tcBorders/>
      </w:tcPr>
    </w:tblStylePr>
    <w:tblStylePr w:type="band2Horz">
      <w:rPr>
        <w:rFonts w:ascii="Arial" w:hAnsi="Arial"/>
        <w:color w:val="0c384c"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0c384c"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0c384c"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0c384c"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0c384c"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0c384c" w:themeColor="accent1" w:themeShade="95"/>
        <w:sz w:val="22"/>
      </w:rPr>
      <w:pPr>
        <w:pBdr/>
        <w:spacing/>
        <w:ind/>
      </w:pPr>
      <w:tblPr>
        <w:tblBorders/>
      </w:tblPr>
      <w:tcPr>
        <w:tcBorders/>
      </w:tcPr>
    </w:tblStylePr>
  </w:style>
  <w:style w:type="table" w:styleId="806">
    <w:name w:val="List Table 7 Colorful - Accent 2"/>
    <w:basedOn w:val="873"/>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65215" w:themeColor="accent2" w:themeTint="97" w:themeShade="95"/>
        <w:sz w:val="22"/>
      </w:rPr>
      <w:pPr>
        <w:pBdr/>
        <w:spacing/>
        <w:ind/>
      </w:pPr>
      <w:tblPr>
        <w:tblBorders/>
      </w:tblPr>
      <w:tcPr>
        <w:shd w:val="clear" w:color="ffffff" w:themeColor="accent2" w:themeTint="40" w:fill="f9dbcc" w:themeFill="accent2" w:themeFillTint="40"/>
        <w:tcBorders/>
      </w:tcPr>
    </w:tblStylePr>
    <w:tblStylePr w:type="band1Vert">
      <w:pPr>
        <w:pBdr/>
        <w:spacing/>
        <w:ind/>
      </w:pPr>
      <w:tblPr>
        <w:tblBorders/>
      </w:tblPr>
      <w:tcPr>
        <w:shd w:val="clear" w:color="ffffff" w:themeColor="accent2" w:themeTint="40" w:fill="f9dbcc" w:themeFill="accent2" w:themeFillTint="40"/>
        <w:tcBorders/>
      </w:tcPr>
    </w:tblStylePr>
    <w:tblStylePr w:type="band2Horz">
      <w:rPr>
        <w:rFonts w:ascii="Arial" w:hAnsi="Arial"/>
        <w:color w:val="c6521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65215"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65215"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65215"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65215"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65215" w:themeColor="accent2" w:themeTint="97" w:themeShade="95"/>
        <w:sz w:val="22"/>
      </w:rPr>
      <w:pPr>
        <w:pBdr/>
        <w:spacing/>
        <w:ind/>
      </w:pPr>
      <w:tblPr>
        <w:tblBorders/>
      </w:tblPr>
      <w:tcPr>
        <w:tcBorders/>
      </w:tcPr>
    </w:tblStylePr>
  </w:style>
  <w:style w:type="table" w:styleId="807">
    <w:name w:val="List Table 7 Colorful - Accent 3"/>
    <w:basedOn w:val="873"/>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20872d" w:themeColor="accent3" w:themeTint="98" w:themeShade="95"/>
        <w:sz w:val="22"/>
      </w:rPr>
      <w:pPr>
        <w:pBdr/>
        <w:spacing/>
        <w:ind/>
      </w:pPr>
      <w:tblPr>
        <w:tblBorders/>
      </w:tblPr>
      <w:tcPr>
        <w:shd w:val="clear" w:color="ffffff" w:themeColor="accent3" w:themeTint="40" w:fill="b2edba" w:themeFill="accent3" w:themeFillTint="40"/>
        <w:tcBorders/>
      </w:tcPr>
    </w:tblStylePr>
    <w:tblStylePr w:type="band1Vert">
      <w:pPr>
        <w:pBdr/>
        <w:spacing/>
        <w:ind/>
      </w:pPr>
      <w:tblPr>
        <w:tblBorders/>
      </w:tblPr>
      <w:tcPr>
        <w:shd w:val="clear" w:color="ffffff" w:themeColor="accent3" w:themeTint="40" w:fill="b2edba" w:themeFill="accent3" w:themeFillTint="40"/>
        <w:tcBorders/>
      </w:tcPr>
    </w:tblStylePr>
    <w:tblStylePr w:type="band2Horz">
      <w:rPr>
        <w:rFonts w:ascii="Arial" w:hAnsi="Arial"/>
        <w:color w:val="20872d"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0872d"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20872d"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20872d"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20872d"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0872d" w:themeColor="accent3" w:themeTint="98" w:themeShade="95"/>
        <w:sz w:val="22"/>
      </w:rPr>
      <w:pPr>
        <w:pBdr/>
        <w:spacing/>
        <w:ind/>
      </w:pPr>
      <w:tblPr>
        <w:tblBorders/>
      </w:tblPr>
      <w:tcPr>
        <w:tcBorders/>
      </w:tcPr>
    </w:tblStylePr>
  </w:style>
  <w:style w:type="table" w:styleId="808">
    <w:name w:val="List Table 7 Colorful - Accent 4"/>
    <w:basedOn w:val="873"/>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0d8ab9" w:themeColor="accent4" w:themeTint="9A" w:themeShade="95"/>
        <w:sz w:val="22"/>
      </w:rPr>
      <w:pPr>
        <w:pBdr/>
        <w:spacing/>
        <w:ind/>
      </w:pPr>
      <w:tblPr>
        <w:tblBorders/>
      </w:tblPr>
      <w:tcPr>
        <w:shd w:val="clear" w:color="ffffff" w:themeColor="accent4" w:themeTint="40" w:fill="bde9fa" w:themeFill="accent4" w:themeFillTint="40"/>
        <w:tcBorders/>
      </w:tcPr>
    </w:tblStylePr>
    <w:tblStylePr w:type="band1Vert">
      <w:pPr>
        <w:pBdr/>
        <w:spacing/>
        <w:ind/>
      </w:pPr>
      <w:tblPr>
        <w:tblBorders/>
      </w:tblPr>
      <w:tcPr>
        <w:shd w:val="clear" w:color="ffffff" w:themeColor="accent4" w:themeTint="40" w:fill="bde9fa" w:themeFill="accent4" w:themeFillTint="40"/>
        <w:tcBorders/>
      </w:tcPr>
    </w:tblStylePr>
    <w:tblStylePr w:type="band2Horz">
      <w:rPr>
        <w:rFonts w:ascii="Arial" w:hAnsi="Arial"/>
        <w:color w:val="0d8ab9"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0d8ab9"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0d8ab9"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0d8ab9"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0d8ab9"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0d8ab9" w:themeColor="accent4" w:themeTint="9A" w:themeShade="95"/>
        <w:sz w:val="22"/>
      </w:rPr>
      <w:pPr>
        <w:pBdr/>
        <w:spacing/>
        <w:ind/>
      </w:pPr>
      <w:tblPr>
        <w:tblBorders/>
      </w:tblPr>
      <w:tcPr>
        <w:tcBorders/>
      </w:tcPr>
    </w:tblStylePr>
  </w:style>
  <w:style w:type="table" w:styleId="809">
    <w:name w:val="List Table 7 Colorful - Accent 5"/>
    <w:basedOn w:val="873"/>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952889" w:themeColor="accent5" w:themeTint="9A" w:themeShade="95"/>
        <w:sz w:val="22"/>
      </w:rPr>
      <w:pPr>
        <w:pBdr/>
        <w:spacing/>
        <w:ind/>
      </w:pPr>
      <w:tblPr>
        <w:tblBorders/>
      </w:tblPr>
      <w:tcPr>
        <w:shd w:val="clear" w:color="ffffff" w:themeColor="accent5" w:themeTint="40" w:fill="efc2ea" w:themeFill="accent5" w:themeFillTint="40"/>
        <w:tcBorders/>
      </w:tcPr>
    </w:tblStylePr>
    <w:tblStylePr w:type="band1Vert">
      <w:pPr>
        <w:pBdr/>
        <w:spacing/>
        <w:ind/>
      </w:pPr>
      <w:tblPr>
        <w:tblBorders/>
      </w:tblPr>
      <w:tcPr>
        <w:shd w:val="clear" w:color="ffffff" w:themeColor="accent5" w:themeTint="40" w:fill="efc2ea" w:themeFill="accent5" w:themeFillTint="40"/>
        <w:tcBorders/>
      </w:tcPr>
    </w:tblStylePr>
    <w:tblStylePr w:type="band2Horz">
      <w:rPr>
        <w:rFonts w:ascii="Arial" w:hAnsi="Arial"/>
        <w:color w:val="952889"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52889"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952889"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952889"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952889"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52889" w:themeColor="accent5" w:themeTint="9A" w:themeShade="95"/>
        <w:sz w:val="22"/>
      </w:rPr>
      <w:pPr>
        <w:pBdr/>
        <w:spacing/>
        <w:ind/>
      </w:pPr>
      <w:tblPr>
        <w:tblBorders/>
      </w:tblPr>
      <w:tcPr>
        <w:tcBorders/>
      </w:tcPr>
    </w:tblStylePr>
  </w:style>
  <w:style w:type="table" w:styleId="810">
    <w:name w:val="List Table 7 Colorful - Accent 6"/>
    <w:basedOn w:val="873"/>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47992a" w:themeColor="accent6" w:themeTint="98" w:themeShade="95"/>
        <w:sz w:val="22"/>
      </w:rPr>
      <w:pPr>
        <w:pBdr/>
        <w:spacing/>
        <w:ind/>
      </w:pPr>
      <w:tblPr>
        <w:tblBorders/>
      </w:tblPr>
      <w:tcPr>
        <w:shd w:val="clear" w:color="ffffff" w:themeColor="accent6" w:themeTint="40" w:fill="d0efc5" w:themeFill="accent6" w:themeFillTint="40"/>
        <w:tcBorders/>
      </w:tcPr>
    </w:tblStylePr>
    <w:tblStylePr w:type="band1Vert">
      <w:pPr>
        <w:pBdr/>
        <w:spacing/>
        <w:ind/>
      </w:pPr>
      <w:tblPr>
        <w:tblBorders/>
      </w:tblPr>
      <w:tcPr>
        <w:shd w:val="clear" w:color="ffffff" w:themeColor="accent6" w:themeTint="40" w:fill="d0efc5" w:themeFill="accent6" w:themeFillTint="40"/>
        <w:tcBorders/>
      </w:tcPr>
    </w:tblStylePr>
    <w:tblStylePr w:type="band2Horz">
      <w:rPr>
        <w:rFonts w:ascii="Arial" w:hAnsi="Arial"/>
        <w:color w:val="47992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7992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47992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47992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47992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7992a" w:themeColor="accent6" w:themeTint="98" w:themeShade="95"/>
        <w:sz w:val="22"/>
      </w:rPr>
      <w:pPr>
        <w:pBdr/>
        <w:spacing/>
        <w:ind/>
      </w:pPr>
      <w:tblPr>
        <w:tblBorders/>
      </w:tblPr>
      <w:tcPr>
        <w:tcBorders/>
      </w:tcPr>
    </w:tblStylePr>
  </w:style>
  <w:style w:type="table" w:styleId="811">
    <w:name w:val="Lined - Accent"/>
    <w:basedOn w:val="87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ned - Accent 1"/>
    <w:basedOn w:val="87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9ed6ef"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9ed6ef"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19739b"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19739b"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19739b"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19739b"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Lined - Accent 2"/>
    <w:basedOn w:val="87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3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3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2ab8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2ab8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2ab8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2ab8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ned - Accent 3"/>
    <w:basedOn w:val="87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c1f0c7"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c1f0c7"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196c24"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196c24"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196c24"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196c24"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Lined - Accent 4"/>
    <w:basedOn w:val="87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c9edf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c9edf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60cbf4"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60cbf4"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60cbf4"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60cbf4"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ned - Accent 5"/>
    <w:basedOn w:val="87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f2ceee"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f2ceee" w:themeFill="accent5" w:themeFillTint="34"/>
        <w:tcBorders/>
      </w:tcPr>
    </w:tblStylePr>
    <w:tblStylePr w:type="firstCol">
      <w:rPr>
        <w:rFonts w:ascii="Arial" w:hAnsi="Arial"/>
        <w:color w:val="f2f2f2"/>
        <w:sz w:val="22"/>
      </w:rPr>
      <w:pPr>
        <w:pBdr/>
        <w:spacing/>
        <w:ind/>
      </w:pPr>
      <w:tblPr>
        <w:tblBorders/>
      </w:tblPr>
      <w:tcPr>
        <w:shd w:val="clear" w:color="ffffff" w:themeColor="accent5" w:fill="a02b93" w:themeFill="accent5"/>
        <w:tcBorders/>
      </w:tcPr>
    </w:tblStylePr>
    <w:tblStylePr w:type="firstRow">
      <w:rPr>
        <w:rFonts w:ascii="Arial" w:hAnsi="Arial"/>
        <w:color w:val="f2f2f2"/>
        <w:sz w:val="22"/>
      </w:rPr>
      <w:pPr>
        <w:pBdr/>
        <w:spacing/>
        <w:ind/>
      </w:pPr>
      <w:tblPr>
        <w:tblBorders/>
      </w:tblPr>
      <w:tcPr>
        <w:shd w:val="clear" w:color="ffffff" w:themeColor="accent5" w:fill="a02b93" w:themeFill="accent5"/>
        <w:tcBorders/>
      </w:tcPr>
    </w:tblStylePr>
    <w:tblStylePr w:type="lastCol">
      <w:rPr>
        <w:rFonts w:ascii="Arial" w:hAnsi="Arial"/>
        <w:color w:val="f2f2f2"/>
        <w:sz w:val="22"/>
      </w:rPr>
      <w:pPr>
        <w:pBdr/>
        <w:spacing/>
        <w:ind/>
      </w:pPr>
      <w:tblPr>
        <w:tblBorders/>
      </w:tblPr>
      <w:tcPr>
        <w:shd w:val="clear" w:color="ffffff" w:themeColor="accent5" w:fill="a02b93" w:themeFill="accent5"/>
        <w:tcBorders/>
      </w:tcPr>
    </w:tblStylePr>
    <w:tblStylePr w:type="lastRow">
      <w:rPr>
        <w:rFonts w:ascii="Arial" w:hAnsi="Arial"/>
        <w:color w:val="f2f2f2"/>
        <w:sz w:val="22"/>
      </w:rPr>
      <w:pPr>
        <w:pBdr/>
        <w:spacing/>
        <w:ind/>
      </w:pPr>
      <w:tblPr>
        <w:tblBorders/>
      </w:tblPr>
      <w:tcPr>
        <w:shd w:val="clear" w:color="ffffff" w:themeColor="accent5" w:fill="a02b93"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ned - Accent 6"/>
    <w:basedOn w:val="87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d9f2d0"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d9f2d0" w:themeFill="accent6" w:themeFillTint="34"/>
        <w:tcBorders/>
      </w:tcPr>
    </w:tblStylePr>
    <w:tblStylePr w:type="firstCol">
      <w:rPr>
        <w:rFonts w:ascii="Arial" w:hAnsi="Arial"/>
        <w:color w:val="f2f2f2"/>
        <w:sz w:val="22"/>
      </w:rPr>
      <w:pPr>
        <w:pBdr/>
        <w:spacing/>
        <w:ind/>
      </w:pPr>
      <w:tblPr>
        <w:tblBorders/>
      </w:tblPr>
      <w:tcPr>
        <w:shd w:val="clear" w:color="ffffff" w:themeColor="accent6" w:fill="4ea72e" w:themeFill="accent6"/>
        <w:tcBorders/>
      </w:tcPr>
    </w:tblStylePr>
    <w:tblStylePr w:type="firstRow">
      <w:rPr>
        <w:rFonts w:ascii="Arial" w:hAnsi="Arial"/>
        <w:color w:val="f2f2f2"/>
        <w:sz w:val="22"/>
      </w:rPr>
      <w:pPr>
        <w:pBdr/>
        <w:spacing/>
        <w:ind/>
      </w:pPr>
      <w:tblPr>
        <w:tblBorders/>
      </w:tblPr>
      <w:tcPr>
        <w:shd w:val="clear" w:color="ffffff" w:themeColor="accent6" w:fill="4ea72e" w:themeFill="accent6"/>
        <w:tcBorders/>
      </w:tcPr>
    </w:tblStylePr>
    <w:tblStylePr w:type="lastCol">
      <w:rPr>
        <w:rFonts w:ascii="Arial" w:hAnsi="Arial"/>
        <w:color w:val="f2f2f2"/>
        <w:sz w:val="22"/>
      </w:rPr>
      <w:pPr>
        <w:pBdr/>
        <w:spacing/>
        <w:ind/>
      </w:pPr>
      <w:tblPr>
        <w:tblBorders/>
      </w:tblPr>
      <w:tcPr>
        <w:shd w:val="clear" w:color="ffffff" w:themeColor="accent6" w:fill="4ea72e" w:themeFill="accent6"/>
        <w:tcBorders/>
      </w:tcPr>
    </w:tblStylePr>
    <w:tblStylePr w:type="lastRow">
      <w:rPr>
        <w:rFonts w:ascii="Arial" w:hAnsi="Arial"/>
        <w:color w:val="f2f2f2"/>
        <w:sz w:val="22"/>
      </w:rPr>
      <w:pPr>
        <w:pBdr/>
        <w:spacing/>
        <w:ind/>
      </w:pPr>
      <w:tblPr>
        <w:tblBorders/>
      </w:tblPr>
      <w:tcPr>
        <w:shd w:val="clear" w:color="ffffff" w:themeColor="accent6" w:fill="4ea72e"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Bordered &amp; Lined - Accent"/>
    <w:basedOn w:val="873"/>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Bordered &amp; Lined - Accent 1"/>
    <w:basedOn w:val="873"/>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9ed6ef"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9ed6ef"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19739b"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19739b"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19739b"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19739b"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Bordered &amp; Lined - Accent 2"/>
    <w:basedOn w:val="873"/>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3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3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2ab8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2ab8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2ab8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2ab8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Bordered &amp; Lined - Accent 3"/>
    <w:basedOn w:val="873"/>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c1f0c7"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c1f0c7"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196c24"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196c24"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196c24"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196c24"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Bordered &amp; Lined - Accent 4"/>
    <w:basedOn w:val="873"/>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c9edf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c9edf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60cbf4"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60cbf4"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60cbf4"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60cbf4"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Bordered &amp; Lined - Accent 5"/>
    <w:basedOn w:val="873"/>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f2ceee"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f2ceee" w:themeFill="accent5" w:themeFillTint="34"/>
        <w:tcBorders/>
      </w:tcPr>
    </w:tblStylePr>
    <w:tblStylePr w:type="firstCol">
      <w:rPr>
        <w:rFonts w:ascii="Arial" w:hAnsi="Arial"/>
        <w:color w:val="f2f2f2"/>
        <w:sz w:val="22"/>
      </w:rPr>
      <w:pPr>
        <w:pBdr/>
        <w:spacing/>
        <w:ind/>
      </w:pPr>
      <w:tblPr>
        <w:tblBorders/>
      </w:tblPr>
      <w:tcPr>
        <w:shd w:val="clear" w:color="ffffff" w:themeColor="accent5" w:fill="a02b93" w:themeFill="accent5"/>
        <w:tcBorders/>
      </w:tcPr>
    </w:tblStylePr>
    <w:tblStylePr w:type="firstRow">
      <w:rPr>
        <w:rFonts w:ascii="Arial" w:hAnsi="Arial"/>
        <w:color w:val="f2f2f2"/>
        <w:sz w:val="22"/>
      </w:rPr>
      <w:pPr>
        <w:pBdr/>
        <w:spacing/>
        <w:ind/>
      </w:pPr>
      <w:tblPr>
        <w:tblBorders/>
      </w:tblPr>
      <w:tcPr>
        <w:shd w:val="clear" w:color="ffffff" w:themeColor="accent5" w:fill="a02b93" w:themeFill="accent5"/>
        <w:tcBorders/>
      </w:tcPr>
    </w:tblStylePr>
    <w:tblStylePr w:type="lastCol">
      <w:rPr>
        <w:rFonts w:ascii="Arial" w:hAnsi="Arial"/>
        <w:color w:val="f2f2f2"/>
        <w:sz w:val="22"/>
      </w:rPr>
      <w:pPr>
        <w:pBdr/>
        <w:spacing/>
        <w:ind/>
      </w:pPr>
      <w:tblPr>
        <w:tblBorders/>
      </w:tblPr>
      <w:tcPr>
        <w:shd w:val="clear" w:color="ffffff" w:themeColor="accent5" w:fill="a02b93" w:themeFill="accent5"/>
        <w:tcBorders/>
      </w:tcPr>
    </w:tblStylePr>
    <w:tblStylePr w:type="lastRow">
      <w:rPr>
        <w:rFonts w:ascii="Arial" w:hAnsi="Arial"/>
        <w:color w:val="f2f2f2"/>
        <w:sz w:val="22"/>
      </w:rPr>
      <w:pPr>
        <w:pBdr/>
        <w:spacing/>
        <w:ind/>
      </w:pPr>
      <w:tblPr>
        <w:tblBorders/>
      </w:tblPr>
      <w:tcPr>
        <w:shd w:val="clear" w:color="ffffff" w:themeColor="accent5" w:fill="a02b93"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Bordered &amp; Lined - Accent 6"/>
    <w:basedOn w:val="873"/>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d9f2d0"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d9f2d0" w:themeFill="accent6" w:themeFillTint="34"/>
        <w:tcBorders/>
      </w:tcPr>
    </w:tblStylePr>
    <w:tblStylePr w:type="firstCol">
      <w:rPr>
        <w:rFonts w:ascii="Arial" w:hAnsi="Arial"/>
        <w:color w:val="f2f2f2"/>
        <w:sz w:val="22"/>
      </w:rPr>
      <w:pPr>
        <w:pBdr/>
        <w:spacing/>
        <w:ind/>
      </w:pPr>
      <w:tblPr>
        <w:tblBorders/>
      </w:tblPr>
      <w:tcPr>
        <w:shd w:val="clear" w:color="ffffff" w:themeColor="accent6" w:fill="4ea72e" w:themeFill="accent6"/>
        <w:tcBorders/>
      </w:tcPr>
    </w:tblStylePr>
    <w:tblStylePr w:type="firstRow">
      <w:rPr>
        <w:rFonts w:ascii="Arial" w:hAnsi="Arial"/>
        <w:color w:val="f2f2f2"/>
        <w:sz w:val="22"/>
      </w:rPr>
      <w:pPr>
        <w:pBdr/>
        <w:spacing/>
        <w:ind/>
      </w:pPr>
      <w:tblPr>
        <w:tblBorders/>
      </w:tblPr>
      <w:tcPr>
        <w:shd w:val="clear" w:color="ffffff" w:themeColor="accent6" w:fill="4ea72e" w:themeFill="accent6"/>
        <w:tcBorders/>
      </w:tcPr>
    </w:tblStylePr>
    <w:tblStylePr w:type="lastCol">
      <w:rPr>
        <w:rFonts w:ascii="Arial" w:hAnsi="Arial"/>
        <w:color w:val="f2f2f2"/>
        <w:sz w:val="22"/>
      </w:rPr>
      <w:pPr>
        <w:pBdr/>
        <w:spacing/>
        <w:ind/>
      </w:pPr>
      <w:tblPr>
        <w:tblBorders/>
      </w:tblPr>
      <w:tcPr>
        <w:shd w:val="clear" w:color="ffffff" w:themeColor="accent6" w:fill="4ea72e" w:themeFill="accent6"/>
        <w:tcBorders/>
      </w:tcPr>
    </w:tblStylePr>
    <w:tblStylePr w:type="lastRow">
      <w:rPr>
        <w:rFonts w:ascii="Arial" w:hAnsi="Arial"/>
        <w:color w:val="f2f2f2"/>
        <w:sz w:val="22"/>
      </w:rPr>
      <w:pPr>
        <w:pBdr/>
        <w:spacing/>
        <w:ind/>
      </w:pPr>
      <w:tblPr>
        <w:tblBorders/>
      </w:tblPr>
      <w:tcPr>
        <w:shd w:val="clear" w:color="ffffff" w:themeColor="accent6" w:fill="4ea72e"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Bordered"/>
    <w:basedOn w:val="873"/>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Bordered - Accent 1"/>
    <w:basedOn w:val="87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Bordered - Accent 2"/>
    <w:basedOn w:val="87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Bordered - Accent 3"/>
    <w:basedOn w:val="87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Bordered - Accent 4"/>
    <w:basedOn w:val="87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Bordered - Accent 5"/>
    <w:basedOn w:val="87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Bordered - Accent 6"/>
    <w:basedOn w:val="87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32">
    <w:name w:val="Heading 1 Char"/>
    <w:basedOn w:val="872"/>
    <w:link w:val="863"/>
    <w:uiPriority w:val="9"/>
    <w:pPr>
      <w:pBdr/>
      <w:spacing/>
      <w:ind/>
    </w:pPr>
    <w:rPr>
      <w:rFonts w:ascii="Arial" w:hAnsi="Arial" w:eastAsia="Arial" w:cs="Arial"/>
      <w:color w:val="0f4761" w:themeColor="accent1" w:themeShade="BF"/>
      <w:sz w:val="40"/>
      <w:szCs w:val="40"/>
    </w:rPr>
  </w:style>
  <w:style w:type="character" w:styleId="833">
    <w:name w:val="Heading 2 Char"/>
    <w:basedOn w:val="872"/>
    <w:link w:val="864"/>
    <w:uiPriority w:val="9"/>
    <w:pPr>
      <w:pBdr/>
      <w:spacing/>
      <w:ind/>
    </w:pPr>
    <w:rPr>
      <w:rFonts w:ascii="Arial" w:hAnsi="Arial" w:eastAsia="Arial" w:cs="Arial"/>
      <w:color w:val="0f4761" w:themeColor="accent1" w:themeShade="BF"/>
      <w:sz w:val="32"/>
      <w:szCs w:val="32"/>
    </w:rPr>
  </w:style>
  <w:style w:type="character" w:styleId="834">
    <w:name w:val="Heading 3 Char"/>
    <w:basedOn w:val="872"/>
    <w:link w:val="865"/>
    <w:uiPriority w:val="9"/>
    <w:pPr>
      <w:pBdr/>
      <w:spacing/>
      <w:ind/>
    </w:pPr>
    <w:rPr>
      <w:rFonts w:ascii="Arial" w:hAnsi="Arial" w:eastAsia="Arial" w:cs="Arial"/>
      <w:color w:val="0f4761" w:themeColor="accent1" w:themeShade="BF"/>
      <w:sz w:val="28"/>
      <w:szCs w:val="28"/>
    </w:rPr>
  </w:style>
  <w:style w:type="character" w:styleId="835">
    <w:name w:val="Heading 4 Char"/>
    <w:basedOn w:val="872"/>
    <w:link w:val="866"/>
    <w:uiPriority w:val="9"/>
    <w:pPr>
      <w:pBdr/>
      <w:spacing/>
      <w:ind/>
    </w:pPr>
    <w:rPr>
      <w:rFonts w:ascii="Arial" w:hAnsi="Arial" w:eastAsia="Arial" w:cs="Arial"/>
      <w:i/>
      <w:iCs/>
      <w:color w:val="0f4761" w:themeColor="accent1" w:themeShade="BF"/>
    </w:rPr>
  </w:style>
  <w:style w:type="character" w:styleId="836">
    <w:name w:val="Heading 5 Char"/>
    <w:basedOn w:val="872"/>
    <w:link w:val="867"/>
    <w:uiPriority w:val="9"/>
    <w:pPr>
      <w:pBdr/>
      <w:spacing/>
      <w:ind/>
    </w:pPr>
    <w:rPr>
      <w:rFonts w:ascii="Arial" w:hAnsi="Arial" w:eastAsia="Arial" w:cs="Arial"/>
      <w:color w:val="0f4761" w:themeColor="accent1" w:themeShade="BF"/>
    </w:rPr>
  </w:style>
  <w:style w:type="character" w:styleId="837">
    <w:name w:val="Heading 6 Char"/>
    <w:basedOn w:val="872"/>
    <w:link w:val="868"/>
    <w:uiPriority w:val="9"/>
    <w:pPr>
      <w:pBdr/>
      <w:spacing/>
      <w:ind/>
    </w:pPr>
    <w:rPr>
      <w:rFonts w:ascii="Arial" w:hAnsi="Arial" w:eastAsia="Arial" w:cs="Arial"/>
      <w:i/>
      <w:iCs/>
      <w:color w:val="595959" w:themeColor="text1" w:themeTint="A6"/>
    </w:rPr>
  </w:style>
  <w:style w:type="character" w:styleId="838">
    <w:name w:val="Heading 7 Char"/>
    <w:basedOn w:val="872"/>
    <w:link w:val="869"/>
    <w:uiPriority w:val="9"/>
    <w:pPr>
      <w:pBdr/>
      <w:spacing/>
      <w:ind/>
    </w:pPr>
    <w:rPr>
      <w:rFonts w:ascii="Arial" w:hAnsi="Arial" w:eastAsia="Arial" w:cs="Arial"/>
      <w:color w:val="595959" w:themeColor="text1" w:themeTint="A6"/>
    </w:rPr>
  </w:style>
  <w:style w:type="character" w:styleId="839">
    <w:name w:val="Heading 8 Char"/>
    <w:basedOn w:val="872"/>
    <w:link w:val="870"/>
    <w:uiPriority w:val="9"/>
    <w:pPr>
      <w:pBdr/>
      <w:spacing/>
      <w:ind/>
    </w:pPr>
    <w:rPr>
      <w:rFonts w:ascii="Arial" w:hAnsi="Arial" w:eastAsia="Arial" w:cs="Arial"/>
      <w:i/>
      <w:iCs/>
      <w:color w:val="272727" w:themeColor="text1" w:themeTint="D8"/>
    </w:rPr>
  </w:style>
  <w:style w:type="character" w:styleId="840">
    <w:name w:val="Heading 9 Char"/>
    <w:basedOn w:val="872"/>
    <w:link w:val="871"/>
    <w:uiPriority w:val="9"/>
    <w:pPr>
      <w:pBdr/>
      <w:spacing/>
      <w:ind/>
    </w:pPr>
    <w:rPr>
      <w:rFonts w:ascii="Arial" w:hAnsi="Arial" w:eastAsia="Arial" w:cs="Arial"/>
      <w:i/>
      <w:iCs/>
      <w:color w:val="272727" w:themeColor="text1" w:themeTint="D8"/>
    </w:rPr>
  </w:style>
  <w:style w:type="character" w:styleId="841">
    <w:name w:val="Title Char"/>
    <w:basedOn w:val="872"/>
    <w:link w:val="884"/>
    <w:uiPriority w:val="10"/>
    <w:pPr>
      <w:pBdr/>
      <w:spacing/>
      <w:ind/>
    </w:pPr>
    <w:rPr>
      <w:rFonts w:ascii="Arial" w:hAnsi="Arial" w:eastAsia="Arial" w:cs="Arial"/>
      <w:spacing w:val="-10"/>
      <w:sz w:val="56"/>
      <w:szCs w:val="56"/>
    </w:rPr>
  </w:style>
  <w:style w:type="character" w:styleId="842">
    <w:name w:val="Subtitle Char"/>
    <w:basedOn w:val="872"/>
    <w:link w:val="886"/>
    <w:uiPriority w:val="11"/>
    <w:pPr>
      <w:pBdr/>
      <w:spacing/>
      <w:ind/>
    </w:pPr>
    <w:rPr>
      <w:color w:val="595959" w:themeColor="text1" w:themeTint="A6"/>
      <w:spacing w:val="15"/>
      <w:sz w:val="28"/>
      <w:szCs w:val="28"/>
    </w:rPr>
  </w:style>
  <w:style w:type="character" w:styleId="843">
    <w:name w:val="Quote Char"/>
    <w:basedOn w:val="872"/>
    <w:link w:val="888"/>
    <w:uiPriority w:val="29"/>
    <w:pPr>
      <w:pBdr/>
      <w:spacing/>
      <w:ind/>
    </w:pPr>
    <w:rPr>
      <w:i/>
      <w:iCs/>
      <w:color w:val="404040" w:themeColor="text1" w:themeTint="BF"/>
    </w:rPr>
  </w:style>
  <w:style w:type="character" w:styleId="844">
    <w:name w:val="Intense Quote Char"/>
    <w:basedOn w:val="872"/>
    <w:link w:val="892"/>
    <w:uiPriority w:val="30"/>
    <w:pPr>
      <w:pBdr/>
      <w:spacing/>
      <w:ind/>
    </w:pPr>
    <w:rPr>
      <w:i/>
      <w:iCs/>
      <w:color w:val="0f4761" w:themeColor="accent1" w:themeShade="BF"/>
    </w:rPr>
  </w:style>
  <w:style w:type="character" w:styleId="845">
    <w:name w:val="Subtle Emphasis"/>
    <w:basedOn w:val="872"/>
    <w:uiPriority w:val="19"/>
    <w:qFormat/>
    <w:pPr>
      <w:pBdr/>
      <w:spacing/>
      <w:ind/>
    </w:pPr>
    <w:rPr>
      <w:i/>
      <w:iCs/>
      <w:color w:val="404040" w:themeColor="text1" w:themeTint="BF"/>
    </w:rPr>
  </w:style>
  <w:style w:type="character" w:styleId="846">
    <w:name w:val="Emphasis"/>
    <w:basedOn w:val="872"/>
    <w:uiPriority w:val="20"/>
    <w:qFormat/>
    <w:pPr>
      <w:pBdr/>
      <w:spacing/>
      <w:ind/>
    </w:pPr>
    <w:rPr>
      <w:i/>
      <w:iCs/>
    </w:rPr>
  </w:style>
  <w:style w:type="character" w:styleId="847">
    <w:name w:val="Strong"/>
    <w:basedOn w:val="872"/>
    <w:uiPriority w:val="22"/>
    <w:qFormat/>
    <w:pPr>
      <w:pBdr/>
      <w:spacing/>
      <w:ind/>
    </w:pPr>
    <w:rPr>
      <w:b/>
      <w:bCs/>
    </w:rPr>
  </w:style>
  <w:style w:type="character" w:styleId="848">
    <w:name w:val="Subtle Reference"/>
    <w:basedOn w:val="872"/>
    <w:uiPriority w:val="31"/>
    <w:qFormat/>
    <w:pPr>
      <w:pBdr/>
      <w:spacing/>
      <w:ind/>
    </w:pPr>
    <w:rPr>
      <w:smallCaps/>
      <w:color w:val="5a5a5a" w:themeColor="text1" w:themeTint="A5"/>
    </w:rPr>
  </w:style>
  <w:style w:type="character" w:styleId="849">
    <w:name w:val="Book Title"/>
    <w:basedOn w:val="872"/>
    <w:uiPriority w:val="33"/>
    <w:qFormat/>
    <w:pPr>
      <w:pBdr/>
      <w:spacing/>
      <w:ind/>
    </w:pPr>
    <w:rPr>
      <w:b/>
      <w:bCs/>
      <w:i/>
      <w:iCs/>
      <w:spacing w:val="5"/>
    </w:rPr>
  </w:style>
  <w:style w:type="character" w:styleId="850">
    <w:name w:val="Header Char"/>
    <w:basedOn w:val="872"/>
    <w:link w:val="914"/>
    <w:uiPriority w:val="99"/>
    <w:pPr>
      <w:pBdr/>
      <w:spacing/>
      <w:ind/>
    </w:pPr>
  </w:style>
  <w:style w:type="character" w:styleId="851">
    <w:name w:val="Footer Char"/>
    <w:basedOn w:val="872"/>
    <w:link w:val="916"/>
    <w:uiPriority w:val="99"/>
    <w:pPr>
      <w:pBdr/>
      <w:spacing/>
      <w:ind/>
    </w:pPr>
  </w:style>
  <w:style w:type="paragraph" w:styleId="852">
    <w:name w:val="Caption"/>
    <w:basedOn w:val="862"/>
    <w:next w:val="862"/>
    <w:uiPriority w:val="35"/>
    <w:unhideWhenUsed/>
    <w:qFormat/>
    <w:pPr>
      <w:pBdr/>
      <w:spacing w:after="200" w:line="240" w:lineRule="auto"/>
      <w:ind/>
    </w:pPr>
    <w:rPr>
      <w:i/>
      <w:iCs/>
      <w:color w:val="0e2841" w:themeColor="text2"/>
      <w:sz w:val="18"/>
      <w:szCs w:val="18"/>
    </w:rPr>
  </w:style>
  <w:style w:type="paragraph" w:styleId="853">
    <w:name w:val="footnote text"/>
    <w:basedOn w:val="862"/>
    <w:link w:val="854"/>
    <w:uiPriority w:val="99"/>
    <w:semiHidden/>
    <w:unhideWhenUsed/>
    <w:pPr>
      <w:pBdr/>
      <w:spacing w:after="0" w:line="240" w:lineRule="auto"/>
      <w:ind/>
    </w:pPr>
    <w:rPr>
      <w:sz w:val="20"/>
      <w:szCs w:val="20"/>
    </w:rPr>
  </w:style>
  <w:style w:type="character" w:styleId="854">
    <w:name w:val="Footnote Text Char"/>
    <w:basedOn w:val="872"/>
    <w:link w:val="853"/>
    <w:uiPriority w:val="99"/>
    <w:semiHidden/>
    <w:pPr>
      <w:pBdr/>
      <w:spacing/>
      <w:ind/>
    </w:pPr>
    <w:rPr>
      <w:sz w:val="20"/>
      <w:szCs w:val="20"/>
    </w:rPr>
  </w:style>
  <w:style w:type="character" w:styleId="855">
    <w:name w:val="footnote reference"/>
    <w:basedOn w:val="872"/>
    <w:uiPriority w:val="99"/>
    <w:semiHidden/>
    <w:unhideWhenUsed/>
    <w:pPr>
      <w:pBdr/>
      <w:spacing/>
      <w:ind/>
    </w:pPr>
    <w:rPr>
      <w:vertAlign w:val="superscript"/>
    </w:rPr>
  </w:style>
  <w:style w:type="paragraph" w:styleId="856">
    <w:name w:val="endnote text"/>
    <w:basedOn w:val="862"/>
    <w:link w:val="857"/>
    <w:uiPriority w:val="99"/>
    <w:semiHidden/>
    <w:unhideWhenUsed/>
    <w:pPr>
      <w:pBdr/>
      <w:spacing w:after="0" w:line="240" w:lineRule="auto"/>
      <w:ind/>
    </w:pPr>
    <w:rPr>
      <w:sz w:val="20"/>
      <w:szCs w:val="20"/>
    </w:rPr>
  </w:style>
  <w:style w:type="character" w:styleId="857">
    <w:name w:val="Endnote Text Char"/>
    <w:basedOn w:val="872"/>
    <w:link w:val="856"/>
    <w:uiPriority w:val="99"/>
    <w:semiHidden/>
    <w:pPr>
      <w:pBdr/>
      <w:spacing/>
      <w:ind/>
    </w:pPr>
    <w:rPr>
      <w:sz w:val="20"/>
      <w:szCs w:val="20"/>
    </w:rPr>
  </w:style>
  <w:style w:type="character" w:styleId="858">
    <w:name w:val="endnote reference"/>
    <w:basedOn w:val="872"/>
    <w:uiPriority w:val="99"/>
    <w:semiHidden/>
    <w:unhideWhenUsed/>
    <w:pPr>
      <w:pBdr/>
      <w:spacing/>
      <w:ind/>
    </w:pPr>
    <w:rPr>
      <w:vertAlign w:val="superscript"/>
    </w:rPr>
  </w:style>
  <w:style w:type="character" w:styleId="859">
    <w:name w:val="FollowedHyperlink"/>
    <w:basedOn w:val="872"/>
    <w:uiPriority w:val="99"/>
    <w:semiHidden/>
    <w:unhideWhenUsed/>
    <w:pPr>
      <w:pBdr/>
      <w:spacing/>
      <w:ind/>
    </w:pPr>
    <w:rPr>
      <w:color w:val="954f72" w:themeColor="followedHyperlink"/>
      <w:u w:val="single"/>
    </w:rPr>
  </w:style>
  <w:style w:type="character" w:styleId="860">
    <w:name w:val="Placeholder Text"/>
    <w:basedOn w:val="872"/>
    <w:uiPriority w:val="99"/>
    <w:semiHidden/>
    <w:pPr>
      <w:pBdr/>
      <w:spacing/>
      <w:ind/>
    </w:pPr>
    <w:rPr>
      <w:color w:val="666666"/>
    </w:rPr>
  </w:style>
  <w:style w:type="paragraph" w:styleId="861">
    <w:name w:val="table of figures"/>
    <w:basedOn w:val="862"/>
    <w:next w:val="862"/>
    <w:uiPriority w:val="99"/>
    <w:unhideWhenUsed/>
    <w:pPr>
      <w:pBdr/>
      <w:spacing w:after="0" w:afterAutospacing="0"/>
      <w:ind/>
    </w:pPr>
  </w:style>
  <w:style w:type="paragraph" w:styleId="862" w:default="1">
    <w:name w:val="Normal"/>
    <w:qFormat/>
    <w:pPr>
      <w:pBdr/>
      <w:spacing/>
      <w:ind/>
    </w:pPr>
  </w:style>
  <w:style w:type="paragraph" w:styleId="863">
    <w:name w:val="Heading 1"/>
    <w:basedOn w:val="862"/>
    <w:next w:val="862"/>
    <w:link w:val="875"/>
    <w:uiPriority w:val="9"/>
    <w:qFormat/>
    <w:pPr>
      <w:keepNext w:val="true"/>
      <w:keepLines w:val="true"/>
      <w:pBdr/>
      <w:spacing w:after="80" w:before="360"/>
      <w:ind/>
      <w:outlineLvl w:val="0"/>
    </w:pPr>
    <w:rPr>
      <w:rFonts w:asciiTheme="majorHAnsi" w:hAnsiTheme="majorHAnsi" w:eastAsiaTheme="majorEastAsia" w:cstheme="majorBidi"/>
      <w:color w:val="0f4761" w:themeColor="accent1" w:themeShade="BF"/>
      <w:sz w:val="40"/>
      <w:szCs w:val="40"/>
    </w:rPr>
  </w:style>
  <w:style w:type="paragraph" w:styleId="864">
    <w:name w:val="Heading 2"/>
    <w:basedOn w:val="862"/>
    <w:next w:val="862"/>
    <w:link w:val="876"/>
    <w:uiPriority w:val="9"/>
    <w:semiHidden/>
    <w:unhideWhenUsed/>
    <w:qFormat/>
    <w:pPr>
      <w:keepNext w:val="true"/>
      <w:keepLines w:val="true"/>
      <w:pBdr/>
      <w:spacing w:after="80" w:before="160"/>
      <w:ind/>
      <w:outlineLvl w:val="1"/>
    </w:pPr>
    <w:rPr>
      <w:rFonts w:asciiTheme="majorHAnsi" w:hAnsiTheme="majorHAnsi" w:eastAsiaTheme="majorEastAsia" w:cstheme="majorBidi"/>
      <w:color w:val="0f4761" w:themeColor="accent1" w:themeShade="BF"/>
      <w:sz w:val="32"/>
      <w:szCs w:val="32"/>
    </w:rPr>
  </w:style>
  <w:style w:type="paragraph" w:styleId="865">
    <w:name w:val="Heading 3"/>
    <w:basedOn w:val="862"/>
    <w:next w:val="862"/>
    <w:link w:val="877"/>
    <w:uiPriority w:val="9"/>
    <w:semiHidden/>
    <w:unhideWhenUsed/>
    <w:qFormat/>
    <w:pPr>
      <w:keepNext w:val="true"/>
      <w:keepLines w:val="true"/>
      <w:pBdr/>
      <w:spacing w:after="80" w:before="160"/>
      <w:ind/>
      <w:outlineLvl w:val="2"/>
    </w:pPr>
    <w:rPr>
      <w:rFonts w:eastAsiaTheme="majorEastAsia" w:cstheme="majorBidi"/>
      <w:color w:val="0f4761" w:themeColor="accent1" w:themeShade="BF"/>
      <w:sz w:val="28"/>
      <w:szCs w:val="28"/>
    </w:rPr>
  </w:style>
  <w:style w:type="paragraph" w:styleId="866">
    <w:name w:val="Heading 4"/>
    <w:basedOn w:val="862"/>
    <w:next w:val="862"/>
    <w:link w:val="878"/>
    <w:uiPriority w:val="9"/>
    <w:semiHidden/>
    <w:unhideWhenUsed/>
    <w:qFormat/>
    <w:pPr>
      <w:keepNext w:val="true"/>
      <w:keepLines w:val="true"/>
      <w:pBdr/>
      <w:spacing w:after="40" w:before="80"/>
      <w:ind/>
      <w:outlineLvl w:val="3"/>
    </w:pPr>
    <w:rPr>
      <w:rFonts w:eastAsiaTheme="majorEastAsia" w:cstheme="majorBidi"/>
      <w:i/>
      <w:iCs/>
      <w:color w:val="0f4761" w:themeColor="accent1" w:themeShade="BF"/>
    </w:rPr>
  </w:style>
  <w:style w:type="paragraph" w:styleId="867">
    <w:name w:val="Heading 5"/>
    <w:basedOn w:val="862"/>
    <w:next w:val="862"/>
    <w:link w:val="879"/>
    <w:uiPriority w:val="9"/>
    <w:semiHidden/>
    <w:unhideWhenUsed/>
    <w:qFormat/>
    <w:pPr>
      <w:keepNext w:val="true"/>
      <w:keepLines w:val="true"/>
      <w:pBdr/>
      <w:spacing w:after="40" w:before="80"/>
      <w:ind/>
      <w:outlineLvl w:val="4"/>
    </w:pPr>
    <w:rPr>
      <w:rFonts w:eastAsiaTheme="majorEastAsia" w:cstheme="majorBidi"/>
      <w:color w:val="0f4761" w:themeColor="accent1" w:themeShade="BF"/>
    </w:rPr>
  </w:style>
  <w:style w:type="paragraph" w:styleId="868">
    <w:name w:val="Heading 6"/>
    <w:basedOn w:val="862"/>
    <w:next w:val="862"/>
    <w:link w:val="880"/>
    <w:uiPriority w:val="9"/>
    <w:semiHidden/>
    <w:unhideWhenUsed/>
    <w:qFormat/>
    <w:pPr>
      <w:keepNext w:val="true"/>
      <w:keepLines w:val="true"/>
      <w:pBdr/>
      <w:spacing w:after="0" w:before="40"/>
      <w:ind/>
      <w:outlineLvl w:val="5"/>
    </w:pPr>
    <w:rPr>
      <w:rFonts w:eastAsiaTheme="majorEastAsia" w:cstheme="majorBidi"/>
      <w:i/>
      <w:iCs/>
      <w:color w:val="595959" w:themeColor="text1" w:themeTint="A6"/>
    </w:rPr>
  </w:style>
  <w:style w:type="paragraph" w:styleId="869">
    <w:name w:val="Heading 7"/>
    <w:basedOn w:val="862"/>
    <w:next w:val="862"/>
    <w:link w:val="881"/>
    <w:uiPriority w:val="9"/>
    <w:semiHidden/>
    <w:unhideWhenUsed/>
    <w:qFormat/>
    <w:pPr>
      <w:keepNext w:val="true"/>
      <w:keepLines w:val="true"/>
      <w:pBdr/>
      <w:spacing w:after="0" w:before="40"/>
      <w:ind/>
      <w:outlineLvl w:val="6"/>
    </w:pPr>
    <w:rPr>
      <w:rFonts w:eastAsiaTheme="majorEastAsia" w:cstheme="majorBidi"/>
      <w:color w:val="595959" w:themeColor="text1" w:themeTint="A6"/>
    </w:rPr>
  </w:style>
  <w:style w:type="paragraph" w:styleId="870">
    <w:name w:val="Heading 8"/>
    <w:basedOn w:val="862"/>
    <w:next w:val="862"/>
    <w:link w:val="882"/>
    <w:uiPriority w:val="9"/>
    <w:semiHidden/>
    <w:unhideWhenUsed/>
    <w:qFormat/>
    <w:pPr>
      <w:keepNext w:val="true"/>
      <w:keepLines w:val="true"/>
      <w:pBdr/>
      <w:spacing w:after="0"/>
      <w:ind/>
      <w:outlineLvl w:val="7"/>
    </w:pPr>
    <w:rPr>
      <w:rFonts w:eastAsiaTheme="majorEastAsia" w:cstheme="majorBidi"/>
      <w:i/>
      <w:iCs/>
      <w:color w:val="272727" w:themeColor="text1" w:themeTint="D8"/>
    </w:rPr>
  </w:style>
  <w:style w:type="paragraph" w:styleId="871">
    <w:name w:val="Heading 9"/>
    <w:basedOn w:val="862"/>
    <w:next w:val="862"/>
    <w:link w:val="883"/>
    <w:uiPriority w:val="9"/>
    <w:semiHidden/>
    <w:unhideWhenUsed/>
    <w:qFormat/>
    <w:pPr>
      <w:keepNext w:val="true"/>
      <w:keepLines w:val="true"/>
      <w:pBdr/>
      <w:spacing w:after="0"/>
      <w:ind/>
      <w:outlineLvl w:val="8"/>
    </w:pPr>
    <w:rPr>
      <w:rFonts w:eastAsiaTheme="majorEastAsia" w:cstheme="majorBidi"/>
      <w:color w:val="272727" w:themeColor="text1" w:themeTint="D8"/>
    </w:rPr>
  </w:style>
  <w:style w:type="character" w:styleId="872" w:default="1">
    <w:name w:val="Default Paragraph Font"/>
    <w:uiPriority w:val="1"/>
    <w:semiHidden/>
    <w:unhideWhenUsed/>
    <w:pPr>
      <w:pBdr/>
      <w:spacing/>
      <w:ind/>
    </w:pPr>
  </w:style>
  <w:style w:type="table" w:styleId="873"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74" w:default="1">
    <w:name w:val="No List"/>
    <w:uiPriority w:val="99"/>
    <w:semiHidden/>
    <w:unhideWhenUsed/>
    <w:pPr>
      <w:pBdr/>
      <w:spacing/>
      <w:ind/>
    </w:pPr>
  </w:style>
  <w:style w:type="character" w:styleId="875" w:customStyle="1">
    <w:name w:val="Titre 1 Car"/>
    <w:basedOn w:val="872"/>
    <w:link w:val="863"/>
    <w:uiPriority w:val="9"/>
    <w:pPr>
      <w:pBdr/>
      <w:spacing/>
      <w:ind/>
    </w:pPr>
    <w:rPr>
      <w:rFonts w:asciiTheme="majorHAnsi" w:hAnsiTheme="majorHAnsi" w:eastAsiaTheme="majorEastAsia" w:cstheme="majorBidi"/>
      <w:color w:val="0f4761" w:themeColor="accent1" w:themeShade="BF"/>
      <w:sz w:val="40"/>
      <w:szCs w:val="40"/>
    </w:rPr>
  </w:style>
  <w:style w:type="character" w:styleId="876" w:customStyle="1">
    <w:name w:val="Titre 2 Car"/>
    <w:basedOn w:val="872"/>
    <w:link w:val="864"/>
    <w:uiPriority w:val="9"/>
    <w:semiHidden/>
    <w:pPr>
      <w:pBdr/>
      <w:spacing/>
      <w:ind/>
    </w:pPr>
    <w:rPr>
      <w:rFonts w:asciiTheme="majorHAnsi" w:hAnsiTheme="majorHAnsi" w:eastAsiaTheme="majorEastAsia" w:cstheme="majorBidi"/>
      <w:color w:val="0f4761" w:themeColor="accent1" w:themeShade="BF"/>
      <w:sz w:val="32"/>
      <w:szCs w:val="32"/>
    </w:rPr>
  </w:style>
  <w:style w:type="character" w:styleId="877" w:customStyle="1">
    <w:name w:val="Titre 3 Car"/>
    <w:basedOn w:val="872"/>
    <w:link w:val="865"/>
    <w:uiPriority w:val="9"/>
    <w:semiHidden/>
    <w:pPr>
      <w:pBdr/>
      <w:spacing/>
      <w:ind/>
    </w:pPr>
    <w:rPr>
      <w:rFonts w:eastAsiaTheme="majorEastAsia" w:cstheme="majorBidi"/>
      <w:color w:val="0f4761" w:themeColor="accent1" w:themeShade="BF"/>
      <w:sz w:val="28"/>
      <w:szCs w:val="28"/>
    </w:rPr>
  </w:style>
  <w:style w:type="character" w:styleId="878" w:customStyle="1">
    <w:name w:val="Titre 4 Car"/>
    <w:basedOn w:val="872"/>
    <w:link w:val="866"/>
    <w:uiPriority w:val="9"/>
    <w:semiHidden/>
    <w:pPr>
      <w:pBdr/>
      <w:spacing/>
      <w:ind/>
    </w:pPr>
    <w:rPr>
      <w:rFonts w:eastAsiaTheme="majorEastAsia" w:cstheme="majorBidi"/>
      <w:i/>
      <w:iCs/>
      <w:color w:val="0f4761" w:themeColor="accent1" w:themeShade="BF"/>
    </w:rPr>
  </w:style>
  <w:style w:type="character" w:styleId="879" w:customStyle="1">
    <w:name w:val="Titre 5 Car"/>
    <w:basedOn w:val="872"/>
    <w:link w:val="867"/>
    <w:uiPriority w:val="9"/>
    <w:semiHidden/>
    <w:pPr>
      <w:pBdr/>
      <w:spacing/>
      <w:ind/>
    </w:pPr>
    <w:rPr>
      <w:rFonts w:eastAsiaTheme="majorEastAsia" w:cstheme="majorBidi"/>
      <w:color w:val="0f4761" w:themeColor="accent1" w:themeShade="BF"/>
    </w:rPr>
  </w:style>
  <w:style w:type="character" w:styleId="880" w:customStyle="1">
    <w:name w:val="Titre 6 Car"/>
    <w:basedOn w:val="872"/>
    <w:link w:val="868"/>
    <w:uiPriority w:val="9"/>
    <w:semiHidden/>
    <w:pPr>
      <w:pBdr/>
      <w:spacing/>
      <w:ind/>
    </w:pPr>
    <w:rPr>
      <w:rFonts w:eastAsiaTheme="majorEastAsia" w:cstheme="majorBidi"/>
      <w:i/>
      <w:iCs/>
      <w:color w:val="595959" w:themeColor="text1" w:themeTint="A6"/>
    </w:rPr>
  </w:style>
  <w:style w:type="character" w:styleId="881" w:customStyle="1">
    <w:name w:val="Titre 7 Car"/>
    <w:basedOn w:val="872"/>
    <w:link w:val="869"/>
    <w:uiPriority w:val="9"/>
    <w:semiHidden/>
    <w:pPr>
      <w:pBdr/>
      <w:spacing/>
      <w:ind/>
    </w:pPr>
    <w:rPr>
      <w:rFonts w:eastAsiaTheme="majorEastAsia" w:cstheme="majorBidi"/>
      <w:color w:val="595959" w:themeColor="text1" w:themeTint="A6"/>
    </w:rPr>
  </w:style>
  <w:style w:type="character" w:styleId="882" w:customStyle="1">
    <w:name w:val="Titre 8 Car"/>
    <w:basedOn w:val="872"/>
    <w:link w:val="870"/>
    <w:uiPriority w:val="9"/>
    <w:semiHidden/>
    <w:pPr>
      <w:pBdr/>
      <w:spacing/>
      <w:ind/>
    </w:pPr>
    <w:rPr>
      <w:rFonts w:eastAsiaTheme="majorEastAsia" w:cstheme="majorBidi"/>
      <w:i/>
      <w:iCs/>
      <w:color w:val="272727" w:themeColor="text1" w:themeTint="D8"/>
    </w:rPr>
  </w:style>
  <w:style w:type="character" w:styleId="883" w:customStyle="1">
    <w:name w:val="Titre 9 Car"/>
    <w:basedOn w:val="872"/>
    <w:link w:val="871"/>
    <w:uiPriority w:val="9"/>
    <w:semiHidden/>
    <w:pPr>
      <w:pBdr/>
      <w:spacing/>
      <w:ind/>
    </w:pPr>
    <w:rPr>
      <w:rFonts w:eastAsiaTheme="majorEastAsia" w:cstheme="majorBidi"/>
      <w:color w:val="272727" w:themeColor="text1" w:themeTint="D8"/>
    </w:rPr>
  </w:style>
  <w:style w:type="paragraph" w:styleId="884">
    <w:name w:val="Title"/>
    <w:basedOn w:val="862"/>
    <w:next w:val="862"/>
    <w:link w:val="885"/>
    <w:uiPriority w:val="10"/>
    <w:qFormat/>
    <w:pPr>
      <w:pBdr/>
      <w:spacing w:after="80" w:line="240" w:lineRule="auto"/>
      <w:ind/>
      <w:contextualSpacing w:val="true"/>
    </w:pPr>
    <w:rPr>
      <w:rFonts w:asciiTheme="majorHAnsi" w:hAnsiTheme="majorHAnsi" w:eastAsiaTheme="majorEastAsia" w:cstheme="majorBidi"/>
      <w:spacing w:val="-10"/>
      <w:sz w:val="56"/>
      <w:szCs w:val="56"/>
    </w:rPr>
  </w:style>
  <w:style w:type="character" w:styleId="885" w:customStyle="1">
    <w:name w:val="Titre Car"/>
    <w:basedOn w:val="872"/>
    <w:link w:val="884"/>
    <w:uiPriority w:val="10"/>
    <w:pPr>
      <w:pBdr/>
      <w:spacing/>
      <w:ind/>
    </w:pPr>
    <w:rPr>
      <w:rFonts w:asciiTheme="majorHAnsi" w:hAnsiTheme="majorHAnsi" w:eastAsiaTheme="majorEastAsia" w:cstheme="majorBidi"/>
      <w:spacing w:val="-10"/>
      <w:sz w:val="56"/>
      <w:szCs w:val="56"/>
    </w:rPr>
  </w:style>
  <w:style w:type="paragraph" w:styleId="886">
    <w:name w:val="Subtitle"/>
    <w:basedOn w:val="862"/>
    <w:next w:val="862"/>
    <w:link w:val="887"/>
    <w:uiPriority w:val="11"/>
    <w:qFormat/>
    <w:pPr>
      <w:numPr>
        <w:ilvl w:val="1"/>
      </w:numPr>
      <w:pBdr/>
      <w:spacing/>
      <w:ind/>
    </w:pPr>
    <w:rPr>
      <w:rFonts w:eastAsiaTheme="majorEastAsia" w:cstheme="majorBidi"/>
      <w:color w:val="595959" w:themeColor="text1" w:themeTint="A6"/>
      <w:spacing w:val="15"/>
      <w:sz w:val="28"/>
      <w:szCs w:val="28"/>
    </w:rPr>
  </w:style>
  <w:style w:type="character" w:styleId="887" w:customStyle="1">
    <w:name w:val="Sous-titre Car"/>
    <w:basedOn w:val="872"/>
    <w:link w:val="886"/>
    <w:uiPriority w:val="11"/>
    <w:pPr>
      <w:pBdr/>
      <w:spacing/>
      <w:ind/>
    </w:pPr>
    <w:rPr>
      <w:rFonts w:eastAsiaTheme="majorEastAsia" w:cstheme="majorBidi"/>
      <w:color w:val="595959" w:themeColor="text1" w:themeTint="A6"/>
      <w:spacing w:val="15"/>
      <w:sz w:val="28"/>
      <w:szCs w:val="28"/>
    </w:rPr>
  </w:style>
  <w:style w:type="paragraph" w:styleId="888">
    <w:name w:val="Quote"/>
    <w:basedOn w:val="862"/>
    <w:next w:val="862"/>
    <w:link w:val="889"/>
    <w:uiPriority w:val="29"/>
    <w:qFormat/>
    <w:pPr>
      <w:pBdr/>
      <w:spacing w:before="160"/>
      <w:ind/>
      <w:jc w:val="center"/>
    </w:pPr>
    <w:rPr>
      <w:i/>
      <w:iCs/>
      <w:color w:val="404040" w:themeColor="text1" w:themeTint="BF"/>
    </w:rPr>
  </w:style>
  <w:style w:type="character" w:styleId="889" w:customStyle="1">
    <w:name w:val="Citation Car"/>
    <w:basedOn w:val="872"/>
    <w:link w:val="888"/>
    <w:uiPriority w:val="29"/>
    <w:pPr>
      <w:pBdr/>
      <w:spacing/>
      <w:ind/>
    </w:pPr>
    <w:rPr>
      <w:i/>
      <w:iCs/>
      <w:color w:val="404040" w:themeColor="text1" w:themeTint="BF"/>
    </w:rPr>
  </w:style>
  <w:style w:type="paragraph" w:styleId="890">
    <w:name w:val="List Paragraph"/>
    <w:basedOn w:val="862"/>
    <w:uiPriority w:val="34"/>
    <w:qFormat/>
    <w:pPr>
      <w:pBdr/>
      <w:spacing/>
      <w:ind w:left="720"/>
      <w:contextualSpacing w:val="true"/>
    </w:pPr>
  </w:style>
  <w:style w:type="character" w:styleId="891">
    <w:name w:val="Intense Emphasis"/>
    <w:basedOn w:val="872"/>
    <w:uiPriority w:val="21"/>
    <w:qFormat/>
    <w:pPr>
      <w:pBdr/>
      <w:spacing/>
      <w:ind/>
    </w:pPr>
    <w:rPr>
      <w:i/>
      <w:iCs/>
      <w:color w:val="0f4761" w:themeColor="accent1" w:themeShade="BF"/>
    </w:rPr>
  </w:style>
  <w:style w:type="paragraph" w:styleId="892">
    <w:name w:val="Intense Quote"/>
    <w:basedOn w:val="862"/>
    <w:next w:val="862"/>
    <w:link w:val="893"/>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93" w:customStyle="1">
    <w:name w:val="Citation intense Car"/>
    <w:basedOn w:val="872"/>
    <w:link w:val="892"/>
    <w:uiPriority w:val="30"/>
    <w:pPr>
      <w:pBdr/>
      <w:spacing/>
      <w:ind/>
    </w:pPr>
    <w:rPr>
      <w:i/>
      <w:iCs/>
      <w:color w:val="0f4761" w:themeColor="accent1" w:themeShade="BF"/>
    </w:rPr>
  </w:style>
  <w:style w:type="character" w:styleId="894">
    <w:name w:val="Intense Reference"/>
    <w:basedOn w:val="872"/>
    <w:uiPriority w:val="32"/>
    <w:qFormat/>
    <w:pPr>
      <w:pBdr/>
      <w:spacing/>
      <w:ind/>
    </w:pPr>
    <w:rPr>
      <w:b/>
      <w:bCs/>
      <w:smallCaps/>
      <w:color w:val="0f4761" w:themeColor="accent1" w:themeShade="BF"/>
      <w:spacing w:val="5"/>
    </w:rPr>
  </w:style>
  <w:style w:type="paragraph" w:styleId="895">
    <w:name w:val="No Spacing"/>
    <w:uiPriority w:val="1"/>
    <w:qFormat/>
    <w:pPr>
      <w:pBdr/>
      <w:spacing w:after="0" w:line="240" w:lineRule="auto"/>
      <w:ind/>
    </w:pPr>
  </w:style>
  <w:style w:type="character" w:styleId="896">
    <w:name w:val="annotation reference"/>
    <w:basedOn w:val="872"/>
    <w:uiPriority w:val="99"/>
    <w:semiHidden/>
    <w:unhideWhenUsed/>
    <w:pPr>
      <w:pBdr/>
      <w:spacing/>
      <w:ind/>
    </w:pPr>
    <w:rPr>
      <w:sz w:val="16"/>
      <w:szCs w:val="16"/>
    </w:rPr>
  </w:style>
  <w:style w:type="paragraph" w:styleId="897">
    <w:name w:val="annotation text"/>
    <w:basedOn w:val="862"/>
    <w:link w:val="898"/>
    <w:uiPriority w:val="99"/>
    <w:unhideWhenUsed/>
    <w:pPr>
      <w:pBdr/>
      <w:spacing w:line="240" w:lineRule="auto"/>
      <w:ind/>
    </w:pPr>
    <w:rPr>
      <w:sz w:val="20"/>
      <w:szCs w:val="20"/>
    </w:rPr>
  </w:style>
  <w:style w:type="character" w:styleId="898" w:customStyle="1">
    <w:name w:val="Commentaire Car"/>
    <w:basedOn w:val="872"/>
    <w:link w:val="897"/>
    <w:uiPriority w:val="99"/>
    <w:pPr>
      <w:pBdr/>
      <w:spacing/>
      <w:ind/>
    </w:pPr>
    <w:rPr>
      <w:sz w:val="20"/>
      <w:szCs w:val="20"/>
    </w:rPr>
  </w:style>
  <w:style w:type="paragraph" w:styleId="899">
    <w:name w:val="annotation subject"/>
    <w:basedOn w:val="897"/>
    <w:next w:val="897"/>
    <w:link w:val="900"/>
    <w:uiPriority w:val="99"/>
    <w:semiHidden/>
    <w:unhideWhenUsed/>
    <w:pPr>
      <w:pBdr/>
      <w:spacing/>
      <w:ind/>
    </w:pPr>
    <w:rPr>
      <w:b/>
      <w:bCs/>
    </w:rPr>
  </w:style>
  <w:style w:type="character" w:styleId="900" w:customStyle="1">
    <w:name w:val="Objet du commentaire Car"/>
    <w:basedOn w:val="898"/>
    <w:link w:val="899"/>
    <w:uiPriority w:val="99"/>
    <w:semiHidden/>
    <w:pPr>
      <w:pBdr/>
      <w:spacing/>
      <w:ind/>
    </w:pPr>
    <w:rPr>
      <w:b/>
      <w:bCs/>
      <w:sz w:val="20"/>
      <w:szCs w:val="20"/>
    </w:rPr>
  </w:style>
  <w:style w:type="paragraph" w:styleId="901">
    <w:name w:val="Revision"/>
    <w:hidden/>
    <w:uiPriority w:val="99"/>
    <w:semiHidden/>
    <w:pPr>
      <w:pBdr/>
      <w:spacing w:after="0" w:line="240" w:lineRule="auto"/>
      <w:ind/>
    </w:pPr>
  </w:style>
  <w:style w:type="table" w:styleId="902">
    <w:name w:val="Table Grid"/>
    <w:basedOn w:val="873"/>
    <w:uiPriority w:val="39"/>
    <w:pPr>
      <w:pBdr/>
      <w:spacing w:after="0" w:line="240" w:lineRule="auto"/>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903">
    <w:name w:val="toc 1"/>
    <w:basedOn w:val="862"/>
    <w:next w:val="862"/>
    <w:uiPriority w:val="39"/>
    <w:unhideWhenUsed/>
    <w:pPr>
      <w:pBdr/>
      <w:spacing w:after="120" w:before="120"/>
      <w:ind/>
    </w:pPr>
    <w:rPr>
      <w:b/>
      <w:bCs/>
      <w:caps/>
      <w:sz w:val="20"/>
      <w:szCs w:val="20"/>
    </w:rPr>
  </w:style>
  <w:style w:type="paragraph" w:styleId="904">
    <w:name w:val="toc 2"/>
    <w:basedOn w:val="862"/>
    <w:next w:val="862"/>
    <w:uiPriority w:val="39"/>
    <w:unhideWhenUsed/>
    <w:pPr>
      <w:pBdr/>
      <w:spacing w:after="0"/>
      <w:ind w:left="220"/>
    </w:pPr>
    <w:rPr>
      <w:smallCaps/>
      <w:sz w:val="20"/>
      <w:szCs w:val="20"/>
    </w:rPr>
  </w:style>
  <w:style w:type="paragraph" w:styleId="905">
    <w:name w:val="toc 3"/>
    <w:basedOn w:val="862"/>
    <w:next w:val="862"/>
    <w:uiPriority w:val="39"/>
    <w:unhideWhenUsed/>
    <w:pPr>
      <w:pBdr/>
      <w:spacing w:after="0"/>
      <w:ind w:left="440"/>
    </w:pPr>
    <w:rPr>
      <w:i/>
      <w:iCs/>
      <w:sz w:val="20"/>
      <w:szCs w:val="20"/>
    </w:rPr>
  </w:style>
  <w:style w:type="paragraph" w:styleId="906">
    <w:name w:val="toc 4"/>
    <w:basedOn w:val="862"/>
    <w:next w:val="862"/>
    <w:uiPriority w:val="39"/>
    <w:unhideWhenUsed/>
    <w:pPr>
      <w:pBdr/>
      <w:spacing w:after="0"/>
      <w:ind w:left="660"/>
    </w:pPr>
    <w:rPr>
      <w:sz w:val="18"/>
      <w:szCs w:val="18"/>
    </w:rPr>
  </w:style>
  <w:style w:type="paragraph" w:styleId="907">
    <w:name w:val="toc 5"/>
    <w:basedOn w:val="862"/>
    <w:next w:val="862"/>
    <w:uiPriority w:val="39"/>
    <w:unhideWhenUsed/>
    <w:pPr>
      <w:pBdr/>
      <w:spacing w:after="0"/>
      <w:ind w:left="880"/>
    </w:pPr>
    <w:rPr>
      <w:sz w:val="18"/>
      <w:szCs w:val="18"/>
    </w:rPr>
  </w:style>
  <w:style w:type="paragraph" w:styleId="908">
    <w:name w:val="toc 6"/>
    <w:basedOn w:val="862"/>
    <w:next w:val="862"/>
    <w:uiPriority w:val="39"/>
    <w:unhideWhenUsed/>
    <w:pPr>
      <w:pBdr/>
      <w:spacing w:after="0"/>
      <w:ind w:left="1100"/>
    </w:pPr>
    <w:rPr>
      <w:sz w:val="18"/>
      <w:szCs w:val="18"/>
    </w:rPr>
  </w:style>
  <w:style w:type="paragraph" w:styleId="909">
    <w:name w:val="toc 7"/>
    <w:basedOn w:val="862"/>
    <w:next w:val="862"/>
    <w:uiPriority w:val="39"/>
    <w:unhideWhenUsed/>
    <w:pPr>
      <w:pBdr/>
      <w:spacing w:after="0"/>
      <w:ind w:left="1320"/>
    </w:pPr>
    <w:rPr>
      <w:sz w:val="18"/>
      <w:szCs w:val="18"/>
    </w:rPr>
  </w:style>
  <w:style w:type="paragraph" w:styleId="910">
    <w:name w:val="toc 8"/>
    <w:basedOn w:val="862"/>
    <w:next w:val="862"/>
    <w:uiPriority w:val="39"/>
    <w:unhideWhenUsed/>
    <w:pPr>
      <w:pBdr/>
      <w:spacing w:after="0"/>
      <w:ind w:left="1540"/>
    </w:pPr>
    <w:rPr>
      <w:sz w:val="18"/>
      <w:szCs w:val="18"/>
    </w:rPr>
  </w:style>
  <w:style w:type="paragraph" w:styleId="911">
    <w:name w:val="toc 9"/>
    <w:basedOn w:val="862"/>
    <w:next w:val="862"/>
    <w:uiPriority w:val="39"/>
    <w:unhideWhenUsed/>
    <w:pPr>
      <w:pBdr/>
      <w:spacing w:after="0"/>
      <w:ind w:left="1760"/>
    </w:pPr>
    <w:rPr>
      <w:sz w:val="18"/>
      <w:szCs w:val="18"/>
    </w:rPr>
  </w:style>
  <w:style w:type="paragraph" w:styleId="912">
    <w:name w:val="TOC Heading"/>
    <w:basedOn w:val="863"/>
    <w:next w:val="862"/>
    <w:uiPriority w:val="39"/>
    <w:unhideWhenUsed/>
    <w:qFormat/>
    <w:pPr>
      <w:pBdr/>
      <w:spacing w:after="0" w:before="240"/>
      <w:ind/>
      <w:outlineLvl w:val="9"/>
    </w:pPr>
    <w:rPr>
      <w:sz w:val="32"/>
      <w:szCs w:val="32"/>
      <w:lang w:eastAsia="fr-FR"/>
      <w14:ligatures w14:val="none"/>
    </w:rPr>
  </w:style>
  <w:style w:type="character" w:styleId="913">
    <w:name w:val="Hyperlink"/>
    <w:basedOn w:val="872"/>
    <w:uiPriority w:val="99"/>
    <w:unhideWhenUsed/>
    <w:pPr>
      <w:pBdr/>
      <w:spacing/>
      <w:ind/>
    </w:pPr>
    <w:rPr>
      <w:color w:val="467886" w:themeColor="hyperlink"/>
      <w:u w:val="single"/>
    </w:rPr>
  </w:style>
  <w:style w:type="paragraph" w:styleId="914">
    <w:name w:val="Header"/>
    <w:basedOn w:val="862"/>
    <w:link w:val="915"/>
    <w:uiPriority w:val="99"/>
    <w:unhideWhenUsed/>
    <w:pPr>
      <w:pBdr/>
      <w:tabs>
        <w:tab w:val="center" w:leader="none" w:pos="4536"/>
        <w:tab w:val="right" w:leader="none" w:pos="9072"/>
      </w:tabs>
      <w:spacing w:after="0" w:line="240" w:lineRule="auto"/>
      <w:ind/>
    </w:pPr>
  </w:style>
  <w:style w:type="character" w:styleId="915" w:customStyle="1">
    <w:name w:val="En-tête Car"/>
    <w:basedOn w:val="872"/>
    <w:link w:val="914"/>
    <w:uiPriority w:val="99"/>
    <w:pPr>
      <w:pBdr/>
      <w:spacing/>
      <w:ind/>
    </w:pPr>
  </w:style>
  <w:style w:type="paragraph" w:styleId="916">
    <w:name w:val="Footer"/>
    <w:basedOn w:val="862"/>
    <w:link w:val="917"/>
    <w:uiPriority w:val="99"/>
    <w:unhideWhenUsed/>
    <w:pPr>
      <w:pBdr/>
      <w:tabs>
        <w:tab w:val="center" w:leader="none" w:pos="4536"/>
        <w:tab w:val="right" w:leader="none" w:pos="9072"/>
      </w:tabs>
      <w:spacing w:after="0" w:line="240" w:lineRule="auto"/>
      <w:ind/>
    </w:pPr>
  </w:style>
  <w:style w:type="character" w:styleId="917" w:customStyle="1">
    <w:name w:val="Pied de page Car"/>
    <w:basedOn w:val="872"/>
    <w:link w:val="916"/>
    <w:uiPriority w:val="99"/>
    <w:pPr>
      <w:pBdr/>
      <w:spacing/>
      <w:ind/>
    </w:pPr>
  </w:style>
  <w:style w:type="character" w:styleId="918">
    <w:name w:val="Unresolved Mention"/>
    <w:basedOn w:val="872"/>
    <w:uiPriority w:val="99"/>
    <w:semiHidden/>
    <w:unhideWhenUsed/>
    <w:pPr>
      <w:pBdr/>
      <w:spacing/>
      <w:ind/>
    </w:pPr>
    <w:rPr>
      <w:color w:val="605e5c"/>
      <w:shd w:val="clear" w:color="auto" w:fill="e1dfdd"/>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Arial"/>
        <a:cs typeface="Arial"/>
      </a:majorFont>
      <a:minorFont>
        <a:latin typeface="Aptos"/>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b7006-a4ad-47c1-b2cc-e7597ca4e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Application>ONLYOFFICE/9.3.0.140</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SORIN Anna</dc:creator>
  <cp:keywords/>
  <dc:description/>
  <cp:revision>16</cp:revision>
  <dcterms:created xsi:type="dcterms:W3CDTF">2026-02-26T13:48:00Z</dcterms:created>
  <dcterms:modified xsi:type="dcterms:W3CDTF">2026-03-20T11:24:40Z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Identifier">
    <vt:lpwstr>b4e05459-07d3-4e9f-af05-f3704eb389f5</vt:lpwstr>
  </property>
</Properties>
</file>