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pacing w:before="0" w:after="0"/>
        <w:contextualSpacing/>
        <w:jc w:val="center"/>
        <w:outlineLvl w:val="0"/>
        <w:rPr>
          <w:rFonts w:cs="Calibri"/>
          <w:b/>
          <w:sz w:val="28"/>
          <w:szCs w:val="28"/>
        </w:rPr>
      </w:pPr>
      <w:r>
        <w:rPr>
          <w:rFonts w:cs="Calibri"/>
          <w:b/>
          <w:sz w:val="28"/>
          <w:szCs w:val="28"/>
        </w:rPr>
        <w:t xml:space="preserve">ACCORD 2026 RELATIF </w:t>
      </w:r>
    </w:p>
    <w:p>
      <w:pPr>
        <w:pStyle w:val="Normal"/>
        <w:numPr>
          <w:ilvl w:val="0"/>
          <w:numId w:val="0"/>
        </w:numPr>
        <w:spacing w:before="0" w:after="0"/>
        <w:contextualSpacing/>
        <w:jc w:val="center"/>
        <w:outlineLvl w:val="0"/>
        <w:rPr>
          <w:rFonts w:cs="Calibri"/>
          <w:b/>
          <w:sz w:val="28"/>
          <w:szCs w:val="28"/>
        </w:rPr>
      </w:pPr>
      <w:r>
        <w:rPr>
          <w:rFonts w:cs="Calibri"/>
          <w:b/>
          <w:sz w:val="28"/>
          <w:szCs w:val="28"/>
        </w:rPr>
        <w:t>AU DISPOSITIF DE COMPLEMENT DE REMUNERATION</w:t>
      </w:r>
    </w:p>
    <w:p>
      <w:pPr>
        <w:pStyle w:val="Normal"/>
        <w:numPr>
          <w:ilvl w:val="0"/>
          <w:numId w:val="0"/>
        </w:numPr>
        <w:spacing w:before="0" w:after="0"/>
        <w:contextualSpacing/>
        <w:jc w:val="center"/>
        <w:outlineLvl w:val="0"/>
        <w:rPr>
          <w:rFonts w:cs="Calibri"/>
          <w:b/>
          <w:sz w:val="28"/>
          <w:szCs w:val="28"/>
        </w:rPr>
      </w:pPr>
      <w:r>
        <w:rPr>
          <w:rFonts w:cs="Calibri"/>
          <w:b/>
          <w:sz w:val="28"/>
          <w:szCs w:val="28"/>
        </w:rPr>
        <w:t>LIE A LA PERFORMANCE ECONOMIQUE</w:t>
      </w:r>
    </w:p>
    <w:p>
      <w:pPr>
        <w:pStyle w:val="Paragraphedeliste"/>
        <w:spacing w:before="0" w:after="0"/>
        <w:contextualSpacing/>
        <w:jc w:val="both"/>
        <w:rPr>
          <w:rFonts w:cs="Calibri"/>
          <w:b/>
          <w:sz w:val="28"/>
          <w:szCs w:val="28"/>
        </w:rPr>
      </w:pPr>
      <w:r>
        <w:rPr>
          <w:rFonts w:cs="Calibri"/>
          <w:b/>
          <w:sz w:val="28"/>
          <w:szCs w:val="28"/>
        </w:rPr>
      </w:r>
    </w:p>
    <w:p>
      <w:pPr>
        <w:pStyle w:val="Normal"/>
        <w:spacing w:before="0" w:after="0"/>
        <w:contextualSpacing/>
        <w:jc w:val="both"/>
        <w:rPr>
          <w:rFonts w:cs="Calibri"/>
          <w:b/>
          <w:sz w:val="20"/>
          <w:szCs w:val="20"/>
        </w:rPr>
      </w:pPr>
      <w:r>
        <w:rPr>
          <w:rFonts w:cs="Calibri"/>
          <w:b/>
          <w:sz w:val="20"/>
          <w:szCs w:val="20"/>
        </w:rPr>
      </w:r>
    </w:p>
    <w:p>
      <w:pPr>
        <w:pStyle w:val="Normal"/>
        <w:spacing w:before="0" w:after="200"/>
        <w:contextualSpacing/>
        <w:jc w:val="both"/>
        <w:rPr>
          <w:rFonts w:cs="Calibri"/>
          <w:b/>
          <w:sz w:val="20"/>
          <w:szCs w:val="20"/>
        </w:rPr>
      </w:pPr>
      <w:r>
        <w:rPr>
          <w:rFonts w:cs="Calibri"/>
          <w:b/>
          <w:sz w:val="20"/>
          <w:szCs w:val="20"/>
        </w:rPr>
        <w:t>PREAMBULE</w:t>
      </w:r>
    </w:p>
    <w:p>
      <w:pPr>
        <w:pStyle w:val="Normal"/>
        <w:spacing w:before="0" w:after="200"/>
        <w:contextualSpacing/>
        <w:jc w:val="both"/>
        <w:rPr>
          <w:rFonts w:cs="Calibri"/>
          <w:b/>
          <w:sz w:val="20"/>
          <w:szCs w:val="20"/>
        </w:rPr>
      </w:pPr>
      <w:r>
        <w:rPr>
          <w:rFonts w:cs="Calibri"/>
          <w:b/>
          <w:sz w:val="20"/>
          <w:szCs w:val="20"/>
        </w:rPr>
      </w:r>
    </w:p>
    <w:p>
      <w:pPr>
        <w:pStyle w:val="Normal"/>
        <w:spacing w:before="0" w:after="200"/>
        <w:contextualSpacing/>
        <w:jc w:val="both"/>
        <w:rPr/>
      </w:pPr>
      <w:r>
        <w:rPr>
          <w:rFonts w:cs="Calibri"/>
          <w:sz w:val="20"/>
          <w:szCs w:val="20"/>
        </w:rPr>
        <w:t xml:space="preserve">Le présent accord a pour objectif de poursuivre, pour une durée déterminée, le système de complément de rémunération Miléade lié à la performance économique de l’entreprise. Pour rappel, l’objectif est de récompenser les salariés qui s’investissent dans la durée. A travers ce dispositif, les salariés bénéficiaires percevront une prime. Ce complément de revenu constitue un élément de reconnaissance et de motivation supplémentaire. </w:t>
      </w:r>
    </w:p>
    <w:p>
      <w:pPr>
        <w:pStyle w:val="Normal"/>
        <w:spacing w:before="0" w:after="200"/>
        <w:contextualSpacing/>
        <w:jc w:val="both"/>
        <w:rPr>
          <w:rFonts w:cs="Calibri"/>
          <w:sz w:val="20"/>
          <w:szCs w:val="20"/>
        </w:rPr>
      </w:pPr>
      <w:r>
        <w:rPr>
          <w:rFonts w:cs="Calibri"/>
          <w:sz w:val="20"/>
          <w:szCs w:val="20"/>
        </w:rPr>
      </w:r>
    </w:p>
    <w:p>
      <w:pPr>
        <w:pStyle w:val="Normal"/>
        <w:numPr>
          <w:ilvl w:val="0"/>
          <w:numId w:val="1"/>
        </w:numPr>
        <w:spacing w:before="0" w:after="200"/>
        <w:ind w:hanging="284" w:left="284" w:right="0"/>
        <w:contextualSpacing/>
        <w:jc w:val="both"/>
        <w:rPr>
          <w:rFonts w:cs="Calibri"/>
          <w:b/>
          <w:sz w:val="20"/>
          <w:szCs w:val="20"/>
        </w:rPr>
      </w:pPr>
      <w:r>
        <w:rPr>
          <w:rFonts w:cs="Calibri"/>
          <w:b/>
          <w:sz w:val="20"/>
          <w:szCs w:val="20"/>
        </w:rPr>
        <w:t>LES PRINCIPES</w:t>
      </w:r>
    </w:p>
    <w:p>
      <w:pPr>
        <w:pStyle w:val="Normal"/>
        <w:spacing w:before="0" w:after="200"/>
        <w:ind w:left="284" w:right="0"/>
        <w:contextualSpacing/>
        <w:jc w:val="both"/>
        <w:rPr>
          <w:rFonts w:cs="Calibri"/>
          <w:b/>
          <w:sz w:val="20"/>
          <w:szCs w:val="20"/>
        </w:rPr>
      </w:pPr>
      <w:r>
        <w:rPr>
          <w:rFonts w:cs="Calibri"/>
          <w:b/>
          <w:sz w:val="20"/>
          <w:szCs w:val="20"/>
        </w:rPr>
      </w:r>
    </w:p>
    <w:p>
      <w:pPr>
        <w:pStyle w:val="Normal"/>
        <w:tabs>
          <w:tab w:val="clear" w:pos="720"/>
          <w:tab w:val="left" w:pos="0" w:leader="none"/>
        </w:tabs>
        <w:spacing w:before="0" w:after="200"/>
        <w:contextualSpacing/>
        <w:jc w:val="both"/>
        <w:rPr/>
      </w:pPr>
      <w:r>
        <w:rPr>
          <w:rFonts w:cs="Calibri"/>
          <w:sz w:val="20"/>
          <w:szCs w:val="20"/>
        </w:rPr>
        <w:t xml:space="preserve">Les principes restent les mêmes, à savoir :  </w:t>
      </w:r>
    </w:p>
    <w:p>
      <w:pPr>
        <w:pStyle w:val="Normal"/>
        <w:tabs>
          <w:tab w:val="clear" w:pos="720"/>
          <w:tab w:val="left" w:pos="0" w:leader="none"/>
        </w:tabs>
        <w:spacing w:before="0" w:after="200"/>
        <w:contextualSpacing/>
        <w:jc w:val="both"/>
        <w:rPr>
          <w:rFonts w:cs="Calibri"/>
          <w:sz w:val="20"/>
          <w:szCs w:val="20"/>
        </w:rPr>
      </w:pPr>
      <w:r>
        <w:rPr>
          <w:rFonts w:cs="Calibri"/>
          <w:sz w:val="20"/>
          <w:szCs w:val="20"/>
        </w:rPr>
      </w:r>
    </w:p>
    <w:p>
      <w:pPr>
        <w:pStyle w:val="Normal"/>
        <w:numPr>
          <w:ilvl w:val="0"/>
          <w:numId w:val="2"/>
        </w:numPr>
        <w:spacing w:lineRule="auto" w:line="240" w:before="0" w:after="0"/>
        <w:ind w:hanging="284" w:left="284" w:right="0"/>
        <w:contextualSpacing/>
        <w:jc w:val="both"/>
        <w:rPr>
          <w:rFonts w:cs="Calibri"/>
          <w:sz w:val="20"/>
          <w:szCs w:val="20"/>
        </w:rPr>
      </w:pPr>
      <w:r>
        <w:rPr>
          <w:rFonts w:cs="Calibri"/>
          <w:sz w:val="20"/>
          <w:szCs w:val="20"/>
        </w:rPr>
        <w:t xml:space="preserve">Caractère facultatif : la mise en place du dispositif n’est pas légalement obligatoire. Il correspond à une démarche propre à l’entreprise permettant d’associer les salariés bénéficiaires aux performances globales et de valoriser leur rémunération. </w:t>
      </w:r>
    </w:p>
    <w:p>
      <w:pPr>
        <w:pStyle w:val="Normal"/>
        <w:spacing w:lineRule="auto" w:line="240" w:before="0" w:after="0"/>
        <w:ind w:left="284" w:right="0"/>
        <w:contextualSpacing/>
        <w:jc w:val="both"/>
        <w:rPr>
          <w:rFonts w:cs="Calibri"/>
          <w:sz w:val="20"/>
          <w:szCs w:val="20"/>
        </w:rPr>
      </w:pPr>
      <w:r>
        <w:rPr>
          <w:rFonts w:cs="Calibri"/>
          <w:sz w:val="20"/>
          <w:szCs w:val="20"/>
        </w:rPr>
      </w:r>
    </w:p>
    <w:p>
      <w:pPr>
        <w:pStyle w:val="Normal"/>
        <w:numPr>
          <w:ilvl w:val="0"/>
          <w:numId w:val="2"/>
        </w:numPr>
        <w:spacing w:lineRule="auto" w:line="240" w:before="0" w:after="0"/>
        <w:ind w:hanging="284" w:left="284" w:right="0"/>
        <w:contextualSpacing/>
        <w:jc w:val="both"/>
        <w:rPr>
          <w:rFonts w:cs="Calibri"/>
          <w:sz w:val="20"/>
          <w:szCs w:val="20"/>
        </w:rPr>
      </w:pPr>
      <w:r>
        <w:rPr>
          <w:rFonts w:cs="Calibri"/>
          <w:sz w:val="20"/>
          <w:szCs w:val="20"/>
        </w:rPr>
        <w:t>Dispositif retenu : un dispositif de prime classique, soumis aux charges sociales pour l’employeur et le salarié, qui vient en complément de la rémunération de base le mois de versement et qui n’entre pas dans la base de calcul des congés payés. Le dispositif sera complété à compter de 2025 par un dispositif de participation dont les modalités seront définies courant 2024 et intégrées par avenant au présent accord.</w:t>
      </w:r>
    </w:p>
    <w:p>
      <w:pPr>
        <w:pStyle w:val="Normal"/>
        <w:spacing w:lineRule="auto" w:line="240" w:before="0" w:after="0"/>
        <w:ind w:left="284" w:right="0"/>
        <w:contextualSpacing/>
        <w:jc w:val="both"/>
        <w:rPr>
          <w:rFonts w:cs="Calibri"/>
          <w:sz w:val="20"/>
          <w:szCs w:val="20"/>
        </w:rPr>
      </w:pPr>
      <w:r>
        <w:rPr>
          <w:rFonts w:cs="Calibri"/>
          <w:sz w:val="20"/>
          <w:szCs w:val="20"/>
        </w:rPr>
      </w:r>
    </w:p>
    <w:p>
      <w:pPr>
        <w:pStyle w:val="Normal"/>
        <w:spacing w:lineRule="auto" w:line="240" w:before="0" w:after="200"/>
        <w:contextualSpacing/>
        <w:jc w:val="both"/>
        <w:rPr>
          <w:rFonts w:cs="Calibri"/>
          <w:sz w:val="20"/>
          <w:szCs w:val="20"/>
        </w:rPr>
      </w:pPr>
      <w:r>
        <w:rPr>
          <w:rFonts w:cs="Calibri"/>
          <w:sz w:val="20"/>
          <w:szCs w:val="20"/>
        </w:rPr>
      </w:r>
    </w:p>
    <w:p>
      <w:pPr>
        <w:pStyle w:val="Normal"/>
        <w:spacing w:lineRule="auto" w:line="240" w:before="0" w:after="200"/>
        <w:contextualSpacing/>
        <w:jc w:val="both"/>
        <w:rPr>
          <w:rFonts w:cs="Calibri"/>
          <w:sz w:val="20"/>
          <w:szCs w:val="20"/>
        </w:rPr>
      </w:pPr>
      <w:r>
        <w:rPr>
          <w:rFonts w:cs="Calibri"/>
          <w:sz w:val="20"/>
          <w:szCs w:val="20"/>
        </w:rPr>
      </w:r>
    </w:p>
    <w:p>
      <w:pPr>
        <w:pStyle w:val="Normal"/>
        <w:numPr>
          <w:ilvl w:val="0"/>
          <w:numId w:val="1"/>
        </w:numPr>
        <w:tabs>
          <w:tab w:val="clear" w:pos="720"/>
          <w:tab w:val="left" w:pos="284" w:leader="none"/>
        </w:tabs>
        <w:spacing w:before="0" w:after="200"/>
        <w:ind w:hanging="284" w:left="284" w:right="0"/>
        <w:contextualSpacing/>
        <w:jc w:val="both"/>
        <w:rPr>
          <w:rFonts w:cs="Calibri"/>
          <w:b/>
          <w:sz w:val="20"/>
          <w:szCs w:val="20"/>
        </w:rPr>
      </w:pPr>
      <w:r>
        <w:rPr>
          <w:rFonts w:cs="Calibri"/>
          <w:b/>
          <w:sz w:val="20"/>
          <w:szCs w:val="20"/>
        </w:rPr>
        <w:t>LE MONTANT DISTRIBUE</w:t>
      </w:r>
    </w:p>
    <w:p>
      <w:pPr>
        <w:pStyle w:val="Normal"/>
        <w:spacing w:before="0" w:after="0"/>
        <w:contextualSpacing/>
        <w:jc w:val="both"/>
        <w:rPr>
          <w:rFonts w:cs="Calibri"/>
          <w:b/>
          <w:sz w:val="20"/>
          <w:szCs w:val="20"/>
        </w:rPr>
      </w:pPr>
      <w:r>
        <w:rPr>
          <w:rFonts w:cs="Calibri"/>
          <w:b/>
          <w:sz w:val="20"/>
          <w:szCs w:val="20"/>
        </w:rPr>
      </w:r>
    </w:p>
    <w:p>
      <w:pPr>
        <w:pStyle w:val="Normal"/>
        <w:spacing w:before="0" w:after="0"/>
        <w:contextualSpacing/>
        <w:jc w:val="both"/>
        <w:rPr>
          <w:rFonts w:cs="Calibri"/>
          <w:sz w:val="20"/>
          <w:szCs w:val="20"/>
        </w:rPr>
      </w:pPr>
      <w:r>
        <w:rPr>
          <w:rFonts w:cs="Calibri"/>
          <w:sz w:val="20"/>
          <w:szCs w:val="20"/>
        </w:rPr>
        <w:t xml:space="preserve">Au titre de l’exercice 2025, un montant de 430 000 euros sera attribué aux bénéficiaires.  </w:t>
      </w:r>
    </w:p>
    <w:p>
      <w:pPr>
        <w:pStyle w:val="Normal"/>
        <w:spacing w:before="0" w:after="0"/>
        <w:contextualSpacing/>
        <w:jc w:val="both"/>
        <w:rPr>
          <w:rFonts w:cs="Calibri"/>
          <w:sz w:val="20"/>
          <w:szCs w:val="20"/>
        </w:rPr>
      </w:pPr>
      <w:r>
        <w:rPr>
          <w:rFonts w:cs="Calibri"/>
          <w:sz w:val="20"/>
          <w:szCs w:val="20"/>
        </w:rPr>
        <w:t xml:space="preserve">Ce montant comprend le montant brut versé aux salariés ainsi que les charges patronales. </w:t>
      </w:r>
    </w:p>
    <w:p>
      <w:pPr>
        <w:pStyle w:val="Normal"/>
        <w:spacing w:before="0" w:after="0"/>
        <w:contextualSpacing/>
        <w:jc w:val="both"/>
        <w:rPr>
          <w:rFonts w:cs="Calibri"/>
          <w:sz w:val="20"/>
          <w:szCs w:val="20"/>
        </w:rPr>
      </w:pPr>
      <w:r>
        <w:rPr>
          <w:rFonts w:cs="Calibri"/>
          <w:sz w:val="20"/>
          <w:szCs w:val="20"/>
        </w:rPr>
      </w:r>
    </w:p>
    <w:p>
      <w:pPr>
        <w:pStyle w:val="Normal"/>
        <w:spacing w:before="0" w:after="200"/>
        <w:ind w:left="567" w:right="0"/>
        <w:contextualSpacing/>
        <w:jc w:val="both"/>
        <w:rPr>
          <w:rFonts w:cs="Calibri"/>
          <w:b/>
          <w:sz w:val="20"/>
          <w:szCs w:val="20"/>
        </w:rPr>
      </w:pPr>
      <w:r>
        <w:rPr>
          <w:rFonts w:cs="Calibri"/>
          <w:b/>
          <w:sz w:val="20"/>
          <w:szCs w:val="20"/>
        </w:rPr>
      </w:r>
    </w:p>
    <w:p>
      <w:pPr>
        <w:pStyle w:val="Normal"/>
        <w:numPr>
          <w:ilvl w:val="0"/>
          <w:numId w:val="5"/>
        </w:numPr>
        <w:spacing w:before="0" w:after="200"/>
        <w:ind w:hanging="284" w:left="284" w:right="0"/>
        <w:contextualSpacing/>
        <w:jc w:val="both"/>
        <w:rPr>
          <w:rFonts w:cs="Calibri"/>
          <w:b/>
          <w:sz w:val="20"/>
          <w:szCs w:val="20"/>
        </w:rPr>
      </w:pPr>
      <w:r>
        <w:rPr>
          <w:rFonts w:cs="Calibri"/>
          <w:b/>
          <w:sz w:val="20"/>
          <w:szCs w:val="20"/>
        </w:rPr>
        <w:t>LES BENEFICIAIRES</w:t>
      </w:r>
    </w:p>
    <w:p>
      <w:pPr>
        <w:pStyle w:val="Normal"/>
        <w:spacing w:before="0" w:after="200"/>
        <w:ind w:left="284" w:right="0"/>
        <w:contextualSpacing/>
        <w:jc w:val="both"/>
        <w:rPr>
          <w:rFonts w:cs="Calibri"/>
          <w:b/>
          <w:sz w:val="20"/>
          <w:szCs w:val="20"/>
        </w:rPr>
      </w:pPr>
      <w:r>
        <w:rPr>
          <w:rFonts w:cs="Calibri"/>
          <w:b/>
          <w:sz w:val="20"/>
          <w:szCs w:val="20"/>
        </w:rPr>
      </w:r>
    </w:p>
    <w:p>
      <w:pPr>
        <w:pStyle w:val="Normal"/>
        <w:spacing w:before="0" w:after="0"/>
        <w:contextualSpacing/>
        <w:jc w:val="both"/>
        <w:rPr>
          <w:rFonts w:cs="Calibri"/>
          <w:sz w:val="20"/>
          <w:szCs w:val="20"/>
        </w:rPr>
      </w:pPr>
      <w:r>
        <w:rPr>
          <w:rFonts w:cs="Calibri"/>
          <w:sz w:val="20"/>
          <w:szCs w:val="20"/>
        </w:rPr>
        <w:t>Les bénéficiaires sont tous les salariés, quels que soient leur type de contrat et leur statut, qui justifient d’au moins 24 mois d’ancienneté au 30 novembre de la période de référence.</w:t>
      </w:r>
    </w:p>
    <w:p>
      <w:pPr>
        <w:pStyle w:val="Normal"/>
        <w:spacing w:before="0" w:after="0"/>
        <w:contextualSpacing/>
        <w:jc w:val="both"/>
        <w:rPr/>
      </w:pPr>
      <w:r>
        <w:rPr>
          <w:rFonts w:cs="Calibri"/>
          <w:sz w:val="20"/>
          <w:szCs w:val="20"/>
        </w:rPr>
        <w:t xml:space="preserve">Les salariés ayant fait l’objet d’un contentieux ou d’une fin de contrat anticipée, d’une démission ou d’une notification de fin de titularisation, au moment du versement de la prime, sont exclus du dispositif, sauf en cas de licenciement pour motif économique.  </w:t>
      </w:r>
    </w:p>
    <w:p>
      <w:pPr>
        <w:pStyle w:val="Normal"/>
        <w:spacing w:before="0" w:after="0"/>
        <w:contextualSpacing/>
        <w:jc w:val="both"/>
        <w:rPr>
          <w:rFonts w:cs="Calibri"/>
          <w:sz w:val="20"/>
          <w:szCs w:val="20"/>
        </w:rPr>
      </w:pPr>
      <w:r>
        <w:rPr>
          <w:rFonts w:cs="Calibri"/>
          <w:sz w:val="20"/>
          <w:szCs w:val="20"/>
        </w:rPr>
      </w:r>
    </w:p>
    <w:p>
      <w:pPr>
        <w:pStyle w:val="Normal"/>
        <w:spacing w:before="0" w:after="0"/>
        <w:contextualSpacing/>
        <w:jc w:val="both"/>
        <w:rPr>
          <w:rFonts w:cs="Calibri"/>
          <w:sz w:val="20"/>
          <w:szCs w:val="20"/>
        </w:rPr>
      </w:pPr>
      <w:r>
        <w:rPr>
          <w:rFonts w:cs="Calibri"/>
          <w:sz w:val="20"/>
          <w:szCs w:val="20"/>
        </w:rPr>
        <w:t xml:space="preserve">L’ancienneté est calculée en fonction du cumul de l’ensemble des contrats. </w:t>
      </w:r>
    </w:p>
    <w:p>
      <w:pPr>
        <w:pStyle w:val="Paragraphedeliste"/>
        <w:tabs>
          <w:tab w:val="clear" w:pos="720"/>
          <w:tab w:val="left" w:pos="284" w:leader="none"/>
        </w:tabs>
        <w:spacing w:before="0" w:after="0"/>
        <w:ind w:left="0" w:right="0"/>
        <w:contextualSpacing/>
        <w:jc w:val="both"/>
        <w:rPr/>
      </w:pPr>
      <w:r>
        <w:rPr>
          <w:rFonts w:cs="Calibri"/>
          <w:sz w:val="20"/>
          <w:szCs w:val="20"/>
        </w:rPr>
        <w:t xml:space="preserve">Par période de référence, on entend l’exercice comptable, soit du 1er décembre 2024 au 30 novembre 2025, de l’année précédente.  </w:t>
      </w:r>
    </w:p>
    <w:p>
      <w:pPr>
        <w:pStyle w:val="Paragraphedeliste"/>
        <w:tabs>
          <w:tab w:val="clear" w:pos="720"/>
          <w:tab w:val="left" w:pos="284" w:leader="none"/>
        </w:tabs>
        <w:spacing w:before="0" w:after="0"/>
        <w:ind w:left="0" w:right="0"/>
        <w:contextualSpacing/>
        <w:jc w:val="both"/>
        <w:rPr>
          <w:rFonts w:cs="Calibri"/>
          <w:sz w:val="20"/>
          <w:szCs w:val="20"/>
        </w:rPr>
      </w:pPr>
      <w:r>
        <w:rPr>
          <w:rFonts w:cs="Calibri"/>
          <w:sz w:val="20"/>
          <w:szCs w:val="20"/>
        </w:rPr>
      </w:r>
      <w:r>
        <w:br w:type="page"/>
      </w:r>
    </w:p>
    <w:p>
      <w:pPr>
        <w:pStyle w:val="Paragraphedeliste"/>
        <w:numPr>
          <w:ilvl w:val="0"/>
          <w:numId w:val="5"/>
        </w:numPr>
        <w:tabs>
          <w:tab w:val="clear" w:pos="720"/>
          <w:tab w:val="left" w:pos="284" w:leader="none"/>
        </w:tabs>
        <w:spacing w:before="0" w:after="0"/>
        <w:ind w:hanging="284" w:left="284" w:right="0"/>
        <w:contextualSpacing/>
        <w:jc w:val="both"/>
        <w:rPr>
          <w:rFonts w:cs="Calibri"/>
          <w:b/>
          <w:sz w:val="20"/>
          <w:szCs w:val="20"/>
        </w:rPr>
      </w:pPr>
      <w:bookmarkStart w:id="0" w:name="_Hlk220941115"/>
      <w:bookmarkEnd w:id="0"/>
      <w:r>
        <w:rPr>
          <w:rFonts w:cs="Calibri"/>
          <w:b/>
          <w:sz w:val="20"/>
          <w:szCs w:val="20"/>
        </w:rPr>
        <w:t>LES MODALITES DE REPARTITION ENTRE LES BENEFICIAIRES</w:t>
      </w:r>
    </w:p>
    <w:p>
      <w:pPr>
        <w:pStyle w:val="Paragraphedeliste"/>
        <w:tabs>
          <w:tab w:val="clear" w:pos="720"/>
          <w:tab w:val="left" w:pos="284" w:leader="none"/>
        </w:tabs>
        <w:spacing w:before="0" w:after="0"/>
        <w:ind w:left="0" w:right="0"/>
        <w:contextualSpacing/>
        <w:jc w:val="both"/>
        <w:rPr>
          <w:rFonts w:cs="Calibri"/>
          <w:b/>
          <w:sz w:val="20"/>
          <w:szCs w:val="20"/>
        </w:rPr>
      </w:pPr>
      <w:r>
        <w:rPr>
          <w:rFonts w:cs="Calibri"/>
          <w:b/>
          <w:sz w:val="20"/>
          <w:szCs w:val="20"/>
        </w:rPr>
      </w:r>
    </w:p>
    <w:p>
      <w:pPr>
        <w:pStyle w:val="Normal"/>
        <w:spacing w:before="0" w:after="0"/>
        <w:contextualSpacing/>
        <w:jc w:val="both"/>
        <w:rPr>
          <w:rFonts w:cs="Calibri"/>
          <w:b/>
          <w:color w:val="FF0000"/>
          <w:sz w:val="20"/>
          <w:szCs w:val="20"/>
        </w:rPr>
      </w:pPr>
      <w:r>
        <w:rPr>
          <w:rFonts w:cs="Calibri"/>
          <w:sz w:val="20"/>
          <w:szCs w:val="20"/>
        </w:rPr>
        <w:t>Les modalités de répartition de l’enveloppe globale restent identiques, à savoir : 50% en fonction du niveau de rémunération brute (salaire de base + ancienneté) et 50% en fonction du temps travaillé sur l’exercice de référence.</w:t>
      </w:r>
    </w:p>
    <w:p>
      <w:pPr>
        <w:pStyle w:val="Normal"/>
        <w:spacing w:before="0" w:after="0"/>
        <w:contextualSpacing/>
        <w:jc w:val="both"/>
        <w:rPr>
          <w:rFonts w:cs="Calibri"/>
          <w:b/>
          <w:color w:val="FF0000"/>
          <w:sz w:val="20"/>
          <w:szCs w:val="20"/>
        </w:rPr>
      </w:pPr>
      <w:r>
        <w:rPr>
          <w:rFonts w:cs="Calibri"/>
          <w:b/>
          <w:color w:val="FF0000"/>
          <w:sz w:val="20"/>
          <w:szCs w:val="20"/>
        </w:rPr>
      </w:r>
    </w:p>
    <w:p>
      <w:pPr>
        <w:pStyle w:val="Normal"/>
        <w:spacing w:before="0" w:after="0"/>
        <w:contextualSpacing/>
        <w:jc w:val="both"/>
        <w:rPr>
          <w:rFonts w:cs="Calibri"/>
          <w:b/>
          <w:color w:val="FF0000"/>
          <w:sz w:val="20"/>
          <w:szCs w:val="20"/>
        </w:rPr>
      </w:pPr>
      <w:r>
        <w:rPr>
          <w:sz w:val="20"/>
          <w:szCs w:val="20"/>
        </w:rPr>
        <w:t>Sont assimilés à des périodes de présence effective :</w:t>
      </w:r>
    </w:p>
    <w:p>
      <w:pPr>
        <w:pStyle w:val="Normal"/>
        <w:numPr>
          <w:ilvl w:val="0"/>
          <w:numId w:val="4"/>
        </w:numPr>
        <w:spacing w:lineRule="auto" w:line="240" w:before="0" w:after="0"/>
        <w:rPr>
          <w:sz w:val="20"/>
          <w:szCs w:val="20"/>
        </w:rPr>
      </w:pPr>
      <w:r>
        <w:rPr>
          <w:sz w:val="20"/>
          <w:szCs w:val="20"/>
        </w:rPr>
        <w:t>les absences pour maladie d’origine non professionnelle dans la limite de 90 jours continus ou non sur la période de référence,</w:t>
      </w:r>
    </w:p>
    <w:p>
      <w:pPr>
        <w:pStyle w:val="Normal"/>
        <w:numPr>
          <w:ilvl w:val="0"/>
          <w:numId w:val="4"/>
        </w:numPr>
        <w:spacing w:lineRule="auto" w:line="240" w:before="0" w:after="0"/>
        <w:rPr>
          <w:sz w:val="20"/>
          <w:szCs w:val="20"/>
        </w:rPr>
      </w:pPr>
      <w:r>
        <w:rPr>
          <w:sz w:val="20"/>
          <w:szCs w:val="20"/>
        </w:rPr>
        <w:t>les absences au titre d’un congés maternité ou paternité</w:t>
      </w:r>
    </w:p>
    <w:p>
      <w:pPr>
        <w:pStyle w:val="Normal"/>
        <w:numPr>
          <w:ilvl w:val="0"/>
          <w:numId w:val="4"/>
        </w:numPr>
        <w:spacing w:lineRule="auto" w:line="240" w:before="0" w:after="0"/>
        <w:rPr>
          <w:sz w:val="20"/>
          <w:szCs w:val="20"/>
        </w:rPr>
      </w:pPr>
      <w:r>
        <w:rPr>
          <w:sz w:val="20"/>
          <w:szCs w:val="20"/>
        </w:rPr>
        <w:t>les absences pour accident du travail ou maladie professionnelle,</w:t>
      </w:r>
    </w:p>
    <w:p>
      <w:pPr>
        <w:pStyle w:val="BodyText"/>
        <w:ind w:left="143" w:right="565"/>
        <w:jc w:val="both"/>
        <w:rPr>
          <w:sz w:val="20"/>
          <w:szCs w:val="20"/>
        </w:rPr>
      </w:pPr>
      <w:r>
        <w:rPr>
          <w:sz w:val="20"/>
          <w:szCs w:val="20"/>
        </w:rPr>
      </w:r>
    </w:p>
    <w:p>
      <w:pPr>
        <w:pStyle w:val="BodyText"/>
        <w:ind w:right="565"/>
        <w:jc w:val="both"/>
        <w:rPr>
          <w:rFonts w:ascii="Calibri" w:hAnsi="Calibri" w:eastAsia="Calibri" w:cs="Times New Roman"/>
        </w:rPr>
      </w:pPr>
      <w:r>
        <w:rPr>
          <w:rFonts w:eastAsia="Calibri" w:cs="Times New Roman" w:ascii="Calibri" w:hAnsi="Calibri"/>
        </w:rPr>
        <w:t>Les absences non assimilées à un temps de présence dans la période de 12 mois prévue ci-dessus entraînent une réduction de 1/365ème par jours d’absence.</w:t>
      </w:r>
    </w:p>
    <w:p>
      <w:pPr>
        <w:pStyle w:val="Normal"/>
        <w:spacing w:before="0" w:after="0"/>
        <w:contextualSpacing/>
        <w:jc w:val="both"/>
        <w:rPr>
          <w:rFonts w:ascii="Calibri" w:hAnsi="Calibri" w:eastAsia="Times New Roman" w:cs="Calibri"/>
          <w:color w:val="FF0000"/>
          <w:sz w:val="20"/>
          <w:szCs w:val="20"/>
        </w:rPr>
      </w:pPr>
      <w:r>
        <w:rPr>
          <w:rFonts w:eastAsia="Times New Roman" w:cs="Calibri"/>
          <w:color w:val="FF0000"/>
          <w:sz w:val="20"/>
          <w:szCs w:val="20"/>
        </w:rPr>
      </w:r>
    </w:p>
    <w:p>
      <w:pPr>
        <w:pStyle w:val="Normal"/>
        <w:spacing w:before="0" w:after="0"/>
        <w:contextualSpacing/>
        <w:jc w:val="both"/>
        <w:rPr>
          <w:rFonts w:eastAsia="Times New Roman" w:cs="Calibri"/>
          <w:color w:val="FF0000"/>
          <w:sz w:val="20"/>
          <w:szCs w:val="20"/>
        </w:rPr>
      </w:pPr>
      <w:r>
        <w:rPr>
          <w:rFonts w:eastAsia="Times New Roman" w:cs="Calibri"/>
          <w:color w:val="FF0000"/>
          <w:sz w:val="20"/>
          <w:szCs w:val="20"/>
        </w:rPr>
      </w:r>
      <w:bookmarkStart w:id="1" w:name="_Hlk220941115"/>
      <w:bookmarkStart w:id="2" w:name="_Hlk220941115"/>
      <w:bookmarkEnd w:id="2"/>
    </w:p>
    <w:p>
      <w:pPr>
        <w:pStyle w:val="Paragraphedeliste"/>
        <w:numPr>
          <w:ilvl w:val="0"/>
          <w:numId w:val="3"/>
        </w:numPr>
        <w:spacing w:before="0" w:after="0"/>
        <w:ind w:hanging="284" w:left="284" w:right="0"/>
        <w:contextualSpacing/>
        <w:jc w:val="both"/>
        <w:rPr>
          <w:rFonts w:cs="Calibri"/>
          <w:b/>
          <w:sz w:val="20"/>
          <w:szCs w:val="20"/>
        </w:rPr>
      </w:pPr>
      <w:r>
        <w:rPr>
          <w:rFonts w:cs="Calibri"/>
          <w:b/>
          <w:sz w:val="20"/>
          <w:szCs w:val="20"/>
        </w:rPr>
        <w:t xml:space="preserve">CALENDRIER DE DECISION ET DE VERSEMENT </w:t>
      </w:r>
    </w:p>
    <w:p>
      <w:pPr>
        <w:pStyle w:val="Paragraphedeliste"/>
        <w:spacing w:before="0" w:after="0"/>
        <w:ind w:left="284" w:right="0"/>
        <w:contextualSpacing/>
        <w:jc w:val="both"/>
        <w:rPr>
          <w:rFonts w:cs="Calibri"/>
          <w:b/>
          <w:sz w:val="20"/>
          <w:szCs w:val="20"/>
        </w:rPr>
      </w:pPr>
      <w:r>
        <w:rPr>
          <w:rFonts w:cs="Calibri"/>
          <w:b/>
          <w:sz w:val="20"/>
          <w:szCs w:val="20"/>
        </w:rPr>
      </w:r>
    </w:p>
    <w:p>
      <w:pPr>
        <w:pStyle w:val="Normal"/>
        <w:spacing w:before="0" w:after="0"/>
        <w:contextualSpacing/>
        <w:jc w:val="both"/>
        <w:rPr/>
      </w:pPr>
      <w:r>
        <w:rPr>
          <w:rFonts w:cs="Calibri"/>
          <w:bCs/>
          <w:sz w:val="20"/>
          <w:szCs w:val="20"/>
        </w:rPr>
        <w:t xml:space="preserve">La prime sera versée en mars 2026 pour les salariés sous contrat au moment du versement et en juin ou au plus tard en Juillet pour les autres salariés bénéficiaires. </w:t>
      </w:r>
    </w:p>
    <w:p>
      <w:pPr>
        <w:pStyle w:val="Normal"/>
        <w:spacing w:before="0" w:after="0"/>
        <w:contextualSpacing/>
        <w:jc w:val="both"/>
        <w:rPr>
          <w:rFonts w:cs="Calibri"/>
          <w:bCs/>
          <w:sz w:val="20"/>
          <w:szCs w:val="20"/>
        </w:rPr>
      </w:pPr>
      <w:r>
        <w:rPr>
          <w:rFonts w:cs="Calibri"/>
          <w:bCs/>
          <w:sz w:val="20"/>
          <w:szCs w:val="20"/>
        </w:rPr>
      </w:r>
    </w:p>
    <w:p>
      <w:pPr>
        <w:pStyle w:val="Paragraphedeliste"/>
        <w:numPr>
          <w:ilvl w:val="0"/>
          <w:numId w:val="3"/>
        </w:numPr>
        <w:spacing w:before="0" w:after="0"/>
        <w:ind w:hanging="284" w:left="284" w:right="0"/>
        <w:contextualSpacing/>
        <w:jc w:val="both"/>
        <w:rPr>
          <w:rFonts w:cs="Calibri"/>
          <w:b/>
          <w:sz w:val="20"/>
          <w:szCs w:val="20"/>
        </w:rPr>
      </w:pPr>
      <w:r>
        <w:rPr>
          <w:rFonts w:cs="Calibri"/>
          <w:b/>
          <w:sz w:val="20"/>
          <w:szCs w:val="20"/>
        </w:rPr>
        <w:t xml:space="preserve">DUREE </w:t>
      </w:r>
    </w:p>
    <w:p>
      <w:pPr>
        <w:pStyle w:val="Paragraphedeliste"/>
        <w:spacing w:before="0" w:after="0"/>
        <w:ind w:left="284" w:right="0"/>
        <w:contextualSpacing/>
        <w:jc w:val="both"/>
        <w:rPr>
          <w:rFonts w:cs="Calibri"/>
          <w:b/>
          <w:sz w:val="20"/>
          <w:szCs w:val="20"/>
        </w:rPr>
      </w:pPr>
      <w:r>
        <w:rPr>
          <w:rFonts w:cs="Calibri"/>
          <w:b/>
          <w:sz w:val="20"/>
          <w:szCs w:val="20"/>
        </w:rPr>
      </w:r>
    </w:p>
    <w:p>
      <w:pPr>
        <w:pStyle w:val="Normal"/>
        <w:spacing w:before="0" w:after="0"/>
        <w:contextualSpacing/>
        <w:jc w:val="both"/>
        <w:rPr/>
      </w:pPr>
      <w:r>
        <w:rPr>
          <w:rFonts w:cs="Calibri"/>
          <w:sz w:val="20"/>
          <w:szCs w:val="20"/>
        </w:rPr>
        <w:t xml:space="preserve">Le présent accord est conclu pour une durée déterminée, prenant effet le 01/12/2024 et ce jusqu’au 31/07/2026 date à laquelle il cessera automatiquement de s’appliquer. Une négociation sera organisée au cours de l’année 2026 avec les organisations syndicales pour se donner de la visibilité sur la période 2026/2028. </w:t>
      </w:r>
    </w:p>
    <w:p>
      <w:pPr>
        <w:pStyle w:val="Normal"/>
        <w:numPr>
          <w:ilvl w:val="0"/>
          <w:numId w:val="0"/>
        </w:numPr>
        <w:spacing w:before="0" w:after="200"/>
        <w:contextualSpacing/>
        <w:jc w:val="both"/>
        <w:outlineLvl w:val="0"/>
        <w:rPr>
          <w:rFonts w:eastAsia="Times New Roman" w:cs="Calibri"/>
          <w:sz w:val="20"/>
          <w:szCs w:val="20"/>
        </w:rPr>
      </w:pPr>
      <w:r>
        <w:rPr>
          <w:rFonts w:eastAsia="Times New Roman" w:cs="Calibri"/>
          <w:sz w:val="20"/>
          <w:szCs w:val="20"/>
        </w:rPr>
      </w:r>
    </w:p>
    <w:p>
      <w:pPr>
        <w:pStyle w:val="Normal"/>
        <w:numPr>
          <w:ilvl w:val="0"/>
          <w:numId w:val="0"/>
        </w:numPr>
        <w:spacing w:before="0" w:after="200"/>
        <w:contextualSpacing/>
        <w:jc w:val="both"/>
        <w:outlineLvl w:val="0"/>
        <w:rPr>
          <w:rFonts w:eastAsia="Times New Roman" w:cs="Calibri"/>
          <w:sz w:val="20"/>
          <w:szCs w:val="20"/>
        </w:rPr>
      </w:pPr>
      <w:r>
        <w:rPr>
          <w:rFonts w:eastAsia="Times New Roman" w:cs="Calibri"/>
          <w:sz w:val="20"/>
          <w:szCs w:val="20"/>
        </w:rPr>
      </w:r>
    </w:p>
    <w:p>
      <w:pPr>
        <w:pStyle w:val="Normal"/>
        <w:numPr>
          <w:ilvl w:val="0"/>
          <w:numId w:val="0"/>
        </w:numPr>
        <w:spacing w:before="0" w:after="200"/>
        <w:contextualSpacing/>
        <w:jc w:val="both"/>
        <w:outlineLvl w:val="0"/>
        <w:rPr>
          <w:rFonts w:eastAsia="Times New Roman" w:cs="Calibri"/>
          <w:sz w:val="20"/>
          <w:szCs w:val="20"/>
        </w:rPr>
      </w:pPr>
      <w:r>
        <w:rPr>
          <w:rFonts w:eastAsia="Times New Roman" w:cs="Calibri"/>
          <w:sz w:val="20"/>
          <w:szCs w:val="20"/>
        </w:rPr>
        <w:t>Fait à Brioude le 02/03/2026</w:t>
      </w:r>
    </w:p>
    <w:p>
      <w:pPr>
        <w:pStyle w:val="Normal"/>
        <w:numPr>
          <w:ilvl w:val="0"/>
          <w:numId w:val="0"/>
        </w:numPr>
        <w:spacing w:before="0" w:after="200"/>
        <w:contextualSpacing/>
        <w:jc w:val="both"/>
        <w:outlineLvl w:val="0"/>
        <w:rPr>
          <w:rFonts w:eastAsia="Times New Roman" w:cs="Calibri"/>
          <w:sz w:val="20"/>
          <w:szCs w:val="20"/>
        </w:rPr>
      </w:pPr>
      <w:r>
        <w:rPr>
          <w:rFonts w:eastAsia="Times New Roman" w:cs="Calibri"/>
          <w:sz w:val="20"/>
          <w:szCs w:val="20"/>
        </w:rPr>
      </w:r>
    </w:p>
    <w:p>
      <w:pPr>
        <w:pStyle w:val="Normal"/>
        <w:spacing w:before="0" w:after="200"/>
        <w:contextualSpacing/>
        <w:jc w:val="both"/>
        <w:rPr>
          <w:rFonts w:eastAsia="Times New Roman" w:cs="Calibri"/>
          <w:sz w:val="20"/>
          <w:szCs w:val="20"/>
        </w:rPr>
      </w:pPr>
      <w:r>
        <w:rPr>
          <w:rFonts w:eastAsia="Times New Roman" w:cs="Calibri"/>
          <w:sz w:val="20"/>
          <w:szCs w:val="20"/>
        </w:rPr>
      </w:r>
    </w:p>
    <w:p>
      <w:pPr>
        <w:pStyle w:val="Normal"/>
        <w:spacing w:before="0" w:after="200"/>
        <w:contextualSpacing/>
        <w:jc w:val="both"/>
        <w:rPr/>
      </w:pPr>
      <w:r>
        <w:rPr>
          <w:rFonts w:cs="Calibri"/>
          <w:sz w:val="20"/>
          <w:szCs w:val="20"/>
        </w:rPr>
        <w:t>M. XXXX, Président, pour la société MILEADE</w:t>
      </w:r>
    </w:p>
    <w:p>
      <w:pPr>
        <w:pStyle w:val="Normal"/>
        <w:spacing w:before="0" w:after="200"/>
        <w:contextualSpacing/>
        <w:jc w:val="both"/>
        <w:rPr>
          <w:rFonts w:cs="Calibri"/>
          <w:sz w:val="20"/>
          <w:szCs w:val="20"/>
        </w:rPr>
      </w:pPr>
      <w:r>
        <w:rPr>
          <w:rFonts w:cs="Calibri"/>
          <w:sz w:val="20"/>
          <w:szCs w:val="20"/>
        </w:rPr>
      </w:r>
    </w:p>
    <w:p>
      <w:pPr>
        <w:pStyle w:val="Normal"/>
        <w:spacing w:before="0" w:after="200"/>
        <w:contextualSpacing/>
        <w:jc w:val="both"/>
        <w:rPr>
          <w:rFonts w:cs="Calibri"/>
          <w:sz w:val="20"/>
          <w:szCs w:val="20"/>
        </w:rPr>
      </w:pPr>
      <w:r>
        <w:rPr>
          <w:rFonts w:cs="Calibri"/>
          <w:sz w:val="20"/>
          <w:szCs w:val="20"/>
        </w:rPr>
      </w:r>
    </w:p>
    <w:p>
      <w:pPr>
        <w:pStyle w:val="Normal"/>
        <w:spacing w:before="0" w:after="200"/>
        <w:contextualSpacing/>
        <w:jc w:val="both"/>
        <w:rPr>
          <w:rFonts w:cs="Calibri"/>
          <w:sz w:val="20"/>
          <w:szCs w:val="20"/>
        </w:rPr>
      </w:pPr>
      <w:r>
        <w:rPr>
          <w:rFonts w:cs="Calibri"/>
          <w:sz w:val="20"/>
          <w:szCs w:val="20"/>
        </w:rPr>
      </w:r>
    </w:p>
    <w:p>
      <w:pPr>
        <w:pStyle w:val="Normal"/>
        <w:spacing w:before="0" w:after="200"/>
        <w:contextualSpacing/>
        <w:jc w:val="both"/>
        <w:rPr>
          <w:rFonts w:cs="Calibri"/>
          <w:sz w:val="20"/>
          <w:szCs w:val="20"/>
        </w:rPr>
      </w:pPr>
      <w:r>
        <w:rPr>
          <w:rFonts w:cs="Calibri"/>
          <w:sz w:val="20"/>
          <w:szCs w:val="20"/>
        </w:rPr>
      </w:r>
    </w:p>
    <w:p>
      <w:pPr>
        <w:pStyle w:val="Normal"/>
        <w:spacing w:before="0" w:after="200"/>
        <w:contextualSpacing/>
        <w:jc w:val="both"/>
        <w:rPr>
          <w:rFonts w:cs="Calibri"/>
          <w:sz w:val="20"/>
          <w:szCs w:val="20"/>
        </w:rPr>
      </w:pPr>
      <w:r>
        <w:rPr>
          <w:rFonts w:cs="Calibri"/>
          <w:sz w:val="20"/>
          <w:szCs w:val="20"/>
        </w:rPr>
      </w:r>
    </w:p>
    <w:p>
      <w:pPr>
        <w:pStyle w:val="Normal"/>
        <w:spacing w:before="0" w:after="200"/>
        <w:contextualSpacing/>
        <w:jc w:val="both"/>
        <w:rPr/>
      </w:pPr>
      <w:r>
        <w:rPr>
          <w:rFonts w:cs="Calibri"/>
          <w:sz w:val="20"/>
          <w:szCs w:val="20"/>
        </w:rPr>
        <w:t>M. XXXX, pour le syndicat FO</w:t>
      </w:r>
    </w:p>
    <w:p>
      <w:pPr>
        <w:pStyle w:val="Normal"/>
        <w:spacing w:before="0" w:after="200"/>
        <w:contextualSpacing/>
        <w:jc w:val="both"/>
        <w:rPr>
          <w:rFonts w:cs="Calibri"/>
          <w:sz w:val="20"/>
          <w:szCs w:val="20"/>
        </w:rPr>
      </w:pPr>
      <w:r>
        <w:rPr>
          <w:rFonts w:cs="Calibri"/>
          <w:sz w:val="20"/>
          <w:szCs w:val="20"/>
        </w:rPr>
        <w:t xml:space="preserve"> </w:t>
      </w:r>
    </w:p>
    <w:p>
      <w:pPr>
        <w:pStyle w:val="Normal"/>
        <w:spacing w:before="0" w:after="200"/>
        <w:contextualSpacing/>
        <w:jc w:val="both"/>
        <w:rPr>
          <w:rFonts w:cs="Calibri"/>
          <w:sz w:val="20"/>
          <w:szCs w:val="20"/>
        </w:rPr>
      </w:pPr>
      <w:r>
        <w:rPr>
          <w:rFonts w:cs="Calibri"/>
          <w:sz w:val="20"/>
          <w:szCs w:val="20"/>
        </w:rPr>
      </w:r>
    </w:p>
    <w:p>
      <w:pPr>
        <w:pStyle w:val="Normal"/>
        <w:spacing w:before="0" w:after="200"/>
        <w:contextualSpacing/>
        <w:jc w:val="both"/>
        <w:rPr>
          <w:rFonts w:cs="Calibri"/>
          <w:sz w:val="20"/>
          <w:szCs w:val="20"/>
        </w:rPr>
      </w:pPr>
      <w:r>
        <w:rPr>
          <w:rFonts w:cs="Calibri"/>
          <w:sz w:val="20"/>
          <w:szCs w:val="20"/>
        </w:rPr>
      </w:r>
    </w:p>
    <w:p>
      <w:pPr>
        <w:pStyle w:val="Normal"/>
        <w:spacing w:before="0" w:after="200"/>
        <w:contextualSpacing/>
        <w:jc w:val="both"/>
        <w:rPr>
          <w:rFonts w:cs="Calibri"/>
          <w:sz w:val="20"/>
          <w:szCs w:val="20"/>
        </w:rPr>
      </w:pPr>
      <w:r>
        <w:rPr>
          <w:rFonts w:cs="Calibri"/>
          <w:sz w:val="20"/>
          <w:szCs w:val="20"/>
        </w:rPr>
      </w:r>
    </w:p>
    <w:p>
      <w:pPr>
        <w:pStyle w:val="Normal"/>
        <w:spacing w:before="0" w:after="200"/>
        <w:contextualSpacing/>
        <w:jc w:val="both"/>
        <w:rPr>
          <w:rFonts w:cs="Calibri"/>
          <w:sz w:val="20"/>
          <w:szCs w:val="20"/>
        </w:rPr>
      </w:pPr>
      <w:r>
        <w:rPr>
          <w:rFonts w:cs="Calibri"/>
          <w:sz w:val="20"/>
          <w:szCs w:val="20"/>
        </w:rPr>
      </w:r>
    </w:p>
    <w:p>
      <w:pPr>
        <w:pStyle w:val="Normal"/>
        <w:spacing w:before="0" w:after="200"/>
        <w:contextualSpacing/>
        <w:jc w:val="both"/>
        <w:rPr>
          <w:rFonts w:cs="Calibri"/>
          <w:sz w:val="20"/>
          <w:szCs w:val="20"/>
        </w:rPr>
      </w:pPr>
      <w:r>
        <w:rPr>
          <w:rFonts w:cs="Calibri"/>
          <w:sz w:val="20"/>
          <w:szCs w:val="20"/>
        </w:rPr>
      </w:r>
    </w:p>
    <w:p>
      <w:pPr>
        <w:pStyle w:val="Normal"/>
        <w:spacing w:before="0" w:after="200"/>
        <w:contextualSpacing/>
        <w:jc w:val="both"/>
        <w:rPr>
          <w:rFonts w:cs="Calibri"/>
          <w:sz w:val="20"/>
          <w:szCs w:val="20"/>
        </w:rPr>
      </w:pPr>
      <w:r>
        <w:rPr>
          <w:rFonts w:cs="Calibri"/>
          <w:sz w:val="20"/>
          <w:szCs w:val="20"/>
        </w:rPr>
      </w:r>
    </w:p>
    <w:p>
      <w:pPr>
        <w:pStyle w:val="Normal"/>
        <w:spacing w:before="0" w:after="200"/>
        <w:contextualSpacing/>
        <w:jc w:val="both"/>
        <w:rPr/>
      </w:pPr>
      <w:r>
        <w:rPr>
          <w:rFonts w:cs="Calibri"/>
          <w:sz w:val="20"/>
          <w:szCs w:val="20"/>
        </w:rPr>
        <w:t>M. XXXX, pour le syndicat CFE - CGC</w:t>
      </w:r>
    </w:p>
    <w:p>
      <w:pPr>
        <w:pStyle w:val="Normal"/>
        <w:spacing w:before="0" w:after="200"/>
        <w:contextualSpacing/>
        <w:jc w:val="both"/>
        <w:rPr>
          <w:rFonts w:cs="Calibri"/>
          <w:sz w:val="20"/>
          <w:szCs w:val="20"/>
        </w:rPr>
      </w:pPr>
      <w:r>
        <w:rPr>
          <w:rFonts w:cs="Calibri"/>
          <w:sz w:val="20"/>
          <w:szCs w:val="20"/>
        </w:rPr>
      </w:r>
    </w:p>
    <w:p>
      <w:pPr>
        <w:pStyle w:val="Normal"/>
        <w:spacing w:before="0" w:after="200"/>
        <w:contextualSpacing/>
        <w:jc w:val="both"/>
        <w:rPr>
          <w:rFonts w:cs="Calibri"/>
          <w:sz w:val="20"/>
          <w:szCs w:val="20"/>
        </w:rPr>
      </w:pPr>
      <w:r>
        <w:rPr>
          <w:rFonts w:cs="Calibri"/>
          <w:sz w:val="20"/>
          <w:szCs w:val="20"/>
        </w:rPr>
      </w:r>
    </w:p>
    <w:p>
      <w:pPr>
        <w:pStyle w:val="Normal"/>
        <w:spacing w:before="0" w:after="200"/>
        <w:contextualSpacing/>
        <w:jc w:val="both"/>
        <w:rPr>
          <w:rFonts w:cs="Calibri"/>
          <w:sz w:val="20"/>
          <w:szCs w:val="20"/>
        </w:rPr>
      </w:pPr>
      <w:r>
        <w:rPr>
          <w:rFonts w:cs="Calibri"/>
          <w:sz w:val="20"/>
          <w:szCs w:val="20"/>
        </w:rPr>
      </w:r>
    </w:p>
    <w:p>
      <w:pPr>
        <w:pStyle w:val="Normal"/>
        <w:numPr>
          <w:ilvl w:val="0"/>
          <w:numId w:val="0"/>
        </w:numPr>
        <w:spacing w:before="0" w:after="200"/>
        <w:contextualSpacing/>
        <w:jc w:val="both"/>
        <w:outlineLvl w:val="0"/>
        <w:rPr>
          <w:rFonts w:eastAsia="Times New Roman" w:cs="Calibri"/>
          <w:sz w:val="20"/>
          <w:szCs w:val="20"/>
        </w:rPr>
      </w:pPr>
      <w:r>
        <w:rPr>
          <w:rFonts w:eastAsia="Times New Roman" w:cs="Calibri"/>
          <w:sz w:val="20"/>
          <w:szCs w:val="20"/>
        </w:rPr>
        <w:t xml:space="preserve">                                                                                         </w:t>
      </w:r>
    </w:p>
    <w:sectPr>
      <w:footerReference w:type="default" r:id="rId2"/>
      <w:type w:val="nextPage"/>
      <w:pgSz w:w="11906" w:h="16838"/>
      <w:pgMar w:left="1417" w:right="1417" w:gutter="0" w:header="0"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Marianne">
    <w:charset w:val="01"/>
    <w:family w:val="auto"/>
    <w:pitch w:val="default"/>
  </w:font>
  <w:font w:name="Calibri">
    <w:charset w:val="00"/>
    <w:family w:val="swiss"/>
    <w:pitch w:val="variable"/>
  </w:font>
  <w:font w:name="Courier New">
    <w:charset w:val="00"/>
    <w:family w:val="modern"/>
    <w:pitch w:val="default"/>
  </w:font>
  <w:font w:name="Wingdings">
    <w:charset w:val="02"/>
    <w:family w:val="auto"/>
    <w:pitch w:val="variable"/>
  </w:font>
  <w:font w:name="Gill Sans MT">
    <w:charset w:val="00"/>
    <w:family w:val="swiss"/>
    <w:pitch w:val="variable"/>
  </w:font>
  <w:font w:name="Segoe UI">
    <w:charset w:val="00"/>
    <w:family w:val="swiss"/>
    <w:pitch w:val="variable"/>
  </w:font>
  <w:font w:name="Tahoma">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abstractNum>
  <w:abstractNum w:abstractNumId="2">
    <w:lvl w:ilvl="0">
      <w:start w:val="6"/>
      <w:numFmt w:val="bullet"/>
      <w:lvlText w:val="-"/>
      <w:lvlJc w:val="left"/>
      <w:pPr>
        <w:tabs>
          <w:tab w:val="num" w:pos="0"/>
        </w:tabs>
        <w:ind w:left="720" w:hanging="360"/>
      </w:pPr>
      <w:rPr>
        <w:rFonts w:ascii="Calibri" w:hAnsi="Calibri" w:cs="Calibri" w:hint="default"/>
      </w:rPr>
    </w:lvl>
  </w:abstractNum>
  <w:abstractNum w:abstractNumId="3">
    <w:lvl w:ilvl="0">
      <w:start w:val="6"/>
      <w:numFmt w:val="decimal"/>
      <w:lvlText w:val="%1."/>
      <w:lvlJc w:val="left"/>
      <w:pPr>
        <w:tabs>
          <w:tab w:val="num" w:pos="0"/>
        </w:tabs>
        <w:ind w:left="1287" w:hanging="360"/>
      </w:pPr>
      <w:rPr/>
    </w:lvl>
  </w:abstractNum>
  <w:abstractNum w:abstractNumId="4">
    <w:lvl w:ilvl="0">
      <w:numFmt w:val="bullet"/>
      <w:lvlText w:val="-"/>
      <w:lvlJc w:val="left"/>
      <w:pPr>
        <w:tabs>
          <w:tab w:val="num" w:pos="0"/>
        </w:tabs>
        <w:ind w:left="720" w:hanging="360"/>
      </w:pPr>
      <w:rPr>
        <w:rFonts w:ascii="Gill Sans MT" w:hAnsi="Gill Sans MT" w:cs="Gill Sans MT" w:hint="default"/>
      </w:rPr>
    </w:lvl>
  </w:abstractNum>
  <w:abstractNum w:abstractNumId="5">
    <w:lvl w:ilvl="0">
      <w:start w:val="4"/>
      <w:numFmt w:val="decimal"/>
      <w:lvlText w:val="%1."/>
      <w:lvlJc w:val="left"/>
      <w:pPr>
        <w:tabs>
          <w:tab w:val="num" w:pos="0"/>
        </w:tabs>
        <w:ind w:left="927" w:hanging="36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arianne" w:hAnsi="Marianne" w:eastAsia="NSimSun" w:cs="Arial"/>
        <w:sz w:val="24"/>
        <w:szCs w:val="24"/>
        <w:lang w:val="fr-FR" w:eastAsia="zh-CN" w:bidi="hi-IN"/>
      </w:rPr>
    </w:rPrDefault>
    <w:pPrDefault>
      <w:pPr>
        <w:suppressAutoHyphens w:val="true"/>
      </w:pPr>
    </w:pPrDefault>
  </w:docDefaults>
  <w:style w:type="paragraph" w:styleId="Normal">
    <w:name w:val="Normal"/>
    <w:qFormat/>
    <w:pPr>
      <w:widowControl/>
      <w:bidi w:val="0"/>
      <w:spacing w:lineRule="auto" w:line="276" w:before="0" w:after="200"/>
    </w:pPr>
    <w:rPr>
      <w:rFonts w:ascii="Calibri" w:hAnsi="Calibri" w:eastAsia="Calibri" w:cs="Calibri"/>
      <w:color w:val="auto"/>
      <w:sz w:val="22"/>
      <w:szCs w:val="22"/>
      <w:lang w:val="fr-FR" w:bidi="ar-SA" w:eastAsia="zh-CN"/>
    </w:rPr>
  </w:style>
  <w:style w:type="character" w:styleId="WW8Num2z0">
    <w:name w:val="WW8Num2z0"/>
    <w:qFormat/>
    <w:rPr>
      <w:rFonts w:ascii="Symbol" w:hAnsi="Symbol" w:cs="OpenSymbol;Arial Unicode MS"/>
    </w:rPr>
  </w:style>
  <w:style w:type="character" w:styleId="WW8Num3z0">
    <w:name w:val="WW8Num3z0"/>
    <w:qFormat/>
    <w:rPr/>
  </w:style>
  <w:style w:type="character" w:styleId="WW8Num4z0">
    <w:name w:val="WW8Num4z0"/>
    <w:qFormat/>
    <w:rPr>
      <w:rFonts w:ascii="Calibri" w:hAnsi="Calibri" w:eastAsia="Calibri" w:cs="Times New Roman"/>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rFonts w:ascii="Calibri" w:hAnsi="Calibri" w:eastAsia="Calibri" w:cs="Times New Roman"/>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style>
  <w:style w:type="character" w:styleId="WW8Num7z0">
    <w:name w:val="WW8Num7z0"/>
    <w:qFormat/>
    <w:rPr>
      <w:rFonts w:ascii="Gill Sans MT" w:hAnsi="Gill Sans MT" w:eastAsia="Aptos" w:cs="Times New Roman"/>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0">
    <w:name w:val="WW8Num8z0"/>
    <w:qFormat/>
    <w:rPr/>
  </w:style>
  <w:style w:type="character" w:styleId="Policepardfaut">
    <w:name w:val="Police par défaut"/>
    <w:qFormat/>
    <w:rPr/>
  </w:style>
  <w:style w:type="character" w:styleId="PieddepageCar">
    <w:name w:val="Pied de page Car"/>
    <w:qFormat/>
    <w:rPr>
      <w:rFonts w:ascii="Calibri" w:hAnsi="Calibri" w:eastAsia="Calibri" w:cs="Calibri"/>
      <w:sz w:val="22"/>
      <w:szCs w:val="22"/>
      <w:lang w:val="fr-FR" w:bidi="ar-SA"/>
    </w:rPr>
  </w:style>
  <w:style w:type="character" w:styleId="TextedebullesCar">
    <w:name w:val="Texte de bulles Car"/>
    <w:qFormat/>
    <w:rPr>
      <w:rFonts w:ascii="Segoe UI" w:hAnsi="Segoe UI" w:eastAsia="Calibri" w:cs="Segoe UI"/>
      <w:sz w:val="18"/>
      <w:szCs w:val="18"/>
    </w:rPr>
  </w:style>
  <w:style w:type="character" w:styleId="Marquedecommentaire">
    <w:name w:val="Marque de commentaire"/>
    <w:qFormat/>
    <w:rPr>
      <w:sz w:val="16"/>
      <w:szCs w:val="16"/>
    </w:rPr>
  </w:style>
  <w:style w:type="character" w:styleId="CommentaireCar">
    <w:name w:val="Commentaire Car"/>
    <w:qFormat/>
    <w:rPr>
      <w:rFonts w:ascii="Calibri" w:hAnsi="Calibri" w:eastAsia="Calibri" w:cs="Calibri"/>
    </w:rPr>
  </w:style>
  <w:style w:type="character" w:styleId="ObjetducommentaireCar">
    <w:name w:val="Objet du commentaire Car"/>
    <w:qFormat/>
    <w:rPr>
      <w:rFonts w:ascii="Calibri" w:hAnsi="Calibri" w:eastAsia="Calibri" w:cs="Calibri"/>
      <w:b/>
      <w:bCs/>
    </w:rPr>
  </w:style>
  <w:style w:type="character" w:styleId="CorpsdetexteCar">
    <w:name w:val="Corps de texte Car"/>
    <w:qFormat/>
    <w:rPr>
      <w:rFonts w:ascii="Arial" w:hAnsi="Arial" w:eastAsia="Arial" w:cs="Arial"/>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widowControl w:val="false"/>
      <w:autoSpaceDE w:val="false"/>
      <w:spacing w:lineRule="auto" w:line="240" w:before="0" w:after="0"/>
    </w:pPr>
    <w:rPr>
      <w:rFonts w:ascii="Arial" w:hAnsi="Arial" w:eastAsia="Arial" w:cs="Arial"/>
      <w:sz w:val="20"/>
      <w:szCs w:val="20"/>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Paragraphedeliste">
    <w:name w:val="Paragraphe de liste"/>
    <w:basedOn w:val="Normal"/>
    <w:qFormat/>
    <w:pPr>
      <w:spacing w:before="0" w:after="200"/>
      <w:ind w:hanging="0" w:left="720" w:right="0"/>
      <w:contextualSpacing/>
    </w:pPr>
    <w:rPr/>
  </w:style>
  <w:style w:type="paragraph" w:styleId="En-tteetpieddepage">
    <w:name w:val="En-tête et pied de page"/>
    <w:basedOn w:val="Normal"/>
    <w:qFormat/>
    <w:pPr>
      <w:suppressLineNumbers/>
      <w:tabs>
        <w:tab w:val="clear" w:pos="720"/>
        <w:tab w:val="center" w:pos="4819" w:leader="none"/>
        <w:tab w:val="right" w:pos="9638" w:leader="none"/>
      </w:tabs>
    </w:pPr>
    <w:rPr/>
  </w:style>
  <w:style w:type="paragraph" w:styleId="Footer">
    <w:name w:val="footer"/>
    <w:basedOn w:val="Normal"/>
    <w:pPr>
      <w:tabs>
        <w:tab w:val="clear" w:pos="720"/>
        <w:tab w:val="center" w:pos="4536" w:leader="none"/>
        <w:tab w:val="right" w:pos="9072" w:leader="none"/>
      </w:tabs>
      <w:spacing w:lineRule="auto" w:line="240" w:before="0" w:after="0"/>
    </w:pPr>
    <w:rPr/>
  </w:style>
  <w:style w:type="paragraph" w:styleId="Explorateurdedocuments">
    <w:name w:val="Explorateur de documents"/>
    <w:basedOn w:val="Normal"/>
    <w:qFormat/>
    <w:pPr>
      <w:shd w:fill="000080" w:val="clear"/>
    </w:pPr>
    <w:rPr>
      <w:rFonts w:ascii="Tahoma" w:hAnsi="Tahoma" w:cs="Tahoma"/>
      <w:sz w:val="20"/>
      <w:szCs w:val="20"/>
    </w:rPr>
  </w:style>
  <w:style w:type="paragraph" w:styleId="Textedebulles">
    <w:name w:val="Texte de bulles"/>
    <w:basedOn w:val="Normal"/>
    <w:qFormat/>
    <w:pPr>
      <w:spacing w:lineRule="auto" w:line="240" w:before="0" w:after="0"/>
    </w:pPr>
    <w:rPr>
      <w:rFonts w:ascii="Segoe UI" w:hAnsi="Segoe UI" w:cs="Segoe UI"/>
      <w:sz w:val="18"/>
      <w:szCs w:val="18"/>
    </w:rPr>
  </w:style>
  <w:style w:type="paragraph" w:styleId="Commentaire">
    <w:name w:val="Commentaire"/>
    <w:basedOn w:val="Normal"/>
    <w:qFormat/>
    <w:pPr/>
    <w:rPr>
      <w:sz w:val="20"/>
      <w:szCs w:val="20"/>
    </w:rPr>
  </w:style>
  <w:style w:type="paragraph" w:styleId="Objetducommentaire">
    <w:name w:val="Objet du commentaire"/>
    <w:basedOn w:val="Commentaire"/>
    <w:next w:val="Commentaire"/>
    <w:qFormat/>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2</Pages>
  <Words>566</Words>
  <Characters>3005</Characters>
  <CharactersWithSpaces>3634</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keywords/>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entifier">
    <vt:lpwstr>ef8456a5-3a24-4027-be28-161b43a1b5dc_x0000__x0000__x0000_</vt:lpwstr>
  </property>
</Properties>
</file>