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A728A" w14:textId="77777777" w:rsidR="006A491A" w:rsidRDefault="00000000">
      <w:pPr>
        <w:widowControl w:val="0"/>
        <w:pBdr>
          <w:top w:val="nil"/>
          <w:left w:val="nil"/>
          <w:bottom w:val="nil"/>
          <w:right w:val="nil"/>
          <w:between w:val="nil"/>
        </w:pBdr>
        <w:spacing w:after="0" w:line="276" w:lineRule="auto"/>
      </w:pPr>
      <w:r>
        <w:pict w14:anchorId="76715E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0pt;height:50pt;z-index:251656704;visibility:hidden">
            <o:lock v:ext="edit" selection="t"/>
          </v:shape>
        </w:pict>
      </w:r>
      <w:r>
        <w:pict w14:anchorId="764D95A9">
          <v:shape id="_x0000_s2051" type="#_x0000_t136" style="position:absolute;margin-left:0;margin-top:0;width:50pt;height:50pt;z-index:251657728;visibility:hidden">
            <o:lock v:ext="edit" selection="t"/>
          </v:shape>
        </w:pict>
      </w:r>
      <w:r>
        <w:pict w14:anchorId="19737C64">
          <v:shape id="_x0000_s2050" type="#_x0000_t136" style="position:absolute;margin-left:0;margin-top:0;width:50pt;height:50pt;z-index:251658752;visibility:hidden">
            <o:lock v:ext="edit" selection="t"/>
          </v:shape>
        </w:pict>
      </w:r>
    </w:p>
    <w:p w14:paraId="0F58EA55" w14:textId="77777777" w:rsidR="006A491A" w:rsidRDefault="006A491A">
      <w:pPr>
        <w:widowControl w:val="0"/>
        <w:pBdr>
          <w:top w:val="nil"/>
          <w:left w:val="nil"/>
          <w:bottom w:val="nil"/>
          <w:right w:val="nil"/>
          <w:between w:val="nil"/>
        </w:pBdr>
        <w:spacing w:after="0" w:line="276" w:lineRule="auto"/>
      </w:pPr>
    </w:p>
    <w:p w14:paraId="61227C52" w14:textId="77777777" w:rsidR="006A491A" w:rsidRDefault="006A491A">
      <w:pPr>
        <w:keepNext/>
        <w:keepLines/>
        <w:spacing w:after="0" w:line="312" w:lineRule="auto"/>
        <w:jc w:val="center"/>
        <w:rPr>
          <w:rFonts w:ascii="Verdana" w:eastAsia="Verdana" w:hAnsi="Verdana" w:cs="Verdana"/>
          <w:b/>
          <w:sz w:val="20"/>
          <w:szCs w:val="20"/>
        </w:rPr>
      </w:pPr>
    </w:p>
    <w:p w14:paraId="03082D89" w14:textId="77777777" w:rsidR="006A491A" w:rsidRDefault="00000000">
      <w:pPr>
        <w:keepNext/>
        <w:keepLines/>
        <w:spacing w:after="0" w:line="312" w:lineRule="auto"/>
        <w:jc w:val="center"/>
        <w:rPr>
          <w:rFonts w:ascii="Verdana" w:eastAsia="Verdana" w:hAnsi="Verdana" w:cs="Verdana"/>
          <w:b/>
          <w:color w:val="051259"/>
          <w:sz w:val="28"/>
          <w:szCs w:val="28"/>
        </w:rPr>
      </w:pPr>
      <w:r>
        <w:rPr>
          <w:rFonts w:ascii="Verdana" w:eastAsia="Verdana" w:hAnsi="Verdana" w:cs="Verdana"/>
          <w:b/>
          <w:color w:val="051259"/>
          <w:sz w:val="28"/>
          <w:szCs w:val="28"/>
        </w:rPr>
        <w:t>ACCORD D’ENTREPRISE RELATIF AUX CONGÉS EXCEPTIONNELS POUR ÉVÉNEMENTS FAMILIAUX</w:t>
      </w:r>
    </w:p>
    <w:p w14:paraId="6BC788C7" w14:textId="77777777" w:rsidR="006A491A" w:rsidRDefault="006A491A">
      <w:pPr>
        <w:spacing w:after="0" w:line="240" w:lineRule="auto"/>
        <w:jc w:val="both"/>
        <w:rPr>
          <w:rFonts w:ascii="Verdana" w:eastAsia="Verdana" w:hAnsi="Verdana" w:cs="Verdana"/>
          <w:b/>
          <w:sz w:val="20"/>
          <w:szCs w:val="20"/>
        </w:rPr>
      </w:pPr>
    </w:p>
    <w:p w14:paraId="60D73A59" w14:textId="77777777" w:rsidR="006A491A" w:rsidRDefault="00000000">
      <w:pPr>
        <w:spacing w:after="0" w:line="312" w:lineRule="auto"/>
        <w:jc w:val="both"/>
        <w:rPr>
          <w:rFonts w:ascii="Verdana" w:eastAsia="Verdana" w:hAnsi="Verdana" w:cs="Verdana"/>
          <w:b/>
          <w:sz w:val="20"/>
          <w:szCs w:val="20"/>
        </w:rPr>
      </w:pPr>
      <w:r>
        <w:rPr>
          <w:rFonts w:ascii="Verdana" w:eastAsia="Verdana" w:hAnsi="Verdana" w:cs="Verdana"/>
          <w:b/>
          <w:sz w:val="20"/>
          <w:szCs w:val="20"/>
        </w:rPr>
        <w:t>Entre les soussigné(e)s :</w:t>
      </w:r>
    </w:p>
    <w:p w14:paraId="3BE64312" w14:textId="77777777" w:rsidR="006A491A" w:rsidRDefault="006A491A">
      <w:pPr>
        <w:spacing w:after="0" w:line="240" w:lineRule="auto"/>
        <w:jc w:val="both"/>
        <w:rPr>
          <w:rFonts w:ascii="Verdana" w:eastAsia="Verdana" w:hAnsi="Verdana" w:cs="Verdana"/>
          <w:sz w:val="20"/>
          <w:szCs w:val="20"/>
        </w:rPr>
      </w:pPr>
    </w:p>
    <w:p w14:paraId="0BA7E21C" w14:textId="11CB0B84"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La société Bam Holding, SAS au capital de 3000€, immatriculée au Registre du Commerce et des Sociétés sous le numéro 753241488 RCS Paris, dont le siège social est situé 2bis rue des Taillandiers 75011 Paris, représentée par Monsieur </w:t>
      </w:r>
      <w:r w:rsidR="00462687">
        <w:rPr>
          <w:rFonts w:ascii="Verdana" w:eastAsia="Verdana" w:hAnsi="Verdana" w:cs="Verdana"/>
          <w:sz w:val="20"/>
          <w:szCs w:val="20"/>
        </w:rPr>
        <w:t>X</w:t>
      </w:r>
      <w:r>
        <w:rPr>
          <w:rFonts w:ascii="Verdana" w:eastAsia="Verdana" w:hAnsi="Verdana" w:cs="Verdana"/>
          <w:sz w:val="20"/>
          <w:szCs w:val="20"/>
        </w:rPr>
        <w:t>, en sa qualité de Président,</w:t>
      </w:r>
    </w:p>
    <w:p w14:paraId="4299F41C" w14:textId="77777777" w:rsidR="006A491A" w:rsidRDefault="006A491A">
      <w:pPr>
        <w:spacing w:after="0" w:line="240" w:lineRule="auto"/>
        <w:jc w:val="both"/>
        <w:rPr>
          <w:rFonts w:ascii="Verdana" w:eastAsia="Verdana" w:hAnsi="Verdana" w:cs="Verdana"/>
          <w:sz w:val="20"/>
          <w:szCs w:val="20"/>
        </w:rPr>
      </w:pPr>
    </w:p>
    <w:p w14:paraId="2736A8E5"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Dénommée ci-après « </w:t>
      </w:r>
      <w:r>
        <w:rPr>
          <w:rFonts w:ascii="Verdana" w:eastAsia="Verdana" w:hAnsi="Verdana" w:cs="Verdana"/>
          <w:b/>
          <w:sz w:val="20"/>
          <w:szCs w:val="20"/>
        </w:rPr>
        <w:t>l’entreprise</w:t>
      </w:r>
      <w:r>
        <w:rPr>
          <w:rFonts w:ascii="Verdana" w:eastAsia="Verdana" w:hAnsi="Verdana" w:cs="Verdana"/>
          <w:sz w:val="20"/>
          <w:szCs w:val="20"/>
        </w:rPr>
        <w:t xml:space="preserve"> », </w:t>
      </w:r>
    </w:p>
    <w:p w14:paraId="76FA210B" w14:textId="77777777" w:rsidR="006A491A" w:rsidRDefault="006A491A">
      <w:pPr>
        <w:spacing w:after="0" w:line="240" w:lineRule="auto"/>
        <w:jc w:val="both"/>
        <w:rPr>
          <w:rFonts w:ascii="Verdana" w:eastAsia="Verdana" w:hAnsi="Verdana" w:cs="Verdana"/>
          <w:sz w:val="20"/>
          <w:szCs w:val="20"/>
        </w:rPr>
      </w:pPr>
    </w:p>
    <w:p w14:paraId="74D2AA9D" w14:textId="77777777" w:rsidR="006A491A" w:rsidRDefault="00000000">
      <w:pPr>
        <w:spacing w:after="0" w:line="240" w:lineRule="auto"/>
        <w:jc w:val="both"/>
        <w:rPr>
          <w:rFonts w:ascii="Verdana" w:eastAsia="Verdana" w:hAnsi="Verdana" w:cs="Verdana"/>
          <w:sz w:val="20"/>
          <w:szCs w:val="20"/>
        </w:rPr>
      </w:pPr>
      <w:proofErr w:type="gramStart"/>
      <w:r>
        <w:rPr>
          <w:rFonts w:ascii="Verdana" w:eastAsia="Verdana" w:hAnsi="Verdana" w:cs="Verdana"/>
          <w:sz w:val="20"/>
          <w:szCs w:val="20"/>
        </w:rPr>
        <w:t>d’une</w:t>
      </w:r>
      <w:proofErr w:type="gramEnd"/>
      <w:r>
        <w:rPr>
          <w:rFonts w:ascii="Verdana" w:eastAsia="Verdana" w:hAnsi="Verdana" w:cs="Verdana"/>
          <w:sz w:val="20"/>
          <w:szCs w:val="20"/>
        </w:rPr>
        <w:t xml:space="preserve"> part, et :</w:t>
      </w:r>
    </w:p>
    <w:p w14:paraId="50E8408C" w14:textId="77777777" w:rsidR="006A491A" w:rsidRDefault="006A491A">
      <w:pPr>
        <w:spacing w:after="0" w:line="240" w:lineRule="auto"/>
        <w:jc w:val="both"/>
        <w:rPr>
          <w:rFonts w:ascii="Verdana" w:eastAsia="Verdana" w:hAnsi="Verdana" w:cs="Verdana"/>
          <w:sz w:val="20"/>
          <w:szCs w:val="20"/>
        </w:rPr>
      </w:pPr>
    </w:p>
    <w:p w14:paraId="790109E8" w14:textId="5EB368BE" w:rsidR="006A491A" w:rsidRDefault="00000000">
      <w:p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Le</w:t>
      </w:r>
      <w:r>
        <w:rPr>
          <w:rFonts w:ascii="Verdana" w:eastAsia="Verdana" w:hAnsi="Verdana" w:cs="Verdana"/>
          <w:sz w:val="20"/>
          <w:szCs w:val="20"/>
        </w:rPr>
        <w:t xml:space="preserve"> membre titulaire du comité social et économique (CSE), Monsieur </w:t>
      </w:r>
      <w:r w:rsidR="00462687">
        <w:rPr>
          <w:rFonts w:ascii="Verdana" w:eastAsia="Verdana" w:hAnsi="Verdana" w:cs="Verdana"/>
          <w:sz w:val="20"/>
          <w:szCs w:val="20"/>
        </w:rPr>
        <w:t>Y</w:t>
      </w:r>
      <w:r>
        <w:rPr>
          <w:rFonts w:ascii="Verdana" w:eastAsia="Verdana" w:hAnsi="Verdana" w:cs="Verdana"/>
          <w:sz w:val="20"/>
          <w:szCs w:val="20"/>
        </w:rPr>
        <w:t>,</w:t>
      </w:r>
    </w:p>
    <w:p w14:paraId="37E5FB53" w14:textId="77777777" w:rsidR="006A491A" w:rsidRDefault="006A491A">
      <w:pPr>
        <w:pBdr>
          <w:top w:val="nil"/>
          <w:left w:val="nil"/>
          <w:bottom w:val="nil"/>
          <w:right w:val="nil"/>
          <w:between w:val="nil"/>
        </w:pBdr>
        <w:spacing w:after="0" w:line="240" w:lineRule="auto"/>
        <w:jc w:val="both"/>
        <w:rPr>
          <w:rFonts w:ascii="Verdana" w:eastAsia="Verdana" w:hAnsi="Verdana" w:cs="Verdana"/>
          <w:sz w:val="20"/>
          <w:szCs w:val="20"/>
        </w:rPr>
      </w:pPr>
    </w:p>
    <w:p w14:paraId="0CE76451" w14:textId="77777777" w:rsidR="006A491A" w:rsidRDefault="00000000">
      <w:pPr>
        <w:pBdr>
          <w:top w:val="nil"/>
          <w:left w:val="nil"/>
          <w:bottom w:val="nil"/>
          <w:right w:val="nil"/>
          <w:between w:val="nil"/>
        </w:pBdr>
        <w:spacing w:after="0" w:line="240" w:lineRule="auto"/>
        <w:jc w:val="both"/>
        <w:rPr>
          <w:rFonts w:ascii="Verdana" w:eastAsia="Verdana" w:hAnsi="Verdana" w:cs="Verdana"/>
          <w:b/>
          <w:i/>
          <w:color w:val="000000"/>
          <w:sz w:val="20"/>
          <w:szCs w:val="20"/>
        </w:rPr>
      </w:pPr>
      <w:proofErr w:type="gramStart"/>
      <w:r>
        <w:rPr>
          <w:rFonts w:ascii="Verdana" w:eastAsia="Verdana" w:hAnsi="Verdana" w:cs="Verdana"/>
          <w:color w:val="000000"/>
          <w:sz w:val="20"/>
          <w:szCs w:val="20"/>
        </w:rPr>
        <w:t>d’autre</w:t>
      </w:r>
      <w:proofErr w:type="gramEnd"/>
      <w:r>
        <w:rPr>
          <w:rFonts w:ascii="Verdana" w:eastAsia="Verdana" w:hAnsi="Verdana" w:cs="Verdana"/>
          <w:color w:val="000000"/>
          <w:sz w:val="20"/>
          <w:szCs w:val="20"/>
        </w:rPr>
        <w:t xml:space="preserve"> part,</w:t>
      </w:r>
    </w:p>
    <w:p w14:paraId="24001DA4" w14:textId="77777777" w:rsidR="006A491A" w:rsidRDefault="006A491A">
      <w:pPr>
        <w:spacing w:after="0" w:line="240" w:lineRule="auto"/>
        <w:jc w:val="both"/>
        <w:rPr>
          <w:rFonts w:ascii="Verdana" w:eastAsia="Verdana" w:hAnsi="Verdana" w:cs="Verdana"/>
          <w:b/>
          <w:color w:val="FF0000"/>
          <w:sz w:val="20"/>
          <w:szCs w:val="20"/>
        </w:rPr>
      </w:pPr>
    </w:p>
    <w:p w14:paraId="337DE87B" w14:textId="77777777" w:rsidR="006A491A" w:rsidRDefault="00000000">
      <w:pPr>
        <w:keepLines/>
        <w:pBdr>
          <w:top w:val="nil"/>
          <w:left w:val="nil"/>
          <w:bottom w:val="nil"/>
          <w:right w:val="nil"/>
          <w:between w:val="nil"/>
        </w:pBdr>
        <w:spacing w:after="0" w:line="240" w:lineRule="auto"/>
        <w:ind w:left="567" w:hanging="567"/>
        <w:jc w:val="both"/>
        <w:rPr>
          <w:rFonts w:ascii="Verdana" w:eastAsia="Verdana" w:hAnsi="Verdana" w:cs="Verdana"/>
          <w:b/>
          <w:color w:val="7030A0"/>
          <w:sz w:val="20"/>
          <w:szCs w:val="20"/>
        </w:rPr>
      </w:pPr>
      <w:r>
        <w:rPr>
          <w:rFonts w:ascii="Verdana" w:eastAsia="Verdana" w:hAnsi="Verdana" w:cs="Verdana"/>
          <w:b/>
          <w:color w:val="051259"/>
          <w:sz w:val="24"/>
          <w:szCs w:val="24"/>
        </w:rPr>
        <w:t>PREAMBULE</w:t>
      </w:r>
    </w:p>
    <w:p w14:paraId="004C909A" w14:textId="77777777" w:rsidR="006A491A" w:rsidRDefault="006A491A">
      <w:pPr>
        <w:spacing w:after="0" w:line="240" w:lineRule="auto"/>
        <w:jc w:val="both"/>
        <w:rPr>
          <w:rFonts w:ascii="Verdana" w:eastAsia="Verdana" w:hAnsi="Verdana" w:cs="Verdana"/>
          <w:color w:val="0D0D0D"/>
          <w:sz w:val="20"/>
          <w:szCs w:val="20"/>
        </w:rPr>
      </w:pPr>
    </w:p>
    <w:p w14:paraId="1454163A"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Jusqu’à présent, concernant les congés pour événements familiaux et les congés de deuil, la société Bam Holding appliquait les dispositions du code du travail et de la Convention collective nationale des hôtels, cafés, restaurant (CCN 1979).</w:t>
      </w:r>
    </w:p>
    <w:p w14:paraId="78E55DF9"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 </w:t>
      </w:r>
    </w:p>
    <w:p w14:paraId="12531CCA"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La direction et le comité social et économique souhaitent l’amélioration de la qualité de vie au travail des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à travers une meilleure articulation entre la vie professionnelle et la vie personnelle et familiale.</w:t>
      </w:r>
    </w:p>
    <w:p w14:paraId="19843CB0"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 </w:t>
      </w:r>
    </w:p>
    <w:p w14:paraId="0118F479"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Enfin, les dispositions du présent accord visent à accorder des temps de repos d’une durée améliorée, avec maintien de rémunération, afin de permettre aux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ayant un événement familial de bénéficier d’un maintien de son pouvoir d’achat pendant un temps nécessaire pour gérer l'événement concerné.</w:t>
      </w:r>
    </w:p>
    <w:p w14:paraId="356772D7"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 </w:t>
      </w:r>
    </w:p>
    <w:p w14:paraId="5CAD7460"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La direction et le comité social et économique font ainsi le choix d’améliorer les dispositions contenues dans le code du travail et dans la CCN 1979.</w:t>
      </w:r>
    </w:p>
    <w:p w14:paraId="05567D1E"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 </w:t>
      </w:r>
    </w:p>
    <w:p w14:paraId="620A8D23"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Dès lors, la direction et le comité social et économique se sont rencontrées et ont conclu le présent accord collectif.</w:t>
      </w:r>
    </w:p>
    <w:p w14:paraId="49D55C1E" w14:textId="77777777" w:rsidR="006A491A" w:rsidRDefault="006A491A">
      <w:pPr>
        <w:spacing w:after="0" w:line="240" w:lineRule="auto"/>
        <w:jc w:val="both"/>
        <w:rPr>
          <w:rFonts w:ascii="Verdana" w:eastAsia="Verdana" w:hAnsi="Verdana" w:cs="Verdana"/>
          <w:sz w:val="20"/>
          <w:szCs w:val="20"/>
        </w:rPr>
      </w:pPr>
    </w:p>
    <w:p w14:paraId="193BD407"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Il a été convenu ce qui suit :</w:t>
      </w:r>
    </w:p>
    <w:p w14:paraId="2741BDF4" w14:textId="77777777" w:rsidR="006A491A" w:rsidRDefault="006A491A">
      <w:pPr>
        <w:spacing w:after="0" w:line="240" w:lineRule="auto"/>
        <w:jc w:val="both"/>
        <w:rPr>
          <w:rFonts w:ascii="Verdana" w:eastAsia="Verdana" w:hAnsi="Verdana" w:cs="Verdana"/>
          <w:color w:val="0D0D0D"/>
          <w:sz w:val="20"/>
          <w:szCs w:val="20"/>
        </w:rPr>
      </w:pPr>
    </w:p>
    <w:p w14:paraId="2020EFF7" w14:textId="77777777" w:rsidR="006A491A" w:rsidRDefault="00000000">
      <w:pPr>
        <w:keepLines/>
        <w:pBdr>
          <w:top w:val="nil"/>
          <w:left w:val="nil"/>
          <w:bottom w:val="nil"/>
          <w:right w:val="nil"/>
          <w:between w:val="nil"/>
        </w:pBdr>
        <w:spacing w:after="0" w:line="240" w:lineRule="auto"/>
        <w:ind w:left="567" w:hanging="567"/>
        <w:rPr>
          <w:rFonts w:ascii="Verdana" w:eastAsia="Verdana" w:hAnsi="Verdana" w:cs="Verdana"/>
          <w:b/>
          <w:color w:val="051259"/>
          <w:sz w:val="24"/>
          <w:szCs w:val="24"/>
        </w:rPr>
      </w:pPr>
      <w:r>
        <w:rPr>
          <w:rFonts w:ascii="Verdana" w:eastAsia="Verdana" w:hAnsi="Verdana" w:cs="Verdana"/>
          <w:b/>
          <w:color w:val="051259"/>
          <w:sz w:val="24"/>
          <w:szCs w:val="24"/>
        </w:rPr>
        <w:t xml:space="preserve">ARTICLE 1 – CHAMP D’APPLICATION </w:t>
      </w:r>
    </w:p>
    <w:p w14:paraId="2AA2A4A8" w14:textId="77777777" w:rsidR="006A491A" w:rsidRDefault="006A491A">
      <w:pPr>
        <w:spacing w:after="0" w:line="240" w:lineRule="auto"/>
        <w:jc w:val="both"/>
        <w:rPr>
          <w:rFonts w:ascii="Verdana" w:eastAsia="Verdana" w:hAnsi="Verdana" w:cs="Verdana"/>
          <w:sz w:val="20"/>
          <w:szCs w:val="20"/>
        </w:rPr>
      </w:pPr>
    </w:p>
    <w:p w14:paraId="3C939746" w14:textId="77777777" w:rsidR="006A491A" w:rsidRDefault="00000000">
      <w:pPr>
        <w:spacing w:after="0" w:line="240" w:lineRule="auto"/>
        <w:jc w:val="both"/>
        <w:rPr>
          <w:rFonts w:ascii="Arial" w:eastAsia="Arial" w:hAnsi="Arial" w:cs="Arial"/>
          <w:b/>
          <w:sz w:val="20"/>
          <w:szCs w:val="20"/>
          <w:u w:val="single"/>
        </w:rPr>
      </w:pPr>
      <w:r>
        <w:rPr>
          <w:rFonts w:ascii="Verdana" w:eastAsia="Verdana" w:hAnsi="Verdana" w:cs="Verdana"/>
          <w:sz w:val="20"/>
          <w:szCs w:val="20"/>
        </w:rPr>
        <w:t xml:space="preserve">Le présent accord s’applique à l’ensemble des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de la société Bam Holding.</w:t>
      </w:r>
    </w:p>
    <w:p w14:paraId="051F34E5" w14:textId="77777777" w:rsidR="006A491A" w:rsidRDefault="006A491A">
      <w:pPr>
        <w:spacing w:after="0" w:line="240" w:lineRule="auto"/>
        <w:jc w:val="both"/>
        <w:rPr>
          <w:rFonts w:ascii="Verdana" w:eastAsia="Verdana" w:hAnsi="Verdana" w:cs="Verdana"/>
          <w:b/>
          <w:sz w:val="20"/>
          <w:szCs w:val="20"/>
          <w:u w:val="single"/>
        </w:rPr>
      </w:pPr>
    </w:p>
    <w:p w14:paraId="193CEE37" w14:textId="77777777" w:rsidR="006A491A" w:rsidRDefault="00000000">
      <w:pPr>
        <w:keepLines/>
        <w:spacing w:after="0" w:line="240" w:lineRule="auto"/>
        <w:jc w:val="both"/>
        <w:rPr>
          <w:rFonts w:ascii="Verdana" w:eastAsia="Verdana" w:hAnsi="Verdana" w:cs="Verdana"/>
          <w:b/>
          <w:smallCaps/>
          <w:sz w:val="20"/>
          <w:szCs w:val="20"/>
        </w:rPr>
      </w:pPr>
      <w:r>
        <w:rPr>
          <w:rFonts w:ascii="Verdana" w:eastAsia="Verdana" w:hAnsi="Verdana" w:cs="Verdana"/>
          <w:b/>
          <w:color w:val="051259"/>
          <w:sz w:val="24"/>
          <w:szCs w:val="24"/>
        </w:rPr>
        <w:lastRenderedPageBreak/>
        <w:t>ARTICLE 2 – CONGÉS EXCEPTIONNELS POUR ÉVÉNEMENTS FAMILIAUX</w:t>
      </w:r>
    </w:p>
    <w:p w14:paraId="518B7039" w14:textId="77777777" w:rsidR="006A491A" w:rsidRDefault="006A491A">
      <w:pPr>
        <w:pBdr>
          <w:top w:val="nil"/>
          <w:left w:val="nil"/>
          <w:bottom w:val="nil"/>
          <w:right w:val="nil"/>
          <w:between w:val="nil"/>
        </w:pBdr>
        <w:spacing w:after="0" w:line="240" w:lineRule="auto"/>
        <w:jc w:val="both"/>
        <w:rPr>
          <w:rFonts w:ascii="Verdana" w:eastAsia="Verdana" w:hAnsi="Verdana" w:cs="Verdana"/>
          <w:b/>
          <w:sz w:val="20"/>
          <w:szCs w:val="20"/>
        </w:rPr>
      </w:pPr>
    </w:p>
    <w:p w14:paraId="6D5D160B"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Les congés pour événements familiaux sont des autorisations d’absences rémunérées. Ils n’entraînent en conséquence, aucune réduction de rémunération et sont assimilés à du temps de travail effectif pour la détermination de la durée du congé payé annuel.</w:t>
      </w:r>
    </w:p>
    <w:p w14:paraId="27238DF2"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 </w:t>
      </w:r>
    </w:p>
    <w:p w14:paraId="1A0950C3"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Ces congés doivent être pris dans un délai raisonnable, concomitant avec l'événement ayant donné lieu au congé.</w:t>
      </w:r>
    </w:p>
    <w:p w14:paraId="726C0621"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 </w:t>
      </w:r>
    </w:p>
    <w:p w14:paraId="35341028"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Ces événements et le lien avec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w:t>
      </w:r>
      <w:proofErr w:type="spellStart"/>
      <w:r>
        <w:rPr>
          <w:rFonts w:ascii="Verdana" w:eastAsia="Verdana" w:hAnsi="Verdana" w:cs="Verdana"/>
          <w:sz w:val="20"/>
          <w:szCs w:val="20"/>
        </w:rPr>
        <w:t>concerné.e</w:t>
      </w:r>
      <w:proofErr w:type="spellEnd"/>
      <w:r>
        <w:rPr>
          <w:rFonts w:ascii="Verdana" w:eastAsia="Verdana" w:hAnsi="Verdana" w:cs="Verdana"/>
          <w:sz w:val="20"/>
          <w:szCs w:val="20"/>
        </w:rPr>
        <w:t xml:space="preserve"> doivent être portés à la connaissance du service Ressources Humaines par la présentation d’un justificatif officiel.</w:t>
      </w:r>
    </w:p>
    <w:p w14:paraId="295CA53A"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 </w:t>
      </w:r>
    </w:p>
    <w:p w14:paraId="623B5B9D" w14:textId="77777777" w:rsidR="006A491A"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Les autorisations d’absences exceptionnelles seront accordées pour :</w:t>
      </w:r>
    </w:p>
    <w:p w14:paraId="1A36830F" w14:textId="77777777" w:rsidR="006A491A" w:rsidRDefault="00000000">
      <w:pPr>
        <w:spacing w:after="0" w:line="240" w:lineRule="auto"/>
        <w:jc w:val="both"/>
        <w:rPr>
          <w:rFonts w:ascii="Verdana" w:eastAsia="Verdana" w:hAnsi="Verdana" w:cs="Verdana"/>
          <w:b/>
          <w:sz w:val="20"/>
          <w:szCs w:val="20"/>
        </w:rPr>
      </w:pPr>
      <w:r>
        <w:rPr>
          <w:rFonts w:ascii="Verdana" w:eastAsia="Verdana" w:hAnsi="Verdana" w:cs="Verdana"/>
          <w:b/>
          <w:sz w:val="20"/>
          <w:szCs w:val="20"/>
        </w:rPr>
        <w:t xml:space="preserve"> </w:t>
      </w:r>
    </w:p>
    <w:p w14:paraId="384E94F1" w14:textId="77777777" w:rsidR="006A491A" w:rsidRDefault="00000000">
      <w:pPr>
        <w:spacing w:after="0" w:line="240" w:lineRule="auto"/>
        <w:jc w:val="both"/>
        <w:rPr>
          <w:rFonts w:ascii="Arial" w:eastAsia="Arial" w:hAnsi="Arial" w:cs="Arial"/>
          <w:b/>
          <w:color w:val="0000FF"/>
          <w:sz w:val="20"/>
          <w:szCs w:val="20"/>
          <w:u w:val="single"/>
        </w:rPr>
      </w:pPr>
      <w:r>
        <w:rPr>
          <w:rFonts w:ascii="Arial" w:eastAsia="Arial" w:hAnsi="Arial" w:cs="Arial"/>
          <w:b/>
          <w:color w:val="0000FF"/>
          <w:sz w:val="20"/>
          <w:szCs w:val="20"/>
          <w:u w:val="single"/>
        </w:rPr>
        <w:t>Naissance / Mariage / PACS</w:t>
      </w:r>
    </w:p>
    <w:p w14:paraId="39B4A7C2" w14:textId="77777777" w:rsidR="006A491A" w:rsidRDefault="00000000">
      <w:pPr>
        <w:spacing w:after="0" w:line="240" w:lineRule="auto"/>
        <w:jc w:val="both"/>
        <w:rPr>
          <w:rFonts w:ascii="Arial" w:eastAsia="Arial" w:hAnsi="Arial" w:cs="Arial"/>
          <w:b/>
          <w:sz w:val="20"/>
          <w:szCs w:val="20"/>
          <w:u w:val="single"/>
        </w:rPr>
      </w:pPr>
      <w:r>
        <w:rPr>
          <w:rFonts w:ascii="Arial" w:eastAsia="Arial" w:hAnsi="Arial" w:cs="Arial"/>
          <w:b/>
          <w:sz w:val="20"/>
          <w:szCs w:val="20"/>
          <w:u w:val="single"/>
        </w:rPr>
        <w:t xml:space="preserve"> </w:t>
      </w:r>
    </w:p>
    <w:tbl>
      <w:tblPr>
        <w:tblStyle w:val="a"/>
        <w:tblW w:w="9071"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818"/>
        <w:gridCol w:w="1435"/>
        <w:gridCol w:w="3818"/>
      </w:tblGrid>
      <w:tr w:rsidR="006A491A" w14:paraId="2A2A1CD0" w14:textId="77777777">
        <w:trPr>
          <w:trHeight w:val="465"/>
        </w:trPr>
        <w:tc>
          <w:tcPr>
            <w:tcW w:w="3818" w:type="dxa"/>
            <w:tcBorders>
              <w:top w:val="single" w:sz="8" w:space="0" w:color="000000"/>
              <w:left w:val="single" w:sz="8" w:space="0" w:color="000000"/>
              <w:bottom w:val="single" w:sz="8" w:space="0" w:color="000000"/>
              <w:right w:val="single" w:sz="8" w:space="0" w:color="000000"/>
            </w:tcBorders>
            <w:shd w:val="clear" w:color="auto" w:fill="F2F2F2"/>
            <w:tcMar>
              <w:top w:w="0" w:type="dxa"/>
              <w:left w:w="100" w:type="dxa"/>
              <w:bottom w:w="0" w:type="dxa"/>
              <w:right w:w="100" w:type="dxa"/>
            </w:tcMar>
          </w:tcPr>
          <w:p w14:paraId="62949EE2"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Nature de l’événement</w:t>
            </w:r>
          </w:p>
        </w:tc>
        <w:tc>
          <w:tcPr>
            <w:tcW w:w="1435" w:type="dxa"/>
            <w:tcBorders>
              <w:top w:val="single" w:sz="8" w:space="0" w:color="000000"/>
              <w:left w:val="nil"/>
              <w:bottom w:val="single" w:sz="8" w:space="0" w:color="000000"/>
              <w:right w:val="single" w:sz="8" w:space="0" w:color="000000"/>
            </w:tcBorders>
            <w:shd w:val="clear" w:color="auto" w:fill="F2F2F2"/>
            <w:tcMar>
              <w:top w:w="0" w:type="dxa"/>
              <w:left w:w="100" w:type="dxa"/>
              <w:bottom w:w="0" w:type="dxa"/>
              <w:right w:w="100" w:type="dxa"/>
            </w:tcMar>
          </w:tcPr>
          <w:p w14:paraId="7AA02308"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Durée légale du congé</w:t>
            </w:r>
          </w:p>
        </w:tc>
        <w:tc>
          <w:tcPr>
            <w:tcW w:w="3818" w:type="dxa"/>
            <w:tcBorders>
              <w:top w:val="single" w:sz="8" w:space="0" w:color="000000"/>
              <w:left w:val="nil"/>
              <w:bottom w:val="single" w:sz="8" w:space="0" w:color="000000"/>
              <w:right w:val="single" w:sz="8" w:space="0" w:color="000000"/>
            </w:tcBorders>
            <w:shd w:val="clear" w:color="auto" w:fill="F2F2F2"/>
            <w:tcMar>
              <w:top w:w="0" w:type="dxa"/>
              <w:left w:w="100" w:type="dxa"/>
              <w:bottom w:w="0" w:type="dxa"/>
              <w:right w:w="100" w:type="dxa"/>
            </w:tcMar>
          </w:tcPr>
          <w:p w14:paraId="6C6CEF6D"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Nombre de jours en application de cet accord collectif, propre à la société Bam Holding</w:t>
            </w:r>
          </w:p>
        </w:tc>
      </w:tr>
      <w:tr w:rsidR="006A491A" w14:paraId="1A0FCE3A" w14:textId="77777777">
        <w:trPr>
          <w:trHeight w:val="510"/>
        </w:trPr>
        <w:tc>
          <w:tcPr>
            <w:tcW w:w="3818"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CA026EA"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Naissance / Adoption (hors congés paternité / maternité)</w:t>
            </w:r>
          </w:p>
        </w:tc>
        <w:tc>
          <w:tcPr>
            <w:tcW w:w="1435" w:type="dxa"/>
            <w:tcBorders>
              <w:top w:val="nil"/>
              <w:left w:val="nil"/>
              <w:bottom w:val="single" w:sz="8" w:space="0" w:color="000000"/>
              <w:right w:val="single" w:sz="8" w:space="0" w:color="000000"/>
            </w:tcBorders>
            <w:tcMar>
              <w:top w:w="0" w:type="dxa"/>
              <w:left w:w="100" w:type="dxa"/>
              <w:bottom w:w="0" w:type="dxa"/>
              <w:right w:w="100" w:type="dxa"/>
            </w:tcMar>
          </w:tcPr>
          <w:p w14:paraId="1701A033"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3 jours</w:t>
            </w:r>
          </w:p>
        </w:tc>
        <w:tc>
          <w:tcPr>
            <w:tcW w:w="3818" w:type="dxa"/>
            <w:tcBorders>
              <w:top w:val="nil"/>
              <w:left w:val="nil"/>
              <w:bottom w:val="single" w:sz="8" w:space="0" w:color="000000"/>
              <w:right w:val="single" w:sz="8" w:space="0" w:color="000000"/>
            </w:tcBorders>
            <w:tcMar>
              <w:top w:w="0" w:type="dxa"/>
              <w:left w:w="100" w:type="dxa"/>
              <w:bottom w:w="0" w:type="dxa"/>
              <w:right w:w="100" w:type="dxa"/>
            </w:tcMar>
          </w:tcPr>
          <w:p w14:paraId="346B790E"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3 jours</w:t>
            </w:r>
          </w:p>
        </w:tc>
      </w:tr>
      <w:tr w:rsidR="006A491A" w14:paraId="18463271" w14:textId="77777777">
        <w:trPr>
          <w:trHeight w:val="510"/>
        </w:trPr>
        <w:tc>
          <w:tcPr>
            <w:tcW w:w="3818"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B674D20"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 xml:space="preserve">Mariage ou PACS du / de la </w:t>
            </w:r>
            <w:proofErr w:type="spellStart"/>
            <w:proofErr w:type="gramStart"/>
            <w:r>
              <w:rPr>
                <w:rFonts w:ascii="Arial" w:eastAsia="Arial" w:hAnsi="Arial" w:cs="Arial"/>
                <w:sz w:val="20"/>
                <w:szCs w:val="20"/>
              </w:rPr>
              <w:t>salarié.e</w:t>
            </w:r>
            <w:proofErr w:type="spellEnd"/>
            <w:proofErr w:type="gramEnd"/>
          </w:p>
        </w:tc>
        <w:tc>
          <w:tcPr>
            <w:tcW w:w="1435" w:type="dxa"/>
            <w:tcBorders>
              <w:top w:val="nil"/>
              <w:left w:val="nil"/>
              <w:bottom w:val="single" w:sz="8" w:space="0" w:color="000000"/>
              <w:right w:val="single" w:sz="8" w:space="0" w:color="000000"/>
            </w:tcBorders>
            <w:tcMar>
              <w:top w:w="0" w:type="dxa"/>
              <w:left w:w="100" w:type="dxa"/>
              <w:bottom w:w="0" w:type="dxa"/>
              <w:right w:w="100" w:type="dxa"/>
            </w:tcMar>
          </w:tcPr>
          <w:p w14:paraId="7506BE75"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4 jours</w:t>
            </w:r>
          </w:p>
        </w:tc>
        <w:tc>
          <w:tcPr>
            <w:tcW w:w="3818" w:type="dxa"/>
            <w:tcBorders>
              <w:top w:val="nil"/>
              <w:left w:val="nil"/>
              <w:bottom w:val="single" w:sz="8" w:space="0" w:color="000000"/>
              <w:right w:val="single" w:sz="8" w:space="0" w:color="000000"/>
            </w:tcBorders>
            <w:tcMar>
              <w:top w:w="0" w:type="dxa"/>
              <w:left w:w="100" w:type="dxa"/>
              <w:bottom w:w="0" w:type="dxa"/>
              <w:right w:w="100" w:type="dxa"/>
            </w:tcMar>
          </w:tcPr>
          <w:p w14:paraId="1EC575D5"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4 jours</w:t>
            </w:r>
          </w:p>
        </w:tc>
      </w:tr>
      <w:tr w:rsidR="006A491A" w14:paraId="05161101" w14:textId="77777777">
        <w:trPr>
          <w:trHeight w:val="510"/>
        </w:trPr>
        <w:tc>
          <w:tcPr>
            <w:tcW w:w="3818"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809C628"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 xml:space="preserve">Mariage ou PACS d’un enfant du / de la </w:t>
            </w:r>
            <w:proofErr w:type="spellStart"/>
            <w:proofErr w:type="gramStart"/>
            <w:r>
              <w:rPr>
                <w:rFonts w:ascii="Arial" w:eastAsia="Arial" w:hAnsi="Arial" w:cs="Arial"/>
                <w:sz w:val="20"/>
                <w:szCs w:val="20"/>
              </w:rPr>
              <w:t>salarié.e</w:t>
            </w:r>
            <w:proofErr w:type="spellEnd"/>
            <w:proofErr w:type="gramEnd"/>
          </w:p>
        </w:tc>
        <w:tc>
          <w:tcPr>
            <w:tcW w:w="1435" w:type="dxa"/>
            <w:tcBorders>
              <w:top w:val="nil"/>
              <w:left w:val="nil"/>
              <w:bottom w:val="single" w:sz="8" w:space="0" w:color="000000"/>
              <w:right w:val="single" w:sz="8" w:space="0" w:color="000000"/>
            </w:tcBorders>
            <w:tcMar>
              <w:top w:w="0" w:type="dxa"/>
              <w:left w:w="100" w:type="dxa"/>
              <w:bottom w:w="0" w:type="dxa"/>
              <w:right w:w="100" w:type="dxa"/>
            </w:tcMar>
          </w:tcPr>
          <w:p w14:paraId="0A03D3B6"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 jour</w:t>
            </w:r>
          </w:p>
        </w:tc>
        <w:tc>
          <w:tcPr>
            <w:tcW w:w="3818" w:type="dxa"/>
            <w:tcBorders>
              <w:top w:val="nil"/>
              <w:left w:val="nil"/>
              <w:bottom w:val="single" w:sz="8" w:space="0" w:color="000000"/>
              <w:right w:val="single" w:sz="8" w:space="0" w:color="000000"/>
            </w:tcBorders>
            <w:tcMar>
              <w:top w:w="0" w:type="dxa"/>
              <w:left w:w="100" w:type="dxa"/>
              <w:bottom w:w="0" w:type="dxa"/>
              <w:right w:w="100" w:type="dxa"/>
            </w:tcMar>
          </w:tcPr>
          <w:p w14:paraId="4FDDA52A"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 jour</w:t>
            </w:r>
          </w:p>
        </w:tc>
      </w:tr>
    </w:tbl>
    <w:p w14:paraId="3A97178C" w14:textId="77777777" w:rsidR="006A491A" w:rsidRDefault="006A491A">
      <w:pPr>
        <w:spacing w:after="0" w:line="240" w:lineRule="auto"/>
        <w:jc w:val="both"/>
        <w:rPr>
          <w:rFonts w:ascii="Arial" w:eastAsia="Arial" w:hAnsi="Arial" w:cs="Arial"/>
          <w:b/>
          <w:color w:val="E50071"/>
          <w:sz w:val="20"/>
          <w:szCs w:val="20"/>
          <w:u w:val="single"/>
        </w:rPr>
      </w:pPr>
    </w:p>
    <w:p w14:paraId="516F3AF0" w14:textId="77777777" w:rsidR="006A491A" w:rsidRDefault="00000000">
      <w:pPr>
        <w:spacing w:after="0" w:line="240" w:lineRule="auto"/>
        <w:jc w:val="both"/>
        <w:rPr>
          <w:rFonts w:ascii="Arial" w:eastAsia="Arial" w:hAnsi="Arial" w:cs="Arial"/>
          <w:b/>
          <w:color w:val="E50071"/>
          <w:sz w:val="20"/>
          <w:szCs w:val="20"/>
          <w:u w:val="single"/>
        </w:rPr>
      </w:pPr>
      <w:r>
        <w:rPr>
          <w:rFonts w:ascii="Arial" w:eastAsia="Arial" w:hAnsi="Arial" w:cs="Arial"/>
          <w:b/>
          <w:color w:val="E50071"/>
          <w:sz w:val="20"/>
          <w:szCs w:val="20"/>
          <w:u w:val="single"/>
        </w:rPr>
        <w:t xml:space="preserve"> </w:t>
      </w:r>
    </w:p>
    <w:p w14:paraId="3334E44D" w14:textId="77777777" w:rsidR="006A491A" w:rsidRDefault="00000000">
      <w:pPr>
        <w:spacing w:after="0" w:line="240" w:lineRule="auto"/>
        <w:jc w:val="both"/>
        <w:rPr>
          <w:rFonts w:ascii="Arial" w:eastAsia="Arial" w:hAnsi="Arial" w:cs="Arial"/>
          <w:b/>
          <w:color w:val="0000FF"/>
          <w:sz w:val="20"/>
          <w:szCs w:val="20"/>
          <w:u w:val="single"/>
        </w:rPr>
      </w:pPr>
      <w:r>
        <w:rPr>
          <w:rFonts w:ascii="Arial" w:eastAsia="Arial" w:hAnsi="Arial" w:cs="Arial"/>
          <w:b/>
          <w:color w:val="0000FF"/>
          <w:sz w:val="20"/>
          <w:szCs w:val="20"/>
          <w:u w:val="single"/>
        </w:rPr>
        <w:t>Décès</w:t>
      </w:r>
    </w:p>
    <w:p w14:paraId="0F273305" w14:textId="77777777" w:rsidR="006A491A" w:rsidRDefault="00000000">
      <w:pPr>
        <w:spacing w:after="0" w:line="240" w:lineRule="auto"/>
        <w:jc w:val="both"/>
        <w:rPr>
          <w:rFonts w:ascii="Arial" w:eastAsia="Arial" w:hAnsi="Arial" w:cs="Arial"/>
          <w:b/>
          <w:sz w:val="20"/>
          <w:szCs w:val="20"/>
        </w:rPr>
      </w:pPr>
      <w:r>
        <w:rPr>
          <w:rFonts w:ascii="Arial" w:eastAsia="Arial" w:hAnsi="Arial" w:cs="Arial"/>
          <w:b/>
          <w:sz w:val="20"/>
          <w:szCs w:val="20"/>
        </w:rPr>
        <w:t xml:space="preserve"> </w:t>
      </w:r>
    </w:p>
    <w:tbl>
      <w:tblPr>
        <w:tblStyle w:val="a0"/>
        <w:tblW w:w="87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20"/>
        <w:gridCol w:w="2505"/>
        <w:gridCol w:w="2265"/>
      </w:tblGrid>
      <w:tr w:rsidR="006A491A" w14:paraId="009A97C5" w14:textId="77777777">
        <w:trPr>
          <w:trHeight w:val="345"/>
        </w:trPr>
        <w:tc>
          <w:tcPr>
            <w:tcW w:w="402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0" w:type="dxa"/>
              <w:bottom w:w="0" w:type="dxa"/>
              <w:right w:w="100" w:type="dxa"/>
            </w:tcMar>
          </w:tcPr>
          <w:p w14:paraId="6DDD0082"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Nature de l’événement</w:t>
            </w:r>
          </w:p>
        </w:tc>
        <w:tc>
          <w:tcPr>
            <w:tcW w:w="2505" w:type="dxa"/>
            <w:tcBorders>
              <w:top w:val="single" w:sz="8" w:space="0" w:color="000000"/>
              <w:left w:val="nil"/>
              <w:bottom w:val="single" w:sz="8" w:space="0" w:color="000000"/>
              <w:right w:val="single" w:sz="8" w:space="0" w:color="000000"/>
            </w:tcBorders>
            <w:shd w:val="clear" w:color="auto" w:fill="F2F2F2"/>
            <w:tcMar>
              <w:top w:w="0" w:type="dxa"/>
              <w:left w:w="100" w:type="dxa"/>
              <w:bottom w:w="0" w:type="dxa"/>
              <w:right w:w="100" w:type="dxa"/>
            </w:tcMar>
          </w:tcPr>
          <w:p w14:paraId="5269762F"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Durée légale du congé</w:t>
            </w:r>
          </w:p>
        </w:tc>
        <w:tc>
          <w:tcPr>
            <w:tcW w:w="2265" w:type="dxa"/>
            <w:tcBorders>
              <w:top w:val="single" w:sz="8" w:space="0" w:color="000000"/>
              <w:left w:val="nil"/>
              <w:bottom w:val="single" w:sz="8" w:space="0" w:color="000000"/>
              <w:right w:val="single" w:sz="8" w:space="0" w:color="000000"/>
            </w:tcBorders>
            <w:shd w:val="clear" w:color="auto" w:fill="F2F2F2"/>
            <w:tcMar>
              <w:top w:w="0" w:type="dxa"/>
              <w:left w:w="100" w:type="dxa"/>
              <w:bottom w:w="0" w:type="dxa"/>
              <w:right w:w="100" w:type="dxa"/>
            </w:tcMar>
          </w:tcPr>
          <w:p w14:paraId="32E7C5C3"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Nombre de jours en application de cet accord collectif, propre à la société Bam Holding</w:t>
            </w:r>
          </w:p>
        </w:tc>
      </w:tr>
      <w:tr w:rsidR="006A491A" w14:paraId="5700FA4C" w14:textId="77777777">
        <w:trPr>
          <w:trHeight w:val="450"/>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5BD1072"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 xml:space="preserve">Décès du / de la </w:t>
            </w:r>
            <w:proofErr w:type="spellStart"/>
            <w:proofErr w:type="gramStart"/>
            <w:r>
              <w:rPr>
                <w:rFonts w:ascii="Arial" w:eastAsia="Arial" w:hAnsi="Arial" w:cs="Arial"/>
                <w:sz w:val="20"/>
                <w:szCs w:val="20"/>
              </w:rPr>
              <w:t>conjoint.e</w:t>
            </w:r>
            <w:proofErr w:type="spellEnd"/>
            <w:proofErr w:type="gramEnd"/>
            <w:r>
              <w:rPr>
                <w:rFonts w:ascii="Arial" w:eastAsia="Arial" w:hAnsi="Arial" w:cs="Arial"/>
                <w:sz w:val="20"/>
                <w:szCs w:val="20"/>
              </w:rPr>
              <w:t xml:space="preserve">, </w:t>
            </w:r>
            <w:proofErr w:type="spellStart"/>
            <w:r>
              <w:rPr>
                <w:rFonts w:ascii="Arial" w:eastAsia="Arial" w:hAnsi="Arial" w:cs="Arial"/>
                <w:sz w:val="20"/>
                <w:szCs w:val="20"/>
              </w:rPr>
              <w:t>concubin.e</w:t>
            </w:r>
            <w:proofErr w:type="spellEnd"/>
            <w:r>
              <w:rPr>
                <w:rFonts w:ascii="Arial" w:eastAsia="Arial" w:hAnsi="Arial" w:cs="Arial"/>
                <w:sz w:val="20"/>
                <w:szCs w:val="20"/>
              </w:rPr>
              <w:t xml:space="preserve"> ou partenaire </w:t>
            </w:r>
            <w:proofErr w:type="spellStart"/>
            <w:r>
              <w:rPr>
                <w:rFonts w:ascii="Arial" w:eastAsia="Arial" w:hAnsi="Arial" w:cs="Arial"/>
                <w:sz w:val="20"/>
                <w:szCs w:val="20"/>
              </w:rPr>
              <w:t>lié.e</w:t>
            </w:r>
            <w:proofErr w:type="spellEnd"/>
            <w:r>
              <w:rPr>
                <w:rFonts w:ascii="Arial" w:eastAsia="Arial" w:hAnsi="Arial" w:cs="Arial"/>
                <w:sz w:val="20"/>
                <w:szCs w:val="20"/>
              </w:rPr>
              <w:t xml:space="preserve"> par un PACS</w:t>
            </w:r>
          </w:p>
        </w:tc>
        <w:tc>
          <w:tcPr>
            <w:tcW w:w="2505" w:type="dxa"/>
            <w:tcBorders>
              <w:top w:val="nil"/>
              <w:left w:val="nil"/>
              <w:bottom w:val="single" w:sz="8" w:space="0" w:color="000000"/>
              <w:right w:val="single" w:sz="8" w:space="0" w:color="000000"/>
            </w:tcBorders>
            <w:tcMar>
              <w:top w:w="0" w:type="dxa"/>
              <w:left w:w="100" w:type="dxa"/>
              <w:bottom w:w="0" w:type="dxa"/>
              <w:right w:w="100" w:type="dxa"/>
            </w:tcMar>
          </w:tcPr>
          <w:p w14:paraId="012CC1E2"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3 jours</w:t>
            </w:r>
          </w:p>
        </w:tc>
        <w:tc>
          <w:tcPr>
            <w:tcW w:w="2265" w:type="dxa"/>
            <w:tcBorders>
              <w:top w:val="nil"/>
              <w:left w:val="nil"/>
              <w:bottom w:val="single" w:sz="8" w:space="0" w:color="000000"/>
              <w:right w:val="single" w:sz="8" w:space="0" w:color="000000"/>
            </w:tcBorders>
            <w:tcMar>
              <w:top w:w="0" w:type="dxa"/>
              <w:left w:w="100" w:type="dxa"/>
              <w:bottom w:w="0" w:type="dxa"/>
              <w:right w:w="100" w:type="dxa"/>
            </w:tcMar>
          </w:tcPr>
          <w:p w14:paraId="2D169939"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5 jours</w:t>
            </w:r>
          </w:p>
        </w:tc>
      </w:tr>
      <w:tr w:rsidR="006A491A" w14:paraId="696EA9DD" w14:textId="77777777">
        <w:trPr>
          <w:trHeight w:val="315"/>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B8F0BBD"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Décès d’un enfant de moins de 25 ans</w:t>
            </w:r>
          </w:p>
        </w:tc>
        <w:tc>
          <w:tcPr>
            <w:tcW w:w="2505" w:type="dxa"/>
            <w:tcBorders>
              <w:top w:val="nil"/>
              <w:left w:val="nil"/>
              <w:bottom w:val="single" w:sz="8" w:space="0" w:color="000000"/>
              <w:right w:val="single" w:sz="8" w:space="0" w:color="000000"/>
            </w:tcBorders>
            <w:tcMar>
              <w:top w:w="0" w:type="dxa"/>
              <w:left w:w="100" w:type="dxa"/>
              <w:bottom w:w="0" w:type="dxa"/>
              <w:right w:w="100" w:type="dxa"/>
            </w:tcMar>
          </w:tcPr>
          <w:p w14:paraId="19C236D1"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14 jours</w:t>
            </w:r>
          </w:p>
        </w:tc>
        <w:tc>
          <w:tcPr>
            <w:tcW w:w="2265" w:type="dxa"/>
            <w:tcBorders>
              <w:top w:val="nil"/>
              <w:left w:val="nil"/>
              <w:bottom w:val="single" w:sz="8" w:space="0" w:color="000000"/>
              <w:right w:val="single" w:sz="8" w:space="0" w:color="000000"/>
            </w:tcBorders>
            <w:tcMar>
              <w:top w:w="0" w:type="dxa"/>
              <w:left w:w="100" w:type="dxa"/>
              <w:bottom w:w="0" w:type="dxa"/>
              <w:right w:w="100" w:type="dxa"/>
            </w:tcMar>
          </w:tcPr>
          <w:p w14:paraId="4ABDABA5"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14 jours</w:t>
            </w:r>
          </w:p>
        </w:tc>
      </w:tr>
      <w:tr w:rsidR="006A491A" w14:paraId="25DE9F12" w14:textId="77777777">
        <w:trPr>
          <w:trHeight w:val="720"/>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57763B8"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Décès d’une personne âgée de moins de 25 ans à la charge effective et permanente du salarié</w:t>
            </w:r>
          </w:p>
        </w:tc>
        <w:tc>
          <w:tcPr>
            <w:tcW w:w="2505" w:type="dxa"/>
            <w:tcBorders>
              <w:top w:val="nil"/>
              <w:left w:val="nil"/>
              <w:bottom w:val="single" w:sz="8" w:space="0" w:color="000000"/>
              <w:right w:val="single" w:sz="8" w:space="0" w:color="000000"/>
            </w:tcBorders>
            <w:tcMar>
              <w:top w:w="0" w:type="dxa"/>
              <w:left w:w="100" w:type="dxa"/>
              <w:bottom w:w="0" w:type="dxa"/>
              <w:right w:w="100" w:type="dxa"/>
            </w:tcMar>
          </w:tcPr>
          <w:p w14:paraId="60395AEA"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8 jours</w:t>
            </w:r>
          </w:p>
        </w:tc>
        <w:tc>
          <w:tcPr>
            <w:tcW w:w="2265" w:type="dxa"/>
            <w:tcBorders>
              <w:top w:val="nil"/>
              <w:left w:val="nil"/>
              <w:bottom w:val="single" w:sz="8" w:space="0" w:color="000000"/>
              <w:right w:val="single" w:sz="8" w:space="0" w:color="000000"/>
            </w:tcBorders>
            <w:tcMar>
              <w:top w:w="0" w:type="dxa"/>
              <w:left w:w="100" w:type="dxa"/>
              <w:bottom w:w="0" w:type="dxa"/>
              <w:right w:w="100" w:type="dxa"/>
            </w:tcMar>
          </w:tcPr>
          <w:p w14:paraId="1361B161"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8 jours</w:t>
            </w:r>
          </w:p>
        </w:tc>
      </w:tr>
      <w:tr w:rsidR="006A491A" w14:paraId="2FDB2257" w14:textId="77777777">
        <w:trPr>
          <w:trHeight w:val="495"/>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68893E4B"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Décès d’un enfant de plus de 25 ans, sans enfant lui-même</w:t>
            </w:r>
          </w:p>
        </w:tc>
        <w:tc>
          <w:tcPr>
            <w:tcW w:w="2505" w:type="dxa"/>
            <w:tcBorders>
              <w:top w:val="nil"/>
              <w:left w:val="nil"/>
              <w:bottom w:val="single" w:sz="8" w:space="0" w:color="000000"/>
              <w:right w:val="single" w:sz="8" w:space="0" w:color="000000"/>
            </w:tcBorders>
            <w:tcMar>
              <w:top w:w="0" w:type="dxa"/>
              <w:left w:w="100" w:type="dxa"/>
              <w:bottom w:w="0" w:type="dxa"/>
              <w:right w:w="100" w:type="dxa"/>
            </w:tcMar>
          </w:tcPr>
          <w:p w14:paraId="7427AB65"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5 jours</w:t>
            </w:r>
          </w:p>
        </w:tc>
        <w:tc>
          <w:tcPr>
            <w:tcW w:w="2265" w:type="dxa"/>
            <w:tcBorders>
              <w:top w:val="nil"/>
              <w:left w:val="nil"/>
              <w:bottom w:val="single" w:sz="8" w:space="0" w:color="000000"/>
              <w:right w:val="single" w:sz="8" w:space="0" w:color="000000"/>
            </w:tcBorders>
            <w:tcMar>
              <w:top w:w="0" w:type="dxa"/>
              <w:left w:w="100" w:type="dxa"/>
              <w:bottom w:w="0" w:type="dxa"/>
              <w:right w:w="100" w:type="dxa"/>
            </w:tcMar>
          </w:tcPr>
          <w:p w14:paraId="30E72DF7"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5 jours</w:t>
            </w:r>
          </w:p>
        </w:tc>
      </w:tr>
      <w:tr w:rsidR="006A491A" w14:paraId="32DD7445" w14:textId="77777777">
        <w:trPr>
          <w:trHeight w:val="465"/>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4C133A2"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Décès d’un enfant lui-même parent, quel que soit son âge</w:t>
            </w:r>
          </w:p>
        </w:tc>
        <w:tc>
          <w:tcPr>
            <w:tcW w:w="2505" w:type="dxa"/>
            <w:tcBorders>
              <w:top w:val="nil"/>
              <w:left w:val="nil"/>
              <w:bottom w:val="single" w:sz="8" w:space="0" w:color="000000"/>
              <w:right w:val="single" w:sz="8" w:space="0" w:color="000000"/>
            </w:tcBorders>
            <w:shd w:val="clear" w:color="auto" w:fill="FFFFFF"/>
            <w:tcMar>
              <w:top w:w="0" w:type="dxa"/>
              <w:left w:w="100" w:type="dxa"/>
              <w:bottom w:w="0" w:type="dxa"/>
              <w:right w:w="100" w:type="dxa"/>
            </w:tcMar>
          </w:tcPr>
          <w:p w14:paraId="02E68108"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7 jours</w:t>
            </w:r>
          </w:p>
        </w:tc>
        <w:tc>
          <w:tcPr>
            <w:tcW w:w="2265" w:type="dxa"/>
            <w:tcBorders>
              <w:top w:val="nil"/>
              <w:left w:val="nil"/>
              <w:bottom w:val="single" w:sz="8" w:space="0" w:color="000000"/>
              <w:right w:val="single" w:sz="8" w:space="0" w:color="000000"/>
            </w:tcBorders>
            <w:shd w:val="clear" w:color="auto" w:fill="FFFFFF"/>
            <w:tcMar>
              <w:top w:w="0" w:type="dxa"/>
              <w:left w:w="100" w:type="dxa"/>
              <w:bottom w:w="0" w:type="dxa"/>
              <w:right w:w="100" w:type="dxa"/>
            </w:tcMar>
          </w:tcPr>
          <w:p w14:paraId="5FF0C5B4"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7 jours</w:t>
            </w:r>
          </w:p>
        </w:tc>
      </w:tr>
      <w:tr w:rsidR="006A491A" w14:paraId="6644D6D2" w14:textId="77777777">
        <w:trPr>
          <w:trHeight w:val="1155"/>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4C2386E"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 xml:space="preserve">Décès du père, de la mère, du frère, de la sœur, du </w:t>
            </w:r>
            <w:proofErr w:type="spellStart"/>
            <w:r>
              <w:rPr>
                <w:rFonts w:ascii="Arial" w:eastAsia="Arial" w:hAnsi="Arial" w:cs="Arial"/>
                <w:sz w:val="20"/>
                <w:szCs w:val="20"/>
              </w:rPr>
              <w:t>beau père</w:t>
            </w:r>
            <w:proofErr w:type="spellEnd"/>
            <w:r>
              <w:rPr>
                <w:rFonts w:ascii="Arial" w:eastAsia="Arial" w:hAnsi="Arial" w:cs="Arial"/>
                <w:sz w:val="20"/>
                <w:szCs w:val="20"/>
              </w:rPr>
              <w:t xml:space="preserve"> ou de la belle-mère (entendus comme le / la </w:t>
            </w:r>
            <w:proofErr w:type="spellStart"/>
            <w:proofErr w:type="gramStart"/>
            <w:r>
              <w:rPr>
                <w:rFonts w:ascii="Arial" w:eastAsia="Arial" w:hAnsi="Arial" w:cs="Arial"/>
                <w:sz w:val="20"/>
                <w:szCs w:val="20"/>
              </w:rPr>
              <w:t>conjoint.e</w:t>
            </w:r>
            <w:proofErr w:type="spellEnd"/>
            <w:proofErr w:type="gramEnd"/>
            <w:r>
              <w:rPr>
                <w:rFonts w:ascii="Arial" w:eastAsia="Arial" w:hAnsi="Arial" w:cs="Arial"/>
                <w:sz w:val="20"/>
                <w:szCs w:val="20"/>
              </w:rPr>
              <w:t xml:space="preserve"> du parent)</w:t>
            </w:r>
          </w:p>
        </w:tc>
        <w:tc>
          <w:tcPr>
            <w:tcW w:w="2505" w:type="dxa"/>
            <w:tcBorders>
              <w:top w:val="nil"/>
              <w:left w:val="nil"/>
              <w:bottom w:val="single" w:sz="8" w:space="0" w:color="000000"/>
              <w:right w:val="single" w:sz="8" w:space="0" w:color="000000"/>
            </w:tcBorders>
            <w:shd w:val="clear" w:color="auto" w:fill="FFFFFF"/>
            <w:tcMar>
              <w:top w:w="0" w:type="dxa"/>
              <w:left w:w="100" w:type="dxa"/>
              <w:bottom w:w="0" w:type="dxa"/>
              <w:right w:w="100" w:type="dxa"/>
            </w:tcMar>
          </w:tcPr>
          <w:p w14:paraId="59FBCB18"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3 jours</w:t>
            </w:r>
          </w:p>
        </w:tc>
        <w:tc>
          <w:tcPr>
            <w:tcW w:w="2265" w:type="dxa"/>
            <w:tcBorders>
              <w:top w:val="nil"/>
              <w:left w:val="nil"/>
              <w:bottom w:val="single" w:sz="8" w:space="0" w:color="000000"/>
              <w:right w:val="single" w:sz="8" w:space="0" w:color="000000"/>
            </w:tcBorders>
            <w:shd w:val="clear" w:color="auto" w:fill="FFFFFF"/>
            <w:tcMar>
              <w:top w:w="0" w:type="dxa"/>
              <w:left w:w="100" w:type="dxa"/>
              <w:bottom w:w="0" w:type="dxa"/>
              <w:right w:w="100" w:type="dxa"/>
            </w:tcMar>
          </w:tcPr>
          <w:p w14:paraId="2BAB50BB"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5 jours</w:t>
            </w:r>
          </w:p>
        </w:tc>
      </w:tr>
      <w:tr w:rsidR="006A491A" w14:paraId="279C9379" w14:textId="77777777">
        <w:trPr>
          <w:trHeight w:val="810"/>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79F21BAA"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lastRenderedPageBreak/>
              <w:t xml:space="preserve">Décès de la belle-mère ou du beau-père (entendus seulement comme les parents du / de la </w:t>
            </w:r>
            <w:proofErr w:type="spellStart"/>
            <w:proofErr w:type="gramStart"/>
            <w:r>
              <w:rPr>
                <w:rFonts w:ascii="Arial" w:eastAsia="Arial" w:hAnsi="Arial" w:cs="Arial"/>
                <w:sz w:val="20"/>
                <w:szCs w:val="20"/>
              </w:rPr>
              <w:t>conjoint.e</w:t>
            </w:r>
            <w:proofErr w:type="spellEnd"/>
            <w:proofErr w:type="gramEnd"/>
            <w:r>
              <w:rPr>
                <w:rFonts w:ascii="Arial" w:eastAsia="Arial" w:hAnsi="Arial" w:cs="Arial"/>
                <w:sz w:val="20"/>
                <w:szCs w:val="20"/>
              </w:rPr>
              <w:t>)</w:t>
            </w:r>
          </w:p>
        </w:tc>
        <w:tc>
          <w:tcPr>
            <w:tcW w:w="2505" w:type="dxa"/>
            <w:tcBorders>
              <w:top w:val="nil"/>
              <w:left w:val="nil"/>
              <w:bottom w:val="single" w:sz="8" w:space="0" w:color="000000"/>
              <w:right w:val="single" w:sz="8" w:space="0" w:color="000000"/>
            </w:tcBorders>
            <w:shd w:val="clear" w:color="auto" w:fill="FFFFFF"/>
            <w:tcMar>
              <w:top w:w="0" w:type="dxa"/>
              <w:left w:w="100" w:type="dxa"/>
              <w:bottom w:w="0" w:type="dxa"/>
              <w:right w:w="100" w:type="dxa"/>
            </w:tcMar>
          </w:tcPr>
          <w:p w14:paraId="581C3FBE"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3 jours</w:t>
            </w:r>
          </w:p>
        </w:tc>
        <w:tc>
          <w:tcPr>
            <w:tcW w:w="2265" w:type="dxa"/>
            <w:tcBorders>
              <w:top w:val="nil"/>
              <w:left w:val="nil"/>
              <w:bottom w:val="single" w:sz="8" w:space="0" w:color="000000"/>
              <w:right w:val="single" w:sz="8" w:space="0" w:color="000000"/>
            </w:tcBorders>
            <w:shd w:val="clear" w:color="auto" w:fill="FFFFFF"/>
            <w:tcMar>
              <w:top w:w="0" w:type="dxa"/>
              <w:left w:w="100" w:type="dxa"/>
              <w:bottom w:w="0" w:type="dxa"/>
              <w:right w:w="100" w:type="dxa"/>
            </w:tcMar>
          </w:tcPr>
          <w:p w14:paraId="4EC646F2"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3 jours</w:t>
            </w:r>
          </w:p>
        </w:tc>
      </w:tr>
      <w:tr w:rsidR="006A491A" w14:paraId="0EB3B559" w14:textId="77777777">
        <w:trPr>
          <w:trHeight w:val="960"/>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CD24F77"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Décès de la grand-mère, du grand-père du salarié ou du conjoint (entendu la grand-mère ou le grand père du conjoint)</w:t>
            </w:r>
          </w:p>
        </w:tc>
        <w:tc>
          <w:tcPr>
            <w:tcW w:w="2505" w:type="dxa"/>
            <w:tcBorders>
              <w:top w:val="nil"/>
              <w:left w:val="nil"/>
              <w:bottom w:val="single" w:sz="8" w:space="0" w:color="000000"/>
              <w:right w:val="single" w:sz="8" w:space="0" w:color="000000"/>
            </w:tcBorders>
            <w:tcMar>
              <w:top w:w="0" w:type="dxa"/>
              <w:left w:w="100" w:type="dxa"/>
              <w:bottom w:w="0" w:type="dxa"/>
              <w:right w:w="100" w:type="dxa"/>
            </w:tcMar>
          </w:tcPr>
          <w:p w14:paraId="6B3F5F25"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 jour</w:t>
            </w:r>
          </w:p>
        </w:tc>
        <w:tc>
          <w:tcPr>
            <w:tcW w:w="2265" w:type="dxa"/>
            <w:tcBorders>
              <w:top w:val="nil"/>
              <w:left w:val="nil"/>
              <w:bottom w:val="single" w:sz="8" w:space="0" w:color="000000"/>
              <w:right w:val="single" w:sz="8" w:space="0" w:color="000000"/>
            </w:tcBorders>
            <w:tcMar>
              <w:top w:w="0" w:type="dxa"/>
              <w:left w:w="100" w:type="dxa"/>
              <w:bottom w:w="0" w:type="dxa"/>
              <w:right w:w="100" w:type="dxa"/>
            </w:tcMar>
          </w:tcPr>
          <w:p w14:paraId="79320340"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 jour</w:t>
            </w:r>
          </w:p>
        </w:tc>
      </w:tr>
      <w:tr w:rsidR="006A491A" w14:paraId="39D01D8D" w14:textId="77777777">
        <w:trPr>
          <w:trHeight w:val="750"/>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F40DDFE"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Décès d’un petit-enfant du salarié ou du conjoint (entendu le petit enfant du conjoint)</w:t>
            </w:r>
          </w:p>
        </w:tc>
        <w:tc>
          <w:tcPr>
            <w:tcW w:w="2505" w:type="dxa"/>
            <w:tcBorders>
              <w:top w:val="nil"/>
              <w:left w:val="nil"/>
              <w:bottom w:val="single" w:sz="8" w:space="0" w:color="000000"/>
              <w:right w:val="single" w:sz="8" w:space="0" w:color="000000"/>
            </w:tcBorders>
            <w:tcMar>
              <w:top w:w="0" w:type="dxa"/>
              <w:left w:w="100" w:type="dxa"/>
              <w:bottom w:w="0" w:type="dxa"/>
              <w:right w:w="100" w:type="dxa"/>
            </w:tcMar>
          </w:tcPr>
          <w:p w14:paraId="169117C4"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 jour</w:t>
            </w:r>
          </w:p>
        </w:tc>
        <w:tc>
          <w:tcPr>
            <w:tcW w:w="2265" w:type="dxa"/>
            <w:tcBorders>
              <w:top w:val="nil"/>
              <w:left w:val="nil"/>
              <w:bottom w:val="single" w:sz="8" w:space="0" w:color="000000"/>
              <w:right w:val="single" w:sz="8" w:space="0" w:color="000000"/>
            </w:tcBorders>
            <w:tcMar>
              <w:top w:w="0" w:type="dxa"/>
              <w:left w:w="100" w:type="dxa"/>
              <w:bottom w:w="0" w:type="dxa"/>
              <w:right w:w="100" w:type="dxa"/>
            </w:tcMar>
          </w:tcPr>
          <w:p w14:paraId="57498069"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 jour</w:t>
            </w:r>
          </w:p>
        </w:tc>
      </w:tr>
      <w:tr w:rsidR="006A491A" w14:paraId="0703AB57" w14:textId="77777777">
        <w:trPr>
          <w:trHeight w:val="1365"/>
        </w:trPr>
        <w:tc>
          <w:tcPr>
            <w:tcW w:w="402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000A8929" w14:textId="77777777" w:rsidR="006A491A" w:rsidRDefault="00000000">
            <w:pPr>
              <w:spacing w:after="0" w:line="240" w:lineRule="auto"/>
              <w:rPr>
                <w:rFonts w:ascii="Arial" w:eastAsia="Arial" w:hAnsi="Arial" w:cs="Arial"/>
                <w:sz w:val="20"/>
                <w:szCs w:val="20"/>
              </w:rPr>
            </w:pPr>
            <w:r>
              <w:rPr>
                <w:rFonts w:ascii="Arial" w:eastAsia="Arial" w:hAnsi="Arial" w:cs="Arial"/>
                <w:sz w:val="20"/>
                <w:szCs w:val="20"/>
              </w:rPr>
              <w:t>Décès de l’arrière-grand-mère, de l’arrière-grand-père, d’un arrière-petit-enfant du salarié ou du conjoint (entendu l’arrière-grand-mère, l’arrière-grand-père ou l’arrière-petit-enfant du conjoint)</w:t>
            </w:r>
          </w:p>
        </w:tc>
        <w:tc>
          <w:tcPr>
            <w:tcW w:w="2505" w:type="dxa"/>
            <w:tcBorders>
              <w:top w:val="nil"/>
              <w:left w:val="nil"/>
              <w:bottom w:val="single" w:sz="8" w:space="0" w:color="000000"/>
              <w:right w:val="single" w:sz="8" w:space="0" w:color="000000"/>
            </w:tcBorders>
            <w:tcMar>
              <w:top w:w="0" w:type="dxa"/>
              <w:left w:w="100" w:type="dxa"/>
              <w:bottom w:w="0" w:type="dxa"/>
              <w:right w:w="100" w:type="dxa"/>
            </w:tcMar>
          </w:tcPr>
          <w:p w14:paraId="2F3CA2B1"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 jour</w:t>
            </w:r>
          </w:p>
        </w:tc>
        <w:tc>
          <w:tcPr>
            <w:tcW w:w="2265" w:type="dxa"/>
            <w:tcBorders>
              <w:top w:val="nil"/>
              <w:left w:val="nil"/>
              <w:bottom w:val="single" w:sz="8" w:space="0" w:color="000000"/>
              <w:right w:val="single" w:sz="8" w:space="0" w:color="000000"/>
            </w:tcBorders>
            <w:tcMar>
              <w:top w:w="0" w:type="dxa"/>
              <w:left w:w="100" w:type="dxa"/>
              <w:bottom w:w="0" w:type="dxa"/>
              <w:right w:w="100" w:type="dxa"/>
            </w:tcMar>
          </w:tcPr>
          <w:p w14:paraId="443A2E01"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1 jour</w:t>
            </w:r>
          </w:p>
        </w:tc>
      </w:tr>
    </w:tbl>
    <w:p w14:paraId="32D0ED51" w14:textId="77777777" w:rsidR="006A491A" w:rsidRDefault="00000000">
      <w:pPr>
        <w:spacing w:after="0" w:line="240" w:lineRule="auto"/>
        <w:jc w:val="both"/>
        <w:rPr>
          <w:rFonts w:ascii="Verdana" w:eastAsia="Verdana" w:hAnsi="Verdana" w:cs="Verdana"/>
          <w:b/>
          <w:sz w:val="20"/>
          <w:szCs w:val="20"/>
        </w:rPr>
      </w:pPr>
      <w:r>
        <w:rPr>
          <w:rFonts w:ascii="Verdana" w:eastAsia="Verdana" w:hAnsi="Verdana" w:cs="Verdana"/>
          <w:b/>
          <w:sz w:val="20"/>
          <w:szCs w:val="20"/>
        </w:rPr>
        <w:t xml:space="preserve"> </w:t>
      </w:r>
    </w:p>
    <w:p w14:paraId="142D058F" w14:textId="77777777" w:rsidR="006A491A" w:rsidRDefault="00000000">
      <w:pPr>
        <w:spacing w:after="0" w:line="240" w:lineRule="auto"/>
        <w:jc w:val="both"/>
        <w:rPr>
          <w:rFonts w:ascii="Arial" w:eastAsia="Arial" w:hAnsi="Arial" w:cs="Arial"/>
          <w:b/>
          <w:color w:val="0000FF"/>
          <w:sz w:val="20"/>
          <w:szCs w:val="20"/>
          <w:u w:val="single"/>
        </w:rPr>
      </w:pPr>
      <w:r>
        <w:rPr>
          <w:rFonts w:ascii="Arial" w:eastAsia="Arial" w:hAnsi="Arial" w:cs="Arial"/>
          <w:b/>
          <w:color w:val="0000FF"/>
          <w:sz w:val="20"/>
          <w:szCs w:val="20"/>
          <w:u w:val="single"/>
        </w:rPr>
        <w:t>Autres</w:t>
      </w:r>
    </w:p>
    <w:p w14:paraId="1E3AFD38" w14:textId="77777777" w:rsidR="006A491A" w:rsidRDefault="00000000">
      <w:pPr>
        <w:spacing w:after="0" w:line="240" w:lineRule="auto"/>
        <w:jc w:val="both"/>
        <w:rPr>
          <w:rFonts w:ascii="Verdana" w:eastAsia="Verdana" w:hAnsi="Verdana" w:cs="Verdana"/>
          <w:b/>
          <w:color w:val="0000FF"/>
          <w:sz w:val="20"/>
          <w:szCs w:val="20"/>
        </w:rPr>
      </w:pPr>
      <w:r>
        <w:rPr>
          <w:rFonts w:ascii="Verdana" w:eastAsia="Verdana" w:hAnsi="Verdana" w:cs="Verdana"/>
          <w:b/>
          <w:color w:val="0000FF"/>
          <w:sz w:val="20"/>
          <w:szCs w:val="20"/>
        </w:rPr>
        <w:t xml:space="preserve"> </w:t>
      </w:r>
    </w:p>
    <w:tbl>
      <w:tblPr>
        <w:tblStyle w:val="a1"/>
        <w:tblW w:w="88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540"/>
        <w:gridCol w:w="2610"/>
        <w:gridCol w:w="2655"/>
      </w:tblGrid>
      <w:tr w:rsidR="006A491A" w14:paraId="7C9739D1" w14:textId="77777777">
        <w:trPr>
          <w:trHeight w:val="345"/>
        </w:trPr>
        <w:tc>
          <w:tcPr>
            <w:tcW w:w="3540" w:type="dxa"/>
            <w:tcBorders>
              <w:top w:val="single" w:sz="8" w:space="0" w:color="000000"/>
              <w:left w:val="single" w:sz="8" w:space="0" w:color="000000"/>
              <w:bottom w:val="single" w:sz="8" w:space="0" w:color="000000"/>
              <w:right w:val="single" w:sz="8" w:space="0" w:color="000000"/>
            </w:tcBorders>
            <w:shd w:val="clear" w:color="auto" w:fill="D9D9D9"/>
            <w:tcMar>
              <w:top w:w="0" w:type="dxa"/>
              <w:left w:w="100" w:type="dxa"/>
              <w:bottom w:w="0" w:type="dxa"/>
              <w:right w:w="100" w:type="dxa"/>
            </w:tcMar>
          </w:tcPr>
          <w:p w14:paraId="5810FEA5"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Nature de l’événement</w:t>
            </w:r>
          </w:p>
        </w:tc>
        <w:tc>
          <w:tcPr>
            <w:tcW w:w="2610" w:type="dxa"/>
            <w:tcBorders>
              <w:top w:val="single" w:sz="8" w:space="0" w:color="000000"/>
              <w:left w:val="nil"/>
              <w:bottom w:val="single" w:sz="8" w:space="0" w:color="000000"/>
              <w:right w:val="single" w:sz="8" w:space="0" w:color="000000"/>
            </w:tcBorders>
            <w:shd w:val="clear" w:color="auto" w:fill="F2F2F2"/>
            <w:tcMar>
              <w:top w:w="0" w:type="dxa"/>
              <w:left w:w="100" w:type="dxa"/>
              <w:bottom w:w="0" w:type="dxa"/>
              <w:right w:w="100" w:type="dxa"/>
            </w:tcMar>
          </w:tcPr>
          <w:p w14:paraId="1F05EDB7"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Durée légale du congé</w:t>
            </w:r>
          </w:p>
        </w:tc>
        <w:tc>
          <w:tcPr>
            <w:tcW w:w="2655" w:type="dxa"/>
            <w:tcBorders>
              <w:top w:val="single" w:sz="8" w:space="0" w:color="000000"/>
              <w:left w:val="nil"/>
              <w:bottom w:val="single" w:sz="8" w:space="0" w:color="000000"/>
              <w:right w:val="single" w:sz="8" w:space="0" w:color="000000"/>
            </w:tcBorders>
            <w:shd w:val="clear" w:color="auto" w:fill="F2F2F2"/>
            <w:tcMar>
              <w:top w:w="0" w:type="dxa"/>
              <w:left w:w="100" w:type="dxa"/>
              <w:bottom w:w="0" w:type="dxa"/>
              <w:right w:w="100" w:type="dxa"/>
            </w:tcMar>
          </w:tcPr>
          <w:p w14:paraId="417D3CED" w14:textId="77777777" w:rsidR="006A491A" w:rsidRDefault="00000000">
            <w:pPr>
              <w:spacing w:after="0" w:line="240" w:lineRule="auto"/>
              <w:jc w:val="center"/>
              <w:rPr>
                <w:rFonts w:ascii="Arial" w:eastAsia="Arial" w:hAnsi="Arial" w:cs="Arial"/>
                <w:b/>
                <w:sz w:val="20"/>
                <w:szCs w:val="20"/>
              </w:rPr>
            </w:pPr>
            <w:r>
              <w:rPr>
                <w:rFonts w:ascii="Arial" w:eastAsia="Arial" w:hAnsi="Arial" w:cs="Arial"/>
                <w:b/>
                <w:sz w:val="20"/>
                <w:szCs w:val="20"/>
              </w:rPr>
              <w:t>Nombre de jours en application de cet accord collectif, propre à la société Bam Holding</w:t>
            </w:r>
          </w:p>
        </w:tc>
      </w:tr>
      <w:tr w:rsidR="006A491A" w14:paraId="395C49A5" w14:textId="77777777">
        <w:trPr>
          <w:trHeight w:val="315"/>
        </w:trPr>
        <w:tc>
          <w:tcPr>
            <w:tcW w:w="354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50921271"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Congé maternité et congé paternité</w:t>
            </w:r>
          </w:p>
        </w:tc>
        <w:tc>
          <w:tcPr>
            <w:tcW w:w="2610" w:type="dxa"/>
            <w:tcBorders>
              <w:top w:val="nil"/>
              <w:left w:val="nil"/>
              <w:bottom w:val="single" w:sz="8" w:space="0" w:color="000000"/>
              <w:right w:val="single" w:sz="8" w:space="0" w:color="000000"/>
            </w:tcBorders>
            <w:tcMar>
              <w:top w:w="0" w:type="dxa"/>
              <w:left w:w="100" w:type="dxa"/>
              <w:bottom w:w="0" w:type="dxa"/>
              <w:right w:w="100" w:type="dxa"/>
            </w:tcMar>
          </w:tcPr>
          <w:p w14:paraId="0EDA5B49"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 xml:space="preserve">Durée légale </w:t>
            </w:r>
          </w:p>
        </w:tc>
        <w:tc>
          <w:tcPr>
            <w:tcW w:w="2655" w:type="dxa"/>
            <w:tcBorders>
              <w:top w:val="nil"/>
              <w:left w:val="nil"/>
              <w:bottom w:val="single" w:sz="8" w:space="0" w:color="000000"/>
              <w:right w:val="single" w:sz="8" w:space="0" w:color="000000"/>
            </w:tcBorders>
            <w:tcMar>
              <w:top w:w="0" w:type="dxa"/>
              <w:left w:w="100" w:type="dxa"/>
              <w:bottom w:w="0" w:type="dxa"/>
              <w:right w:w="100" w:type="dxa"/>
            </w:tcMar>
          </w:tcPr>
          <w:p w14:paraId="69ECB803"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Durée légale</w:t>
            </w:r>
          </w:p>
        </w:tc>
      </w:tr>
      <w:tr w:rsidR="006A491A" w14:paraId="1C0671D0" w14:textId="77777777">
        <w:trPr>
          <w:trHeight w:val="1365"/>
        </w:trPr>
        <w:tc>
          <w:tcPr>
            <w:tcW w:w="354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248210C4"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Congé enfant à charge</w:t>
            </w:r>
          </w:p>
        </w:tc>
        <w:tc>
          <w:tcPr>
            <w:tcW w:w="2610" w:type="dxa"/>
            <w:tcBorders>
              <w:top w:val="nil"/>
              <w:left w:val="nil"/>
              <w:bottom w:val="single" w:sz="8" w:space="0" w:color="000000"/>
              <w:right w:val="single" w:sz="8" w:space="0" w:color="000000"/>
            </w:tcBorders>
            <w:tcMar>
              <w:top w:w="0" w:type="dxa"/>
              <w:left w:w="100" w:type="dxa"/>
              <w:bottom w:w="0" w:type="dxa"/>
              <w:right w:w="100" w:type="dxa"/>
            </w:tcMar>
          </w:tcPr>
          <w:p w14:paraId="2CC9F02B"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 xml:space="preserve">2 jours par enfant à charge dans la limite de 30 jours ouvrables (soit 25 jours ouvrés sur une base temps plein) </w:t>
            </w:r>
          </w:p>
        </w:tc>
        <w:tc>
          <w:tcPr>
            <w:tcW w:w="2655" w:type="dxa"/>
            <w:tcBorders>
              <w:top w:val="nil"/>
              <w:left w:val="nil"/>
              <w:bottom w:val="single" w:sz="8" w:space="0" w:color="000000"/>
              <w:right w:val="single" w:sz="8" w:space="0" w:color="000000"/>
            </w:tcBorders>
            <w:tcMar>
              <w:top w:w="0" w:type="dxa"/>
              <w:left w:w="100" w:type="dxa"/>
              <w:bottom w:w="0" w:type="dxa"/>
              <w:right w:w="100" w:type="dxa"/>
            </w:tcMar>
          </w:tcPr>
          <w:p w14:paraId="5A0F679A"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 xml:space="preserve">2 jours par enfant à charge dans la limite de 30 jours ouvrables (soit 25 jours ouvrés sur une base temps plein) </w:t>
            </w:r>
          </w:p>
        </w:tc>
      </w:tr>
      <w:tr w:rsidR="006A491A" w14:paraId="0AB4A70B" w14:textId="77777777">
        <w:trPr>
          <w:trHeight w:val="690"/>
        </w:trPr>
        <w:tc>
          <w:tcPr>
            <w:tcW w:w="3540"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3E48FD7F"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Annonce d’une maladie ou d’un handicap survenu chez un enfant</w:t>
            </w:r>
          </w:p>
        </w:tc>
        <w:tc>
          <w:tcPr>
            <w:tcW w:w="2610" w:type="dxa"/>
            <w:tcBorders>
              <w:top w:val="nil"/>
              <w:left w:val="nil"/>
              <w:bottom w:val="single" w:sz="8" w:space="0" w:color="000000"/>
              <w:right w:val="single" w:sz="8" w:space="0" w:color="000000"/>
            </w:tcBorders>
            <w:tcMar>
              <w:top w:w="0" w:type="dxa"/>
              <w:left w:w="100" w:type="dxa"/>
              <w:bottom w:w="0" w:type="dxa"/>
              <w:right w:w="100" w:type="dxa"/>
            </w:tcMar>
          </w:tcPr>
          <w:p w14:paraId="1131CF2D"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2 jours</w:t>
            </w:r>
          </w:p>
        </w:tc>
        <w:tc>
          <w:tcPr>
            <w:tcW w:w="2655" w:type="dxa"/>
            <w:tcBorders>
              <w:top w:val="nil"/>
              <w:left w:val="nil"/>
              <w:bottom w:val="single" w:sz="8" w:space="0" w:color="000000"/>
              <w:right w:val="single" w:sz="8" w:space="0" w:color="000000"/>
            </w:tcBorders>
            <w:tcMar>
              <w:top w:w="0" w:type="dxa"/>
              <w:left w:w="100" w:type="dxa"/>
              <w:bottom w:w="0" w:type="dxa"/>
              <w:right w:w="100" w:type="dxa"/>
            </w:tcMar>
          </w:tcPr>
          <w:p w14:paraId="3EE5A340" w14:textId="77777777" w:rsidR="006A491A" w:rsidRDefault="00000000">
            <w:pPr>
              <w:spacing w:after="0" w:line="240" w:lineRule="auto"/>
              <w:jc w:val="center"/>
              <w:rPr>
                <w:rFonts w:ascii="Arial" w:eastAsia="Arial" w:hAnsi="Arial" w:cs="Arial"/>
                <w:sz w:val="20"/>
                <w:szCs w:val="20"/>
              </w:rPr>
            </w:pPr>
            <w:r>
              <w:rPr>
                <w:rFonts w:ascii="Arial" w:eastAsia="Arial" w:hAnsi="Arial" w:cs="Arial"/>
                <w:sz w:val="20"/>
                <w:szCs w:val="20"/>
              </w:rPr>
              <w:t>2 jours</w:t>
            </w:r>
          </w:p>
        </w:tc>
      </w:tr>
    </w:tbl>
    <w:p w14:paraId="4F790DD6" w14:textId="77777777" w:rsidR="006A491A" w:rsidRDefault="00000000">
      <w:pPr>
        <w:spacing w:after="0" w:line="240" w:lineRule="auto"/>
        <w:jc w:val="both"/>
        <w:rPr>
          <w:rFonts w:ascii="Verdana" w:eastAsia="Verdana" w:hAnsi="Verdana" w:cs="Verdana"/>
          <w:b/>
          <w:sz w:val="20"/>
          <w:szCs w:val="20"/>
        </w:rPr>
      </w:pPr>
      <w:r>
        <w:rPr>
          <w:rFonts w:ascii="Verdana" w:eastAsia="Verdana" w:hAnsi="Verdana" w:cs="Verdana"/>
          <w:b/>
          <w:sz w:val="20"/>
          <w:szCs w:val="20"/>
        </w:rPr>
        <w:t xml:space="preserve"> </w:t>
      </w:r>
    </w:p>
    <w:p w14:paraId="7214B776"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Le nombre de jours en application de cet accord collectif propre à la société Bam Holding renvoie à des jours ouvrables.</w:t>
      </w:r>
    </w:p>
    <w:p w14:paraId="1FCF1937"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67070375"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Ces congés seront pris au moment de l'événement ou dans la quinzaine où se situe l'événement afin de permettre aux </w:t>
      </w:r>
      <w:proofErr w:type="spellStart"/>
      <w:r>
        <w:rPr>
          <w:rFonts w:ascii="Arial" w:eastAsia="Arial" w:hAnsi="Arial" w:cs="Arial"/>
          <w:sz w:val="20"/>
          <w:szCs w:val="20"/>
        </w:rPr>
        <w:t>salarié.</w:t>
      </w:r>
      <w:proofErr w:type="gramStart"/>
      <w:r>
        <w:rPr>
          <w:rFonts w:ascii="Arial" w:eastAsia="Arial" w:hAnsi="Arial" w:cs="Arial"/>
          <w:sz w:val="20"/>
          <w:szCs w:val="20"/>
        </w:rPr>
        <w:t>e.s</w:t>
      </w:r>
      <w:proofErr w:type="spellEnd"/>
      <w:proofErr w:type="gramEnd"/>
      <w:r>
        <w:rPr>
          <w:rFonts w:ascii="Arial" w:eastAsia="Arial" w:hAnsi="Arial" w:cs="Arial"/>
          <w:sz w:val="20"/>
          <w:szCs w:val="20"/>
        </w:rPr>
        <w:t xml:space="preserve"> d’aller et de revenir de la cérémonie liée à l'événement.</w:t>
      </w:r>
    </w:p>
    <w:p w14:paraId="131C8D5A"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4967741C" w14:textId="77777777" w:rsidR="006A491A" w:rsidRDefault="006A491A">
      <w:pPr>
        <w:spacing w:after="0" w:line="240" w:lineRule="auto"/>
        <w:jc w:val="both"/>
        <w:rPr>
          <w:rFonts w:ascii="Arial" w:eastAsia="Arial" w:hAnsi="Arial" w:cs="Arial"/>
          <w:sz w:val="20"/>
          <w:szCs w:val="20"/>
        </w:rPr>
      </w:pPr>
    </w:p>
    <w:p w14:paraId="20DE3BC7" w14:textId="77777777" w:rsidR="006A491A" w:rsidRDefault="00000000">
      <w:pPr>
        <w:keepLines/>
        <w:spacing w:after="0" w:line="240" w:lineRule="auto"/>
        <w:jc w:val="both"/>
        <w:rPr>
          <w:rFonts w:ascii="Verdana" w:eastAsia="Verdana" w:hAnsi="Verdana" w:cs="Verdana"/>
          <w:b/>
          <w:smallCaps/>
          <w:sz w:val="20"/>
          <w:szCs w:val="20"/>
        </w:rPr>
      </w:pPr>
      <w:r>
        <w:rPr>
          <w:rFonts w:ascii="Verdana" w:eastAsia="Verdana" w:hAnsi="Verdana" w:cs="Verdana"/>
          <w:b/>
          <w:color w:val="051259"/>
          <w:sz w:val="24"/>
          <w:szCs w:val="24"/>
        </w:rPr>
        <w:t>ARTICLE 3 – PRÉCISION SUR LE REGIME DES CONGES POUR EVENEMENTS FAMILIAUX</w:t>
      </w:r>
    </w:p>
    <w:p w14:paraId="08A80076" w14:textId="77777777" w:rsidR="006A491A" w:rsidRDefault="006A491A">
      <w:pPr>
        <w:spacing w:after="0" w:line="240" w:lineRule="auto"/>
        <w:jc w:val="both"/>
        <w:rPr>
          <w:rFonts w:ascii="Verdana" w:eastAsia="Verdana" w:hAnsi="Verdana" w:cs="Verdana"/>
          <w:b/>
          <w:sz w:val="20"/>
          <w:szCs w:val="20"/>
        </w:rPr>
      </w:pPr>
    </w:p>
    <w:p w14:paraId="30266711"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La période de congé en raison d’un événement familial n’est pas assimilée à du temps de travail effectif au poste de travail.</w:t>
      </w:r>
    </w:p>
    <w:p w14:paraId="4C4CB37E" w14:textId="77777777" w:rsidR="006A491A" w:rsidRDefault="006A491A">
      <w:pPr>
        <w:spacing w:after="0" w:line="240" w:lineRule="auto"/>
        <w:jc w:val="both"/>
        <w:rPr>
          <w:rFonts w:ascii="Arial" w:eastAsia="Arial" w:hAnsi="Arial" w:cs="Arial"/>
          <w:sz w:val="20"/>
          <w:szCs w:val="20"/>
        </w:rPr>
      </w:pPr>
    </w:p>
    <w:p w14:paraId="358ECB15"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Ils sont cependant assimilés à du temps de travail effectif pour l’acquisition du congé payé annuel.</w:t>
      </w:r>
    </w:p>
    <w:p w14:paraId="4211A418" w14:textId="77777777" w:rsidR="006A491A" w:rsidRDefault="006A491A">
      <w:pPr>
        <w:spacing w:after="0" w:line="240" w:lineRule="auto"/>
        <w:jc w:val="both"/>
        <w:rPr>
          <w:rFonts w:ascii="Arial" w:eastAsia="Arial" w:hAnsi="Arial" w:cs="Arial"/>
          <w:sz w:val="20"/>
          <w:szCs w:val="20"/>
        </w:rPr>
      </w:pPr>
    </w:p>
    <w:p w14:paraId="39D100CA"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Les congés pour événements familiaux n'entraînent pas de réduction de rémunération. Le salarié bénéficie ainsi d’un maintien de rémunération comme s’il avait travaillé. </w:t>
      </w:r>
    </w:p>
    <w:p w14:paraId="22181795" w14:textId="77777777" w:rsidR="006A491A" w:rsidRDefault="006A491A">
      <w:pPr>
        <w:spacing w:after="0" w:line="240" w:lineRule="auto"/>
        <w:jc w:val="both"/>
        <w:rPr>
          <w:rFonts w:ascii="Arial" w:eastAsia="Arial" w:hAnsi="Arial" w:cs="Arial"/>
          <w:sz w:val="20"/>
          <w:szCs w:val="20"/>
        </w:rPr>
      </w:pPr>
    </w:p>
    <w:p w14:paraId="114D6C93"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624AF4C7" w14:textId="77777777" w:rsidR="006A491A" w:rsidRDefault="00000000">
      <w:pPr>
        <w:keepLines/>
        <w:spacing w:after="0" w:line="240" w:lineRule="auto"/>
        <w:jc w:val="both"/>
        <w:rPr>
          <w:rFonts w:ascii="Verdana" w:eastAsia="Verdana" w:hAnsi="Verdana" w:cs="Verdana"/>
          <w:b/>
          <w:smallCaps/>
          <w:sz w:val="20"/>
          <w:szCs w:val="20"/>
        </w:rPr>
      </w:pPr>
      <w:r>
        <w:rPr>
          <w:rFonts w:ascii="Verdana" w:eastAsia="Verdana" w:hAnsi="Verdana" w:cs="Verdana"/>
          <w:b/>
          <w:color w:val="051259"/>
          <w:sz w:val="24"/>
          <w:szCs w:val="24"/>
        </w:rPr>
        <w:t>ARTICLE 3 – DEMANDE D’ABSENCE</w:t>
      </w:r>
    </w:p>
    <w:p w14:paraId="709D6B07" w14:textId="77777777" w:rsidR="006A491A" w:rsidRDefault="006A491A">
      <w:pPr>
        <w:spacing w:after="0" w:line="240" w:lineRule="auto"/>
        <w:jc w:val="both"/>
        <w:rPr>
          <w:rFonts w:ascii="Verdana" w:eastAsia="Verdana" w:hAnsi="Verdana" w:cs="Verdana"/>
          <w:b/>
          <w:sz w:val="20"/>
          <w:szCs w:val="20"/>
        </w:rPr>
      </w:pPr>
    </w:p>
    <w:p w14:paraId="621FEB98"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La demande d’autorisation d’absence pour événement familial est communiquée au / à la responsable hiérarchique.</w:t>
      </w:r>
    </w:p>
    <w:p w14:paraId="7D9E1064"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33E7B4EE"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En parallèle, les pièces justificatives officielles (certificat, attestation etc…) indiquant la date de l’événement, sont communiquées au service Ressources Humaines.</w:t>
      </w:r>
    </w:p>
    <w:p w14:paraId="5B14D7D0" w14:textId="77777777" w:rsidR="006A491A" w:rsidRDefault="006A491A">
      <w:pPr>
        <w:spacing w:after="0" w:line="240" w:lineRule="auto"/>
        <w:jc w:val="both"/>
        <w:rPr>
          <w:rFonts w:ascii="Arial" w:eastAsia="Arial" w:hAnsi="Arial" w:cs="Arial"/>
          <w:sz w:val="20"/>
          <w:szCs w:val="20"/>
        </w:rPr>
      </w:pPr>
    </w:p>
    <w:p w14:paraId="49A84019" w14:textId="77777777" w:rsidR="006A491A" w:rsidRDefault="00000000">
      <w:pPr>
        <w:keepLines/>
        <w:spacing w:after="0" w:line="240" w:lineRule="auto"/>
        <w:jc w:val="both"/>
        <w:rPr>
          <w:rFonts w:ascii="Verdana" w:eastAsia="Verdana" w:hAnsi="Verdana" w:cs="Verdana"/>
          <w:b/>
          <w:smallCaps/>
          <w:sz w:val="20"/>
          <w:szCs w:val="20"/>
        </w:rPr>
      </w:pPr>
      <w:r>
        <w:rPr>
          <w:rFonts w:ascii="Verdana" w:eastAsia="Verdana" w:hAnsi="Verdana" w:cs="Verdana"/>
          <w:b/>
          <w:color w:val="051259"/>
          <w:sz w:val="24"/>
          <w:szCs w:val="24"/>
        </w:rPr>
        <w:t>ARTICLE 4 – DUREE DE L’ACCORD</w:t>
      </w:r>
    </w:p>
    <w:p w14:paraId="56AFCA62" w14:textId="77777777" w:rsidR="006A491A" w:rsidRDefault="006A491A">
      <w:pPr>
        <w:spacing w:after="0" w:line="240" w:lineRule="auto"/>
        <w:jc w:val="both"/>
        <w:rPr>
          <w:rFonts w:ascii="Verdana" w:eastAsia="Verdana" w:hAnsi="Verdana" w:cs="Verdana"/>
          <w:b/>
          <w:sz w:val="20"/>
          <w:szCs w:val="20"/>
        </w:rPr>
      </w:pPr>
    </w:p>
    <w:p w14:paraId="30F4007F"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Le présent accord s’applique à compter du 1</w:t>
      </w:r>
      <w:r>
        <w:rPr>
          <w:rFonts w:ascii="Arial" w:eastAsia="Arial" w:hAnsi="Arial" w:cs="Arial"/>
          <w:sz w:val="20"/>
          <w:szCs w:val="20"/>
          <w:vertAlign w:val="superscript"/>
        </w:rPr>
        <w:t>er</w:t>
      </w:r>
      <w:r>
        <w:rPr>
          <w:rFonts w:ascii="Arial" w:eastAsia="Arial" w:hAnsi="Arial" w:cs="Arial"/>
          <w:sz w:val="20"/>
          <w:szCs w:val="20"/>
        </w:rPr>
        <w:t xml:space="preserve"> décembre 2023, et est conclu pour une durée indéterminée.</w:t>
      </w:r>
    </w:p>
    <w:p w14:paraId="1BC3DB62" w14:textId="77777777" w:rsidR="006A491A" w:rsidRDefault="006A491A">
      <w:pPr>
        <w:spacing w:after="0" w:line="240" w:lineRule="auto"/>
        <w:jc w:val="both"/>
        <w:rPr>
          <w:rFonts w:ascii="Arial" w:eastAsia="Arial" w:hAnsi="Arial" w:cs="Arial"/>
          <w:sz w:val="20"/>
          <w:szCs w:val="20"/>
        </w:rPr>
      </w:pPr>
    </w:p>
    <w:p w14:paraId="43C410DF" w14:textId="77777777" w:rsidR="006A491A" w:rsidRDefault="00000000">
      <w:pPr>
        <w:keepLines/>
        <w:spacing w:after="0" w:line="240" w:lineRule="auto"/>
        <w:jc w:val="both"/>
        <w:rPr>
          <w:rFonts w:ascii="Verdana" w:eastAsia="Verdana" w:hAnsi="Verdana" w:cs="Verdana"/>
          <w:b/>
          <w:smallCaps/>
          <w:sz w:val="20"/>
          <w:szCs w:val="20"/>
        </w:rPr>
      </w:pPr>
      <w:r>
        <w:rPr>
          <w:rFonts w:ascii="Verdana" w:eastAsia="Verdana" w:hAnsi="Verdana" w:cs="Verdana"/>
          <w:b/>
          <w:color w:val="051259"/>
          <w:sz w:val="24"/>
          <w:szCs w:val="24"/>
        </w:rPr>
        <w:t>ARTICLE 5 – REVISION ET DENONCIATION</w:t>
      </w:r>
    </w:p>
    <w:p w14:paraId="53C825C9" w14:textId="77777777" w:rsidR="006A491A" w:rsidRDefault="006A491A">
      <w:pPr>
        <w:spacing w:after="0" w:line="240" w:lineRule="auto"/>
        <w:jc w:val="both"/>
        <w:rPr>
          <w:rFonts w:ascii="Verdana" w:eastAsia="Verdana" w:hAnsi="Verdana" w:cs="Verdana"/>
          <w:b/>
          <w:sz w:val="20"/>
          <w:szCs w:val="20"/>
        </w:rPr>
      </w:pPr>
    </w:p>
    <w:p w14:paraId="405E63A4" w14:textId="77777777" w:rsidR="006A491A" w:rsidRDefault="00000000">
      <w:pPr>
        <w:spacing w:after="0" w:line="240" w:lineRule="auto"/>
        <w:jc w:val="both"/>
        <w:rPr>
          <w:rFonts w:ascii="Arial" w:eastAsia="Arial" w:hAnsi="Arial" w:cs="Arial"/>
          <w:b/>
          <w:sz w:val="20"/>
          <w:szCs w:val="20"/>
        </w:rPr>
      </w:pPr>
      <w:r>
        <w:rPr>
          <w:rFonts w:ascii="Arial" w:eastAsia="Arial" w:hAnsi="Arial" w:cs="Arial"/>
          <w:b/>
          <w:sz w:val="20"/>
          <w:szCs w:val="20"/>
        </w:rPr>
        <w:t>Article 8.1 – Révision</w:t>
      </w:r>
    </w:p>
    <w:p w14:paraId="00215955"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1A6CC1B0"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L’accord pourra être révisé à la suite de sa prise d’effet.</w:t>
      </w:r>
    </w:p>
    <w:p w14:paraId="594F2C11"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4D5A7A0C"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La procédure de révision du présent accord ne peut être engagée que par la Direction, l’une des parties signataires ou l’une des parties habilitées en application des dispositions du Code du travail.</w:t>
      </w:r>
    </w:p>
    <w:p w14:paraId="230903AA"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2BDE5A6A"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Information devra en être faite à la Direction, lorsque celle-ci n’est pas à l’origine de l’engagement de la procédure, et à chacune des autres parties habilitées à engager la procédure de révision par courrier recommandé avec accusé de réception ou courrier remis en main propre contre décharge.</w:t>
      </w:r>
    </w:p>
    <w:p w14:paraId="0C3F5D31"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75E6DB9E" w14:textId="77777777" w:rsidR="006A491A" w:rsidRDefault="00000000">
      <w:pPr>
        <w:spacing w:after="0" w:line="240" w:lineRule="auto"/>
        <w:jc w:val="both"/>
        <w:rPr>
          <w:rFonts w:ascii="Arial" w:eastAsia="Arial" w:hAnsi="Arial" w:cs="Arial"/>
          <w:b/>
          <w:sz w:val="20"/>
          <w:szCs w:val="20"/>
        </w:rPr>
      </w:pPr>
      <w:r>
        <w:rPr>
          <w:rFonts w:ascii="Arial" w:eastAsia="Arial" w:hAnsi="Arial" w:cs="Arial"/>
          <w:b/>
          <w:sz w:val="20"/>
          <w:szCs w:val="20"/>
        </w:rPr>
        <w:t>Article 8.2 – Dénonciation de l’accord</w:t>
      </w:r>
    </w:p>
    <w:p w14:paraId="34842CCB"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4DB72CE8"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Le présent accord pourra être dénoncé par l'une ou l'autre des parties signataires moyennant un préavis de 3 mois.</w:t>
      </w:r>
    </w:p>
    <w:p w14:paraId="07428CDD"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1F229FD4"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La partie qui dénonce l'accord doit notifier cette décision par lettre recommandée avec accusé de réception à l'autre partie.</w:t>
      </w:r>
    </w:p>
    <w:p w14:paraId="0E5A3B92"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 </w:t>
      </w:r>
    </w:p>
    <w:p w14:paraId="36AC0251"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La Direction et le comité social et économique se réunirent pendant la durée du préavis pour discuter des possibilités d'un nouvel accord.</w:t>
      </w:r>
    </w:p>
    <w:p w14:paraId="7FE1B2B1" w14:textId="77777777" w:rsidR="006A491A" w:rsidRDefault="006A491A">
      <w:pPr>
        <w:spacing w:after="0" w:line="240" w:lineRule="auto"/>
        <w:jc w:val="both"/>
        <w:rPr>
          <w:rFonts w:ascii="Arial" w:eastAsia="Arial" w:hAnsi="Arial" w:cs="Arial"/>
          <w:sz w:val="20"/>
          <w:szCs w:val="20"/>
        </w:rPr>
      </w:pPr>
    </w:p>
    <w:p w14:paraId="10912544" w14:textId="77777777" w:rsidR="006A491A" w:rsidRDefault="00000000">
      <w:pPr>
        <w:keepLines/>
        <w:spacing w:after="0" w:line="240" w:lineRule="auto"/>
        <w:jc w:val="both"/>
        <w:rPr>
          <w:rFonts w:ascii="Verdana" w:eastAsia="Verdana" w:hAnsi="Verdana" w:cs="Verdana"/>
          <w:b/>
          <w:smallCaps/>
          <w:sz w:val="20"/>
          <w:szCs w:val="20"/>
        </w:rPr>
      </w:pPr>
      <w:r>
        <w:rPr>
          <w:rFonts w:ascii="Verdana" w:eastAsia="Verdana" w:hAnsi="Verdana" w:cs="Verdana"/>
          <w:b/>
          <w:color w:val="051259"/>
          <w:sz w:val="24"/>
          <w:szCs w:val="24"/>
        </w:rPr>
        <w:t>ARTICLE 6 – DEPOT ET PUBLICITE</w:t>
      </w:r>
    </w:p>
    <w:p w14:paraId="2B4F6A03" w14:textId="77777777" w:rsidR="006A491A" w:rsidRDefault="006A491A">
      <w:pPr>
        <w:pBdr>
          <w:top w:val="nil"/>
          <w:left w:val="nil"/>
          <w:bottom w:val="nil"/>
          <w:right w:val="nil"/>
          <w:between w:val="nil"/>
        </w:pBdr>
        <w:spacing w:after="0" w:line="240" w:lineRule="auto"/>
        <w:jc w:val="both"/>
        <w:rPr>
          <w:rFonts w:ascii="Arial" w:eastAsia="Arial" w:hAnsi="Arial" w:cs="Arial"/>
          <w:sz w:val="20"/>
          <w:szCs w:val="20"/>
        </w:rPr>
      </w:pPr>
    </w:p>
    <w:p w14:paraId="20A2B36F" w14:textId="77777777" w:rsidR="006A491A" w:rsidRDefault="00000000">
      <w:pPr>
        <w:widowControl w:val="0"/>
        <w:spacing w:after="0" w:line="240" w:lineRule="auto"/>
        <w:jc w:val="both"/>
        <w:rPr>
          <w:rFonts w:ascii="Arial" w:eastAsia="Arial" w:hAnsi="Arial" w:cs="Arial"/>
          <w:sz w:val="20"/>
          <w:szCs w:val="20"/>
        </w:rPr>
      </w:pPr>
      <w:bookmarkStart w:id="0" w:name="_heading=h.1fob9te" w:colFirst="0" w:colLast="0"/>
      <w:bookmarkEnd w:id="0"/>
      <w:r>
        <w:rPr>
          <w:rFonts w:ascii="Arial" w:eastAsia="Arial" w:hAnsi="Arial" w:cs="Arial"/>
          <w:sz w:val="20"/>
          <w:szCs w:val="20"/>
        </w:rPr>
        <w:t>Le présent accord entre en vigueur à partir du 1er décembre 2023, jour qui suit son dépôt auprès de l'administration.</w:t>
      </w:r>
    </w:p>
    <w:p w14:paraId="1CCA6199" w14:textId="77777777" w:rsidR="006A491A" w:rsidRDefault="006A491A">
      <w:pPr>
        <w:widowControl w:val="0"/>
        <w:spacing w:after="0" w:line="240" w:lineRule="auto"/>
        <w:jc w:val="both"/>
        <w:rPr>
          <w:rFonts w:ascii="Arial" w:eastAsia="Arial" w:hAnsi="Arial" w:cs="Arial"/>
          <w:sz w:val="20"/>
          <w:szCs w:val="20"/>
        </w:rPr>
      </w:pPr>
    </w:p>
    <w:p w14:paraId="1B0EEDDF" w14:textId="77777777" w:rsidR="006A491A" w:rsidRDefault="00000000">
      <w:pPr>
        <w:widowControl w:val="0"/>
        <w:spacing w:after="0" w:line="240" w:lineRule="auto"/>
        <w:jc w:val="both"/>
        <w:rPr>
          <w:rFonts w:ascii="Arial" w:eastAsia="Arial" w:hAnsi="Arial" w:cs="Arial"/>
          <w:sz w:val="20"/>
          <w:szCs w:val="20"/>
        </w:rPr>
      </w:pPr>
      <w:r>
        <w:rPr>
          <w:rFonts w:ascii="Arial" w:eastAsia="Arial" w:hAnsi="Arial" w:cs="Arial"/>
          <w:sz w:val="20"/>
          <w:szCs w:val="20"/>
        </w:rPr>
        <w:t>Il sera déposé sur la plateforme de téléprocédure dans des conditions prévues par voie réglementaire, conformément aux dispositions de l’article L 2232-29-1 du Code du Travail.</w:t>
      </w:r>
    </w:p>
    <w:p w14:paraId="26C83BD6" w14:textId="77777777" w:rsidR="006A491A" w:rsidRDefault="006A491A">
      <w:pPr>
        <w:spacing w:after="0" w:line="240" w:lineRule="auto"/>
        <w:jc w:val="both"/>
        <w:rPr>
          <w:rFonts w:ascii="Arial" w:eastAsia="Arial" w:hAnsi="Arial" w:cs="Arial"/>
          <w:sz w:val="20"/>
          <w:szCs w:val="20"/>
        </w:rPr>
      </w:pPr>
    </w:p>
    <w:p w14:paraId="6AAC4094" w14:textId="77777777" w:rsidR="006A491A" w:rsidRDefault="00000000">
      <w:pPr>
        <w:spacing w:after="0" w:line="240" w:lineRule="auto"/>
        <w:jc w:val="both"/>
        <w:rPr>
          <w:rFonts w:ascii="Arial" w:eastAsia="Arial" w:hAnsi="Arial" w:cs="Arial"/>
          <w:sz w:val="20"/>
          <w:szCs w:val="20"/>
        </w:rPr>
      </w:pPr>
      <w:r>
        <w:rPr>
          <w:rFonts w:ascii="Arial" w:eastAsia="Arial" w:hAnsi="Arial" w:cs="Arial"/>
          <w:sz w:val="20"/>
          <w:szCs w:val="20"/>
        </w:rPr>
        <w:t xml:space="preserve">Son existence figurera aux emplacements réservés à la communication avec le personnel. Le texte de l’accord peut être consulté par les </w:t>
      </w:r>
      <w:proofErr w:type="spellStart"/>
      <w:r>
        <w:rPr>
          <w:rFonts w:ascii="Arial" w:eastAsia="Arial" w:hAnsi="Arial" w:cs="Arial"/>
          <w:sz w:val="20"/>
          <w:szCs w:val="20"/>
        </w:rPr>
        <w:t>salarié.</w:t>
      </w:r>
      <w:proofErr w:type="gramStart"/>
      <w:r>
        <w:rPr>
          <w:rFonts w:ascii="Arial" w:eastAsia="Arial" w:hAnsi="Arial" w:cs="Arial"/>
          <w:sz w:val="20"/>
          <w:szCs w:val="20"/>
        </w:rPr>
        <w:t>e.s</w:t>
      </w:r>
      <w:proofErr w:type="spellEnd"/>
      <w:proofErr w:type="gramEnd"/>
      <w:r>
        <w:rPr>
          <w:rFonts w:ascii="Arial" w:eastAsia="Arial" w:hAnsi="Arial" w:cs="Arial"/>
          <w:sz w:val="20"/>
          <w:szCs w:val="20"/>
        </w:rPr>
        <w:t xml:space="preserve"> auprès des RH.</w:t>
      </w:r>
    </w:p>
    <w:p w14:paraId="6D3664AD" w14:textId="77777777" w:rsidR="006A491A" w:rsidRDefault="006A491A">
      <w:pPr>
        <w:spacing w:after="0" w:line="240" w:lineRule="auto"/>
        <w:jc w:val="both"/>
        <w:rPr>
          <w:rFonts w:ascii="Arial" w:eastAsia="Arial" w:hAnsi="Arial" w:cs="Arial"/>
          <w:sz w:val="20"/>
          <w:szCs w:val="20"/>
        </w:rPr>
      </w:pPr>
    </w:p>
    <w:p w14:paraId="5AC124CD" w14:textId="77777777" w:rsidR="006A491A" w:rsidRDefault="0000000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sz w:val="20"/>
          <w:szCs w:val="20"/>
        </w:rPr>
      </w:pPr>
      <w:r>
        <w:rPr>
          <w:rFonts w:ascii="Arial" w:eastAsia="Arial" w:hAnsi="Arial" w:cs="Arial"/>
          <w:sz w:val="20"/>
          <w:szCs w:val="20"/>
        </w:rPr>
        <w:t>Le présent accord est fait en nombre suffisant pour remise à chacune des parties.</w:t>
      </w:r>
    </w:p>
    <w:p w14:paraId="3EADB24D" w14:textId="77777777" w:rsidR="006A491A" w:rsidRDefault="006A491A">
      <w:pPr>
        <w:pBdr>
          <w:top w:val="nil"/>
          <w:left w:val="nil"/>
          <w:bottom w:val="nil"/>
          <w:right w:val="nil"/>
          <w:between w:val="nil"/>
        </w:pBdr>
        <w:spacing w:after="0" w:line="240" w:lineRule="auto"/>
        <w:jc w:val="both"/>
        <w:rPr>
          <w:rFonts w:ascii="Arial" w:eastAsia="Arial" w:hAnsi="Arial" w:cs="Arial"/>
          <w:sz w:val="20"/>
          <w:szCs w:val="20"/>
        </w:rPr>
      </w:pPr>
    </w:p>
    <w:p w14:paraId="289E080B" w14:textId="77777777" w:rsidR="006A491A" w:rsidRDefault="00000000">
      <w:pPr>
        <w:spacing w:after="0" w:line="240" w:lineRule="auto"/>
        <w:jc w:val="both"/>
        <w:rPr>
          <w:rFonts w:ascii="Verdana" w:eastAsia="Verdana" w:hAnsi="Verdana" w:cs="Verdana"/>
          <w:sz w:val="20"/>
          <w:szCs w:val="20"/>
        </w:rPr>
      </w:pPr>
      <w:bookmarkStart w:id="1" w:name="_heading=h.3znysh7" w:colFirst="0" w:colLast="0"/>
      <w:bookmarkEnd w:id="1"/>
      <w:r>
        <w:rPr>
          <w:rFonts w:ascii="Verdana" w:eastAsia="Verdana" w:hAnsi="Verdana" w:cs="Verdana"/>
          <w:sz w:val="20"/>
          <w:szCs w:val="20"/>
        </w:rPr>
        <w:t>Fait à Paris, le 01/12/2023</w:t>
      </w:r>
    </w:p>
    <w:p w14:paraId="51A76031" w14:textId="77777777" w:rsidR="006A491A" w:rsidRDefault="006A491A">
      <w:pPr>
        <w:spacing w:after="0" w:line="240" w:lineRule="auto"/>
        <w:ind w:left="4248" w:firstLine="708"/>
        <w:jc w:val="both"/>
        <w:rPr>
          <w:rFonts w:ascii="Verdana" w:eastAsia="Verdana" w:hAnsi="Verdana" w:cs="Verdana"/>
          <w:sz w:val="20"/>
          <w:szCs w:val="20"/>
        </w:rPr>
      </w:pPr>
    </w:p>
    <w:p w14:paraId="1D221B9C" w14:textId="77777777" w:rsidR="006A491A" w:rsidRDefault="00000000">
      <w:pPr>
        <w:spacing w:after="0" w:line="240" w:lineRule="auto"/>
        <w:jc w:val="both"/>
        <w:rPr>
          <w:rFonts w:ascii="Verdana" w:eastAsia="Verdana" w:hAnsi="Verdana" w:cs="Verdana"/>
          <w:b/>
          <w:sz w:val="20"/>
          <w:szCs w:val="20"/>
        </w:rPr>
      </w:pPr>
      <w:r>
        <w:rPr>
          <w:rFonts w:ascii="Verdana" w:eastAsia="Verdana" w:hAnsi="Verdana" w:cs="Verdana"/>
          <w:b/>
          <w:sz w:val="20"/>
          <w:szCs w:val="20"/>
        </w:rPr>
        <w:t xml:space="preserve">Pour </w:t>
      </w:r>
      <w:r>
        <w:rPr>
          <w:rFonts w:ascii="Verdana" w:eastAsia="Verdana" w:hAnsi="Verdana" w:cs="Verdana"/>
          <w:b/>
          <w:color w:val="0D0D0D"/>
          <w:sz w:val="20"/>
          <w:szCs w:val="20"/>
        </w:rPr>
        <w:t>l’employeur</w:t>
      </w:r>
      <w:r>
        <w:rPr>
          <w:rFonts w:ascii="Verdana" w:eastAsia="Verdana" w:hAnsi="Verdana" w:cs="Verdana"/>
          <w:b/>
          <w:sz w:val="20"/>
          <w:szCs w:val="20"/>
        </w:rPr>
        <w:t>,</w:t>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t>Pour la délégation du personnel</w:t>
      </w:r>
    </w:p>
    <w:p w14:paraId="4089E10D" w14:textId="2F337241" w:rsidR="006A491A" w:rsidRDefault="00000000">
      <w:pPr>
        <w:spacing w:after="0" w:line="240" w:lineRule="auto"/>
        <w:jc w:val="both"/>
        <w:rPr>
          <w:rFonts w:ascii="Verdana" w:eastAsia="Verdana" w:hAnsi="Verdana" w:cs="Verdana"/>
          <w:b/>
          <w:sz w:val="20"/>
          <w:szCs w:val="20"/>
        </w:rPr>
      </w:pPr>
      <w:r>
        <w:rPr>
          <w:rFonts w:ascii="Verdana" w:eastAsia="Verdana" w:hAnsi="Verdana" w:cs="Verdana"/>
          <w:b/>
          <w:sz w:val="20"/>
          <w:szCs w:val="20"/>
        </w:rPr>
        <w:t xml:space="preserve">Monsieur </w:t>
      </w:r>
      <w:r w:rsidR="00462687">
        <w:rPr>
          <w:rFonts w:ascii="Verdana" w:eastAsia="Verdana" w:hAnsi="Verdana" w:cs="Verdana"/>
          <w:b/>
          <w:sz w:val="20"/>
          <w:szCs w:val="20"/>
        </w:rPr>
        <w:t>X</w:t>
      </w:r>
      <w:r w:rsidR="00462687">
        <w:rPr>
          <w:rFonts w:ascii="Verdana" w:eastAsia="Verdana" w:hAnsi="Verdana" w:cs="Verdana"/>
          <w:b/>
          <w:sz w:val="20"/>
          <w:szCs w:val="20"/>
        </w:rPr>
        <w:tab/>
      </w:r>
      <w:r w:rsidR="00462687">
        <w:rPr>
          <w:rFonts w:ascii="Verdana" w:eastAsia="Verdana" w:hAnsi="Verdana" w:cs="Verdana"/>
          <w:b/>
          <w:sz w:val="20"/>
          <w:szCs w:val="20"/>
        </w:rPr>
        <w:tab/>
      </w:r>
      <w:r w:rsidR="00462687">
        <w:rPr>
          <w:rFonts w:ascii="Verdana" w:eastAsia="Verdana" w:hAnsi="Verdana" w:cs="Verdana"/>
          <w:b/>
          <w:sz w:val="20"/>
          <w:szCs w:val="20"/>
        </w:rPr>
        <w:tab/>
      </w:r>
      <w:r>
        <w:rPr>
          <w:rFonts w:ascii="Verdana" w:eastAsia="Verdana" w:hAnsi="Verdana" w:cs="Verdana"/>
          <w:b/>
          <w:sz w:val="20"/>
          <w:szCs w:val="20"/>
        </w:rPr>
        <w:t xml:space="preserve"> </w:t>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t xml:space="preserve">Monsieur </w:t>
      </w:r>
      <w:r w:rsidR="00462687">
        <w:rPr>
          <w:rFonts w:ascii="Verdana" w:eastAsia="Verdana" w:hAnsi="Verdana" w:cs="Verdana"/>
          <w:b/>
          <w:sz w:val="20"/>
          <w:szCs w:val="20"/>
        </w:rPr>
        <w:t>Y</w:t>
      </w:r>
    </w:p>
    <w:p w14:paraId="048B7E1A" w14:textId="77777777" w:rsidR="006A491A" w:rsidRDefault="00000000">
      <w:pPr>
        <w:spacing w:after="0" w:line="240" w:lineRule="auto"/>
        <w:jc w:val="both"/>
        <w:rPr>
          <w:rFonts w:ascii="Verdana" w:eastAsia="Verdana" w:hAnsi="Verdana" w:cs="Verdana"/>
          <w:b/>
          <w:sz w:val="20"/>
          <w:szCs w:val="20"/>
        </w:rPr>
      </w:pPr>
      <w:proofErr w:type="gramStart"/>
      <w:r>
        <w:rPr>
          <w:rFonts w:ascii="Verdana" w:eastAsia="Verdana" w:hAnsi="Verdana" w:cs="Verdana"/>
          <w:b/>
          <w:sz w:val="20"/>
          <w:szCs w:val="20"/>
        </w:rPr>
        <w:t xml:space="preserve">Président  </w:t>
      </w:r>
      <w:r>
        <w:rPr>
          <w:rFonts w:ascii="Verdana" w:eastAsia="Verdana" w:hAnsi="Verdana" w:cs="Verdana"/>
          <w:b/>
          <w:sz w:val="20"/>
          <w:szCs w:val="20"/>
        </w:rPr>
        <w:tab/>
      </w:r>
      <w:proofErr w:type="gramEnd"/>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r>
      <w:r>
        <w:rPr>
          <w:rFonts w:ascii="Verdana" w:eastAsia="Verdana" w:hAnsi="Verdana" w:cs="Verdana"/>
          <w:b/>
          <w:sz w:val="20"/>
          <w:szCs w:val="20"/>
        </w:rPr>
        <w:tab/>
        <w:t>titulaire</w:t>
      </w:r>
    </w:p>
    <w:sectPr w:rsidR="006A491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83A01" w14:textId="77777777" w:rsidR="00897A9E" w:rsidRDefault="00897A9E">
      <w:pPr>
        <w:spacing w:after="0" w:line="240" w:lineRule="auto"/>
      </w:pPr>
      <w:r>
        <w:separator/>
      </w:r>
    </w:p>
  </w:endnote>
  <w:endnote w:type="continuationSeparator" w:id="0">
    <w:p w14:paraId="27B7B591" w14:textId="77777777" w:rsidR="00897A9E" w:rsidRDefault="00897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inion Pro">
    <w:panose1 w:val="00000000000000000000"/>
    <w:charset w:val="00"/>
    <w:family w:val="roman"/>
    <w:notTrueType/>
    <w:pitch w:val="default"/>
  </w:font>
  <w:font w:name="Consolas">
    <w:panose1 w:val="020B0609020204030204"/>
    <w:charset w:val="00"/>
    <w:family w:val="roman"/>
    <w:notTrueType/>
    <w:pitch w:val="default"/>
  </w:font>
  <w:font w:name="Segoe UI">
    <w:panose1 w:val="020B0502040204020203"/>
    <w:charset w:val="00"/>
    <w:family w:val="roman"/>
    <w:notTrueType/>
    <w:pitch w:val="default"/>
  </w:font>
  <w:font w:name="Times">
    <w:panose1 w:val="00000000000000000000"/>
    <w:charset w:val="00"/>
    <w:family w:val="roman"/>
    <w:notTrueType/>
    <w:pitch w:val="default"/>
  </w:font>
  <w:font w:name="Georgia">
    <w:panose1 w:val="02040502050405020303"/>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651C4" w14:textId="77777777" w:rsidR="006A491A" w:rsidRDefault="006A491A">
    <w:pPr>
      <w:pBdr>
        <w:top w:val="nil"/>
        <w:left w:val="nil"/>
        <w:bottom w:val="nil"/>
        <w:right w:val="nil"/>
        <w:between w:val="nil"/>
      </w:pBdr>
      <w:tabs>
        <w:tab w:val="center" w:pos="4536"/>
        <w:tab w:val="right" w:pos="9072"/>
      </w:tabs>
      <w:jc w:val="right"/>
      <w:rPr>
        <w:rFonts w:cs="Calibri"/>
        <w:color w:val="000000"/>
      </w:rPr>
    </w:pPr>
  </w:p>
  <w:p w14:paraId="359B71E5" w14:textId="77777777" w:rsidR="006A491A" w:rsidRDefault="00000000">
    <w:pPr>
      <w:pBdr>
        <w:top w:val="nil"/>
        <w:left w:val="nil"/>
        <w:bottom w:val="nil"/>
        <w:right w:val="nil"/>
        <w:between w:val="nil"/>
      </w:pBdr>
      <w:tabs>
        <w:tab w:val="center" w:pos="4536"/>
        <w:tab w:val="right" w:pos="9072"/>
      </w:tabs>
      <w:jc w:val="right"/>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Pr>
        <w:rFonts w:cs="Calibri"/>
        <w:color w:val="000000"/>
      </w:rPr>
      <w:fldChar w:fldCharType="end"/>
    </w:r>
    <w:r>
      <w:pict w14:anchorId="7DA0B51C">
        <v:rect id="_x0000_i1025" style="width:0;height:1.5pt" o:hralign="center" o:hrstd="t" o:hr="t" fillcolor="#a0a0a0" stroked="f"/>
      </w:pict>
    </w:r>
    <w:r>
      <w:rPr>
        <w:noProof/>
      </w:rPr>
      <w:drawing>
        <wp:anchor distT="0" distB="0" distL="114300" distR="114300" simplePos="0" relativeHeight="251658240" behindDoc="0" locked="0" layoutInCell="1" hidden="0" allowOverlap="1" wp14:anchorId="1950E032" wp14:editId="4EB59CBB">
          <wp:simplePos x="0" y="0"/>
          <wp:positionH relativeFrom="column">
            <wp:posOffset>5434965</wp:posOffset>
          </wp:positionH>
          <wp:positionV relativeFrom="paragraph">
            <wp:posOffset>161925</wp:posOffset>
          </wp:positionV>
          <wp:extent cx="421005" cy="359410"/>
          <wp:effectExtent l="0" t="0" r="0" b="0"/>
          <wp:wrapNone/>
          <wp:docPr id="1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421005" cy="359410"/>
                  </a:xfrm>
                  <a:prstGeom prst="rect">
                    <a:avLst/>
                  </a:prstGeom>
                  <a:ln/>
                </pic:spPr>
              </pic:pic>
            </a:graphicData>
          </a:graphic>
        </wp:anchor>
      </w:drawing>
    </w:r>
  </w:p>
  <w:p w14:paraId="276D1FAE" w14:textId="77777777" w:rsidR="006A491A" w:rsidRDefault="006A49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704B0" w14:textId="77777777" w:rsidR="006A491A" w:rsidRDefault="00000000">
    <w:pPr>
      <w:pBdr>
        <w:top w:val="nil"/>
        <w:left w:val="nil"/>
        <w:bottom w:val="nil"/>
        <w:right w:val="nil"/>
        <w:between w:val="nil"/>
      </w:pBdr>
      <w:tabs>
        <w:tab w:val="center" w:pos="4536"/>
        <w:tab w:val="right" w:pos="9072"/>
      </w:tabs>
      <w:jc w:val="right"/>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sidR="00462687">
      <w:rPr>
        <w:rFonts w:cs="Calibri"/>
        <w:noProof/>
        <w:color w:val="000000"/>
      </w:rPr>
      <w:t>2</w:t>
    </w:r>
    <w:r>
      <w:rPr>
        <w:rFonts w:cs="Calibri"/>
        <w:color w:val="000000"/>
      </w:rPr>
      <w:fldChar w:fldCharType="end"/>
    </w:r>
  </w:p>
  <w:p w14:paraId="4DCBC1DB" w14:textId="77777777" w:rsidR="006A491A" w:rsidRDefault="006A491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9B60E" w14:textId="77777777" w:rsidR="006A491A" w:rsidRDefault="00000000">
    <w:pPr>
      <w:pBdr>
        <w:top w:val="nil"/>
        <w:left w:val="nil"/>
        <w:bottom w:val="nil"/>
        <w:right w:val="nil"/>
        <w:between w:val="nil"/>
      </w:pBdr>
      <w:tabs>
        <w:tab w:val="center" w:pos="4536"/>
        <w:tab w:val="right" w:pos="9072"/>
      </w:tabs>
      <w:jc w:val="right"/>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sidR="00462687">
      <w:rPr>
        <w:rFonts w:cs="Calibri"/>
        <w:noProof/>
        <w:color w:val="000000"/>
      </w:rPr>
      <w:t>1</w:t>
    </w:r>
    <w:r>
      <w:rPr>
        <w:rFonts w:cs="Calibri"/>
        <w:color w:val="000000"/>
      </w:rPr>
      <w:fldChar w:fldCharType="end"/>
    </w:r>
  </w:p>
  <w:p w14:paraId="65DA053C" w14:textId="77777777" w:rsidR="006A491A" w:rsidRDefault="006A491A">
    <w:pPr>
      <w:pBdr>
        <w:top w:val="nil"/>
        <w:left w:val="nil"/>
        <w:bottom w:val="nil"/>
        <w:right w:val="nil"/>
        <w:between w:val="nil"/>
      </w:pBdr>
      <w:tabs>
        <w:tab w:val="center" w:pos="4536"/>
        <w:tab w:val="right" w:pos="9072"/>
      </w:tabs>
      <w:jc w:val="center"/>
      <w:rPr>
        <w:rFonts w:ascii="Arial" w:eastAsia="Arial" w:hAnsi="Arial" w:cs="Arial"/>
        <w:color w:val="999999"/>
        <w:sz w:val="18"/>
        <w:szCs w:val="18"/>
      </w:rPr>
    </w:pPr>
  </w:p>
  <w:p w14:paraId="7807B9F1" w14:textId="77777777" w:rsidR="006A491A" w:rsidRDefault="006A49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0AA5F" w14:textId="77777777" w:rsidR="00897A9E" w:rsidRDefault="00897A9E">
      <w:pPr>
        <w:spacing w:after="0" w:line="240" w:lineRule="auto"/>
      </w:pPr>
      <w:r>
        <w:separator/>
      </w:r>
    </w:p>
  </w:footnote>
  <w:footnote w:type="continuationSeparator" w:id="0">
    <w:p w14:paraId="537BCD9C" w14:textId="77777777" w:rsidR="00897A9E" w:rsidRDefault="00897A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AA78E" w14:textId="77777777" w:rsidR="006A491A" w:rsidRDefault="00000000">
    <w:pPr>
      <w:pBdr>
        <w:top w:val="nil"/>
        <w:left w:val="nil"/>
        <w:bottom w:val="nil"/>
        <w:right w:val="nil"/>
        <w:between w:val="nil"/>
      </w:pBdr>
      <w:tabs>
        <w:tab w:val="center" w:pos="4536"/>
        <w:tab w:val="right" w:pos="9072"/>
      </w:tabs>
      <w:rPr>
        <w:rFonts w:cs="Calibri"/>
        <w:color w:val="000000"/>
      </w:rPr>
    </w:pPr>
    <w:r>
      <w:pict w14:anchorId="464B1D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45.4pt;height:196.05pt;rotation:315;z-index:-251657216;visibility:visible;mso-position-horizontal:center;mso-position-horizontal-relative:margin;mso-position-vertical:center;mso-position-vertical-relative:margin" fillcolor="#e8eaed" stroked="f">
          <v:textpath style="font-family:&quot;&amp;quot&quot;;font-size:1pt" string="Projet"/>
          <w10:wrap anchorx="margin" anchory="margin"/>
        </v:shape>
      </w:pict>
    </w:r>
    <w:r>
      <w:rPr>
        <w:rFonts w:cs="Calibri"/>
        <w:noProof/>
        <w:color w:val="000000"/>
      </w:rPr>
      <mc:AlternateContent>
        <mc:Choice Requires="wps">
          <w:drawing>
            <wp:anchor distT="0" distB="0" distL="0" distR="0" simplePos="0" relativeHeight="251656192" behindDoc="1" locked="0" layoutInCell="1" hidden="0" allowOverlap="1" wp14:anchorId="4AB750E6" wp14:editId="75A7777F">
              <wp:simplePos x="0" y="0"/>
              <wp:positionH relativeFrom="margin">
                <wp:align>center</wp:align>
              </wp:positionH>
              <wp:positionV relativeFrom="margin">
                <wp:align>center</wp:align>
              </wp:positionV>
              <wp:extent cx="8154170" cy="8154170"/>
              <wp:effectExtent l="0" t="0" r="0" b="0"/>
              <wp:wrapNone/>
              <wp:docPr id="15" name="Rectangle 15"/>
              <wp:cNvGraphicFramePr/>
              <a:graphic xmlns:a="http://schemas.openxmlformats.org/drawingml/2006/main">
                <a:graphicData uri="http://schemas.microsoft.com/office/word/2010/wordprocessingShape">
                  <wps:wsp>
                    <wps:cNvSpPr/>
                    <wps:spPr>
                      <a:xfrm rot="-2700000">
                        <a:off x="2503423" y="2561753"/>
                        <a:ext cx="5685155" cy="2436495"/>
                      </a:xfrm>
                      <a:prstGeom prst="rect">
                        <a:avLst/>
                      </a:prstGeom>
                      <a:noFill/>
                      <a:ln>
                        <a:noFill/>
                      </a:ln>
                    </wps:spPr>
                    <wps:txbx>
                      <w:txbxContent>
                        <w:p w14:paraId="5BCB91D0" w14:textId="77777777" w:rsidR="006A491A" w:rsidRDefault="00000000">
                          <w:pPr>
                            <w:spacing w:after="0" w:line="240" w:lineRule="auto"/>
                            <w:jc w:val="center"/>
                            <w:textDirection w:val="btLr"/>
                          </w:pPr>
                          <w:r>
                            <w:rPr>
                              <w:rFonts w:cs="Calibri"/>
                              <w:color w:val="5B9BD5"/>
                              <w:sz w:val="144"/>
                            </w:rPr>
                            <w:t>PROJET 3</w:t>
                          </w:r>
                        </w:p>
                      </w:txbxContent>
                    </wps:txbx>
                    <wps:bodyPr spcFirstLastPara="1" wrap="square" lIns="91425" tIns="91425" rIns="91425" bIns="91425" anchor="ctr" anchorCtr="0">
                      <a:noAutofit/>
                    </wps:bodyPr>
                  </wps:wsp>
                </a:graphicData>
              </a:graphic>
            </wp:anchor>
          </w:drawing>
        </mc:Choice>
        <mc:Fallback>
          <w:pict>
            <v:rect w14:anchorId="4AB750E6" id="Rectangle 15" o:spid="_x0000_s1026" style="position:absolute;margin-left:0;margin-top:0;width:642.05pt;height:642.05pt;rotation:-45;z-index:-251660288;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" filled="f" stroked="f">
              <v:textbox inset="2.53958mm,2.53958mm,2.53958mm,2.53958mm">
                <w:txbxContent>
                  <w:p w14:paraId="5BCB91D0" w14:textId="77777777" w:rsidR="006A491A" w:rsidRDefault="00000000">
                    <w:pPr>
                      <w:spacing w:after="0" w:line="240" w:lineRule="auto"/>
                      <w:jc w:val="center"/>
                      <w:textDirection w:val="btLr"/>
                    </w:pPr>
                    <w:r>
                      <w:rPr>
                        <w:rFonts w:cs="Calibri"/>
                        <w:color w:val="5B9BD5"/>
                        <w:sz w:val="144"/>
                      </w:rPr>
                      <w:t>PROJET 3</w:t>
                    </w:r>
                  </w:p>
                </w:txbxContent>
              </v:textbox>
              <w10:wrap anchorx="margin" anchory="margin"/>
            </v:rect>
          </w:pict>
        </mc:Fallback>
      </mc:AlternateContent>
    </w:r>
    <w:r>
      <w:rPr>
        <w:rFonts w:cs="Calibri"/>
        <w:noProof/>
        <w:color w:val="000000"/>
      </w:rPr>
      <mc:AlternateContent>
        <mc:Choice Requires="wps">
          <w:drawing>
            <wp:anchor distT="0" distB="0" distL="0" distR="0" simplePos="0" relativeHeight="251657216" behindDoc="1" locked="0" layoutInCell="1" hidden="0" allowOverlap="1" wp14:anchorId="34A02B37" wp14:editId="7FA69BFE">
              <wp:simplePos x="0" y="0"/>
              <wp:positionH relativeFrom="margin">
                <wp:align>center</wp:align>
              </wp:positionH>
              <wp:positionV relativeFrom="margin">
                <wp:align>center</wp:align>
              </wp:positionV>
              <wp:extent cx="8154170" cy="8154170"/>
              <wp:effectExtent l="0" t="0" r="0" b="0"/>
              <wp:wrapNone/>
              <wp:docPr id="16" name="Rectangle 16"/>
              <wp:cNvGraphicFramePr/>
              <a:graphic xmlns:a="http://schemas.openxmlformats.org/drawingml/2006/main">
                <a:graphicData uri="http://schemas.microsoft.com/office/word/2010/wordprocessingShape">
                  <wps:wsp>
                    <wps:cNvSpPr/>
                    <wps:spPr>
                      <a:xfrm rot="-2700000">
                        <a:off x="2503423" y="2561753"/>
                        <a:ext cx="5685155" cy="2436495"/>
                      </a:xfrm>
                      <a:prstGeom prst="rect">
                        <a:avLst/>
                      </a:prstGeom>
                      <a:noFill/>
                      <a:ln>
                        <a:noFill/>
                      </a:ln>
                    </wps:spPr>
                    <wps:txbx>
                      <w:txbxContent>
                        <w:p w14:paraId="0EFEE7FD" w14:textId="77777777" w:rsidR="006A491A" w:rsidRDefault="00000000">
                          <w:pPr>
                            <w:spacing w:after="0" w:line="240" w:lineRule="auto"/>
                            <w:jc w:val="center"/>
                            <w:textDirection w:val="btLr"/>
                          </w:pPr>
                          <w:r>
                            <w:rPr>
                              <w:rFonts w:cs="Calibri"/>
                              <w:color w:val="5B9BD5"/>
                              <w:sz w:val="144"/>
                            </w:rPr>
                            <w:t>PROJET 2</w:t>
                          </w:r>
                        </w:p>
                      </w:txbxContent>
                    </wps:txbx>
                    <wps:bodyPr spcFirstLastPara="1" wrap="square" lIns="91425" tIns="91425" rIns="91425" bIns="91425" anchor="ctr" anchorCtr="0">
                      <a:noAutofit/>
                    </wps:bodyPr>
                  </wps:wsp>
                </a:graphicData>
              </a:graphic>
            </wp:anchor>
          </w:drawing>
        </mc:Choice>
        <mc:Fallback>
          <w:pict>
            <v:rect w14:anchorId="34A02B37" id="Rectangle 16" o:spid="_x0000_s1027" style="position:absolute;margin-left:0;margin-top:0;width:642.05pt;height:642.05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" filled="f" stroked="f">
              <v:textbox inset="2.53958mm,2.53958mm,2.53958mm,2.53958mm">
                <w:txbxContent>
                  <w:p w14:paraId="0EFEE7FD" w14:textId="77777777" w:rsidR="006A491A" w:rsidRDefault="00000000">
                    <w:pPr>
                      <w:spacing w:after="0" w:line="240" w:lineRule="auto"/>
                      <w:jc w:val="center"/>
                      <w:textDirection w:val="btLr"/>
                    </w:pPr>
                    <w:r>
                      <w:rPr>
                        <w:rFonts w:cs="Calibri"/>
                        <w:color w:val="5B9BD5"/>
                        <w:sz w:val="144"/>
                      </w:rPr>
                      <w:t>PROJET 2</w:t>
                    </w:r>
                  </w:p>
                </w:txbxContent>
              </v:textbox>
              <w10:wrap anchorx="margin" anchory="margin"/>
            </v:rect>
          </w:pict>
        </mc:Fallback>
      </mc:AlternateContent>
    </w:r>
  </w:p>
  <w:p w14:paraId="21DAA610" w14:textId="77777777" w:rsidR="006A491A" w:rsidRDefault="006A49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ABF71" w14:textId="77777777" w:rsidR="006A491A" w:rsidRDefault="00000000">
    <w:pPr>
      <w:pBdr>
        <w:top w:val="nil"/>
        <w:left w:val="nil"/>
        <w:bottom w:val="nil"/>
        <w:right w:val="nil"/>
        <w:between w:val="nil"/>
      </w:pBdr>
      <w:tabs>
        <w:tab w:val="center" w:pos="4536"/>
        <w:tab w:val="right" w:pos="9072"/>
      </w:tabs>
      <w:jc w:val="center"/>
      <w:rPr>
        <w:rFonts w:cs="Calibri"/>
        <w:color w:val="000000"/>
      </w:rPr>
    </w:pPr>
    <w:r>
      <w:rPr>
        <w:noProof/>
      </w:rPr>
      <w:drawing>
        <wp:inline distT="114300" distB="114300" distL="114300" distR="114300" wp14:anchorId="35BB5643" wp14:editId="6EE90CE6">
          <wp:extent cx="1343025" cy="760095"/>
          <wp:effectExtent l="0" t="0" r="0" b="0"/>
          <wp:docPr id="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18297" b="25007"/>
                  <a:stretch>
                    <a:fillRect/>
                  </a:stretch>
                </pic:blipFill>
                <pic:spPr>
                  <a:xfrm>
                    <a:off x="0" y="0"/>
                    <a:ext cx="1343025" cy="76009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BC3D1" w14:textId="77777777" w:rsidR="006A491A" w:rsidRDefault="00000000">
    <w:pPr>
      <w:jc w:val="center"/>
    </w:pPr>
    <w:r>
      <w:rPr>
        <w:noProof/>
      </w:rPr>
      <w:drawing>
        <wp:inline distT="114300" distB="114300" distL="114300" distR="114300" wp14:anchorId="284A7F1D" wp14:editId="4CFB3275">
          <wp:extent cx="1343025" cy="760095"/>
          <wp:effectExtent l="0" t="0" r="0" b="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18297" b="25007"/>
                  <a:stretch>
                    <a:fillRect/>
                  </a:stretch>
                </pic:blipFill>
                <pic:spPr>
                  <a:xfrm>
                    <a:off x="0" y="0"/>
                    <a:ext cx="1343025" cy="76009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193154"/>
    <w:multiLevelType w:val="multilevel"/>
    <w:tmpl w:val="3F948A1C"/>
    <w:lvl w:ilvl="0">
      <w:start w:val="1"/>
      <w:numFmt w:val="decimal"/>
      <w:pStyle w:val="Seit1"/>
      <w:lvlText w:val="%1."/>
      <w:lvlJc w:val="left"/>
      <w:pPr>
        <w:tabs>
          <w:tab w:val="num" w:pos="720"/>
        </w:tabs>
        <w:ind w:left="720" w:hanging="720"/>
      </w:pPr>
    </w:lvl>
    <w:lvl w:ilvl="1">
      <w:start w:val="1"/>
      <w:numFmt w:val="decimal"/>
      <w:pStyle w:val="Seit2"/>
      <w:lvlText w:val="%2."/>
      <w:lvlJc w:val="left"/>
      <w:pPr>
        <w:tabs>
          <w:tab w:val="num" w:pos="1440"/>
        </w:tabs>
        <w:ind w:left="1440" w:hanging="720"/>
      </w:pPr>
    </w:lvl>
    <w:lvl w:ilvl="2">
      <w:start w:val="1"/>
      <w:numFmt w:val="decimal"/>
      <w:pStyle w:val="Seit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eit4"/>
      <w:lvlText w:val="%5."/>
      <w:lvlJc w:val="left"/>
      <w:pPr>
        <w:tabs>
          <w:tab w:val="num" w:pos="3600"/>
        </w:tabs>
        <w:ind w:left="3600" w:hanging="720"/>
      </w:pPr>
    </w:lvl>
    <w:lvl w:ilvl="5">
      <w:start w:val="1"/>
      <w:numFmt w:val="decimal"/>
      <w:pStyle w:val="Seit5"/>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70740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91A"/>
    <w:rsid w:val="00462687"/>
    <w:rsid w:val="006A491A"/>
    <w:rsid w:val="00897A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75E081E"/>
  <w15:docId w15:val="{5D6DAE5E-2BC6-42CD-889E-3FF58891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AB4"/>
    <w:rPr>
      <w:rFonts w:cs="Times New Roman"/>
    </w:rPr>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texte">
    <w:name w:val="texte"/>
    <w:basedOn w:val="Textebrut"/>
    <w:rsid w:val="000F3AB4"/>
    <w:pPr>
      <w:jc w:val="both"/>
    </w:pPr>
    <w:rPr>
      <w:rFonts w:ascii="Arial" w:eastAsia="MS Mincho" w:hAnsi="Arial" w:cs="Arial"/>
      <w:color w:val="5F5F5F"/>
      <w:sz w:val="20"/>
      <w:szCs w:val="20"/>
    </w:rPr>
  </w:style>
  <w:style w:type="paragraph" w:styleId="NormalWeb">
    <w:name w:val="Normal (Web)"/>
    <w:basedOn w:val="Normal"/>
    <w:uiPriority w:val="99"/>
    <w:rsid w:val="000F3AB4"/>
    <w:pPr>
      <w:spacing w:before="100" w:beforeAutospacing="1" w:after="100" w:afterAutospacing="1" w:line="240" w:lineRule="auto"/>
    </w:pPr>
    <w:rPr>
      <w:rFonts w:ascii="Times New Roman" w:eastAsia="Times New Roman" w:hAnsi="Times New Roman"/>
      <w:sz w:val="24"/>
      <w:szCs w:val="24"/>
    </w:rPr>
  </w:style>
  <w:style w:type="paragraph" w:styleId="Paragraphedeliste">
    <w:name w:val="List Paragraph"/>
    <w:basedOn w:val="Normal"/>
    <w:uiPriority w:val="34"/>
    <w:qFormat/>
    <w:rsid w:val="000F3AB4"/>
    <w:pPr>
      <w:ind w:left="720"/>
      <w:contextualSpacing/>
    </w:pPr>
  </w:style>
  <w:style w:type="paragraph" w:styleId="En-tte">
    <w:name w:val="header"/>
    <w:basedOn w:val="Normal"/>
    <w:link w:val="En-tteCar"/>
    <w:uiPriority w:val="99"/>
    <w:unhideWhenUsed/>
    <w:rsid w:val="000F3AB4"/>
    <w:pPr>
      <w:tabs>
        <w:tab w:val="center" w:pos="4536"/>
        <w:tab w:val="right" w:pos="9072"/>
      </w:tabs>
    </w:pPr>
  </w:style>
  <w:style w:type="character" w:customStyle="1" w:styleId="En-tteCar">
    <w:name w:val="En-tête Car"/>
    <w:basedOn w:val="Policepardfaut"/>
    <w:link w:val="En-tte"/>
    <w:uiPriority w:val="99"/>
    <w:rsid w:val="000F3AB4"/>
    <w:rPr>
      <w:rFonts w:ascii="Calibri" w:eastAsia="Calibri" w:hAnsi="Calibri" w:cs="Times New Roman"/>
    </w:rPr>
  </w:style>
  <w:style w:type="paragraph" w:styleId="Pieddepage">
    <w:name w:val="footer"/>
    <w:basedOn w:val="Normal"/>
    <w:link w:val="PieddepageCar"/>
    <w:unhideWhenUsed/>
    <w:rsid w:val="000F3AB4"/>
    <w:pPr>
      <w:tabs>
        <w:tab w:val="center" w:pos="4536"/>
        <w:tab w:val="right" w:pos="9072"/>
      </w:tabs>
    </w:pPr>
  </w:style>
  <w:style w:type="character" w:customStyle="1" w:styleId="PieddepageCar">
    <w:name w:val="Pied de page Car"/>
    <w:basedOn w:val="Policepardfaut"/>
    <w:link w:val="Pieddepage"/>
    <w:rsid w:val="000F3AB4"/>
    <w:rPr>
      <w:rFonts w:ascii="Calibri" w:eastAsia="Calibri" w:hAnsi="Calibri" w:cs="Times New Roman"/>
    </w:rPr>
  </w:style>
  <w:style w:type="paragraph" w:customStyle="1" w:styleId="Paragraphestandard">
    <w:name w:val="[Paragraphe standard]"/>
    <w:basedOn w:val="Normal"/>
    <w:uiPriority w:val="99"/>
    <w:rsid w:val="000F3AB4"/>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styleId="Textebrut">
    <w:name w:val="Plain Text"/>
    <w:basedOn w:val="Normal"/>
    <w:link w:val="TextebrutCar"/>
    <w:uiPriority w:val="99"/>
    <w:unhideWhenUsed/>
    <w:rsid w:val="000F3AB4"/>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0F3AB4"/>
    <w:rPr>
      <w:rFonts w:ascii="Consolas" w:eastAsia="Calibri" w:hAnsi="Consolas" w:cs="Times New Roman"/>
      <w:sz w:val="21"/>
      <w:szCs w:val="21"/>
    </w:rPr>
  </w:style>
  <w:style w:type="paragraph" w:customStyle="1" w:styleId="Default">
    <w:name w:val="Default"/>
    <w:rsid w:val="00BC4EBD"/>
    <w:pPr>
      <w:autoSpaceDE w:val="0"/>
      <w:autoSpaceDN w:val="0"/>
      <w:adjustRightInd w:val="0"/>
      <w:spacing w:after="0" w:line="240" w:lineRule="auto"/>
    </w:pPr>
    <w:rPr>
      <w:rFonts w:ascii="Arial" w:eastAsia="Times New Roman" w:hAnsi="Arial" w:cs="Arial"/>
      <w:color w:val="000000"/>
      <w:sz w:val="24"/>
      <w:szCs w:val="24"/>
    </w:rPr>
  </w:style>
  <w:style w:type="table" w:styleId="Grilledutableau">
    <w:name w:val="Table Grid"/>
    <w:basedOn w:val="TableauNormal"/>
    <w:uiPriority w:val="39"/>
    <w:rsid w:val="00BE7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6344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63448"/>
    <w:rPr>
      <w:rFonts w:ascii="Segoe UI" w:eastAsia="Calibri" w:hAnsi="Segoe UI" w:cs="Segoe UI"/>
      <w:sz w:val="18"/>
      <w:szCs w:val="18"/>
    </w:rPr>
  </w:style>
  <w:style w:type="paragraph" w:customStyle="1" w:styleId="Normalps">
    <w:name w:val="Normal.ps"/>
    <w:link w:val="NormalpsCar"/>
    <w:rsid w:val="00817417"/>
    <w:pPr>
      <w:keepLines/>
      <w:overflowPunct w:val="0"/>
      <w:autoSpaceDE w:val="0"/>
      <w:autoSpaceDN w:val="0"/>
      <w:adjustRightInd w:val="0"/>
      <w:spacing w:before="240" w:after="0" w:line="240" w:lineRule="auto"/>
      <w:ind w:left="851"/>
      <w:jc w:val="both"/>
    </w:pPr>
    <w:rPr>
      <w:rFonts w:ascii="Times New Roman" w:eastAsia="Times New Roman" w:hAnsi="Times New Roman" w:cs="Times New Roman"/>
      <w:sz w:val="24"/>
      <w:szCs w:val="20"/>
    </w:rPr>
  </w:style>
  <w:style w:type="character" w:customStyle="1" w:styleId="NormalpsCar">
    <w:name w:val="Normal.ps Car"/>
    <w:link w:val="Normalps"/>
    <w:rsid w:val="00817417"/>
    <w:rPr>
      <w:rFonts w:ascii="Times New Roman" w:eastAsia="Times New Roman" w:hAnsi="Times New Roman" w:cs="Times New Roman"/>
      <w:sz w:val="24"/>
      <w:szCs w:val="20"/>
      <w:lang w:eastAsia="fr-FR"/>
    </w:rPr>
  </w:style>
  <w:style w:type="paragraph" w:customStyle="1" w:styleId="Seit1">
    <w:name w:val="Seit.1"/>
    <w:basedOn w:val="Normal"/>
    <w:next w:val="Normal"/>
    <w:qFormat/>
    <w:rsid w:val="00817417"/>
    <w:pPr>
      <w:keepLines/>
      <w:numPr>
        <w:numId w:val="1"/>
      </w:numPr>
      <w:overflowPunct w:val="0"/>
      <w:autoSpaceDE w:val="0"/>
      <w:autoSpaceDN w:val="0"/>
      <w:adjustRightInd w:val="0"/>
      <w:spacing w:before="240" w:after="240" w:line="240" w:lineRule="auto"/>
      <w:ind w:right="-1"/>
      <w:jc w:val="both"/>
      <w:textAlignment w:val="baseline"/>
      <w:outlineLvl w:val="0"/>
    </w:pPr>
    <w:rPr>
      <w:rFonts w:eastAsia="MS Mincho"/>
      <w:b/>
      <w:sz w:val="28"/>
      <w:szCs w:val="24"/>
    </w:rPr>
  </w:style>
  <w:style w:type="paragraph" w:customStyle="1" w:styleId="Seit2">
    <w:name w:val="Seit.2"/>
    <w:basedOn w:val="Normal"/>
    <w:next w:val="Normal"/>
    <w:qFormat/>
    <w:rsid w:val="00817417"/>
    <w:pPr>
      <w:keepLines/>
      <w:numPr>
        <w:ilvl w:val="1"/>
        <w:numId w:val="1"/>
      </w:numPr>
      <w:overflowPunct w:val="0"/>
      <w:autoSpaceDE w:val="0"/>
      <w:autoSpaceDN w:val="0"/>
      <w:adjustRightInd w:val="0"/>
      <w:spacing w:after="240" w:line="240" w:lineRule="auto"/>
      <w:ind w:right="1134"/>
      <w:jc w:val="both"/>
      <w:textAlignment w:val="baseline"/>
      <w:outlineLvl w:val="1"/>
    </w:pPr>
    <w:rPr>
      <w:rFonts w:asciiTheme="minorHAnsi" w:eastAsia="MS Mincho" w:hAnsiTheme="minorHAnsi"/>
      <w:b/>
      <w:smallCaps/>
      <w:sz w:val="28"/>
      <w:szCs w:val="28"/>
    </w:rPr>
  </w:style>
  <w:style w:type="paragraph" w:customStyle="1" w:styleId="Seit3">
    <w:name w:val="Seit.3"/>
    <w:basedOn w:val="Normal"/>
    <w:next w:val="Normal"/>
    <w:qFormat/>
    <w:rsid w:val="00817417"/>
    <w:pPr>
      <w:keepLines/>
      <w:numPr>
        <w:ilvl w:val="2"/>
        <w:numId w:val="1"/>
      </w:numPr>
      <w:overflowPunct w:val="0"/>
      <w:autoSpaceDE w:val="0"/>
      <w:autoSpaceDN w:val="0"/>
      <w:adjustRightInd w:val="0"/>
      <w:spacing w:before="240" w:after="240" w:line="240" w:lineRule="auto"/>
      <w:jc w:val="both"/>
      <w:textAlignment w:val="baseline"/>
      <w:outlineLvl w:val="2"/>
    </w:pPr>
    <w:rPr>
      <w:rFonts w:asciiTheme="minorHAnsi" w:eastAsia="MS Mincho" w:hAnsiTheme="minorHAnsi" w:cs="Times"/>
      <w:b/>
      <w:sz w:val="24"/>
      <w:szCs w:val="20"/>
      <w:u w:val="single"/>
    </w:rPr>
  </w:style>
  <w:style w:type="paragraph" w:customStyle="1" w:styleId="Seit4">
    <w:name w:val="Seit.4"/>
    <w:basedOn w:val="Paragraphedeliste"/>
    <w:next w:val="Normal"/>
    <w:qFormat/>
    <w:rsid w:val="00817417"/>
    <w:pPr>
      <w:numPr>
        <w:ilvl w:val="4"/>
        <w:numId w:val="1"/>
      </w:numPr>
      <w:spacing w:after="240" w:line="240" w:lineRule="auto"/>
      <w:ind w:right="-1"/>
      <w:contextualSpacing w:val="0"/>
      <w:jc w:val="both"/>
      <w:outlineLvl w:val="3"/>
    </w:pPr>
    <w:rPr>
      <w:rFonts w:asciiTheme="minorHAnsi" w:hAnsiTheme="minorHAnsi"/>
      <w:b/>
      <w:i/>
      <w:sz w:val="24"/>
      <w:szCs w:val="24"/>
      <w:u w:val="single"/>
    </w:rPr>
  </w:style>
  <w:style w:type="paragraph" w:customStyle="1" w:styleId="Seit5">
    <w:name w:val="Seit.5"/>
    <w:basedOn w:val="Normal"/>
    <w:next w:val="Normal"/>
    <w:qFormat/>
    <w:rsid w:val="00817417"/>
    <w:pPr>
      <w:numPr>
        <w:ilvl w:val="5"/>
        <w:numId w:val="1"/>
      </w:numPr>
      <w:spacing w:after="240" w:line="240" w:lineRule="auto"/>
      <w:ind w:right="-1"/>
      <w:jc w:val="both"/>
      <w:outlineLvl w:val="4"/>
    </w:pPr>
    <w:rPr>
      <w:rFonts w:asciiTheme="minorHAnsi" w:hAnsiTheme="minorHAnsi"/>
      <w:sz w:val="24"/>
      <w:szCs w:val="24"/>
      <w:u w:val="single"/>
    </w:rPr>
  </w:style>
  <w:style w:type="character" w:styleId="Marquedecommentaire">
    <w:name w:val="annotation reference"/>
    <w:basedOn w:val="Policepardfaut"/>
    <w:semiHidden/>
    <w:unhideWhenUsed/>
    <w:rsid w:val="00817417"/>
    <w:rPr>
      <w:sz w:val="16"/>
      <w:szCs w:val="16"/>
    </w:rPr>
  </w:style>
  <w:style w:type="paragraph" w:styleId="Commentaire">
    <w:name w:val="annotation text"/>
    <w:basedOn w:val="Normal"/>
    <w:link w:val="CommentaireCar"/>
    <w:unhideWhenUsed/>
    <w:rsid w:val="00817417"/>
    <w:pPr>
      <w:spacing w:line="240" w:lineRule="auto"/>
    </w:pPr>
    <w:rPr>
      <w:sz w:val="20"/>
      <w:szCs w:val="20"/>
    </w:rPr>
  </w:style>
  <w:style w:type="character" w:customStyle="1" w:styleId="CommentaireCar">
    <w:name w:val="Commentaire Car"/>
    <w:basedOn w:val="Policepardfaut"/>
    <w:link w:val="Commentaire"/>
    <w:rsid w:val="00817417"/>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817417"/>
    <w:rPr>
      <w:b/>
      <w:bCs/>
    </w:rPr>
  </w:style>
  <w:style w:type="character" w:customStyle="1" w:styleId="ObjetducommentaireCar">
    <w:name w:val="Objet du commentaire Car"/>
    <w:basedOn w:val="CommentaireCar"/>
    <w:link w:val="Objetducommentaire"/>
    <w:uiPriority w:val="99"/>
    <w:semiHidden/>
    <w:rsid w:val="00817417"/>
    <w:rPr>
      <w:rFonts w:ascii="Calibri" w:eastAsia="Calibri" w:hAnsi="Calibri" w:cs="Times New Roman"/>
      <w:b/>
      <w:bCs/>
      <w:sz w:val="20"/>
      <w:szCs w:val="20"/>
    </w:rPr>
  </w:style>
  <w:style w:type="paragraph" w:styleId="Rvision">
    <w:name w:val="Revision"/>
    <w:hidden/>
    <w:uiPriority w:val="99"/>
    <w:semiHidden/>
    <w:rsid w:val="00E20A22"/>
    <w:pPr>
      <w:spacing w:after="0" w:line="240" w:lineRule="auto"/>
    </w:pPr>
    <w:rPr>
      <w:rFonts w:cs="Times New Roman"/>
    </w:rPr>
  </w:style>
  <w:style w:type="character" w:customStyle="1" w:styleId="e24kjd">
    <w:name w:val="e24kjd"/>
    <w:basedOn w:val="Policepardfaut"/>
    <w:rsid w:val="002B05AC"/>
  </w:style>
  <w:style w:type="paragraph" w:styleId="Corpsdetexte">
    <w:name w:val="Body Text"/>
    <w:basedOn w:val="Normal"/>
    <w:link w:val="CorpsdetexteCar"/>
    <w:rsid w:val="008F520C"/>
    <w:pPr>
      <w:spacing w:after="0" w:line="240" w:lineRule="auto"/>
      <w:jc w:val="both"/>
    </w:pPr>
    <w:rPr>
      <w:rFonts w:ascii="Times New Roman" w:eastAsia="Times New Roman" w:hAnsi="Times New Roman"/>
      <w:sz w:val="24"/>
      <w:szCs w:val="24"/>
    </w:rPr>
  </w:style>
  <w:style w:type="character" w:customStyle="1" w:styleId="CorpsdetexteCar">
    <w:name w:val="Corps de texte Car"/>
    <w:basedOn w:val="Policepardfaut"/>
    <w:link w:val="Corpsdetexte"/>
    <w:rsid w:val="008F520C"/>
    <w:rPr>
      <w:rFonts w:ascii="Times New Roman" w:eastAsia="Times New Roman" w:hAnsi="Times New Roman" w:cs="Times New Roman"/>
      <w:sz w:val="24"/>
      <w:szCs w:val="24"/>
      <w:lang w:eastAsia="fr-FR"/>
    </w:rPr>
  </w:style>
  <w:style w:type="character" w:styleId="lev">
    <w:name w:val="Strong"/>
    <w:basedOn w:val="Policepardfaut"/>
    <w:uiPriority w:val="22"/>
    <w:qFormat/>
    <w:rsid w:val="00A96184"/>
    <w:rPr>
      <w:b/>
      <w:bCs/>
    </w:rPr>
  </w:style>
  <w:style w:type="character" w:styleId="DfinitionHTML">
    <w:name w:val="HTML Definition"/>
    <w:basedOn w:val="Policepardfaut"/>
    <w:uiPriority w:val="99"/>
    <w:semiHidden/>
    <w:unhideWhenUsed/>
    <w:rsid w:val="00A96184"/>
    <w:rPr>
      <w:i/>
      <w:iCs/>
    </w:rPr>
  </w:style>
  <w:style w:type="character" w:styleId="Lienhypertexte">
    <w:name w:val="Hyperlink"/>
    <w:basedOn w:val="Policepardfaut"/>
    <w:uiPriority w:val="99"/>
    <w:semiHidden/>
    <w:unhideWhenUsed/>
    <w:rsid w:val="00A96184"/>
    <w:rPr>
      <w:color w:val="0000FF"/>
      <w:u w:val="single"/>
    </w:rPr>
  </w:style>
  <w:style w:type="paragraph" w:customStyle="1" w:styleId="EFLintroduction">
    <w:name w:val="EFLintroduction"/>
    <w:basedOn w:val="Normal"/>
    <w:rsid w:val="00FF7568"/>
    <w:pPr>
      <w:autoSpaceDE w:val="0"/>
      <w:autoSpaceDN w:val="0"/>
      <w:spacing w:before="440" w:after="440" w:line="260" w:lineRule="exact"/>
    </w:pPr>
    <w:rPr>
      <w:rFonts w:ascii="Times New Roman" w:eastAsia="Times New Roman" w:hAnsi="Times New Roman"/>
      <w:b/>
      <w:bCs/>
      <w:color w:val="000000"/>
    </w:rPr>
  </w:style>
  <w:style w:type="paragraph" w:customStyle="1" w:styleId="EFLnormal">
    <w:name w:val="EFLnormal"/>
    <w:basedOn w:val="Normal"/>
    <w:link w:val="EFLnormalCar"/>
    <w:rsid w:val="00FF7568"/>
    <w:pPr>
      <w:autoSpaceDE w:val="0"/>
      <w:autoSpaceDN w:val="0"/>
      <w:spacing w:before="120" w:after="0" w:line="260" w:lineRule="exact"/>
      <w:jc w:val="both"/>
    </w:pPr>
    <w:rPr>
      <w:rFonts w:ascii="Times New Roman" w:eastAsia="Times New Roman" w:hAnsi="Times New Roman"/>
      <w:color w:val="000000"/>
    </w:rPr>
  </w:style>
  <w:style w:type="character" w:customStyle="1" w:styleId="EFLnormalCar">
    <w:name w:val="EFLnormal Car"/>
    <w:link w:val="EFLnormal"/>
    <w:rsid w:val="00FF7568"/>
    <w:rPr>
      <w:rFonts w:ascii="Times New Roman" w:eastAsia="Times New Roman" w:hAnsi="Times New Roman" w:cs="Times New Roman"/>
      <w:color w:val="000000"/>
      <w:lang w:eastAsia="fr-FR"/>
    </w:rPr>
  </w:style>
  <w:style w:type="paragraph" w:styleId="Sansinterligne">
    <w:name w:val="No Spacing"/>
    <w:uiPriority w:val="1"/>
    <w:qFormat/>
    <w:rsid w:val="0092695F"/>
    <w:pPr>
      <w:spacing w:after="0" w:line="240" w:lineRule="auto"/>
    </w:pPr>
    <w:rPr>
      <w:rFonts w:cs="Times New Roma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dRowPtsG8zEY2b6OadEGgfOTBw==">CgMxLjAyCWguMWZvYjl0ZTIJaC4zem55c2g3OAByITE5eV90WDYyU29TbmJ4ZHJWRTdCUUFsejRGbm9OZGZBWA==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1163</Words>
  <Characters>6402</Characters>
  <Application>Microsoft Office Word</Application>
  <DocSecurity>0</DocSecurity>
  <Lines>53</Lines>
  <Paragraphs>15</Paragraphs>
  <ScaleCrop>false</ScaleCrop>
  <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Ferreira</dc:creator>
  <cp:lastModifiedBy>Lisa Ferreira</cp:lastModifiedBy>
  <cp:revision>2</cp:revision>
  <dcterms:created xsi:type="dcterms:W3CDTF">2021-02-02T08:44:00Z</dcterms:created>
  <dcterms:modified xsi:type="dcterms:W3CDTF">2023-12-08T10:09:00Z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16741736</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O</vt:lpwstr>
  </property>
  <property fmtid="{D5CDD505-2E9C-101B-9397-08002B2CF9AE}" pid="14" name="adxRibbonButtonChemin">
    <vt:lpwstr>N</vt:lpwstr>
  </property>
</Properties>
</file>