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C2CA9" w14:textId="2074C227" w:rsidR="00717C6B" w:rsidRPr="00717C6B" w:rsidRDefault="00717C6B" w:rsidP="00990D2C">
      <w:pPr>
        <w:pStyle w:val="Titre"/>
        <w:pBdr>
          <w:top w:val="single" w:sz="4" w:space="1" w:color="auto"/>
          <w:left w:val="single" w:sz="4" w:space="4" w:color="auto"/>
          <w:bottom w:val="single" w:sz="4" w:space="1" w:color="auto"/>
          <w:right w:val="single" w:sz="4" w:space="4" w:color="auto"/>
        </w:pBdr>
        <w:shd w:val="clear" w:color="auto" w:fill="C1E4F5" w:themeFill="accent1" w:themeFillTint="33"/>
        <w:spacing w:after="0"/>
        <w:contextualSpacing w:val="0"/>
        <w:jc w:val="center"/>
        <w:rPr>
          <w:rFonts w:eastAsia="Times New Roman" w:cstheme="majorHAnsi"/>
          <w:b/>
          <w:color w:val="153D63" w:themeColor="text2" w:themeTint="E6"/>
          <w:spacing w:val="0"/>
          <w:kern w:val="0"/>
          <w:sz w:val="28"/>
          <w:szCs w:val="28"/>
          <w14:ligatures w14:val="none"/>
        </w:rPr>
      </w:pPr>
      <w:r w:rsidRPr="00717C6B">
        <w:rPr>
          <w:rFonts w:eastAsia="Times New Roman" w:cstheme="majorHAnsi"/>
          <w:b/>
          <w:color w:val="153D63" w:themeColor="text2" w:themeTint="E6"/>
          <w:spacing w:val="0"/>
          <w:kern w:val="0"/>
          <w:sz w:val="28"/>
          <w:szCs w:val="28"/>
          <w14:ligatures w14:val="none"/>
        </w:rPr>
        <w:t xml:space="preserve">Avenant n°1 relatif </w:t>
      </w:r>
      <w:r w:rsidR="00990D2C">
        <w:rPr>
          <w:rFonts w:eastAsia="Times New Roman" w:cstheme="majorHAnsi"/>
          <w:b/>
          <w:color w:val="153D63" w:themeColor="text2" w:themeTint="E6"/>
          <w:spacing w:val="0"/>
          <w:kern w:val="0"/>
          <w:sz w:val="28"/>
          <w:szCs w:val="28"/>
          <w14:ligatures w14:val="none"/>
        </w:rPr>
        <w:t>à la programmation des congés du Personnel Navigant Commercial de la société French Bee</w:t>
      </w:r>
    </w:p>
    <w:p w14:paraId="780F9456" w14:textId="6B8E925E" w:rsidR="00717C6B" w:rsidRDefault="00717C6B"/>
    <w:p w14:paraId="3C9DAF0F" w14:textId="02B07440"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r w:rsidRPr="00717C6B">
        <w:rPr>
          <w:rFonts w:asciiTheme="majorHAnsi" w:hAnsiTheme="majorHAnsi" w:cstheme="majorHAnsi"/>
          <w:b/>
          <w:bCs/>
          <w:color w:val="153D63" w:themeColor="text2" w:themeTint="E6"/>
          <w:sz w:val="22"/>
          <w:szCs w:val="22"/>
        </w:rPr>
        <w:t>Entre les soussignées</w:t>
      </w:r>
      <w:r w:rsidRPr="00717C6B">
        <w:rPr>
          <w:rFonts w:asciiTheme="majorHAnsi" w:hAnsiTheme="majorHAnsi" w:cstheme="majorHAnsi"/>
          <w:color w:val="153D63" w:themeColor="text2" w:themeTint="E6"/>
          <w:sz w:val="22"/>
          <w:szCs w:val="22"/>
        </w:rPr>
        <w:t xml:space="preserve"> :</w:t>
      </w:r>
    </w:p>
    <w:p w14:paraId="08519E0E" w14:textId="77777777"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p>
    <w:p w14:paraId="54B9E285" w14:textId="7CCA6C51"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r w:rsidRPr="00727892">
        <w:rPr>
          <w:rFonts w:asciiTheme="majorHAnsi" w:hAnsiTheme="majorHAnsi" w:cstheme="majorHAnsi"/>
          <w:b/>
          <w:bCs/>
          <w:color w:val="153D63" w:themeColor="text2" w:themeTint="E6"/>
          <w:sz w:val="22"/>
          <w:szCs w:val="22"/>
        </w:rPr>
        <w:t>La société FRENCH BEE</w:t>
      </w:r>
      <w:r w:rsidRPr="00717C6B">
        <w:rPr>
          <w:rFonts w:asciiTheme="majorHAnsi" w:hAnsiTheme="majorHAnsi" w:cstheme="majorHAnsi"/>
          <w:color w:val="153D63" w:themeColor="text2" w:themeTint="E6"/>
          <w:sz w:val="22"/>
          <w:szCs w:val="22"/>
        </w:rPr>
        <w:t xml:space="preserve">, Société par actions simplifiée au capital social de 10 960 390 euros dont le siège social sis à BELLEVILLE SUR VIE (85170), Actipôle 85, immatriculée sous le numéro 520 168 030 au RCS de LA ROCHE SUR YON, représentée par Monsieur </w:t>
      </w:r>
      <w:r w:rsidR="00A049CF">
        <w:rPr>
          <w:rFonts w:asciiTheme="majorHAnsi" w:hAnsiTheme="majorHAnsi" w:cstheme="majorHAnsi"/>
          <w:color w:val="153D63" w:themeColor="text2" w:themeTint="E6"/>
          <w:sz w:val="22"/>
          <w:szCs w:val="22"/>
        </w:rPr>
        <w:t>XXXXXXXXXXX</w:t>
      </w:r>
      <w:r w:rsidRPr="00717C6B">
        <w:rPr>
          <w:rFonts w:asciiTheme="majorHAnsi" w:hAnsiTheme="majorHAnsi" w:cstheme="majorHAnsi"/>
          <w:color w:val="153D63" w:themeColor="text2" w:themeTint="E6"/>
          <w:sz w:val="22"/>
          <w:szCs w:val="22"/>
        </w:rPr>
        <w:t>, Directeur Général.</w:t>
      </w:r>
    </w:p>
    <w:p w14:paraId="7A33E500" w14:textId="77777777"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p>
    <w:p w14:paraId="33E5254A" w14:textId="56FC8B8B"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r w:rsidRPr="00717C6B">
        <w:rPr>
          <w:rFonts w:asciiTheme="majorHAnsi" w:hAnsiTheme="majorHAnsi" w:cstheme="majorHAnsi"/>
          <w:color w:val="153D63" w:themeColor="text2" w:themeTint="E6"/>
          <w:sz w:val="22"/>
          <w:szCs w:val="22"/>
        </w:rPr>
        <w:t>Ensemble composant la représentation patronale ci-après nommée « la Direction »</w:t>
      </w:r>
      <w:r w:rsidR="008505E1">
        <w:rPr>
          <w:rFonts w:asciiTheme="majorHAnsi" w:hAnsiTheme="majorHAnsi" w:cstheme="majorHAnsi"/>
          <w:color w:val="153D63" w:themeColor="text2" w:themeTint="E6"/>
          <w:sz w:val="22"/>
          <w:szCs w:val="22"/>
        </w:rPr>
        <w:t xml:space="preserve"> ou « La Compagnie »</w:t>
      </w:r>
      <w:r w:rsidRPr="00717C6B">
        <w:rPr>
          <w:rFonts w:asciiTheme="majorHAnsi" w:hAnsiTheme="majorHAnsi" w:cstheme="majorHAnsi"/>
          <w:color w:val="153D63" w:themeColor="text2" w:themeTint="E6"/>
          <w:sz w:val="22"/>
          <w:szCs w:val="22"/>
        </w:rPr>
        <w:t xml:space="preserve"> ;</w:t>
      </w:r>
    </w:p>
    <w:p w14:paraId="78D45E1F" w14:textId="77777777"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p>
    <w:p w14:paraId="062BCE17" w14:textId="77777777" w:rsidR="00717C6B" w:rsidRPr="00717C6B" w:rsidRDefault="00717C6B" w:rsidP="00717C6B">
      <w:pPr>
        <w:spacing w:line="239" w:lineRule="exact"/>
        <w:ind w:left="7788"/>
        <w:jc w:val="both"/>
        <w:rPr>
          <w:rFonts w:asciiTheme="majorHAnsi" w:hAnsiTheme="majorHAnsi" w:cstheme="majorHAnsi"/>
          <w:b/>
          <w:bCs/>
          <w:color w:val="153D63" w:themeColor="text2" w:themeTint="E6"/>
          <w:sz w:val="22"/>
          <w:szCs w:val="22"/>
        </w:rPr>
      </w:pPr>
      <w:r w:rsidRPr="00717C6B">
        <w:rPr>
          <w:rFonts w:asciiTheme="majorHAnsi" w:hAnsiTheme="majorHAnsi" w:cstheme="majorHAnsi"/>
          <w:b/>
          <w:bCs/>
          <w:color w:val="153D63" w:themeColor="text2" w:themeTint="E6"/>
          <w:sz w:val="22"/>
          <w:szCs w:val="22"/>
        </w:rPr>
        <w:t>D’une part,</w:t>
      </w:r>
    </w:p>
    <w:p w14:paraId="598E0186" w14:textId="77777777" w:rsidR="00717C6B" w:rsidRPr="00717C6B" w:rsidRDefault="00717C6B" w:rsidP="00717C6B">
      <w:pPr>
        <w:rPr>
          <w:color w:val="153D63" w:themeColor="text2" w:themeTint="E6"/>
        </w:rPr>
      </w:pPr>
    </w:p>
    <w:p w14:paraId="09E85E2D" w14:textId="3496012A"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r w:rsidRPr="008505E1">
        <w:rPr>
          <w:rFonts w:asciiTheme="majorHAnsi" w:hAnsiTheme="majorHAnsi" w:cstheme="majorHAnsi"/>
          <w:color w:val="153D63" w:themeColor="text2" w:themeTint="E6"/>
          <w:sz w:val="22"/>
          <w:szCs w:val="22"/>
          <w:u w:val="single"/>
        </w:rPr>
        <w:t>Les syndicats suivants affiliés aux organisations représentatives de la branche d'activité au sens de l'article L. 2231-1 du Code du travail</w:t>
      </w:r>
      <w:r w:rsidRPr="00717C6B">
        <w:rPr>
          <w:rFonts w:asciiTheme="majorHAnsi" w:hAnsiTheme="majorHAnsi" w:cstheme="majorHAnsi"/>
          <w:color w:val="153D63" w:themeColor="text2" w:themeTint="E6"/>
          <w:sz w:val="22"/>
          <w:szCs w:val="22"/>
        </w:rPr>
        <w:t xml:space="preserve"> :</w:t>
      </w:r>
      <w:r w:rsidRPr="00717C6B">
        <w:rPr>
          <w:rFonts w:asciiTheme="majorHAnsi" w:hAnsiTheme="majorHAnsi" w:cstheme="majorHAnsi"/>
          <w:color w:val="153D63" w:themeColor="text2" w:themeTint="E6"/>
          <w:sz w:val="22"/>
          <w:szCs w:val="22"/>
        </w:rPr>
        <w:tab/>
      </w:r>
    </w:p>
    <w:p w14:paraId="32718AA3" w14:textId="77777777"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p>
    <w:p w14:paraId="4975C983" w14:textId="77777777" w:rsidR="00990D2C" w:rsidRPr="00990D2C" w:rsidRDefault="00990D2C" w:rsidP="00990D2C">
      <w:pPr>
        <w:spacing w:after="0" w:line="239" w:lineRule="exact"/>
        <w:jc w:val="both"/>
        <w:rPr>
          <w:rFonts w:asciiTheme="majorHAnsi" w:hAnsiTheme="majorHAnsi" w:cstheme="majorHAnsi"/>
          <w:b/>
          <w:bCs/>
          <w:color w:val="153D63" w:themeColor="text2" w:themeTint="E6"/>
          <w:sz w:val="22"/>
          <w:szCs w:val="22"/>
        </w:rPr>
      </w:pPr>
      <w:r w:rsidRPr="00990D2C">
        <w:rPr>
          <w:rFonts w:asciiTheme="majorHAnsi" w:hAnsiTheme="majorHAnsi" w:cstheme="majorHAnsi"/>
          <w:b/>
          <w:bCs/>
          <w:color w:val="153D63" w:themeColor="text2" w:themeTint="E6"/>
          <w:sz w:val="22"/>
          <w:szCs w:val="22"/>
        </w:rPr>
        <w:t>La Confédération Générale du Travail (CGT) </w:t>
      </w:r>
    </w:p>
    <w:p w14:paraId="46C090C3" w14:textId="1D8BE1A5"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 xml:space="preserve">Représentée par </w:t>
      </w:r>
      <w:r w:rsidR="00A049CF">
        <w:rPr>
          <w:rFonts w:asciiTheme="majorHAnsi" w:hAnsiTheme="majorHAnsi" w:cstheme="majorHAnsi"/>
          <w:color w:val="153D63" w:themeColor="text2" w:themeTint="E6"/>
          <w:sz w:val="22"/>
          <w:szCs w:val="22"/>
        </w:rPr>
        <w:t>XXXXXXXXXXXXXXX</w:t>
      </w:r>
    </w:p>
    <w:p w14:paraId="647E7170" w14:textId="77777777" w:rsidR="00990D2C" w:rsidRPr="00990D2C" w:rsidRDefault="00990D2C" w:rsidP="00990D2C">
      <w:pPr>
        <w:spacing w:line="239" w:lineRule="exact"/>
        <w:jc w:val="both"/>
        <w:rPr>
          <w:rFonts w:asciiTheme="majorHAnsi" w:hAnsiTheme="majorHAnsi" w:cstheme="majorHAnsi"/>
          <w:b/>
          <w:bCs/>
          <w:color w:val="153D63" w:themeColor="text2" w:themeTint="E6"/>
          <w:sz w:val="22"/>
          <w:szCs w:val="22"/>
        </w:rPr>
      </w:pPr>
    </w:p>
    <w:p w14:paraId="61D2C567" w14:textId="77777777" w:rsidR="00990D2C" w:rsidRPr="00990D2C" w:rsidRDefault="00990D2C" w:rsidP="00990D2C">
      <w:pPr>
        <w:spacing w:after="0" w:line="239" w:lineRule="exact"/>
        <w:jc w:val="both"/>
        <w:rPr>
          <w:rFonts w:asciiTheme="majorHAnsi" w:hAnsiTheme="majorHAnsi" w:cstheme="majorHAnsi"/>
          <w:b/>
          <w:bCs/>
          <w:color w:val="153D63" w:themeColor="text2" w:themeTint="E6"/>
          <w:sz w:val="22"/>
          <w:szCs w:val="22"/>
        </w:rPr>
      </w:pPr>
      <w:r w:rsidRPr="00990D2C">
        <w:rPr>
          <w:rFonts w:asciiTheme="majorHAnsi" w:hAnsiTheme="majorHAnsi" w:cstheme="majorHAnsi"/>
          <w:b/>
          <w:bCs/>
          <w:color w:val="153D63" w:themeColor="text2" w:themeTint="E6"/>
          <w:sz w:val="22"/>
          <w:szCs w:val="22"/>
        </w:rPr>
        <w:t>Le Syndicat National du Personnel Navigant Commercial (SNPNC) - FO</w:t>
      </w:r>
    </w:p>
    <w:p w14:paraId="6DEBF9F3" w14:textId="199E9273"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 xml:space="preserve">Représenté par </w:t>
      </w:r>
      <w:r w:rsidR="00A049CF">
        <w:rPr>
          <w:rFonts w:asciiTheme="majorHAnsi" w:hAnsiTheme="majorHAnsi" w:cstheme="majorHAnsi"/>
          <w:color w:val="153D63" w:themeColor="text2" w:themeTint="E6"/>
          <w:sz w:val="22"/>
          <w:szCs w:val="22"/>
        </w:rPr>
        <w:t>XXXXXXXXXXXXXXXXXXXXX</w:t>
      </w:r>
    </w:p>
    <w:p w14:paraId="631FBBC9" w14:textId="77777777" w:rsidR="00717C6B" w:rsidRDefault="00717C6B" w:rsidP="00717C6B">
      <w:pPr>
        <w:spacing w:line="239" w:lineRule="exact"/>
        <w:jc w:val="both"/>
        <w:rPr>
          <w:rFonts w:asciiTheme="majorHAnsi" w:hAnsiTheme="majorHAnsi" w:cstheme="majorHAnsi"/>
          <w:color w:val="153D63" w:themeColor="text2" w:themeTint="E6"/>
          <w:sz w:val="22"/>
          <w:szCs w:val="22"/>
        </w:rPr>
      </w:pPr>
    </w:p>
    <w:p w14:paraId="636D581C" w14:textId="77777777" w:rsidR="00990D2C" w:rsidRPr="00717C6B" w:rsidRDefault="00990D2C" w:rsidP="00717C6B">
      <w:pPr>
        <w:spacing w:line="239" w:lineRule="exact"/>
        <w:jc w:val="both"/>
        <w:rPr>
          <w:rFonts w:asciiTheme="majorHAnsi" w:hAnsiTheme="majorHAnsi" w:cstheme="majorHAnsi"/>
          <w:color w:val="153D63" w:themeColor="text2" w:themeTint="E6"/>
          <w:sz w:val="22"/>
          <w:szCs w:val="22"/>
        </w:rPr>
      </w:pPr>
    </w:p>
    <w:p w14:paraId="5373E709" w14:textId="22D0A436"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r w:rsidRPr="00717C6B">
        <w:rPr>
          <w:rFonts w:asciiTheme="majorHAnsi" w:hAnsiTheme="majorHAnsi" w:cstheme="majorHAnsi"/>
          <w:color w:val="153D63" w:themeColor="text2" w:themeTint="E6"/>
          <w:sz w:val="22"/>
          <w:szCs w:val="22"/>
        </w:rPr>
        <w:t>Composant la représentation salariale ci-après nommé « Les Représentants PN</w:t>
      </w:r>
      <w:r w:rsidR="00990D2C">
        <w:rPr>
          <w:rFonts w:asciiTheme="majorHAnsi" w:hAnsiTheme="majorHAnsi" w:cstheme="majorHAnsi"/>
          <w:color w:val="153D63" w:themeColor="text2" w:themeTint="E6"/>
          <w:sz w:val="22"/>
          <w:szCs w:val="22"/>
        </w:rPr>
        <w:t>C</w:t>
      </w:r>
      <w:r w:rsidRPr="00717C6B">
        <w:rPr>
          <w:rFonts w:asciiTheme="majorHAnsi" w:hAnsiTheme="majorHAnsi" w:cstheme="majorHAnsi"/>
          <w:color w:val="153D63" w:themeColor="text2" w:themeTint="E6"/>
          <w:sz w:val="22"/>
          <w:szCs w:val="22"/>
        </w:rPr>
        <w:t xml:space="preserve"> » ;</w:t>
      </w:r>
    </w:p>
    <w:p w14:paraId="20731605" w14:textId="77777777"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p>
    <w:p w14:paraId="7A2077CF" w14:textId="77777777" w:rsidR="00717C6B" w:rsidRPr="00717C6B" w:rsidRDefault="00717C6B" w:rsidP="00717C6B">
      <w:pPr>
        <w:spacing w:line="239" w:lineRule="exact"/>
        <w:ind w:left="7788"/>
        <w:jc w:val="both"/>
        <w:rPr>
          <w:rFonts w:asciiTheme="majorHAnsi" w:hAnsiTheme="majorHAnsi" w:cstheme="majorHAnsi"/>
          <w:b/>
          <w:bCs/>
          <w:color w:val="153D63" w:themeColor="text2" w:themeTint="E6"/>
          <w:sz w:val="22"/>
          <w:szCs w:val="22"/>
        </w:rPr>
      </w:pPr>
      <w:r w:rsidRPr="00717C6B">
        <w:rPr>
          <w:rFonts w:asciiTheme="majorHAnsi" w:hAnsiTheme="majorHAnsi" w:cstheme="majorHAnsi"/>
          <w:b/>
          <w:bCs/>
          <w:color w:val="153D63" w:themeColor="text2" w:themeTint="E6"/>
          <w:sz w:val="22"/>
          <w:szCs w:val="22"/>
        </w:rPr>
        <w:t>D’autre part,</w:t>
      </w:r>
    </w:p>
    <w:p w14:paraId="4AA130AB" w14:textId="77777777"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p>
    <w:p w14:paraId="24D4DC53" w14:textId="77777777"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r w:rsidRPr="00717C6B">
        <w:rPr>
          <w:rFonts w:asciiTheme="majorHAnsi" w:hAnsiTheme="majorHAnsi" w:cstheme="majorHAnsi"/>
          <w:color w:val="153D63" w:themeColor="text2" w:themeTint="E6"/>
          <w:sz w:val="22"/>
          <w:szCs w:val="22"/>
        </w:rPr>
        <w:t>Ci-après nommés ensemble « Les Parties »</w:t>
      </w:r>
    </w:p>
    <w:p w14:paraId="15152B94" w14:textId="77777777" w:rsidR="00717C6B" w:rsidRPr="00717C6B" w:rsidRDefault="00717C6B" w:rsidP="00717C6B">
      <w:pPr>
        <w:rPr>
          <w:color w:val="153D63" w:themeColor="text2" w:themeTint="E6"/>
        </w:rPr>
      </w:pPr>
    </w:p>
    <w:p w14:paraId="683594EB" w14:textId="77777777" w:rsidR="00717C6B" w:rsidRPr="00717C6B" w:rsidRDefault="00717C6B" w:rsidP="00717C6B">
      <w:pPr>
        <w:spacing w:line="239" w:lineRule="exact"/>
        <w:jc w:val="both"/>
        <w:rPr>
          <w:rFonts w:asciiTheme="majorHAnsi" w:hAnsiTheme="majorHAnsi" w:cstheme="majorHAnsi"/>
          <w:color w:val="153D63" w:themeColor="text2" w:themeTint="E6"/>
          <w:sz w:val="22"/>
          <w:szCs w:val="22"/>
        </w:rPr>
      </w:pPr>
      <w:r w:rsidRPr="00717C6B">
        <w:rPr>
          <w:rFonts w:asciiTheme="majorHAnsi" w:hAnsiTheme="majorHAnsi" w:cstheme="majorHAnsi"/>
          <w:b/>
          <w:bCs/>
          <w:color w:val="153D63" w:themeColor="text2" w:themeTint="E6"/>
          <w:sz w:val="22"/>
          <w:szCs w:val="22"/>
        </w:rPr>
        <w:t>Il a été convenu et arrêté ce qui suit</w:t>
      </w:r>
      <w:r w:rsidRPr="00717C6B">
        <w:rPr>
          <w:rFonts w:asciiTheme="majorHAnsi" w:hAnsiTheme="majorHAnsi" w:cstheme="majorHAnsi"/>
          <w:color w:val="153D63" w:themeColor="text2" w:themeTint="E6"/>
          <w:sz w:val="22"/>
          <w:szCs w:val="22"/>
        </w:rPr>
        <w:t xml:space="preserve"> :</w:t>
      </w:r>
    </w:p>
    <w:p w14:paraId="6A9EF880" w14:textId="77777777" w:rsidR="00717C6B" w:rsidRDefault="00717C6B" w:rsidP="00717C6B">
      <w:pPr>
        <w:rPr>
          <w:rFonts w:ascii="Times New Roman" w:eastAsia="Times New Roman" w:hAnsi="Times New Roman" w:cs="Times New Roman"/>
          <w:color w:val="182950"/>
          <w:sz w:val="18"/>
          <w:szCs w:val="18"/>
        </w:rPr>
      </w:pPr>
    </w:p>
    <w:p w14:paraId="639AE0E4" w14:textId="29FB1D21" w:rsidR="008505E1" w:rsidRDefault="008505E1"/>
    <w:p w14:paraId="7BE81827" w14:textId="440F1D18" w:rsidR="008505E1" w:rsidRDefault="008505E1" w:rsidP="008505E1"/>
    <w:p w14:paraId="1EE9509F" w14:textId="77777777" w:rsidR="00990D2C" w:rsidRPr="008505E1" w:rsidRDefault="00990D2C" w:rsidP="008505E1"/>
    <w:p w14:paraId="2F683AEA" w14:textId="7B06CE9F" w:rsidR="008505E1" w:rsidRDefault="008505E1" w:rsidP="008505E1">
      <w:pPr>
        <w:pBdr>
          <w:bottom w:val="single" w:sz="4" w:space="1" w:color="auto"/>
        </w:pBdr>
        <w:spacing w:line="239" w:lineRule="exact"/>
        <w:jc w:val="both"/>
        <w:rPr>
          <w:rFonts w:asciiTheme="majorHAnsi" w:hAnsiTheme="majorHAnsi" w:cstheme="majorHAnsi"/>
          <w:b/>
          <w:bCs/>
          <w:color w:val="153D63" w:themeColor="text2" w:themeTint="E6"/>
        </w:rPr>
      </w:pPr>
      <w:r w:rsidRPr="008505E1">
        <w:rPr>
          <w:rFonts w:asciiTheme="majorHAnsi" w:hAnsiTheme="majorHAnsi" w:cstheme="majorHAnsi"/>
          <w:b/>
          <w:bCs/>
          <w:color w:val="153D63" w:themeColor="text2" w:themeTint="E6"/>
        </w:rPr>
        <w:lastRenderedPageBreak/>
        <w:t>PREAMBULE</w:t>
      </w:r>
    </w:p>
    <w:p w14:paraId="107FA1B9" w14:textId="77777777" w:rsidR="008505E1" w:rsidRDefault="008505E1" w:rsidP="008505E1">
      <w:pPr>
        <w:spacing w:line="239" w:lineRule="exact"/>
        <w:jc w:val="both"/>
        <w:rPr>
          <w:rFonts w:asciiTheme="majorHAnsi" w:hAnsiTheme="majorHAnsi" w:cstheme="majorHAnsi"/>
          <w:b/>
          <w:bCs/>
          <w:color w:val="153D63" w:themeColor="text2" w:themeTint="E6"/>
        </w:rPr>
      </w:pPr>
    </w:p>
    <w:p w14:paraId="71F67C32" w14:textId="6A018D92" w:rsidR="00F77ACF" w:rsidRDefault="00F77ACF" w:rsidP="00F77ACF">
      <w:pPr>
        <w:spacing w:after="0" w:line="239" w:lineRule="exact"/>
        <w:jc w:val="both"/>
        <w:rPr>
          <w:rFonts w:asciiTheme="majorHAnsi" w:hAnsiTheme="majorHAnsi" w:cstheme="majorHAnsi"/>
          <w:color w:val="153D63" w:themeColor="text2" w:themeTint="E6"/>
          <w:sz w:val="22"/>
          <w:szCs w:val="22"/>
        </w:rPr>
      </w:pPr>
      <w:r w:rsidRPr="00F77ACF">
        <w:rPr>
          <w:rFonts w:asciiTheme="majorHAnsi" w:hAnsiTheme="majorHAnsi" w:cstheme="majorHAnsi"/>
          <w:color w:val="153D63" w:themeColor="text2" w:themeTint="E6"/>
          <w:sz w:val="22"/>
          <w:szCs w:val="22"/>
        </w:rPr>
        <w:t xml:space="preserve">En raison de l'évolution des besoins opérationnels et après </w:t>
      </w:r>
      <w:r>
        <w:rPr>
          <w:rFonts w:asciiTheme="majorHAnsi" w:hAnsiTheme="majorHAnsi" w:cstheme="majorHAnsi"/>
          <w:color w:val="153D63" w:themeColor="text2" w:themeTint="E6"/>
          <w:sz w:val="22"/>
          <w:szCs w:val="22"/>
        </w:rPr>
        <w:t>diverses</w:t>
      </w:r>
      <w:r w:rsidRPr="00F77ACF">
        <w:rPr>
          <w:rFonts w:asciiTheme="majorHAnsi" w:hAnsiTheme="majorHAnsi" w:cstheme="majorHAnsi"/>
          <w:color w:val="153D63" w:themeColor="text2" w:themeTint="E6"/>
          <w:sz w:val="22"/>
          <w:szCs w:val="22"/>
        </w:rPr>
        <w:t xml:space="preserve"> discussions constructives entre la direction, les élus du personnel, ainsi que les délégués syndicaux </w:t>
      </w:r>
      <w:r>
        <w:rPr>
          <w:rFonts w:asciiTheme="majorHAnsi" w:hAnsiTheme="majorHAnsi" w:cstheme="majorHAnsi"/>
          <w:color w:val="153D63" w:themeColor="text2" w:themeTint="E6"/>
          <w:sz w:val="22"/>
          <w:szCs w:val="22"/>
        </w:rPr>
        <w:t>du Personnel Navigant Commercial</w:t>
      </w:r>
      <w:r w:rsidRPr="00F77ACF">
        <w:rPr>
          <w:rFonts w:asciiTheme="majorHAnsi" w:hAnsiTheme="majorHAnsi" w:cstheme="majorHAnsi"/>
          <w:color w:val="153D63" w:themeColor="text2" w:themeTint="E6"/>
          <w:sz w:val="22"/>
          <w:szCs w:val="22"/>
        </w:rPr>
        <w:t xml:space="preserve">, il a été convenu de procéder à une modification de l'Accord </w:t>
      </w:r>
      <w:r>
        <w:rPr>
          <w:rFonts w:asciiTheme="majorHAnsi" w:hAnsiTheme="majorHAnsi" w:cstheme="majorHAnsi"/>
          <w:color w:val="153D63" w:themeColor="text2" w:themeTint="E6"/>
          <w:sz w:val="22"/>
          <w:szCs w:val="22"/>
        </w:rPr>
        <w:t>1</w:t>
      </w:r>
      <w:r w:rsidRPr="00F77ACF">
        <w:rPr>
          <w:rFonts w:asciiTheme="majorHAnsi" w:hAnsiTheme="majorHAnsi" w:cstheme="majorHAnsi"/>
          <w:color w:val="153D63" w:themeColor="text2" w:themeTint="E6"/>
          <w:sz w:val="22"/>
          <w:szCs w:val="22"/>
        </w:rPr>
        <w:t xml:space="preserve"> relatif à la programmation des congés du Personnel Navigant Commercial de la société French Bee.</w:t>
      </w:r>
    </w:p>
    <w:p w14:paraId="6A435FEC" w14:textId="77777777" w:rsidR="00F77ACF" w:rsidRDefault="00F77ACF" w:rsidP="00F77ACF">
      <w:pPr>
        <w:spacing w:after="0" w:line="239" w:lineRule="exact"/>
        <w:jc w:val="both"/>
        <w:rPr>
          <w:rFonts w:asciiTheme="majorHAnsi" w:hAnsiTheme="majorHAnsi" w:cstheme="majorHAnsi"/>
          <w:color w:val="153D63" w:themeColor="text2" w:themeTint="E6"/>
          <w:sz w:val="22"/>
          <w:szCs w:val="22"/>
        </w:rPr>
      </w:pPr>
    </w:p>
    <w:p w14:paraId="42A9E5CB" w14:textId="677ABA21" w:rsidR="008A5192" w:rsidRDefault="00F77ACF" w:rsidP="00F77ACF">
      <w:pPr>
        <w:spacing w:after="0" w:line="239" w:lineRule="exact"/>
        <w:jc w:val="both"/>
        <w:rPr>
          <w:rFonts w:asciiTheme="majorHAnsi" w:hAnsiTheme="majorHAnsi" w:cstheme="majorHAnsi"/>
          <w:color w:val="153D63" w:themeColor="text2" w:themeTint="E6"/>
          <w:sz w:val="22"/>
          <w:szCs w:val="22"/>
        </w:rPr>
      </w:pPr>
      <w:r w:rsidRPr="00F77ACF">
        <w:rPr>
          <w:rFonts w:asciiTheme="majorHAnsi" w:hAnsiTheme="majorHAnsi" w:cstheme="majorHAnsi"/>
          <w:color w:val="153D63" w:themeColor="text2" w:themeTint="E6"/>
          <w:sz w:val="22"/>
          <w:szCs w:val="22"/>
        </w:rPr>
        <w:t>Cette modification prendra la forme d'un avenant, visant à adapter le calendrier des congés pour les PNC basés à l'aéroport d'Orly (ORY), en l'alignant sur celui de la métropole applicable à la Zone C</w:t>
      </w:r>
    </w:p>
    <w:p w14:paraId="0AA43F82" w14:textId="77777777" w:rsidR="00F77ACF" w:rsidRDefault="00F77ACF" w:rsidP="008A5192">
      <w:pPr>
        <w:spacing w:line="239" w:lineRule="exact"/>
        <w:jc w:val="both"/>
        <w:rPr>
          <w:rFonts w:asciiTheme="majorHAnsi" w:hAnsiTheme="majorHAnsi" w:cstheme="majorHAnsi"/>
          <w:color w:val="153D63" w:themeColor="text2" w:themeTint="E6"/>
          <w:sz w:val="22"/>
          <w:szCs w:val="22"/>
        </w:rPr>
      </w:pPr>
    </w:p>
    <w:p w14:paraId="5B0DF919" w14:textId="20DE3036" w:rsidR="00F77ACF" w:rsidRPr="00F77ACF" w:rsidRDefault="00F77ACF" w:rsidP="008A5192">
      <w:pPr>
        <w:spacing w:line="239" w:lineRule="exact"/>
        <w:jc w:val="both"/>
        <w:rPr>
          <w:rFonts w:asciiTheme="majorHAnsi" w:hAnsiTheme="majorHAnsi" w:cstheme="majorHAnsi"/>
          <w:b/>
          <w:bCs/>
          <w:color w:val="153D63" w:themeColor="text2" w:themeTint="E6"/>
          <w:sz w:val="22"/>
          <w:szCs w:val="22"/>
        </w:rPr>
      </w:pPr>
      <w:r w:rsidRPr="00F77ACF">
        <w:rPr>
          <w:rFonts w:asciiTheme="majorHAnsi" w:hAnsiTheme="majorHAnsi" w:cstheme="majorHAnsi"/>
          <w:b/>
          <w:bCs/>
          <w:color w:val="153D63" w:themeColor="text2" w:themeTint="E6"/>
          <w:sz w:val="22"/>
          <w:szCs w:val="22"/>
        </w:rPr>
        <w:t xml:space="preserve">Il a été convenu ce qui suit : </w:t>
      </w:r>
    </w:p>
    <w:p w14:paraId="47CCCDAE" w14:textId="77777777" w:rsidR="002B5EB3" w:rsidRDefault="002B5EB3" w:rsidP="008A5192">
      <w:pPr>
        <w:spacing w:line="239" w:lineRule="exact"/>
        <w:jc w:val="both"/>
        <w:rPr>
          <w:rFonts w:asciiTheme="majorHAnsi" w:hAnsiTheme="majorHAnsi" w:cstheme="majorHAnsi"/>
          <w:color w:val="153D63" w:themeColor="text2" w:themeTint="E6"/>
          <w:sz w:val="22"/>
          <w:szCs w:val="22"/>
        </w:rPr>
      </w:pPr>
    </w:p>
    <w:p w14:paraId="45A670F9" w14:textId="77777777" w:rsidR="002B5EB3" w:rsidRDefault="002B5EB3" w:rsidP="008A5192">
      <w:pPr>
        <w:spacing w:line="239" w:lineRule="exact"/>
        <w:jc w:val="both"/>
        <w:rPr>
          <w:rFonts w:asciiTheme="majorHAnsi" w:hAnsiTheme="majorHAnsi" w:cstheme="majorHAnsi"/>
          <w:color w:val="153D63" w:themeColor="text2" w:themeTint="E6"/>
          <w:sz w:val="22"/>
          <w:szCs w:val="22"/>
        </w:rPr>
      </w:pPr>
    </w:p>
    <w:p w14:paraId="0DCED416" w14:textId="77777777" w:rsidR="002B5EB3" w:rsidRDefault="002B5EB3" w:rsidP="008A5192">
      <w:pPr>
        <w:spacing w:line="239" w:lineRule="exact"/>
        <w:jc w:val="both"/>
        <w:rPr>
          <w:rFonts w:asciiTheme="majorHAnsi" w:hAnsiTheme="majorHAnsi" w:cstheme="majorHAnsi"/>
          <w:color w:val="153D63" w:themeColor="text2" w:themeTint="E6"/>
          <w:sz w:val="22"/>
          <w:szCs w:val="22"/>
        </w:rPr>
      </w:pPr>
    </w:p>
    <w:p w14:paraId="0945DB04" w14:textId="77777777" w:rsidR="002B5EB3" w:rsidRDefault="002B5EB3" w:rsidP="008A5192">
      <w:pPr>
        <w:spacing w:line="239" w:lineRule="exact"/>
        <w:jc w:val="both"/>
        <w:rPr>
          <w:rFonts w:asciiTheme="majorHAnsi" w:hAnsiTheme="majorHAnsi" w:cstheme="majorHAnsi"/>
          <w:color w:val="153D63" w:themeColor="text2" w:themeTint="E6"/>
          <w:sz w:val="22"/>
          <w:szCs w:val="22"/>
        </w:rPr>
      </w:pPr>
    </w:p>
    <w:p w14:paraId="2639FDA1" w14:textId="77777777" w:rsidR="002B5EB3" w:rsidRDefault="002B5EB3" w:rsidP="008A5192">
      <w:pPr>
        <w:spacing w:line="239" w:lineRule="exact"/>
        <w:jc w:val="both"/>
        <w:rPr>
          <w:rFonts w:asciiTheme="majorHAnsi" w:hAnsiTheme="majorHAnsi" w:cstheme="majorHAnsi"/>
          <w:color w:val="153D63" w:themeColor="text2" w:themeTint="E6"/>
          <w:sz w:val="22"/>
          <w:szCs w:val="22"/>
        </w:rPr>
      </w:pPr>
    </w:p>
    <w:p w14:paraId="0737AA42" w14:textId="77777777" w:rsidR="002B5EB3" w:rsidRDefault="002B5EB3" w:rsidP="008A5192">
      <w:pPr>
        <w:spacing w:line="239" w:lineRule="exact"/>
        <w:jc w:val="both"/>
        <w:rPr>
          <w:rFonts w:asciiTheme="majorHAnsi" w:hAnsiTheme="majorHAnsi" w:cstheme="majorHAnsi"/>
          <w:color w:val="153D63" w:themeColor="text2" w:themeTint="E6"/>
          <w:sz w:val="22"/>
          <w:szCs w:val="22"/>
        </w:rPr>
      </w:pPr>
    </w:p>
    <w:p w14:paraId="6491F8B8" w14:textId="77777777" w:rsidR="002B5EB3" w:rsidRDefault="002B5EB3" w:rsidP="008A5192">
      <w:pPr>
        <w:spacing w:line="239" w:lineRule="exact"/>
        <w:jc w:val="both"/>
        <w:rPr>
          <w:rFonts w:asciiTheme="majorHAnsi" w:hAnsiTheme="majorHAnsi" w:cstheme="majorHAnsi"/>
          <w:color w:val="153D63" w:themeColor="text2" w:themeTint="E6"/>
          <w:sz w:val="22"/>
          <w:szCs w:val="22"/>
        </w:rPr>
      </w:pPr>
    </w:p>
    <w:p w14:paraId="3CBCF1CC" w14:textId="77777777" w:rsidR="002B5EB3" w:rsidRDefault="002B5EB3" w:rsidP="008A5192">
      <w:pPr>
        <w:spacing w:line="239" w:lineRule="exact"/>
        <w:jc w:val="both"/>
        <w:rPr>
          <w:rFonts w:asciiTheme="majorHAnsi" w:hAnsiTheme="majorHAnsi" w:cstheme="majorHAnsi"/>
          <w:color w:val="153D63" w:themeColor="text2" w:themeTint="E6"/>
          <w:sz w:val="22"/>
          <w:szCs w:val="22"/>
        </w:rPr>
      </w:pPr>
    </w:p>
    <w:p w14:paraId="6811201B" w14:textId="77777777" w:rsidR="002B5EB3" w:rsidRDefault="002B5EB3" w:rsidP="008A5192">
      <w:pPr>
        <w:spacing w:line="239" w:lineRule="exact"/>
        <w:jc w:val="both"/>
        <w:rPr>
          <w:rFonts w:asciiTheme="majorHAnsi" w:hAnsiTheme="majorHAnsi" w:cstheme="majorHAnsi"/>
          <w:color w:val="153D63" w:themeColor="text2" w:themeTint="E6"/>
          <w:sz w:val="22"/>
          <w:szCs w:val="22"/>
        </w:rPr>
      </w:pPr>
    </w:p>
    <w:p w14:paraId="2CD77D4A" w14:textId="77777777" w:rsidR="002B5EB3" w:rsidRDefault="002B5EB3" w:rsidP="008A5192">
      <w:pPr>
        <w:spacing w:line="239" w:lineRule="exact"/>
        <w:jc w:val="both"/>
        <w:rPr>
          <w:rFonts w:asciiTheme="majorHAnsi" w:hAnsiTheme="majorHAnsi" w:cstheme="majorHAnsi"/>
          <w:color w:val="153D63" w:themeColor="text2" w:themeTint="E6"/>
          <w:sz w:val="22"/>
          <w:szCs w:val="22"/>
        </w:rPr>
      </w:pPr>
    </w:p>
    <w:p w14:paraId="36009BD5" w14:textId="77777777" w:rsidR="00990D2C" w:rsidRDefault="00990D2C">
      <w:pPr>
        <w:rPr>
          <w:rFonts w:asciiTheme="majorHAnsi" w:hAnsiTheme="majorHAnsi" w:cstheme="majorHAnsi"/>
          <w:b/>
          <w:bCs/>
          <w:color w:val="153D63" w:themeColor="text2" w:themeTint="E6"/>
        </w:rPr>
      </w:pPr>
      <w:r>
        <w:rPr>
          <w:rFonts w:asciiTheme="majorHAnsi" w:hAnsiTheme="majorHAnsi" w:cstheme="majorHAnsi"/>
          <w:b/>
          <w:bCs/>
          <w:color w:val="153D63" w:themeColor="text2" w:themeTint="E6"/>
        </w:rPr>
        <w:br w:type="page"/>
      </w:r>
    </w:p>
    <w:p w14:paraId="462FED67" w14:textId="07D6BFD5" w:rsidR="008505E1" w:rsidRDefault="008A5192" w:rsidP="004E569E">
      <w:pPr>
        <w:pBdr>
          <w:bottom w:val="single" w:sz="4" w:space="1" w:color="auto"/>
        </w:pBdr>
        <w:spacing w:after="0" w:line="239" w:lineRule="exact"/>
        <w:jc w:val="both"/>
        <w:rPr>
          <w:rFonts w:asciiTheme="majorHAnsi" w:hAnsiTheme="majorHAnsi" w:cstheme="majorHAnsi"/>
          <w:b/>
          <w:bCs/>
          <w:color w:val="153D63" w:themeColor="text2" w:themeTint="E6"/>
        </w:rPr>
      </w:pPr>
      <w:r>
        <w:rPr>
          <w:rFonts w:asciiTheme="majorHAnsi" w:hAnsiTheme="majorHAnsi" w:cstheme="majorHAnsi"/>
          <w:b/>
          <w:bCs/>
          <w:color w:val="153D63" w:themeColor="text2" w:themeTint="E6"/>
        </w:rPr>
        <w:lastRenderedPageBreak/>
        <w:t xml:space="preserve">ARTICLE 1 : </w:t>
      </w:r>
      <w:r w:rsidR="007C3815">
        <w:rPr>
          <w:rFonts w:asciiTheme="majorHAnsi" w:hAnsiTheme="majorHAnsi" w:cstheme="majorHAnsi"/>
          <w:b/>
          <w:bCs/>
          <w:color w:val="153D63" w:themeColor="text2" w:themeTint="E6"/>
        </w:rPr>
        <w:t xml:space="preserve">Modification de l’article </w:t>
      </w:r>
      <w:r w:rsidR="00990D2C">
        <w:rPr>
          <w:rFonts w:asciiTheme="majorHAnsi" w:hAnsiTheme="majorHAnsi" w:cstheme="majorHAnsi"/>
          <w:b/>
          <w:bCs/>
          <w:color w:val="153D63" w:themeColor="text2" w:themeTint="E6"/>
        </w:rPr>
        <w:t>6.2 « Règles de priorité dans l’attribution des jours de congés payés</w:t>
      </w:r>
      <w:r w:rsidR="002E41E9">
        <w:rPr>
          <w:rFonts w:asciiTheme="majorHAnsi" w:hAnsiTheme="majorHAnsi" w:cstheme="majorHAnsi"/>
          <w:b/>
          <w:bCs/>
          <w:color w:val="153D63" w:themeColor="text2" w:themeTint="E6"/>
        </w:rPr>
        <w:t> »</w:t>
      </w:r>
    </w:p>
    <w:p w14:paraId="4AF77AA9" w14:textId="77777777" w:rsidR="004E569E" w:rsidRDefault="004E569E" w:rsidP="004E569E">
      <w:pPr>
        <w:spacing w:after="0" w:line="239" w:lineRule="exact"/>
        <w:jc w:val="both"/>
        <w:rPr>
          <w:rFonts w:asciiTheme="majorHAnsi" w:hAnsiTheme="majorHAnsi" w:cstheme="majorHAnsi"/>
          <w:color w:val="153D63" w:themeColor="text2" w:themeTint="E6"/>
          <w:sz w:val="22"/>
          <w:szCs w:val="22"/>
        </w:rPr>
      </w:pPr>
    </w:p>
    <w:p w14:paraId="3D738DAC" w14:textId="6178B435" w:rsidR="007D405A" w:rsidRDefault="007D405A" w:rsidP="004E569E">
      <w:pPr>
        <w:spacing w:after="0" w:line="239" w:lineRule="exact"/>
        <w:jc w:val="both"/>
        <w:rPr>
          <w:rFonts w:asciiTheme="majorHAnsi" w:hAnsiTheme="majorHAnsi" w:cstheme="majorHAnsi"/>
          <w:color w:val="153D63" w:themeColor="text2" w:themeTint="E6"/>
          <w:sz w:val="22"/>
          <w:szCs w:val="22"/>
        </w:rPr>
      </w:pPr>
      <w:r w:rsidRPr="007D405A">
        <w:rPr>
          <w:rFonts w:asciiTheme="majorHAnsi" w:hAnsiTheme="majorHAnsi" w:cstheme="majorHAnsi"/>
          <w:color w:val="153D63" w:themeColor="text2" w:themeTint="E6"/>
          <w:sz w:val="22"/>
          <w:szCs w:val="22"/>
        </w:rPr>
        <w:t xml:space="preserve">Les dispositions de l’article </w:t>
      </w:r>
      <w:r w:rsidR="00990D2C">
        <w:rPr>
          <w:rFonts w:asciiTheme="majorHAnsi" w:hAnsiTheme="majorHAnsi" w:cstheme="majorHAnsi"/>
          <w:color w:val="153D63" w:themeColor="text2" w:themeTint="E6"/>
          <w:sz w:val="22"/>
          <w:szCs w:val="22"/>
        </w:rPr>
        <w:t>6.2</w:t>
      </w:r>
      <w:r w:rsidRPr="007D405A">
        <w:rPr>
          <w:rFonts w:asciiTheme="majorHAnsi" w:hAnsiTheme="majorHAnsi" w:cstheme="majorHAnsi"/>
          <w:color w:val="153D63" w:themeColor="text2" w:themeTint="E6"/>
          <w:sz w:val="22"/>
          <w:szCs w:val="22"/>
        </w:rPr>
        <w:t xml:space="preserve"> de l’accord </w:t>
      </w:r>
      <w:r>
        <w:rPr>
          <w:rFonts w:asciiTheme="majorHAnsi" w:hAnsiTheme="majorHAnsi" w:cstheme="majorHAnsi"/>
          <w:color w:val="153D63" w:themeColor="text2" w:themeTint="E6"/>
          <w:sz w:val="22"/>
          <w:szCs w:val="22"/>
        </w:rPr>
        <w:t xml:space="preserve">relatif </w:t>
      </w:r>
      <w:r w:rsidR="00990D2C">
        <w:rPr>
          <w:rFonts w:asciiTheme="majorHAnsi" w:hAnsiTheme="majorHAnsi" w:cstheme="majorHAnsi"/>
          <w:color w:val="153D63" w:themeColor="text2" w:themeTint="E6"/>
          <w:sz w:val="22"/>
          <w:szCs w:val="22"/>
        </w:rPr>
        <w:t xml:space="preserve">à la Programmation des Congés du Personnel </w:t>
      </w:r>
      <w:r>
        <w:rPr>
          <w:rFonts w:asciiTheme="majorHAnsi" w:hAnsiTheme="majorHAnsi" w:cstheme="majorHAnsi"/>
          <w:color w:val="153D63" w:themeColor="text2" w:themeTint="E6"/>
          <w:sz w:val="22"/>
          <w:szCs w:val="22"/>
        </w:rPr>
        <w:t xml:space="preserve">Navigant </w:t>
      </w:r>
      <w:r w:rsidR="00990D2C">
        <w:rPr>
          <w:rFonts w:asciiTheme="majorHAnsi" w:hAnsiTheme="majorHAnsi" w:cstheme="majorHAnsi"/>
          <w:color w:val="153D63" w:themeColor="text2" w:themeTint="E6"/>
          <w:sz w:val="22"/>
          <w:szCs w:val="22"/>
        </w:rPr>
        <w:t>Commercial</w:t>
      </w:r>
      <w:r w:rsidRPr="007D405A">
        <w:rPr>
          <w:rFonts w:asciiTheme="majorHAnsi" w:hAnsiTheme="majorHAnsi" w:cstheme="majorHAnsi"/>
          <w:color w:val="153D63" w:themeColor="text2" w:themeTint="E6"/>
          <w:sz w:val="22"/>
          <w:szCs w:val="22"/>
        </w:rPr>
        <w:t xml:space="preserve"> au sein de la société French Bee signé le </w:t>
      </w:r>
      <w:r w:rsidR="00F77ACF">
        <w:rPr>
          <w:rFonts w:asciiTheme="majorHAnsi" w:hAnsiTheme="majorHAnsi" w:cstheme="majorHAnsi"/>
          <w:color w:val="153D63" w:themeColor="text2" w:themeTint="E6"/>
          <w:sz w:val="22"/>
          <w:szCs w:val="22"/>
        </w:rPr>
        <w:t>24 juillet 2023</w:t>
      </w:r>
      <w:r w:rsidRPr="007D405A">
        <w:rPr>
          <w:rFonts w:asciiTheme="majorHAnsi" w:hAnsiTheme="majorHAnsi" w:cstheme="majorHAnsi"/>
          <w:color w:val="153D63" w:themeColor="text2" w:themeTint="E6"/>
          <w:sz w:val="22"/>
          <w:szCs w:val="22"/>
        </w:rPr>
        <w:t xml:space="preserve"> sont remplacées comme suit :</w:t>
      </w:r>
    </w:p>
    <w:p w14:paraId="063C6100" w14:textId="77777777" w:rsidR="008A5192" w:rsidRDefault="008A5192" w:rsidP="004E569E">
      <w:pPr>
        <w:spacing w:after="0"/>
        <w:rPr>
          <w:rFonts w:asciiTheme="majorHAnsi" w:hAnsiTheme="majorHAnsi" w:cstheme="majorHAnsi"/>
        </w:rPr>
      </w:pPr>
    </w:p>
    <w:p w14:paraId="66B1C002" w14:textId="37CA1363" w:rsidR="00990D2C" w:rsidRDefault="007D405A" w:rsidP="00990D2C">
      <w:pPr>
        <w:spacing w:after="0" w:line="239" w:lineRule="exact"/>
        <w:jc w:val="both"/>
        <w:rPr>
          <w:rFonts w:asciiTheme="majorHAnsi" w:hAnsiTheme="majorHAnsi" w:cstheme="majorHAnsi"/>
          <w:color w:val="153D63" w:themeColor="text2" w:themeTint="E6"/>
          <w:sz w:val="22"/>
          <w:szCs w:val="22"/>
        </w:rPr>
      </w:pPr>
      <w:r>
        <w:rPr>
          <w:rFonts w:asciiTheme="majorHAnsi" w:hAnsiTheme="majorHAnsi" w:cstheme="majorHAnsi"/>
          <w:color w:val="153D63" w:themeColor="text2" w:themeTint="E6"/>
          <w:sz w:val="22"/>
          <w:szCs w:val="22"/>
        </w:rPr>
        <w:t>« </w:t>
      </w:r>
      <w:r w:rsidR="00990D2C" w:rsidRPr="00990D2C">
        <w:rPr>
          <w:rFonts w:asciiTheme="majorHAnsi" w:hAnsiTheme="majorHAnsi" w:cstheme="majorHAnsi"/>
          <w:color w:val="153D63" w:themeColor="text2" w:themeTint="E6"/>
          <w:sz w:val="22"/>
          <w:szCs w:val="22"/>
        </w:rPr>
        <w:t xml:space="preserve">Lorsque le nombre de jours de congés payés, demandés sur une même période dépasse le quota de jours de congés payés fixé par l'entreprise sur cette période, l'attribution des jours de congés disponibles sur la période se fera conformément à un système de points basés sur </w:t>
      </w:r>
      <w:r w:rsidR="00F77ACF" w:rsidRPr="00990D2C">
        <w:rPr>
          <w:rFonts w:asciiTheme="majorHAnsi" w:hAnsiTheme="majorHAnsi" w:cstheme="majorHAnsi"/>
          <w:color w:val="153D63" w:themeColor="text2" w:themeTint="E6"/>
          <w:sz w:val="22"/>
          <w:szCs w:val="22"/>
        </w:rPr>
        <w:t>quatre</w:t>
      </w:r>
      <w:r w:rsidR="00990D2C" w:rsidRPr="00990D2C">
        <w:rPr>
          <w:rFonts w:asciiTheme="majorHAnsi" w:hAnsiTheme="majorHAnsi" w:cstheme="majorHAnsi"/>
          <w:color w:val="153D63" w:themeColor="text2" w:themeTint="E6"/>
          <w:sz w:val="22"/>
          <w:szCs w:val="22"/>
        </w:rPr>
        <w:t xml:space="preserve"> critères :</w:t>
      </w:r>
    </w:p>
    <w:p w14:paraId="598CE6D6" w14:textId="77777777"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p>
    <w:p w14:paraId="4C2007AF" w14:textId="2D20A64F" w:rsidR="00990D2C" w:rsidRPr="00990D2C" w:rsidRDefault="00990D2C" w:rsidP="00990D2C">
      <w:pPr>
        <w:pStyle w:val="Paragraphedeliste"/>
        <w:numPr>
          <w:ilvl w:val="0"/>
          <w:numId w:val="12"/>
        </w:num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L’ancienneté</w:t>
      </w:r>
      <w:r>
        <w:rPr>
          <w:rFonts w:asciiTheme="majorHAnsi" w:hAnsiTheme="majorHAnsi" w:cstheme="majorHAnsi"/>
          <w:color w:val="153D63" w:themeColor="text2" w:themeTint="E6"/>
          <w:sz w:val="22"/>
          <w:szCs w:val="22"/>
        </w:rPr>
        <w:t> ;</w:t>
      </w:r>
    </w:p>
    <w:p w14:paraId="03D3A131" w14:textId="12EB5942" w:rsidR="00990D2C" w:rsidRPr="00990D2C" w:rsidRDefault="00990D2C" w:rsidP="00990D2C">
      <w:pPr>
        <w:pStyle w:val="Paragraphedeliste"/>
        <w:numPr>
          <w:ilvl w:val="0"/>
          <w:numId w:val="12"/>
        </w:num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Le nombre d’enfant à charge</w:t>
      </w:r>
      <w:r>
        <w:rPr>
          <w:rFonts w:asciiTheme="majorHAnsi" w:hAnsiTheme="majorHAnsi" w:cstheme="majorHAnsi"/>
          <w:color w:val="153D63" w:themeColor="text2" w:themeTint="E6"/>
          <w:sz w:val="22"/>
          <w:szCs w:val="22"/>
        </w:rPr>
        <w:t> ;</w:t>
      </w:r>
    </w:p>
    <w:p w14:paraId="68DB7564" w14:textId="0D8B5A42" w:rsidR="00990D2C" w:rsidRPr="00990D2C" w:rsidRDefault="00990D2C" w:rsidP="00990D2C">
      <w:pPr>
        <w:pStyle w:val="Paragraphedeliste"/>
        <w:numPr>
          <w:ilvl w:val="0"/>
          <w:numId w:val="12"/>
        </w:num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Congés payés pris sur les périodes antérieures</w:t>
      </w:r>
      <w:r>
        <w:rPr>
          <w:rFonts w:asciiTheme="majorHAnsi" w:hAnsiTheme="majorHAnsi" w:cstheme="majorHAnsi"/>
          <w:color w:val="153D63" w:themeColor="text2" w:themeTint="E6"/>
          <w:sz w:val="22"/>
          <w:szCs w:val="22"/>
        </w:rPr>
        <w:t> ;</w:t>
      </w:r>
    </w:p>
    <w:p w14:paraId="46337E0E" w14:textId="36123E10" w:rsidR="00990D2C" w:rsidRPr="00990D2C" w:rsidRDefault="00990D2C" w:rsidP="00990D2C">
      <w:pPr>
        <w:pStyle w:val="Paragraphedeliste"/>
        <w:numPr>
          <w:ilvl w:val="0"/>
          <w:numId w:val="12"/>
        </w:num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La base d’affectation</w:t>
      </w:r>
      <w:r>
        <w:rPr>
          <w:rFonts w:asciiTheme="majorHAnsi" w:hAnsiTheme="majorHAnsi" w:cstheme="majorHAnsi"/>
          <w:color w:val="153D63" w:themeColor="text2" w:themeTint="E6"/>
          <w:sz w:val="22"/>
          <w:szCs w:val="22"/>
        </w:rPr>
        <w:t>.</w:t>
      </w:r>
    </w:p>
    <w:p w14:paraId="4077BB2C" w14:textId="77777777" w:rsidR="00990D2C" w:rsidRPr="00DC3959" w:rsidRDefault="00990D2C" w:rsidP="00990D2C">
      <w:pPr>
        <w:widowControl w:val="0"/>
        <w:pBdr>
          <w:top w:val="nil"/>
          <w:left w:val="nil"/>
          <w:bottom w:val="nil"/>
          <w:right w:val="nil"/>
          <w:between w:val="nil"/>
        </w:pBdr>
        <w:rPr>
          <w:rFonts w:asciiTheme="majorHAnsi" w:hAnsiTheme="majorHAnsi" w:cstheme="majorHAnsi"/>
          <w:color w:val="0A2F41" w:themeColor="accent1" w:themeShade="80"/>
          <w:sz w:val="20"/>
          <w:szCs w:val="20"/>
          <w:u w:val="single"/>
        </w:rPr>
      </w:pPr>
    </w:p>
    <w:p w14:paraId="4C5469E4" w14:textId="77777777"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u w:val="single"/>
        </w:rPr>
        <w:t>Points attribués au titre de la situation personnelle du PN</w:t>
      </w:r>
      <w:r w:rsidRPr="00990D2C">
        <w:rPr>
          <w:rFonts w:asciiTheme="majorHAnsi" w:hAnsiTheme="majorHAnsi" w:cstheme="majorHAnsi"/>
          <w:color w:val="153D63" w:themeColor="text2" w:themeTint="E6"/>
          <w:sz w:val="22"/>
          <w:szCs w:val="22"/>
        </w:rPr>
        <w:t xml:space="preserve"> : </w:t>
      </w:r>
    </w:p>
    <w:p w14:paraId="5D6F20AD" w14:textId="77777777" w:rsidR="00990D2C" w:rsidRPr="00DC3959" w:rsidRDefault="00990D2C" w:rsidP="00990D2C">
      <w:pPr>
        <w:widowControl w:val="0"/>
        <w:pBdr>
          <w:top w:val="nil"/>
          <w:left w:val="nil"/>
          <w:bottom w:val="nil"/>
          <w:right w:val="nil"/>
          <w:between w:val="nil"/>
        </w:pBdr>
        <w:rPr>
          <w:rFonts w:asciiTheme="majorHAnsi" w:hAnsiTheme="majorHAnsi" w:cstheme="majorHAnsi"/>
          <w:color w:val="0A2F41" w:themeColor="accent1" w:themeShade="80"/>
          <w:sz w:val="20"/>
          <w:szCs w:val="20"/>
        </w:rPr>
      </w:pPr>
    </w:p>
    <w:tbl>
      <w:tblPr>
        <w:tblW w:w="99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4750"/>
        <w:gridCol w:w="5163"/>
      </w:tblGrid>
      <w:tr w:rsidR="00990D2C" w:rsidRPr="00DC3959" w14:paraId="52120B9B" w14:textId="77777777" w:rsidTr="004820AB">
        <w:trPr>
          <w:trHeight w:val="137"/>
        </w:trPr>
        <w:tc>
          <w:tcPr>
            <w:tcW w:w="4750" w:type="dxa"/>
            <w:shd w:val="clear" w:color="auto" w:fill="C1E4F5" w:themeFill="accent1" w:themeFillTint="33"/>
            <w:tcMar>
              <w:top w:w="100" w:type="dxa"/>
              <w:left w:w="100" w:type="dxa"/>
              <w:bottom w:w="100" w:type="dxa"/>
              <w:right w:w="100" w:type="dxa"/>
            </w:tcMar>
          </w:tcPr>
          <w:p w14:paraId="0B456651" w14:textId="77777777" w:rsidR="00990D2C" w:rsidRPr="00B86B20" w:rsidRDefault="00990D2C" w:rsidP="00E71F53">
            <w:pPr>
              <w:pBdr>
                <w:top w:val="nil"/>
                <w:left w:val="nil"/>
                <w:bottom w:val="nil"/>
                <w:right w:val="nil"/>
                <w:between w:val="nil"/>
              </w:pBdr>
              <w:jc w:val="center"/>
              <w:rPr>
                <w:rFonts w:asciiTheme="majorHAnsi" w:hAnsiTheme="majorHAnsi" w:cstheme="majorHAnsi"/>
                <w:b/>
                <w:bCs/>
                <w:color w:val="0A2F41" w:themeColor="accent1" w:themeShade="80"/>
                <w:sz w:val="20"/>
                <w:szCs w:val="20"/>
              </w:rPr>
            </w:pPr>
            <w:r w:rsidRPr="00B86B20">
              <w:rPr>
                <w:rFonts w:asciiTheme="majorHAnsi" w:hAnsiTheme="majorHAnsi" w:cstheme="majorHAnsi"/>
                <w:b/>
                <w:bCs/>
                <w:color w:val="0A2F41" w:themeColor="accent1" w:themeShade="80"/>
                <w:sz w:val="20"/>
                <w:szCs w:val="20"/>
              </w:rPr>
              <w:t>Critères</w:t>
            </w:r>
          </w:p>
        </w:tc>
        <w:tc>
          <w:tcPr>
            <w:tcW w:w="5163" w:type="dxa"/>
            <w:shd w:val="clear" w:color="auto" w:fill="C1E4F5" w:themeFill="accent1" w:themeFillTint="33"/>
            <w:tcMar>
              <w:top w:w="100" w:type="dxa"/>
              <w:left w:w="100" w:type="dxa"/>
              <w:bottom w:w="100" w:type="dxa"/>
              <w:right w:w="100" w:type="dxa"/>
            </w:tcMar>
          </w:tcPr>
          <w:p w14:paraId="0072E043" w14:textId="77777777" w:rsidR="00990D2C" w:rsidRPr="00B86B20" w:rsidRDefault="00990D2C" w:rsidP="00E71F53">
            <w:pPr>
              <w:pBdr>
                <w:top w:val="nil"/>
                <w:left w:val="nil"/>
                <w:bottom w:val="nil"/>
                <w:right w:val="nil"/>
                <w:between w:val="nil"/>
              </w:pBdr>
              <w:jc w:val="center"/>
              <w:rPr>
                <w:rFonts w:asciiTheme="majorHAnsi" w:hAnsiTheme="majorHAnsi" w:cstheme="majorHAnsi"/>
                <w:b/>
                <w:bCs/>
                <w:color w:val="0A2F41" w:themeColor="accent1" w:themeShade="80"/>
                <w:sz w:val="20"/>
                <w:szCs w:val="20"/>
              </w:rPr>
            </w:pPr>
            <w:r w:rsidRPr="00B86B20">
              <w:rPr>
                <w:rFonts w:asciiTheme="majorHAnsi" w:hAnsiTheme="majorHAnsi" w:cstheme="majorHAnsi"/>
                <w:b/>
                <w:bCs/>
                <w:color w:val="0A2F41" w:themeColor="accent1" w:themeShade="80"/>
                <w:sz w:val="20"/>
                <w:szCs w:val="20"/>
              </w:rPr>
              <w:t>Nombre de points cumulés</w:t>
            </w:r>
          </w:p>
        </w:tc>
      </w:tr>
      <w:tr w:rsidR="00990D2C" w:rsidRPr="00DC3959" w14:paraId="432697EF" w14:textId="77777777" w:rsidTr="00990D2C">
        <w:tc>
          <w:tcPr>
            <w:tcW w:w="4750" w:type="dxa"/>
            <w:tcMar>
              <w:top w:w="100" w:type="dxa"/>
              <w:left w:w="100" w:type="dxa"/>
              <w:bottom w:w="100" w:type="dxa"/>
              <w:right w:w="100" w:type="dxa"/>
            </w:tcMar>
            <w:vAlign w:val="center"/>
          </w:tcPr>
          <w:p w14:paraId="19542C07" w14:textId="77777777" w:rsidR="00990D2C" w:rsidRPr="00DC3959"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DC3959">
              <w:rPr>
                <w:rFonts w:asciiTheme="majorHAnsi" w:hAnsiTheme="majorHAnsi" w:cstheme="majorHAnsi"/>
                <w:color w:val="0A2F41" w:themeColor="accent1" w:themeShade="80"/>
                <w:sz w:val="20"/>
                <w:szCs w:val="20"/>
              </w:rPr>
              <w:t xml:space="preserve">Situation parentale </w:t>
            </w:r>
            <w:r w:rsidRPr="00A70F99">
              <w:rPr>
                <w:rFonts w:asciiTheme="majorHAnsi" w:hAnsiTheme="majorHAnsi" w:cstheme="majorHAnsi"/>
                <w:color w:val="0A2F41" w:themeColor="accent1" w:themeShade="80"/>
                <w:sz w:val="20"/>
                <w:szCs w:val="20"/>
              </w:rPr>
              <w:t>:</w:t>
            </w:r>
            <w:r w:rsidRPr="00DC3959">
              <w:rPr>
                <w:rFonts w:asciiTheme="majorHAnsi" w:hAnsiTheme="majorHAnsi" w:cstheme="majorHAnsi"/>
                <w:color w:val="0A2F41" w:themeColor="accent1" w:themeShade="80"/>
                <w:sz w:val="20"/>
                <w:szCs w:val="20"/>
              </w:rPr>
              <w:t xml:space="preserve"> nombre d’enfants mineurs entre 0 et 17 ans</w:t>
            </w:r>
          </w:p>
        </w:tc>
        <w:tc>
          <w:tcPr>
            <w:tcW w:w="5163" w:type="dxa"/>
            <w:tcMar>
              <w:top w:w="100" w:type="dxa"/>
              <w:left w:w="100" w:type="dxa"/>
              <w:bottom w:w="100" w:type="dxa"/>
              <w:right w:w="100" w:type="dxa"/>
            </w:tcMar>
            <w:vAlign w:val="center"/>
          </w:tcPr>
          <w:p w14:paraId="4D29CB01" w14:textId="77777777" w:rsidR="00990D2C" w:rsidRPr="00DC3959"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DC3959">
              <w:rPr>
                <w:rFonts w:asciiTheme="majorHAnsi" w:hAnsiTheme="majorHAnsi" w:cstheme="majorHAnsi"/>
                <w:color w:val="0A2F41" w:themeColor="accent1" w:themeShade="80"/>
                <w:sz w:val="20"/>
                <w:szCs w:val="20"/>
              </w:rPr>
              <w:t>28 points au premier enfant</w:t>
            </w:r>
          </w:p>
          <w:p w14:paraId="575DC39F" w14:textId="77777777" w:rsidR="00990D2C" w:rsidRPr="00DC3959"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DC3959">
              <w:rPr>
                <w:rFonts w:asciiTheme="majorHAnsi" w:hAnsiTheme="majorHAnsi" w:cstheme="majorHAnsi"/>
                <w:color w:val="0A2F41" w:themeColor="accent1" w:themeShade="80"/>
                <w:sz w:val="20"/>
                <w:szCs w:val="20"/>
              </w:rPr>
              <w:t>8 points par enfant supplémentaire</w:t>
            </w:r>
          </w:p>
        </w:tc>
      </w:tr>
      <w:tr w:rsidR="00990D2C" w:rsidRPr="00DC3959" w14:paraId="135CF6ED" w14:textId="77777777" w:rsidTr="00990D2C">
        <w:tc>
          <w:tcPr>
            <w:tcW w:w="4750" w:type="dxa"/>
            <w:tcMar>
              <w:top w:w="100" w:type="dxa"/>
              <w:left w:w="100" w:type="dxa"/>
              <w:bottom w:w="100" w:type="dxa"/>
              <w:right w:w="100" w:type="dxa"/>
            </w:tcMar>
            <w:vAlign w:val="center"/>
          </w:tcPr>
          <w:p w14:paraId="3A9F7840" w14:textId="661B60E2" w:rsidR="00990D2C" w:rsidRPr="00DC3959"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DC3959">
              <w:rPr>
                <w:rFonts w:asciiTheme="majorHAnsi" w:hAnsiTheme="majorHAnsi" w:cstheme="majorHAnsi"/>
                <w:color w:val="0A2F41" w:themeColor="accent1" w:themeShade="80"/>
                <w:sz w:val="20"/>
                <w:szCs w:val="20"/>
              </w:rPr>
              <w:t>Ancienneté BF</w:t>
            </w:r>
            <w:r>
              <w:rPr>
                <w:rFonts w:asciiTheme="majorHAnsi" w:hAnsiTheme="majorHAnsi" w:cstheme="majorHAnsi"/>
                <w:color w:val="0A2F41" w:themeColor="accent1" w:themeShade="80"/>
                <w:sz w:val="20"/>
                <w:szCs w:val="20"/>
              </w:rPr>
              <w:t xml:space="preserve"> </w:t>
            </w:r>
            <w:r w:rsidRPr="00DC3959">
              <w:rPr>
                <w:rFonts w:asciiTheme="majorHAnsi" w:hAnsiTheme="majorHAnsi" w:cstheme="majorHAnsi"/>
                <w:color w:val="0A2F41" w:themeColor="accent1" w:themeShade="80"/>
                <w:sz w:val="20"/>
                <w:szCs w:val="20"/>
              </w:rPr>
              <w:t>*</w:t>
            </w:r>
          </w:p>
        </w:tc>
        <w:tc>
          <w:tcPr>
            <w:tcW w:w="5163" w:type="dxa"/>
            <w:tcMar>
              <w:top w:w="100" w:type="dxa"/>
              <w:left w:w="100" w:type="dxa"/>
              <w:bottom w:w="100" w:type="dxa"/>
              <w:right w:w="100" w:type="dxa"/>
            </w:tcMar>
            <w:vAlign w:val="center"/>
          </w:tcPr>
          <w:p w14:paraId="12D51395" w14:textId="77777777" w:rsidR="00990D2C" w:rsidRPr="00DC3959"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DC3959">
              <w:rPr>
                <w:rFonts w:asciiTheme="majorHAnsi" w:hAnsiTheme="majorHAnsi" w:cstheme="majorHAnsi"/>
                <w:color w:val="0A2F41" w:themeColor="accent1" w:themeShade="80"/>
                <w:sz w:val="20"/>
                <w:szCs w:val="20"/>
              </w:rPr>
              <w:t>8 points par année d’ancienneté</w:t>
            </w:r>
          </w:p>
        </w:tc>
      </w:tr>
    </w:tbl>
    <w:p w14:paraId="7079939F" w14:textId="77777777" w:rsidR="00990D2C" w:rsidRPr="00DC3959" w:rsidRDefault="00990D2C" w:rsidP="00990D2C">
      <w:pPr>
        <w:widowControl w:val="0"/>
        <w:pBdr>
          <w:top w:val="nil"/>
          <w:left w:val="nil"/>
          <w:bottom w:val="nil"/>
          <w:right w:val="nil"/>
          <w:between w:val="nil"/>
        </w:pBdr>
        <w:rPr>
          <w:rFonts w:asciiTheme="majorHAnsi" w:hAnsiTheme="majorHAnsi" w:cstheme="majorHAnsi"/>
          <w:color w:val="0A2F41" w:themeColor="accent1" w:themeShade="80"/>
          <w:sz w:val="20"/>
          <w:szCs w:val="20"/>
        </w:rPr>
      </w:pPr>
    </w:p>
    <w:p w14:paraId="03213D71" w14:textId="77777777" w:rsidR="00990D2C" w:rsidRDefault="00990D2C" w:rsidP="00990D2C">
      <w:pPr>
        <w:spacing w:after="0" w:line="239" w:lineRule="exact"/>
        <w:jc w:val="both"/>
        <w:rPr>
          <w:rFonts w:asciiTheme="majorHAnsi" w:hAnsiTheme="majorHAnsi" w:cstheme="majorHAnsi"/>
          <w:i/>
          <w:iCs/>
          <w:color w:val="153D63" w:themeColor="text2" w:themeTint="E6"/>
          <w:sz w:val="20"/>
          <w:szCs w:val="20"/>
        </w:rPr>
      </w:pPr>
      <w:r w:rsidRPr="00990D2C">
        <w:rPr>
          <w:rFonts w:asciiTheme="majorHAnsi" w:hAnsiTheme="majorHAnsi" w:cstheme="majorHAnsi"/>
          <w:i/>
          <w:iCs/>
          <w:color w:val="153D63" w:themeColor="text2" w:themeTint="E6"/>
          <w:sz w:val="20"/>
          <w:szCs w:val="20"/>
        </w:rPr>
        <w:t>* : ancienneté Compagnie figurant sur la fiche de paie</w:t>
      </w:r>
    </w:p>
    <w:p w14:paraId="4CBB528C" w14:textId="77777777" w:rsidR="00990D2C" w:rsidRPr="00990D2C" w:rsidRDefault="00990D2C" w:rsidP="00990D2C">
      <w:pPr>
        <w:spacing w:after="0" w:line="239" w:lineRule="exact"/>
        <w:jc w:val="both"/>
        <w:rPr>
          <w:rFonts w:asciiTheme="majorHAnsi" w:hAnsiTheme="majorHAnsi" w:cstheme="majorHAnsi"/>
          <w:i/>
          <w:iCs/>
          <w:color w:val="153D63" w:themeColor="text2" w:themeTint="E6"/>
          <w:sz w:val="20"/>
          <w:szCs w:val="20"/>
        </w:rPr>
      </w:pPr>
    </w:p>
    <w:p w14:paraId="2D3EC323" w14:textId="77777777"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Le nombre de points initial de chaque PNC sera déterminé en fonction de sa situation à la date du 1er janvier. Pour la mise en place du logiciel de gestion des congés, une mise à jour de la situation familiale sera effectuée au mois de juillet 2023 pour l’année 2024.</w:t>
      </w:r>
    </w:p>
    <w:p w14:paraId="5BD0DA33" w14:textId="77777777" w:rsidR="00990D2C" w:rsidRDefault="00990D2C" w:rsidP="00990D2C">
      <w:pPr>
        <w:widowControl w:val="0"/>
        <w:pBdr>
          <w:top w:val="nil"/>
          <w:left w:val="nil"/>
          <w:bottom w:val="nil"/>
          <w:right w:val="nil"/>
          <w:between w:val="nil"/>
        </w:pBdr>
        <w:rPr>
          <w:rFonts w:asciiTheme="majorHAnsi" w:hAnsiTheme="majorHAnsi" w:cstheme="majorHAnsi"/>
          <w:color w:val="0A2F41" w:themeColor="accent1" w:themeShade="80"/>
          <w:sz w:val="20"/>
          <w:szCs w:val="20"/>
        </w:rPr>
      </w:pPr>
    </w:p>
    <w:p w14:paraId="764FC81E" w14:textId="77777777" w:rsidR="00990D2C" w:rsidRDefault="00990D2C" w:rsidP="00990D2C">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Chaque collaborateur se verra appliquer le calendrier de sa base d’affectation Orly ou La Réunion.</w:t>
      </w:r>
    </w:p>
    <w:p w14:paraId="3F0E8179" w14:textId="77777777"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p>
    <w:p w14:paraId="6DBD0ED2" w14:textId="77777777" w:rsidR="00990D2C" w:rsidRDefault="00990D2C" w:rsidP="00990D2C">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u w:val="single"/>
        </w:rPr>
        <w:t>En effet</w:t>
      </w:r>
      <w:r w:rsidRPr="00990D2C">
        <w:rPr>
          <w:rFonts w:asciiTheme="majorHAnsi" w:hAnsiTheme="majorHAnsi" w:cstheme="majorHAnsi"/>
          <w:color w:val="153D63" w:themeColor="text2" w:themeTint="E6"/>
          <w:sz w:val="22"/>
          <w:szCs w:val="22"/>
        </w:rPr>
        <w:t> :</w:t>
      </w:r>
    </w:p>
    <w:p w14:paraId="02A59A6F" w14:textId="77777777"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p>
    <w:p w14:paraId="08EE8C19" w14:textId="24ABA78B" w:rsidR="00990D2C" w:rsidRPr="00990D2C" w:rsidRDefault="00990D2C" w:rsidP="00990D2C">
      <w:pPr>
        <w:pStyle w:val="Paragraphedeliste"/>
        <w:numPr>
          <w:ilvl w:val="0"/>
          <w:numId w:val="13"/>
        </w:num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Pour les PNC basés ORY, avec le calendrier des congés de la métropole </w:t>
      </w:r>
      <w:r w:rsidR="00F77ACF">
        <w:rPr>
          <w:rFonts w:asciiTheme="majorHAnsi" w:hAnsiTheme="majorHAnsi" w:cstheme="majorHAnsi"/>
          <w:color w:val="153D63" w:themeColor="text2" w:themeTint="E6"/>
          <w:sz w:val="22"/>
          <w:szCs w:val="22"/>
        </w:rPr>
        <w:t xml:space="preserve">applicable à la Zone C </w:t>
      </w:r>
      <w:r w:rsidRPr="00990D2C">
        <w:rPr>
          <w:rFonts w:asciiTheme="majorHAnsi" w:hAnsiTheme="majorHAnsi" w:cstheme="majorHAnsi"/>
          <w:color w:val="153D63" w:themeColor="text2" w:themeTint="E6"/>
          <w:sz w:val="22"/>
          <w:szCs w:val="22"/>
        </w:rPr>
        <w:t>;</w:t>
      </w:r>
    </w:p>
    <w:p w14:paraId="42814DA9" w14:textId="1D9E0156" w:rsidR="00990D2C" w:rsidRPr="00990D2C" w:rsidRDefault="00990D2C" w:rsidP="00990D2C">
      <w:pPr>
        <w:pStyle w:val="Paragraphedeliste"/>
        <w:numPr>
          <w:ilvl w:val="0"/>
          <w:numId w:val="13"/>
        </w:num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Pour les PNC basés RUN, avec le calendrier des congés de La Réunion.</w:t>
      </w:r>
    </w:p>
    <w:p w14:paraId="6A27019D" w14:textId="77777777" w:rsidR="00990D2C" w:rsidRPr="00990D2C" w:rsidRDefault="00990D2C" w:rsidP="00990D2C">
      <w:pPr>
        <w:shd w:val="clear" w:color="auto" w:fill="FFFFFF"/>
        <w:spacing w:after="0" w:line="240" w:lineRule="auto"/>
        <w:rPr>
          <w:rFonts w:asciiTheme="majorHAnsi" w:hAnsiTheme="majorHAnsi" w:cstheme="majorHAnsi"/>
          <w:color w:val="0A2F41" w:themeColor="accent1" w:themeShade="80"/>
          <w:sz w:val="20"/>
          <w:szCs w:val="20"/>
        </w:rPr>
      </w:pPr>
    </w:p>
    <w:p w14:paraId="758D172C" w14:textId="77777777"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Les changements de base en cours d’année seront pris en compte dès le 1er janvier de l’année suivante.</w:t>
      </w:r>
    </w:p>
    <w:p w14:paraId="40BED777" w14:textId="77777777" w:rsidR="00990D2C" w:rsidRPr="00DC3959" w:rsidRDefault="00990D2C" w:rsidP="00990D2C">
      <w:pPr>
        <w:widowControl w:val="0"/>
        <w:pBdr>
          <w:top w:val="nil"/>
          <w:left w:val="nil"/>
          <w:bottom w:val="nil"/>
          <w:right w:val="nil"/>
          <w:between w:val="nil"/>
        </w:pBdr>
        <w:rPr>
          <w:rFonts w:asciiTheme="majorHAnsi" w:hAnsiTheme="majorHAnsi" w:cstheme="majorHAnsi"/>
          <w:color w:val="0A2F41" w:themeColor="accent1" w:themeShade="80"/>
          <w:sz w:val="20"/>
          <w:szCs w:val="20"/>
        </w:rPr>
      </w:pPr>
    </w:p>
    <w:p w14:paraId="4DFF0A74" w14:textId="77777777" w:rsidR="00990D2C" w:rsidRDefault="00990D2C">
      <w:pPr>
        <w:rPr>
          <w:rFonts w:asciiTheme="majorHAnsi" w:hAnsiTheme="majorHAnsi" w:cstheme="majorHAnsi"/>
          <w:color w:val="153D63" w:themeColor="text2" w:themeTint="E6"/>
          <w:sz w:val="22"/>
          <w:szCs w:val="22"/>
          <w:u w:val="single"/>
        </w:rPr>
      </w:pPr>
      <w:r>
        <w:rPr>
          <w:rFonts w:asciiTheme="majorHAnsi" w:hAnsiTheme="majorHAnsi" w:cstheme="majorHAnsi"/>
          <w:color w:val="153D63" w:themeColor="text2" w:themeTint="E6"/>
          <w:sz w:val="22"/>
          <w:szCs w:val="22"/>
          <w:u w:val="single"/>
        </w:rPr>
        <w:br w:type="page"/>
      </w:r>
    </w:p>
    <w:p w14:paraId="39C4F1C4" w14:textId="6F5A1A4F" w:rsidR="00990D2C" w:rsidRDefault="00990D2C" w:rsidP="00990D2C">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u w:val="single"/>
        </w:rPr>
        <w:lastRenderedPageBreak/>
        <w:t>Décompte des points correspondant aux congés pris</w:t>
      </w:r>
      <w:r w:rsidRPr="00990D2C">
        <w:rPr>
          <w:rFonts w:asciiTheme="majorHAnsi" w:hAnsiTheme="majorHAnsi" w:cstheme="majorHAnsi"/>
          <w:color w:val="153D63" w:themeColor="text2" w:themeTint="E6"/>
          <w:sz w:val="22"/>
          <w:szCs w:val="22"/>
        </w:rPr>
        <w:t xml:space="preserve"> :</w:t>
      </w:r>
    </w:p>
    <w:p w14:paraId="7C14B5CC" w14:textId="77777777"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p>
    <w:tbl>
      <w:tblPr>
        <w:tblW w:w="99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4952"/>
        <w:gridCol w:w="4961"/>
      </w:tblGrid>
      <w:tr w:rsidR="00990D2C" w:rsidRPr="00DC3959" w14:paraId="662E7C6D" w14:textId="77777777" w:rsidTr="004820AB">
        <w:tc>
          <w:tcPr>
            <w:tcW w:w="4952" w:type="dxa"/>
            <w:shd w:val="clear" w:color="auto" w:fill="C1E4F5" w:themeFill="accent1" w:themeFillTint="33"/>
            <w:tcMar>
              <w:top w:w="100" w:type="dxa"/>
              <w:left w:w="100" w:type="dxa"/>
              <w:bottom w:w="100" w:type="dxa"/>
              <w:right w:w="100" w:type="dxa"/>
            </w:tcMar>
          </w:tcPr>
          <w:p w14:paraId="226FFA68" w14:textId="77777777" w:rsidR="00990D2C" w:rsidRPr="00B86B20" w:rsidRDefault="00990D2C" w:rsidP="00E71F53">
            <w:pPr>
              <w:pBdr>
                <w:top w:val="nil"/>
                <w:left w:val="nil"/>
                <w:bottom w:val="nil"/>
                <w:right w:val="nil"/>
                <w:between w:val="nil"/>
              </w:pBdr>
              <w:jc w:val="center"/>
              <w:rPr>
                <w:rFonts w:asciiTheme="majorHAnsi" w:hAnsiTheme="majorHAnsi" w:cstheme="majorHAnsi"/>
                <w:b/>
                <w:bCs/>
                <w:color w:val="0A2F41" w:themeColor="accent1" w:themeShade="80"/>
                <w:sz w:val="20"/>
                <w:szCs w:val="20"/>
              </w:rPr>
            </w:pPr>
            <w:r w:rsidRPr="00B86B20">
              <w:rPr>
                <w:rFonts w:asciiTheme="majorHAnsi" w:hAnsiTheme="majorHAnsi" w:cstheme="majorHAnsi"/>
                <w:b/>
                <w:bCs/>
                <w:color w:val="0A2F41" w:themeColor="accent1" w:themeShade="80"/>
                <w:sz w:val="20"/>
                <w:szCs w:val="20"/>
              </w:rPr>
              <w:t>Période</w:t>
            </w:r>
          </w:p>
        </w:tc>
        <w:tc>
          <w:tcPr>
            <w:tcW w:w="4961" w:type="dxa"/>
            <w:shd w:val="clear" w:color="auto" w:fill="C1E4F5" w:themeFill="accent1" w:themeFillTint="33"/>
            <w:tcMar>
              <w:top w:w="100" w:type="dxa"/>
              <w:left w:w="100" w:type="dxa"/>
              <w:bottom w:w="100" w:type="dxa"/>
              <w:right w:w="100" w:type="dxa"/>
            </w:tcMar>
          </w:tcPr>
          <w:p w14:paraId="3CE6328F" w14:textId="77777777" w:rsidR="00990D2C" w:rsidRPr="00B86B20" w:rsidRDefault="00990D2C" w:rsidP="00E71F53">
            <w:pPr>
              <w:pBdr>
                <w:top w:val="nil"/>
                <w:left w:val="nil"/>
                <w:bottom w:val="nil"/>
                <w:right w:val="nil"/>
                <w:between w:val="nil"/>
              </w:pBdr>
              <w:jc w:val="center"/>
              <w:rPr>
                <w:rFonts w:asciiTheme="majorHAnsi" w:hAnsiTheme="majorHAnsi" w:cstheme="majorHAnsi"/>
                <w:b/>
                <w:bCs/>
                <w:color w:val="0A2F41" w:themeColor="accent1" w:themeShade="80"/>
                <w:sz w:val="20"/>
                <w:szCs w:val="20"/>
              </w:rPr>
            </w:pPr>
            <w:r w:rsidRPr="00B86B20">
              <w:rPr>
                <w:rFonts w:asciiTheme="majorHAnsi" w:hAnsiTheme="majorHAnsi" w:cstheme="majorHAnsi"/>
                <w:b/>
                <w:bCs/>
                <w:color w:val="0A2F41" w:themeColor="accent1" w:themeShade="80"/>
                <w:sz w:val="20"/>
                <w:szCs w:val="20"/>
              </w:rPr>
              <w:t>Nombre de points décomptés</w:t>
            </w:r>
          </w:p>
        </w:tc>
      </w:tr>
      <w:tr w:rsidR="00990D2C" w:rsidRPr="00DC3959" w14:paraId="777EF102" w14:textId="77777777" w:rsidTr="00990D2C">
        <w:tc>
          <w:tcPr>
            <w:tcW w:w="4952" w:type="dxa"/>
            <w:tcMar>
              <w:top w:w="100" w:type="dxa"/>
              <w:left w:w="100" w:type="dxa"/>
              <w:bottom w:w="100" w:type="dxa"/>
              <w:right w:w="100" w:type="dxa"/>
            </w:tcMar>
            <w:vAlign w:val="center"/>
          </w:tcPr>
          <w:p w14:paraId="206851B1" w14:textId="77777777" w:rsidR="00990D2C" w:rsidRPr="00DC3959"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DC3959">
              <w:rPr>
                <w:rFonts w:asciiTheme="majorHAnsi" w:hAnsiTheme="majorHAnsi" w:cstheme="majorHAnsi"/>
                <w:color w:val="0A2F41" w:themeColor="accent1" w:themeShade="80"/>
                <w:sz w:val="20"/>
                <w:szCs w:val="20"/>
              </w:rPr>
              <w:t>Hors vacances scolaires</w:t>
            </w:r>
            <w:r>
              <w:rPr>
                <w:rFonts w:asciiTheme="majorHAnsi" w:hAnsiTheme="majorHAnsi" w:cstheme="majorHAnsi"/>
                <w:color w:val="0A2F41" w:themeColor="accent1" w:themeShade="80"/>
                <w:sz w:val="20"/>
                <w:szCs w:val="20"/>
              </w:rPr>
              <w:t xml:space="preserve"> de la base du PNC</w:t>
            </w:r>
          </w:p>
        </w:tc>
        <w:tc>
          <w:tcPr>
            <w:tcW w:w="4961" w:type="dxa"/>
            <w:tcMar>
              <w:top w:w="100" w:type="dxa"/>
              <w:left w:w="100" w:type="dxa"/>
              <w:bottom w:w="100" w:type="dxa"/>
              <w:right w:w="100" w:type="dxa"/>
            </w:tcMar>
            <w:vAlign w:val="center"/>
          </w:tcPr>
          <w:p w14:paraId="5D12C2F3" w14:textId="77777777" w:rsidR="00990D2C" w:rsidRPr="00DC3959"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7A75DA">
              <w:rPr>
                <w:rFonts w:asciiTheme="majorHAnsi" w:hAnsiTheme="majorHAnsi" w:cstheme="majorHAnsi"/>
                <w:b/>
                <w:bCs/>
                <w:color w:val="0A2F41" w:themeColor="accent1" w:themeShade="80"/>
                <w:sz w:val="20"/>
                <w:szCs w:val="20"/>
              </w:rPr>
              <w:t>+</w:t>
            </w:r>
            <w:r w:rsidRPr="00DC3959">
              <w:rPr>
                <w:rFonts w:asciiTheme="majorHAnsi" w:hAnsiTheme="majorHAnsi" w:cstheme="majorHAnsi"/>
                <w:color w:val="0A2F41" w:themeColor="accent1" w:themeShade="80"/>
                <w:sz w:val="20"/>
                <w:szCs w:val="20"/>
              </w:rPr>
              <w:t xml:space="preserve"> 1 point / jour de congés payés imposé</w:t>
            </w:r>
          </w:p>
          <w:p w14:paraId="33CDC157" w14:textId="77777777" w:rsidR="00990D2C" w:rsidRPr="00DC3959"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7A75DA">
              <w:rPr>
                <w:rFonts w:asciiTheme="majorHAnsi" w:hAnsiTheme="majorHAnsi" w:cstheme="majorHAnsi"/>
                <w:b/>
                <w:bCs/>
                <w:color w:val="0A2F41" w:themeColor="accent1" w:themeShade="80"/>
                <w:sz w:val="20"/>
                <w:szCs w:val="20"/>
              </w:rPr>
              <w:t>+</w:t>
            </w:r>
            <w:r w:rsidRPr="00DC3959">
              <w:rPr>
                <w:rFonts w:asciiTheme="majorHAnsi" w:hAnsiTheme="majorHAnsi" w:cstheme="majorHAnsi"/>
                <w:color w:val="0A2F41" w:themeColor="accent1" w:themeShade="80"/>
                <w:sz w:val="20"/>
                <w:szCs w:val="20"/>
              </w:rPr>
              <w:t xml:space="preserve"> 2 points/jour de congés posé par le salarié</w:t>
            </w:r>
          </w:p>
        </w:tc>
      </w:tr>
      <w:tr w:rsidR="00990D2C" w:rsidRPr="00DC3959" w14:paraId="728EC40E" w14:textId="77777777" w:rsidTr="00990D2C">
        <w:tc>
          <w:tcPr>
            <w:tcW w:w="4952" w:type="dxa"/>
            <w:tcMar>
              <w:top w:w="100" w:type="dxa"/>
              <w:left w:w="100" w:type="dxa"/>
              <w:bottom w:w="100" w:type="dxa"/>
              <w:right w:w="100" w:type="dxa"/>
            </w:tcMar>
            <w:vAlign w:val="center"/>
          </w:tcPr>
          <w:p w14:paraId="5BF0C1BA" w14:textId="249EF303" w:rsidR="00990D2C" w:rsidRPr="00DC3959"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DC3959">
              <w:rPr>
                <w:rFonts w:asciiTheme="majorHAnsi" w:hAnsiTheme="majorHAnsi" w:cstheme="majorHAnsi"/>
                <w:color w:val="0A2F41" w:themeColor="accent1" w:themeShade="80"/>
                <w:sz w:val="20"/>
                <w:szCs w:val="20"/>
              </w:rPr>
              <w:t>Pendant les vacances scolaires</w:t>
            </w:r>
            <w:r>
              <w:rPr>
                <w:rFonts w:asciiTheme="majorHAnsi" w:hAnsiTheme="majorHAnsi" w:cstheme="majorHAnsi"/>
                <w:color w:val="0A2F41" w:themeColor="accent1" w:themeShade="80"/>
                <w:sz w:val="20"/>
                <w:szCs w:val="20"/>
              </w:rPr>
              <w:t xml:space="preserve"> de la base du PNC</w:t>
            </w:r>
            <w:r w:rsidRPr="00DC3959">
              <w:rPr>
                <w:rFonts w:asciiTheme="majorHAnsi" w:hAnsiTheme="majorHAnsi" w:cstheme="majorHAnsi"/>
                <w:color w:val="0A2F41" w:themeColor="accent1" w:themeShade="80"/>
                <w:sz w:val="20"/>
                <w:szCs w:val="20"/>
              </w:rPr>
              <w:t>, hors Juillet/Août</w:t>
            </w:r>
          </w:p>
        </w:tc>
        <w:tc>
          <w:tcPr>
            <w:tcW w:w="4961" w:type="dxa"/>
            <w:tcMar>
              <w:top w:w="100" w:type="dxa"/>
              <w:left w:w="100" w:type="dxa"/>
              <w:bottom w:w="100" w:type="dxa"/>
              <w:right w:w="100" w:type="dxa"/>
            </w:tcMar>
            <w:vAlign w:val="center"/>
          </w:tcPr>
          <w:p w14:paraId="3E44DAE8" w14:textId="77777777" w:rsidR="00990D2C" w:rsidRPr="007A75DA"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7A75DA">
              <w:rPr>
                <w:rFonts w:asciiTheme="majorHAnsi" w:hAnsiTheme="majorHAnsi" w:cstheme="majorHAnsi"/>
                <w:b/>
                <w:bCs/>
                <w:color w:val="0A2F41" w:themeColor="accent1" w:themeShade="80"/>
                <w:sz w:val="20"/>
                <w:szCs w:val="20"/>
              </w:rPr>
              <w:t>-</w:t>
            </w:r>
            <w:r>
              <w:rPr>
                <w:rFonts w:asciiTheme="majorHAnsi" w:hAnsiTheme="majorHAnsi" w:cstheme="majorHAnsi"/>
                <w:color w:val="0A2F41" w:themeColor="accent1" w:themeShade="80"/>
                <w:sz w:val="20"/>
                <w:szCs w:val="20"/>
              </w:rPr>
              <w:t xml:space="preserve">  </w:t>
            </w:r>
            <w:r w:rsidRPr="007A75DA">
              <w:rPr>
                <w:rFonts w:asciiTheme="majorHAnsi" w:hAnsiTheme="majorHAnsi" w:cstheme="majorHAnsi"/>
                <w:color w:val="0A2F41" w:themeColor="accent1" w:themeShade="80"/>
                <w:sz w:val="20"/>
                <w:szCs w:val="20"/>
              </w:rPr>
              <w:t>4 points / jour de congés payés</w:t>
            </w:r>
          </w:p>
        </w:tc>
      </w:tr>
      <w:tr w:rsidR="00990D2C" w:rsidRPr="00DC3959" w14:paraId="1020F36F" w14:textId="77777777" w:rsidTr="00990D2C">
        <w:trPr>
          <w:trHeight w:val="306"/>
        </w:trPr>
        <w:tc>
          <w:tcPr>
            <w:tcW w:w="4952" w:type="dxa"/>
            <w:tcMar>
              <w:top w:w="100" w:type="dxa"/>
              <w:left w:w="100" w:type="dxa"/>
              <w:bottom w:w="100" w:type="dxa"/>
              <w:right w:w="100" w:type="dxa"/>
            </w:tcMar>
            <w:vAlign w:val="center"/>
          </w:tcPr>
          <w:p w14:paraId="6A043BC1" w14:textId="77777777" w:rsidR="00990D2C" w:rsidRPr="00DC3959"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DC3959">
              <w:rPr>
                <w:rFonts w:asciiTheme="majorHAnsi" w:hAnsiTheme="majorHAnsi" w:cstheme="majorHAnsi"/>
                <w:color w:val="0A2F41" w:themeColor="accent1" w:themeShade="80"/>
                <w:sz w:val="20"/>
                <w:szCs w:val="20"/>
              </w:rPr>
              <w:t xml:space="preserve">Pendant les </w:t>
            </w:r>
            <w:r>
              <w:rPr>
                <w:rFonts w:asciiTheme="majorHAnsi" w:hAnsiTheme="majorHAnsi" w:cstheme="majorHAnsi"/>
                <w:color w:val="0A2F41" w:themeColor="accent1" w:themeShade="80"/>
                <w:sz w:val="20"/>
                <w:szCs w:val="20"/>
              </w:rPr>
              <w:t>mois</w:t>
            </w:r>
            <w:r w:rsidRPr="00DC3959">
              <w:rPr>
                <w:rFonts w:asciiTheme="majorHAnsi" w:hAnsiTheme="majorHAnsi" w:cstheme="majorHAnsi"/>
                <w:color w:val="0A2F41" w:themeColor="accent1" w:themeShade="80"/>
                <w:sz w:val="20"/>
                <w:szCs w:val="20"/>
              </w:rPr>
              <w:t xml:space="preserve"> de Juillet/Août et sur la période du 15 </w:t>
            </w:r>
            <w:r>
              <w:rPr>
                <w:rFonts w:asciiTheme="majorHAnsi" w:hAnsiTheme="majorHAnsi" w:cstheme="majorHAnsi"/>
                <w:color w:val="0A2F41" w:themeColor="accent1" w:themeShade="80"/>
                <w:sz w:val="20"/>
                <w:szCs w:val="20"/>
              </w:rPr>
              <w:t>d</w:t>
            </w:r>
            <w:r w:rsidRPr="00DC3959">
              <w:rPr>
                <w:rFonts w:asciiTheme="majorHAnsi" w:hAnsiTheme="majorHAnsi" w:cstheme="majorHAnsi"/>
                <w:color w:val="0A2F41" w:themeColor="accent1" w:themeShade="80"/>
                <w:sz w:val="20"/>
                <w:szCs w:val="20"/>
              </w:rPr>
              <w:t>écembre au 15 janvier</w:t>
            </w:r>
          </w:p>
        </w:tc>
        <w:tc>
          <w:tcPr>
            <w:tcW w:w="4961" w:type="dxa"/>
            <w:tcMar>
              <w:top w:w="100" w:type="dxa"/>
              <w:left w:w="100" w:type="dxa"/>
              <w:bottom w:w="100" w:type="dxa"/>
              <w:right w:w="100" w:type="dxa"/>
            </w:tcMar>
            <w:vAlign w:val="center"/>
          </w:tcPr>
          <w:p w14:paraId="3F753FE4" w14:textId="77777777" w:rsidR="00990D2C" w:rsidRPr="00DC3959" w:rsidRDefault="00990D2C" w:rsidP="00990D2C">
            <w:pPr>
              <w:pBdr>
                <w:top w:val="nil"/>
                <w:left w:val="nil"/>
                <w:bottom w:val="nil"/>
                <w:right w:val="nil"/>
                <w:between w:val="nil"/>
              </w:pBdr>
              <w:jc w:val="center"/>
              <w:rPr>
                <w:rFonts w:asciiTheme="majorHAnsi" w:hAnsiTheme="majorHAnsi" w:cstheme="majorHAnsi"/>
                <w:color w:val="0A2F41" w:themeColor="accent1" w:themeShade="80"/>
                <w:sz w:val="20"/>
                <w:szCs w:val="20"/>
              </w:rPr>
            </w:pPr>
            <w:r w:rsidRPr="007A75DA">
              <w:rPr>
                <w:rFonts w:asciiTheme="majorHAnsi" w:hAnsiTheme="majorHAnsi" w:cstheme="majorHAnsi"/>
                <w:b/>
                <w:bCs/>
                <w:color w:val="0A2F41" w:themeColor="accent1" w:themeShade="80"/>
                <w:sz w:val="20"/>
                <w:szCs w:val="20"/>
              </w:rPr>
              <w:t xml:space="preserve">- </w:t>
            </w:r>
            <w:r w:rsidRPr="00DC3959">
              <w:rPr>
                <w:rFonts w:asciiTheme="majorHAnsi" w:hAnsiTheme="majorHAnsi" w:cstheme="majorHAnsi"/>
                <w:color w:val="0A2F41" w:themeColor="accent1" w:themeShade="80"/>
                <w:sz w:val="20"/>
                <w:szCs w:val="20"/>
              </w:rPr>
              <w:t>8 points/jour de congés payés</w:t>
            </w:r>
          </w:p>
        </w:tc>
      </w:tr>
    </w:tbl>
    <w:p w14:paraId="5B27A87D" w14:textId="77777777"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p>
    <w:p w14:paraId="1B77A1F9" w14:textId="77777777" w:rsidR="00990D2C" w:rsidRDefault="00990D2C" w:rsidP="00990D2C">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 xml:space="preserve">Les salariés PNC ayant un enfant handicapé à charge ne sont pas concernés par ce système d'attribution. Leurs demandes seront traitées de façon prioritaire. </w:t>
      </w:r>
    </w:p>
    <w:p w14:paraId="71AF0DD5" w14:textId="77777777"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p>
    <w:p w14:paraId="578D89C6" w14:textId="77777777" w:rsidR="00990D2C" w:rsidRPr="00990D2C" w:rsidRDefault="00990D2C" w:rsidP="00990D2C">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Les PNC en suspension de contrat de travail gardent leurs nombres de points acquis avant leur départ.</w:t>
      </w:r>
    </w:p>
    <w:p w14:paraId="6198D253" w14:textId="6FB0DFB5" w:rsidR="00A95422" w:rsidRPr="00990D2C" w:rsidRDefault="00990D2C" w:rsidP="00990D2C">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Les PNC en CDD (Contrat à Durée Déterminée) ne sont pas prioritaires.</w:t>
      </w:r>
      <w:r>
        <w:rPr>
          <w:rFonts w:asciiTheme="majorHAnsi" w:hAnsiTheme="majorHAnsi" w:cstheme="majorHAnsi"/>
          <w:color w:val="153D63" w:themeColor="text2" w:themeTint="E6"/>
          <w:sz w:val="22"/>
          <w:szCs w:val="22"/>
        </w:rPr>
        <w:t xml:space="preserve"> »</w:t>
      </w:r>
    </w:p>
    <w:p w14:paraId="2AF1375F" w14:textId="77777777" w:rsidR="008A5192" w:rsidRDefault="008A5192" w:rsidP="004E569E">
      <w:pPr>
        <w:spacing w:after="0"/>
        <w:rPr>
          <w:rFonts w:asciiTheme="majorHAnsi" w:hAnsiTheme="majorHAnsi" w:cstheme="majorHAnsi"/>
        </w:rPr>
      </w:pPr>
    </w:p>
    <w:p w14:paraId="4F788DD7" w14:textId="77777777" w:rsidR="006A4E15" w:rsidRDefault="006A4E15" w:rsidP="00532EA5">
      <w:pPr>
        <w:spacing w:after="0" w:line="239" w:lineRule="exact"/>
        <w:jc w:val="both"/>
        <w:rPr>
          <w:rFonts w:asciiTheme="majorHAnsi" w:hAnsiTheme="majorHAnsi" w:cstheme="majorHAnsi"/>
          <w:color w:val="153D63" w:themeColor="text2" w:themeTint="E6"/>
          <w:sz w:val="22"/>
          <w:szCs w:val="22"/>
        </w:rPr>
      </w:pPr>
    </w:p>
    <w:p w14:paraId="4BA4EE23" w14:textId="579D937D" w:rsidR="006A4E15" w:rsidRPr="00F57FD8" w:rsidRDefault="006A4E15" w:rsidP="00532EA5">
      <w:pPr>
        <w:pBdr>
          <w:bottom w:val="single" w:sz="4" w:space="0" w:color="auto"/>
        </w:pBdr>
        <w:spacing w:after="0" w:line="239" w:lineRule="exact"/>
        <w:jc w:val="both"/>
        <w:rPr>
          <w:rFonts w:asciiTheme="majorHAnsi" w:hAnsiTheme="majorHAnsi" w:cstheme="majorHAnsi"/>
          <w:b/>
          <w:bCs/>
          <w:color w:val="153D63" w:themeColor="text2" w:themeTint="E6"/>
        </w:rPr>
      </w:pPr>
      <w:r>
        <w:rPr>
          <w:rFonts w:asciiTheme="majorHAnsi" w:hAnsiTheme="majorHAnsi" w:cstheme="majorHAnsi"/>
          <w:b/>
          <w:bCs/>
          <w:color w:val="153D63" w:themeColor="text2" w:themeTint="E6"/>
        </w:rPr>
        <w:t xml:space="preserve">ARTICLE </w:t>
      </w:r>
      <w:r w:rsidR="00990D2C">
        <w:rPr>
          <w:rFonts w:asciiTheme="majorHAnsi" w:hAnsiTheme="majorHAnsi" w:cstheme="majorHAnsi"/>
          <w:b/>
          <w:bCs/>
          <w:color w:val="153D63" w:themeColor="text2" w:themeTint="E6"/>
        </w:rPr>
        <w:t>2</w:t>
      </w:r>
      <w:r>
        <w:rPr>
          <w:rFonts w:asciiTheme="majorHAnsi" w:hAnsiTheme="majorHAnsi" w:cstheme="majorHAnsi"/>
          <w:b/>
          <w:bCs/>
          <w:color w:val="153D63" w:themeColor="text2" w:themeTint="E6"/>
        </w:rPr>
        <w:t> : Date d’application et durée de l’accord</w:t>
      </w:r>
    </w:p>
    <w:p w14:paraId="2E3A42DB" w14:textId="77777777" w:rsidR="00532EA5" w:rsidRDefault="00532EA5" w:rsidP="00532EA5">
      <w:pPr>
        <w:spacing w:after="0" w:line="239" w:lineRule="exact"/>
        <w:jc w:val="both"/>
        <w:rPr>
          <w:rFonts w:asciiTheme="majorHAnsi" w:hAnsiTheme="majorHAnsi" w:cstheme="majorHAnsi"/>
          <w:color w:val="153D63" w:themeColor="text2" w:themeTint="E6"/>
          <w:sz w:val="22"/>
          <w:szCs w:val="22"/>
        </w:rPr>
      </w:pPr>
    </w:p>
    <w:p w14:paraId="1360298D" w14:textId="125ADCBE" w:rsidR="006A4E15" w:rsidRPr="006A4E15" w:rsidRDefault="006A4E15" w:rsidP="00532EA5">
      <w:pPr>
        <w:spacing w:after="0" w:line="239" w:lineRule="exact"/>
        <w:jc w:val="both"/>
        <w:rPr>
          <w:rFonts w:asciiTheme="majorHAnsi" w:hAnsiTheme="majorHAnsi" w:cstheme="majorHAnsi"/>
          <w:color w:val="153D63" w:themeColor="text2" w:themeTint="E6"/>
          <w:sz w:val="22"/>
          <w:szCs w:val="22"/>
        </w:rPr>
      </w:pPr>
      <w:r w:rsidRPr="006A4E15">
        <w:rPr>
          <w:rFonts w:asciiTheme="majorHAnsi" w:hAnsiTheme="majorHAnsi" w:cstheme="majorHAnsi"/>
          <w:color w:val="153D63" w:themeColor="text2" w:themeTint="E6"/>
          <w:sz w:val="22"/>
          <w:szCs w:val="22"/>
        </w:rPr>
        <w:t xml:space="preserve">Le présent </w:t>
      </w:r>
      <w:r w:rsidR="00F77ACF">
        <w:rPr>
          <w:rFonts w:asciiTheme="majorHAnsi" w:hAnsiTheme="majorHAnsi" w:cstheme="majorHAnsi"/>
          <w:color w:val="153D63" w:themeColor="text2" w:themeTint="E6"/>
          <w:sz w:val="22"/>
          <w:szCs w:val="22"/>
        </w:rPr>
        <w:t>avenant</w:t>
      </w:r>
      <w:r w:rsidRPr="006A4E15">
        <w:rPr>
          <w:rFonts w:asciiTheme="majorHAnsi" w:hAnsiTheme="majorHAnsi" w:cstheme="majorHAnsi"/>
          <w:color w:val="153D63" w:themeColor="text2" w:themeTint="E6"/>
          <w:sz w:val="22"/>
          <w:szCs w:val="22"/>
        </w:rPr>
        <w:t xml:space="preserve"> est applicable à compter de la réalisation des formalités de dépôt de l’accord et est conclu pour une durée </w:t>
      </w:r>
      <w:r w:rsidR="00F77ACF">
        <w:rPr>
          <w:rFonts w:asciiTheme="majorHAnsi" w:hAnsiTheme="majorHAnsi" w:cstheme="majorHAnsi"/>
          <w:color w:val="153D63" w:themeColor="text2" w:themeTint="E6"/>
          <w:sz w:val="22"/>
          <w:szCs w:val="22"/>
        </w:rPr>
        <w:t>in</w:t>
      </w:r>
      <w:r w:rsidRPr="006A4E15">
        <w:rPr>
          <w:rFonts w:asciiTheme="majorHAnsi" w:hAnsiTheme="majorHAnsi" w:cstheme="majorHAnsi"/>
          <w:color w:val="153D63" w:themeColor="text2" w:themeTint="E6"/>
          <w:sz w:val="22"/>
          <w:szCs w:val="22"/>
        </w:rPr>
        <w:t>déterminée</w:t>
      </w:r>
      <w:r w:rsidR="001735EE">
        <w:rPr>
          <w:rFonts w:asciiTheme="majorHAnsi" w:hAnsiTheme="majorHAnsi" w:cstheme="majorHAnsi"/>
          <w:color w:val="153D63" w:themeColor="text2" w:themeTint="E6"/>
          <w:sz w:val="22"/>
          <w:szCs w:val="22"/>
        </w:rPr>
        <w:t>.</w:t>
      </w:r>
    </w:p>
    <w:p w14:paraId="0841E5DF" w14:textId="77777777" w:rsidR="00F77ACF" w:rsidRDefault="00F77ACF" w:rsidP="00532EA5">
      <w:pPr>
        <w:spacing w:after="0" w:line="239" w:lineRule="exact"/>
        <w:jc w:val="both"/>
        <w:rPr>
          <w:rFonts w:asciiTheme="majorHAnsi" w:hAnsiTheme="majorHAnsi" w:cstheme="majorHAnsi"/>
          <w:b/>
          <w:bCs/>
          <w:color w:val="153D63" w:themeColor="text2" w:themeTint="E6"/>
        </w:rPr>
      </w:pPr>
    </w:p>
    <w:p w14:paraId="4DCC5AFB" w14:textId="77777777" w:rsidR="00F77ACF" w:rsidRPr="006A4E15" w:rsidRDefault="00F77ACF" w:rsidP="00532EA5">
      <w:pPr>
        <w:spacing w:after="0" w:line="239" w:lineRule="exact"/>
        <w:jc w:val="both"/>
        <w:rPr>
          <w:rFonts w:asciiTheme="majorHAnsi" w:hAnsiTheme="majorHAnsi" w:cstheme="majorHAnsi"/>
          <w:color w:val="153D63" w:themeColor="text2" w:themeTint="E6"/>
          <w:sz w:val="22"/>
          <w:szCs w:val="22"/>
        </w:rPr>
      </w:pPr>
    </w:p>
    <w:p w14:paraId="129848FC" w14:textId="59D0FB30" w:rsidR="006A4E15" w:rsidRPr="00F57FD8" w:rsidRDefault="006A4E15" w:rsidP="00532EA5">
      <w:pPr>
        <w:pBdr>
          <w:bottom w:val="single" w:sz="4" w:space="0" w:color="auto"/>
        </w:pBdr>
        <w:spacing w:after="0" w:line="239" w:lineRule="exact"/>
        <w:jc w:val="both"/>
        <w:rPr>
          <w:rFonts w:asciiTheme="majorHAnsi" w:hAnsiTheme="majorHAnsi" w:cstheme="majorHAnsi"/>
          <w:b/>
          <w:bCs/>
          <w:color w:val="153D63" w:themeColor="text2" w:themeTint="E6"/>
        </w:rPr>
      </w:pPr>
      <w:r>
        <w:rPr>
          <w:rFonts w:asciiTheme="majorHAnsi" w:hAnsiTheme="majorHAnsi" w:cstheme="majorHAnsi"/>
          <w:b/>
          <w:bCs/>
          <w:color w:val="153D63" w:themeColor="text2" w:themeTint="E6"/>
        </w:rPr>
        <w:t xml:space="preserve">ARTICLE </w:t>
      </w:r>
      <w:r w:rsidR="00F77ACF">
        <w:rPr>
          <w:rFonts w:asciiTheme="majorHAnsi" w:hAnsiTheme="majorHAnsi" w:cstheme="majorHAnsi"/>
          <w:b/>
          <w:bCs/>
          <w:color w:val="153D63" w:themeColor="text2" w:themeTint="E6"/>
        </w:rPr>
        <w:t>3</w:t>
      </w:r>
      <w:r>
        <w:rPr>
          <w:rFonts w:asciiTheme="majorHAnsi" w:hAnsiTheme="majorHAnsi" w:cstheme="majorHAnsi"/>
          <w:b/>
          <w:bCs/>
          <w:color w:val="153D63" w:themeColor="text2" w:themeTint="E6"/>
        </w:rPr>
        <w:t xml:space="preserve"> : Dépôt et publicité de l’accord </w:t>
      </w:r>
    </w:p>
    <w:p w14:paraId="3F90EB5E" w14:textId="77777777" w:rsidR="00532EA5" w:rsidRDefault="00532EA5" w:rsidP="00532EA5">
      <w:pPr>
        <w:spacing w:after="0" w:line="239" w:lineRule="exact"/>
        <w:jc w:val="both"/>
        <w:rPr>
          <w:rFonts w:asciiTheme="majorHAnsi" w:hAnsiTheme="majorHAnsi" w:cstheme="majorHAnsi"/>
          <w:color w:val="153D63" w:themeColor="text2" w:themeTint="E6"/>
          <w:sz w:val="22"/>
          <w:szCs w:val="22"/>
        </w:rPr>
      </w:pPr>
    </w:p>
    <w:p w14:paraId="0A8EB6BA" w14:textId="41413B7A" w:rsidR="006A4E15" w:rsidRPr="002157F4" w:rsidRDefault="006A4E15" w:rsidP="00532EA5">
      <w:pPr>
        <w:spacing w:after="0" w:line="239" w:lineRule="exact"/>
        <w:jc w:val="both"/>
        <w:rPr>
          <w:rFonts w:asciiTheme="majorHAnsi" w:hAnsiTheme="majorHAnsi" w:cstheme="majorHAnsi"/>
          <w:color w:val="153D63" w:themeColor="text2" w:themeTint="E6"/>
          <w:sz w:val="22"/>
          <w:szCs w:val="22"/>
        </w:rPr>
      </w:pPr>
      <w:r w:rsidRPr="002157F4">
        <w:rPr>
          <w:rFonts w:asciiTheme="majorHAnsi" w:hAnsiTheme="majorHAnsi" w:cstheme="majorHAnsi"/>
          <w:color w:val="153D63" w:themeColor="text2" w:themeTint="E6"/>
          <w:sz w:val="22"/>
          <w:szCs w:val="22"/>
        </w:rPr>
        <w:t>En application de l’article L 2231-5 du Code du travail, le présent accord sera notifié par la Direction à l’organisation syndicale représentative signataire.</w:t>
      </w:r>
    </w:p>
    <w:p w14:paraId="2004AE47" w14:textId="77777777" w:rsidR="006A4E15" w:rsidRPr="002157F4" w:rsidRDefault="006A4E15" w:rsidP="00532EA5">
      <w:pPr>
        <w:spacing w:after="0" w:line="239" w:lineRule="exact"/>
        <w:jc w:val="both"/>
        <w:rPr>
          <w:rFonts w:asciiTheme="majorHAnsi" w:hAnsiTheme="majorHAnsi" w:cstheme="majorHAnsi"/>
          <w:color w:val="153D63" w:themeColor="text2" w:themeTint="E6"/>
          <w:sz w:val="22"/>
          <w:szCs w:val="22"/>
        </w:rPr>
      </w:pPr>
    </w:p>
    <w:p w14:paraId="2CF40625" w14:textId="111583AF" w:rsidR="00532EA5" w:rsidRDefault="006A4E15" w:rsidP="00532EA5">
      <w:pPr>
        <w:spacing w:after="0" w:line="239" w:lineRule="exact"/>
        <w:jc w:val="both"/>
        <w:rPr>
          <w:rFonts w:asciiTheme="majorHAnsi" w:hAnsiTheme="majorHAnsi" w:cstheme="majorHAnsi"/>
          <w:color w:val="153D63" w:themeColor="text2" w:themeTint="E6"/>
          <w:sz w:val="22"/>
          <w:szCs w:val="22"/>
        </w:rPr>
      </w:pPr>
      <w:r w:rsidRPr="002157F4">
        <w:rPr>
          <w:rFonts w:asciiTheme="majorHAnsi" w:hAnsiTheme="majorHAnsi" w:cstheme="majorHAnsi"/>
          <w:color w:val="153D63" w:themeColor="text2" w:themeTint="E6"/>
          <w:sz w:val="22"/>
          <w:szCs w:val="22"/>
        </w:rPr>
        <w:t>Il sera ensuite, conformément aux articles L. 2231-6 et D. 2231-2 du Code du travail, déposé par la Direction, en deux exemplaires dont une version sur support électronique, auprès de la Direction Régionale des Entreprises, de la Concurrence, de la Consommation, du Travail et de l’Emploi compétente et auprès du secrétariat-greffe du Conseil des prud’hommes compétent.</w:t>
      </w:r>
    </w:p>
    <w:p w14:paraId="1A2F9E4E" w14:textId="77777777" w:rsidR="00532EA5" w:rsidRDefault="00532EA5" w:rsidP="00532EA5">
      <w:pPr>
        <w:spacing w:after="0" w:line="239" w:lineRule="exact"/>
        <w:jc w:val="both"/>
        <w:rPr>
          <w:rFonts w:asciiTheme="majorHAnsi" w:hAnsiTheme="majorHAnsi" w:cstheme="majorHAnsi"/>
          <w:color w:val="153D63" w:themeColor="text2" w:themeTint="E6"/>
          <w:sz w:val="22"/>
          <w:szCs w:val="22"/>
        </w:rPr>
      </w:pPr>
    </w:p>
    <w:p w14:paraId="01CA8EA1" w14:textId="2FD8D294" w:rsidR="00842056" w:rsidRDefault="006A4E15" w:rsidP="00532EA5">
      <w:pPr>
        <w:spacing w:after="0" w:line="239" w:lineRule="exact"/>
        <w:jc w:val="both"/>
        <w:rPr>
          <w:rFonts w:asciiTheme="majorHAnsi" w:hAnsiTheme="majorHAnsi" w:cstheme="majorHAnsi"/>
          <w:color w:val="153D63" w:themeColor="text2" w:themeTint="E6"/>
          <w:sz w:val="22"/>
          <w:szCs w:val="22"/>
        </w:rPr>
      </w:pPr>
      <w:r w:rsidRPr="002157F4">
        <w:rPr>
          <w:rFonts w:asciiTheme="majorHAnsi" w:hAnsiTheme="majorHAnsi" w:cstheme="majorHAnsi"/>
          <w:color w:val="153D63" w:themeColor="text2" w:themeTint="E6"/>
          <w:sz w:val="22"/>
          <w:szCs w:val="22"/>
        </w:rPr>
        <w:t>Enfin, en application des articles R. 2262-1, R. 2262-2 et R. 2262-3 du Code du travail, il sera transmis aux représentants du personnel et mention de cet accord sera faite sur les panneaux réservés à la Direction pour sa communication avec le personnel.</w:t>
      </w:r>
    </w:p>
    <w:p w14:paraId="55030C0C" w14:textId="77777777" w:rsidR="00842056" w:rsidRDefault="00842056" w:rsidP="00532EA5">
      <w:pPr>
        <w:spacing w:after="0" w:line="239" w:lineRule="exact"/>
        <w:jc w:val="both"/>
        <w:rPr>
          <w:rFonts w:asciiTheme="majorHAnsi" w:hAnsiTheme="majorHAnsi" w:cstheme="majorHAnsi"/>
          <w:color w:val="153D63" w:themeColor="text2" w:themeTint="E6"/>
          <w:sz w:val="22"/>
          <w:szCs w:val="22"/>
        </w:rPr>
      </w:pPr>
    </w:p>
    <w:p w14:paraId="5F190193" w14:textId="7E938564" w:rsidR="006A4E15" w:rsidRDefault="006A4E15" w:rsidP="00532EA5">
      <w:pPr>
        <w:spacing w:after="0" w:line="239" w:lineRule="exact"/>
        <w:jc w:val="both"/>
        <w:rPr>
          <w:rFonts w:asciiTheme="majorHAnsi" w:hAnsiTheme="majorHAnsi" w:cstheme="majorHAnsi"/>
          <w:color w:val="153D63" w:themeColor="text2" w:themeTint="E6"/>
          <w:sz w:val="22"/>
          <w:szCs w:val="22"/>
        </w:rPr>
      </w:pPr>
      <w:r w:rsidRPr="002157F4">
        <w:rPr>
          <w:rFonts w:asciiTheme="majorHAnsi" w:hAnsiTheme="majorHAnsi" w:cstheme="majorHAnsi"/>
          <w:color w:val="153D63" w:themeColor="text2" w:themeTint="E6"/>
          <w:sz w:val="22"/>
          <w:szCs w:val="22"/>
        </w:rPr>
        <w:t>Un exemplaire sera établi pour chaque partie.</w:t>
      </w:r>
      <w:r w:rsidR="002157F4">
        <w:rPr>
          <w:rFonts w:asciiTheme="majorHAnsi" w:hAnsiTheme="majorHAnsi" w:cstheme="majorHAnsi"/>
          <w:color w:val="153D63" w:themeColor="text2" w:themeTint="E6"/>
          <w:sz w:val="22"/>
          <w:szCs w:val="22"/>
        </w:rPr>
        <w:t> </w:t>
      </w:r>
    </w:p>
    <w:p w14:paraId="07F48735" w14:textId="77777777" w:rsidR="002157F4" w:rsidRDefault="002157F4" w:rsidP="00532EA5">
      <w:pPr>
        <w:spacing w:after="0" w:line="239" w:lineRule="exact"/>
        <w:jc w:val="both"/>
        <w:rPr>
          <w:rFonts w:asciiTheme="majorHAnsi" w:hAnsiTheme="majorHAnsi" w:cstheme="majorHAnsi"/>
          <w:color w:val="153D63" w:themeColor="text2" w:themeTint="E6"/>
          <w:sz w:val="22"/>
          <w:szCs w:val="22"/>
        </w:rPr>
      </w:pPr>
    </w:p>
    <w:p w14:paraId="7D0C7A5B" w14:textId="77777777" w:rsidR="00306027" w:rsidRDefault="00306027" w:rsidP="00532EA5">
      <w:pPr>
        <w:spacing w:after="0" w:line="239" w:lineRule="exact"/>
        <w:jc w:val="both"/>
        <w:rPr>
          <w:rFonts w:asciiTheme="majorHAnsi" w:hAnsiTheme="majorHAnsi" w:cstheme="majorHAnsi"/>
          <w:color w:val="153D63" w:themeColor="text2" w:themeTint="E6"/>
          <w:sz w:val="22"/>
          <w:szCs w:val="22"/>
        </w:rPr>
      </w:pPr>
    </w:p>
    <w:p w14:paraId="182A78CC" w14:textId="77777777" w:rsidR="002F6FEA" w:rsidRDefault="002F6FEA" w:rsidP="00532EA5">
      <w:pPr>
        <w:spacing w:after="0" w:line="239" w:lineRule="exact"/>
        <w:jc w:val="both"/>
        <w:rPr>
          <w:rFonts w:asciiTheme="majorHAnsi" w:hAnsiTheme="majorHAnsi" w:cstheme="majorHAnsi"/>
          <w:color w:val="153D63" w:themeColor="text2" w:themeTint="E6"/>
          <w:sz w:val="22"/>
          <w:szCs w:val="22"/>
        </w:rPr>
      </w:pPr>
    </w:p>
    <w:p w14:paraId="2344DA4F" w14:textId="77777777" w:rsidR="00F77ACF" w:rsidRDefault="00F77ACF">
      <w:pPr>
        <w:rPr>
          <w:rFonts w:asciiTheme="majorHAnsi" w:hAnsiTheme="majorHAnsi" w:cstheme="majorHAnsi"/>
          <w:color w:val="153D63" w:themeColor="text2" w:themeTint="E6"/>
          <w:sz w:val="22"/>
          <w:szCs w:val="22"/>
        </w:rPr>
      </w:pPr>
      <w:r>
        <w:rPr>
          <w:rFonts w:asciiTheme="majorHAnsi" w:hAnsiTheme="majorHAnsi" w:cstheme="majorHAnsi"/>
          <w:color w:val="153D63" w:themeColor="text2" w:themeTint="E6"/>
          <w:sz w:val="22"/>
          <w:szCs w:val="22"/>
        </w:rPr>
        <w:br w:type="page"/>
      </w:r>
    </w:p>
    <w:p w14:paraId="457A8500" w14:textId="77777777" w:rsidR="00F77ACF" w:rsidRDefault="00F77ACF" w:rsidP="00532EA5">
      <w:pPr>
        <w:spacing w:after="0" w:line="239" w:lineRule="exact"/>
        <w:jc w:val="both"/>
        <w:rPr>
          <w:rFonts w:asciiTheme="majorHAnsi" w:hAnsiTheme="majorHAnsi" w:cstheme="majorHAnsi"/>
          <w:color w:val="153D63" w:themeColor="text2" w:themeTint="E6"/>
          <w:sz w:val="22"/>
          <w:szCs w:val="22"/>
        </w:rPr>
      </w:pPr>
    </w:p>
    <w:p w14:paraId="02E59C62" w14:textId="48C986D9" w:rsidR="002157F4" w:rsidRDefault="002157F4" w:rsidP="00532EA5">
      <w:pPr>
        <w:spacing w:after="0" w:line="239" w:lineRule="exact"/>
        <w:jc w:val="both"/>
        <w:rPr>
          <w:rFonts w:asciiTheme="majorHAnsi" w:hAnsiTheme="majorHAnsi" w:cstheme="majorHAnsi"/>
          <w:color w:val="153D63" w:themeColor="text2" w:themeTint="E6"/>
          <w:sz w:val="22"/>
          <w:szCs w:val="22"/>
        </w:rPr>
      </w:pPr>
      <w:r>
        <w:rPr>
          <w:rFonts w:asciiTheme="majorHAnsi" w:hAnsiTheme="majorHAnsi" w:cstheme="majorHAnsi"/>
          <w:color w:val="153D63" w:themeColor="text2" w:themeTint="E6"/>
          <w:sz w:val="22"/>
          <w:szCs w:val="22"/>
        </w:rPr>
        <w:t xml:space="preserve">Fait à </w:t>
      </w:r>
      <w:r w:rsidR="000E56A4">
        <w:rPr>
          <w:rFonts w:asciiTheme="majorHAnsi" w:hAnsiTheme="majorHAnsi" w:cstheme="majorHAnsi"/>
          <w:color w:val="153D63" w:themeColor="text2" w:themeTint="E6"/>
          <w:sz w:val="22"/>
          <w:szCs w:val="22"/>
        </w:rPr>
        <w:t>Paray-Vieille-Poste</w:t>
      </w:r>
      <w:r>
        <w:rPr>
          <w:rFonts w:asciiTheme="majorHAnsi" w:hAnsiTheme="majorHAnsi" w:cstheme="majorHAnsi"/>
          <w:color w:val="153D63" w:themeColor="text2" w:themeTint="E6"/>
          <w:sz w:val="22"/>
          <w:szCs w:val="22"/>
        </w:rPr>
        <w:t>,</w:t>
      </w:r>
      <w:r w:rsidR="000E56A4">
        <w:rPr>
          <w:rFonts w:asciiTheme="majorHAnsi" w:hAnsiTheme="majorHAnsi" w:cstheme="majorHAnsi"/>
          <w:color w:val="153D63" w:themeColor="text2" w:themeTint="E6"/>
          <w:sz w:val="22"/>
          <w:szCs w:val="22"/>
        </w:rPr>
        <w:t xml:space="preserve"> sur 5 feuillets,</w:t>
      </w:r>
      <w:r>
        <w:rPr>
          <w:rFonts w:asciiTheme="majorHAnsi" w:hAnsiTheme="majorHAnsi" w:cstheme="majorHAnsi"/>
          <w:color w:val="153D63" w:themeColor="text2" w:themeTint="E6"/>
          <w:sz w:val="22"/>
          <w:szCs w:val="22"/>
        </w:rPr>
        <w:t xml:space="preserve"> le </w:t>
      </w:r>
      <w:r w:rsidR="00990D2C">
        <w:rPr>
          <w:rFonts w:asciiTheme="majorHAnsi" w:hAnsiTheme="majorHAnsi" w:cstheme="majorHAnsi"/>
          <w:color w:val="153D63" w:themeColor="text2" w:themeTint="E6"/>
          <w:sz w:val="22"/>
          <w:szCs w:val="22"/>
        </w:rPr>
        <w:t>16</w:t>
      </w:r>
      <w:r w:rsidR="00532EA5">
        <w:rPr>
          <w:rFonts w:asciiTheme="majorHAnsi" w:hAnsiTheme="majorHAnsi" w:cstheme="majorHAnsi"/>
          <w:color w:val="153D63" w:themeColor="text2" w:themeTint="E6"/>
          <w:sz w:val="22"/>
          <w:szCs w:val="22"/>
        </w:rPr>
        <w:t xml:space="preserve"> </w:t>
      </w:r>
      <w:r w:rsidR="00990D2C">
        <w:rPr>
          <w:rFonts w:asciiTheme="majorHAnsi" w:hAnsiTheme="majorHAnsi" w:cstheme="majorHAnsi"/>
          <w:color w:val="153D63" w:themeColor="text2" w:themeTint="E6"/>
          <w:sz w:val="22"/>
          <w:szCs w:val="22"/>
        </w:rPr>
        <w:t>avril</w:t>
      </w:r>
      <w:r>
        <w:rPr>
          <w:rFonts w:asciiTheme="majorHAnsi" w:hAnsiTheme="majorHAnsi" w:cstheme="majorHAnsi"/>
          <w:color w:val="153D63" w:themeColor="text2" w:themeTint="E6"/>
          <w:sz w:val="22"/>
          <w:szCs w:val="22"/>
        </w:rPr>
        <w:t xml:space="preserve"> 202</w:t>
      </w:r>
      <w:r w:rsidR="00990D2C">
        <w:rPr>
          <w:rFonts w:asciiTheme="majorHAnsi" w:hAnsiTheme="majorHAnsi" w:cstheme="majorHAnsi"/>
          <w:color w:val="153D63" w:themeColor="text2" w:themeTint="E6"/>
          <w:sz w:val="22"/>
          <w:szCs w:val="22"/>
        </w:rPr>
        <w:t>5</w:t>
      </w:r>
    </w:p>
    <w:p w14:paraId="06AE1CA4" w14:textId="2B73FA3E" w:rsidR="000E56A4" w:rsidRDefault="000E56A4" w:rsidP="00532EA5">
      <w:pPr>
        <w:spacing w:after="0" w:line="239" w:lineRule="exact"/>
        <w:jc w:val="both"/>
        <w:rPr>
          <w:rFonts w:asciiTheme="majorHAnsi" w:hAnsiTheme="majorHAnsi" w:cstheme="majorHAnsi"/>
          <w:b/>
          <w:bCs/>
          <w:color w:val="153D63" w:themeColor="text2" w:themeTint="E6"/>
          <w:sz w:val="22"/>
          <w:szCs w:val="22"/>
        </w:rPr>
      </w:pPr>
    </w:p>
    <w:p w14:paraId="67C08C62" w14:textId="77777777" w:rsidR="000E56A4" w:rsidRDefault="000E56A4" w:rsidP="00532EA5">
      <w:pPr>
        <w:spacing w:after="0" w:line="239" w:lineRule="exact"/>
        <w:jc w:val="both"/>
        <w:rPr>
          <w:rFonts w:asciiTheme="majorHAnsi" w:hAnsiTheme="majorHAnsi" w:cstheme="majorHAnsi"/>
          <w:b/>
          <w:bCs/>
          <w:color w:val="153D63" w:themeColor="text2" w:themeTint="E6"/>
          <w:sz w:val="22"/>
          <w:szCs w:val="22"/>
        </w:rPr>
      </w:pPr>
    </w:p>
    <w:p w14:paraId="1E8534A0" w14:textId="2E40F569" w:rsidR="000E56A4" w:rsidRPr="00842056" w:rsidRDefault="000E56A4" w:rsidP="00532EA5">
      <w:pPr>
        <w:spacing w:after="0" w:line="239" w:lineRule="exact"/>
        <w:jc w:val="both"/>
        <w:rPr>
          <w:rFonts w:asciiTheme="majorHAnsi" w:hAnsiTheme="majorHAnsi" w:cstheme="majorHAnsi"/>
          <w:b/>
          <w:bCs/>
          <w:color w:val="153D63" w:themeColor="text2" w:themeTint="E6"/>
          <w:sz w:val="22"/>
          <w:szCs w:val="22"/>
        </w:rPr>
      </w:pPr>
      <w:r>
        <w:rPr>
          <w:rFonts w:asciiTheme="majorHAnsi" w:hAnsiTheme="majorHAnsi" w:cstheme="majorHAnsi"/>
          <w:b/>
          <w:bCs/>
          <w:color w:val="153D63" w:themeColor="text2" w:themeTint="E6"/>
          <w:sz w:val="22"/>
          <w:szCs w:val="22"/>
        </w:rPr>
        <w:t>Pour la Direction :</w:t>
      </w:r>
    </w:p>
    <w:p w14:paraId="1097F65B" w14:textId="77777777" w:rsidR="006A4E15" w:rsidRDefault="006A4E15" w:rsidP="00532EA5">
      <w:pPr>
        <w:spacing w:after="0" w:line="239" w:lineRule="exact"/>
        <w:jc w:val="both"/>
        <w:rPr>
          <w:rFonts w:asciiTheme="majorHAnsi" w:hAnsiTheme="majorHAnsi" w:cstheme="majorHAnsi"/>
          <w:color w:val="153D63" w:themeColor="text2" w:themeTint="E6"/>
          <w:sz w:val="22"/>
          <w:szCs w:val="22"/>
        </w:rPr>
      </w:pPr>
    </w:p>
    <w:p w14:paraId="3A6B2F45" w14:textId="691E051F" w:rsidR="006A4E15" w:rsidRPr="006A4E15" w:rsidRDefault="00A049CF" w:rsidP="00532EA5">
      <w:pPr>
        <w:pBdr>
          <w:top w:val="single" w:sz="4" w:space="1" w:color="auto"/>
        </w:pBdr>
        <w:spacing w:after="0" w:line="239" w:lineRule="exact"/>
        <w:jc w:val="both"/>
        <w:rPr>
          <w:rFonts w:asciiTheme="majorHAnsi" w:hAnsiTheme="majorHAnsi" w:cstheme="majorHAnsi"/>
          <w:b/>
          <w:bCs/>
          <w:color w:val="153D63" w:themeColor="text2" w:themeTint="E6"/>
          <w:sz w:val="22"/>
          <w:szCs w:val="22"/>
        </w:rPr>
      </w:pPr>
      <w:r>
        <w:rPr>
          <w:rFonts w:asciiTheme="majorHAnsi" w:hAnsiTheme="majorHAnsi" w:cstheme="majorHAnsi"/>
          <w:b/>
          <w:bCs/>
          <w:color w:val="153D63" w:themeColor="text2" w:themeTint="E6"/>
          <w:sz w:val="22"/>
          <w:szCs w:val="22"/>
        </w:rPr>
        <w:t>XXXXXXXXXXXXXX</w:t>
      </w:r>
    </w:p>
    <w:p w14:paraId="161868E4" w14:textId="77777777" w:rsidR="006A4E15" w:rsidRDefault="006A4E15" w:rsidP="00532EA5">
      <w:pPr>
        <w:spacing w:after="0" w:line="239" w:lineRule="exact"/>
        <w:jc w:val="both"/>
        <w:rPr>
          <w:rFonts w:asciiTheme="majorHAnsi" w:hAnsiTheme="majorHAnsi" w:cstheme="majorHAnsi"/>
          <w:color w:val="153D63" w:themeColor="text2" w:themeTint="E6"/>
          <w:sz w:val="22"/>
          <w:szCs w:val="22"/>
        </w:rPr>
      </w:pPr>
      <w:r>
        <w:rPr>
          <w:rFonts w:asciiTheme="majorHAnsi" w:hAnsiTheme="majorHAnsi" w:cstheme="majorHAnsi"/>
          <w:color w:val="153D63" w:themeColor="text2" w:themeTint="E6"/>
          <w:sz w:val="22"/>
          <w:szCs w:val="22"/>
        </w:rPr>
        <w:t>Directeur Général, pour la Société FRENCH BEEE</w:t>
      </w:r>
    </w:p>
    <w:p w14:paraId="495B61E4" w14:textId="77777777" w:rsidR="006A4E15" w:rsidRDefault="006A4E15" w:rsidP="00532EA5">
      <w:pPr>
        <w:spacing w:after="0" w:line="239" w:lineRule="exact"/>
        <w:jc w:val="both"/>
        <w:rPr>
          <w:rFonts w:asciiTheme="majorHAnsi" w:hAnsiTheme="majorHAnsi" w:cstheme="majorHAnsi"/>
          <w:color w:val="153D63" w:themeColor="text2" w:themeTint="E6"/>
          <w:sz w:val="22"/>
          <w:szCs w:val="22"/>
        </w:rPr>
      </w:pPr>
    </w:p>
    <w:p w14:paraId="6EA6D78B" w14:textId="77777777" w:rsidR="00E26DA6" w:rsidRDefault="00E26DA6" w:rsidP="00532EA5">
      <w:pPr>
        <w:spacing w:after="0" w:line="239" w:lineRule="exact"/>
        <w:jc w:val="both"/>
        <w:rPr>
          <w:rFonts w:asciiTheme="majorHAnsi" w:hAnsiTheme="majorHAnsi" w:cstheme="majorHAnsi"/>
          <w:color w:val="153D63" w:themeColor="text2" w:themeTint="E6"/>
          <w:sz w:val="22"/>
          <w:szCs w:val="22"/>
        </w:rPr>
      </w:pPr>
    </w:p>
    <w:p w14:paraId="6E9006A4" w14:textId="77777777" w:rsidR="00E26DA6" w:rsidRDefault="00E26DA6" w:rsidP="00532EA5">
      <w:pPr>
        <w:spacing w:after="0" w:line="239" w:lineRule="exact"/>
        <w:jc w:val="both"/>
        <w:rPr>
          <w:rFonts w:asciiTheme="majorHAnsi" w:hAnsiTheme="majorHAnsi" w:cstheme="majorHAnsi"/>
          <w:color w:val="153D63" w:themeColor="text2" w:themeTint="E6"/>
          <w:sz w:val="22"/>
          <w:szCs w:val="22"/>
        </w:rPr>
      </w:pPr>
    </w:p>
    <w:p w14:paraId="69C204F1" w14:textId="77777777" w:rsidR="006A4E15" w:rsidRDefault="006A4E15" w:rsidP="00532EA5">
      <w:pPr>
        <w:spacing w:after="0" w:line="239" w:lineRule="exact"/>
        <w:jc w:val="both"/>
        <w:rPr>
          <w:rFonts w:asciiTheme="majorHAnsi" w:hAnsiTheme="majorHAnsi" w:cstheme="majorHAnsi"/>
          <w:color w:val="153D63" w:themeColor="text2" w:themeTint="E6"/>
          <w:sz w:val="22"/>
          <w:szCs w:val="22"/>
        </w:rPr>
      </w:pPr>
    </w:p>
    <w:p w14:paraId="407AB6EA" w14:textId="46DD0413" w:rsidR="000E56A4" w:rsidRPr="000E56A4" w:rsidRDefault="000E56A4" w:rsidP="00532EA5">
      <w:pPr>
        <w:spacing w:after="0" w:line="239" w:lineRule="exact"/>
        <w:jc w:val="both"/>
        <w:rPr>
          <w:rFonts w:asciiTheme="majorHAnsi" w:hAnsiTheme="majorHAnsi" w:cstheme="majorHAnsi"/>
          <w:b/>
          <w:bCs/>
          <w:color w:val="153D63" w:themeColor="text2" w:themeTint="E6"/>
          <w:sz w:val="22"/>
          <w:szCs w:val="22"/>
        </w:rPr>
      </w:pPr>
      <w:r w:rsidRPr="000E56A4">
        <w:rPr>
          <w:rFonts w:asciiTheme="majorHAnsi" w:hAnsiTheme="majorHAnsi" w:cstheme="majorHAnsi"/>
          <w:b/>
          <w:bCs/>
          <w:color w:val="153D63" w:themeColor="text2" w:themeTint="E6"/>
          <w:sz w:val="22"/>
          <w:szCs w:val="22"/>
        </w:rPr>
        <w:t xml:space="preserve">Pour la représentation salariale : </w:t>
      </w:r>
    </w:p>
    <w:p w14:paraId="41B918C9" w14:textId="77777777" w:rsidR="002F6FEA" w:rsidRDefault="002F6FEA" w:rsidP="00532EA5">
      <w:pPr>
        <w:spacing w:after="0" w:line="239" w:lineRule="exact"/>
        <w:jc w:val="both"/>
        <w:rPr>
          <w:rFonts w:asciiTheme="majorHAnsi" w:hAnsiTheme="majorHAnsi" w:cstheme="majorHAnsi"/>
          <w:color w:val="153D63" w:themeColor="text2" w:themeTint="E6"/>
          <w:sz w:val="22"/>
          <w:szCs w:val="22"/>
        </w:rPr>
      </w:pPr>
    </w:p>
    <w:p w14:paraId="26C99BDD" w14:textId="77777777" w:rsidR="000E56A4" w:rsidRPr="00990D2C" w:rsidRDefault="000E56A4" w:rsidP="000E56A4">
      <w:pPr>
        <w:pBdr>
          <w:top w:val="single" w:sz="4" w:space="1" w:color="auto"/>
        </w:pBdr>
        <w:spacing w:after="0" w:line="239" w:lineRule="exact"/>
        <w:jc w:val="both"/>
        <w:rPr>
          <w:rFonts w:asciiTheme="majorHAnsi" w:hAnsiTheme="majorHAnsi" w:cstheme="majorHAnsi"/>
          <w:b/>
          <w:bCs/>
          <w:color w:val="153D63" w:themeColor="text2" w:themeTint="E6"/>
          <w:sz w:val="22"/>
          <w:szCs w:val="22"/>
        </w:rPr>
      </w:pPr>
      <w:r w:rsidRPr="00990D2C">
        <w:rPr>
          <w:rFonts w:asciiTheme="majorHAnsi" w:hAnsiTheme="majorHAnsi" w:cstheme="majorHAnsi"/>
          <w:b/>
          <w:bCs/>
          <w:color w:val="153D63" w:themeColor="text2" w:themeTint="E6"/>
          <w:sz w:val="22"/>
          <w:szCs w:val="22"/>
        </w:rPr>
        <w:t>La Confédération Générale du Travail (CGT) </w:t>
      </w:r>
    </w:p>
    <w:p w14:paraId="1F6D2CFA" w14:textId="6BCD0E48" w:rsidR="000E56A4" w:rsidRPr="00990D2C" w:rsidRDefault="000E56A4" w:rsidP="000E56A4">
      <w:pPr>
        <w:spacing w:after="0" w:line="239" w:lineRule="exact"/>
        <w:jc w:val="both"/>
        <w:rPr>
          <w:rFonts w:asciiTheme="majorHAnsi" w:hAnsiTheme="majorHAnsi" w:cstheme="majorHAnsi"/>
          <w:color w:val="153D63" w:themeColor="text2" w:themeTint="E6"/>
          <w:sz w:val="22"/>
          <w:szCs w:val="22"/>
        </w:rPr>
      </w:pPr>
      <w:r w:rsidRPr="00990D2C">
        <w:rPr>
          <w:rFonts w:asciiTheme="majorHAnsi" w:hAnsiTheme="majorHAnsi" w:cstheme="majorHAnsi"/>
          <w:color w:val="153D63" w:themeColor="text2" w:themeTint="E6"/>
          <w:sz w:val="22"/>
          <w:szCs w:val="22"/>
        </w:rPr>
        <w:t xml:space="preserve">Représentée par </w:t>
      </w:r>
      <w:r w:rsidR="00A049CF">
        <w:rPr>
          <w:rFonts w:asciiTheme="majorHAnsi" w:hAnsiTheme="majorHAnsi" w:cstheme="majorHAnsi"/>
          <w:color w:val="153D63" w:themeColor="text2" w:themeTint="E6"/>
          <w:sz w:val="22"/>
          <w:szCs w:val="22"/>
        </w:rPr>
        <w:t>XXXXXXXXXXXXXXXXXXXX</w:t>
      </w:r>
    </w:p>
    <w:p w14:paraId="3A63356F" w14:textId="77777777" w:rsidR="000E56A4" w:rsidRDefault="000E56A4" w:rsidP="000E56A4">
      <w:pPr>
        <w:spacing w:line="239" w:lineRule="exact"/>
        <w:jc w:val="both"/>
        <w:rPr>
          <w:rFonts w:asciiTheme="majorHAnsi" w:hAnsiTheme="majorHAnsi" w:cstheme="majorHAnsi"/>
          <w:b/>
          <w:bCs/>
          <w:color w:val="153D63" w:themeColor="text2" w:themeTint="E6"/>
          <w:sz w:val="22"/>
          <w:szCs w:val="22"/>
        </w:rPr>
      </w:pPr>
    </w:p>
    <w:p w14:paraId="18F19690" w14:textId="77777777" w:rsidR="000E56A4" w:rsidRDefault="000E56A4" w:rsidP="000E56A4">
      <w:pPr>
        <w:spacing w:line="239" w:lineRule="exact"/>
        <w:jc w:val="both"/>
        <w:rPr>
          <w:rFonts w:asciiTheme="majorHAnsi" w:hAnsiTheme="majorHAnsi" w:cstheme="majorHAnsi"/>
          <w:b/>
          <w:bCs/>
          <w:color w:val="153D63" w:themeColor="text2" w:themeTint="E6"/>
          <w:sz w:val="22"/>
          <w:szCs w:val="22"/>
        </w:rPr>
      </w:pPr>
    </w:p>
    <w:p w14:paraId="38EDAAB0" w14:textId="77777777" w:rsidR="000E56A4" w:rsidRPr="00990D2C" w:rsidRDefault="000E56A4" w:rsidP="000E56A4">
      <w:pPr>
        <w:spacing w:line="239" w:lineRule="exact"/>
        <w:jc w:val="both"/>
        <w:rPr>
          <w:rFonts w:asciiTheme="majorHAnsi" w:hAnsiTheme="majorHAnsi" w:cstheme="majorHAnsi"/>
          <w:b/>
          <w:bCs/>
          <w:color w:val="153D63" w:themeColor="text2" w:themeTint="E6"/>
          <w:sz w:val="22"/>
          <w:szCs w:val="22"/>
        </w:rPr>
      </w:pPr>
    </w:p>
    <w:p w14:paraId="0B05A929" w14:textId="77777777" w:rsidR="000E56A4" w:rsidRPr="00990D2C" w:rsidRDefault="000E56A4" w:rsidP="000E56A4">
      <w:pPr>
        <w:pBdr>
          <w:top w:val="single" w:sz="4" w:space="1" w:color="auto"/>
        </w:pBdr>
        <w:spacing w:after="0" w:line="239" w:lineRule="exact"/>
        <w:jc w:val="both"/>
        <w:rPr>
          <w:rFonts w:asciiTheme="majorHAnsi" w:hAnsiTheme="majorHAnsi" w:cstheme="majorHAnsi"/>
          <w:b/>
          <w:bCs/>
          <w:color w:val="153D63" w:themeColor="text2" w:themeTint="E6"/>
          <w:sz w:val="22"/>
          <w:szCs w:val="22"/>
        </w:rPr>
      </w:pPr>
      <w:r w:rsidRPr="00990D2C">
        <w:rPr>
          <w:rFonts w:asciiTheme="majorHAnsi" w:hAnsiTheme="majorHAnsi" w:cstheme="majorHAnsi"/>
          <w:b/>
          <w:bCs/>
          <w:color w:val="153D63" w:themeColor="text2" w:themeTint="E6"/>
          <w:sz w:val="22"/>
          <w:szCs w:val="22"/>
        </w:rPr>
        <w:t>Le Syndicat National du Personnel Navigant Commercial (SNPNC) - FO</w:t>
      </w:r>
    </w:p>
    <w:p w14:paraId="73374875" w14:textId="4CC1C0DA" w:rsidR="000E56A4" w:rsidRPr="00990D2C" w:rsidRDefault="000E56A4" w:rsidP="000E56A4">
      <w:pPr>
        <w:spacing w:after="0" w:line="239" w:lineRule="exact"/>
        <w:jc w:val="both"/>
        <w:rPr>
          <w:rFonts w:asciiTheme="majorHAnsi" w:hAnsiTheme="majorHAnsi" w:cstheme="majorHAnsi"/>
          <w:color w:val="153D63" w:themeColor="text2" w:themeTint="E6"/>
          <w:sz w:val="22"/>
          <w:szCs w:val="22"/>
        </w:rPr>
      </w:pPr>
      <w:r>
        <w:rPr>
          <w:rFonts w:asciiTheme="majorHAnsi" w:hAnsiTheme="majorHAnsi" w:cstheme="majorHAnsi"/>
          <w:color w:val="153D63" w:themeColor="text2" w:themeTint="E6"/>
          <w:sz w:val="22"/>
          <w:szCs w:val="22"/>
        </w:rPr>
        <w:t xml:space="preserve">Représenté par </w:t>
      </w:r>
      <w:r w:rsidR="00A049CF">
        <w:rPr>
          <w:rFonts w:asciiTheme="majorHAnsi" w:hAnsiTheme="majorHAnsi" w:cstheme="majorHAnsi"/>
          <w:color w:val="153D63" w:themeColor="text2" w:themeTint="E6"/>
          <w:sz w:val="22"/>
          <w:szCs w:val="22"/>
        </w:rPr>
        <w:t>XXXXXXXXXXXXXXXXXXXXXXXXXX</w:t>
      </w:r>
    </w:p>
    <w:p w14:paraId="32EE2762" w14:textId="3118FDB3" w:rsidR="006A4E15" w:rsidRDefault="006A4E15" w:rsidP="00532EA5">
      <w:pPr>
        <w:spacing w:after="0" w:line="239" w:lineRule="exact"/>
        <w:jc w:val="both"/>
        <w:rPr>
          <w:rFonts w:asciiTheme="majorHAnsi" w:hAnsiTheme="majorHAnsi" w:cstheme="majorHAnsi"/>
          <w:color w:val="153D63" w:themeColor="text2" w:themeTint="E6"/>
          <w:sz w:val="22"/>
          <w:szCs w:val="22"/>
        </w:rPr>
      </w:pPr>
    </w:p>
    <w:sectPr w:rsidR="006A4E15" w:rsidSect="00990D2C">
      <w:headerReference w:type="even" r:id="rId7"/>
      <w:headerReference w:type="default" r:id="rId8"/>
      <w:footerReference w:type="even" r:id="rId9"/>
      <w:footerReference w:type="default" r:id="rId10"/>
      <w:headerReference w:type="first" r:id="rId11"/>
      <w:footerReference w:type="first" r:id="rId12"/>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48DEB" w14:textId="77777777" w:rsidR="00B07C9E" w:rsidRDefault="00B07C9E" w:rsidP="008505E1">
      <w:pPr>
        <w:spacing w:after="0" w:line="240" w:lineRule="auto"/>
      </w:pPr>
      <w:r>
        <w:separator/>
      </w:r>
    </w:p>
  </w:endnote>
  <w:endnote w:type="continuationSeparator" w:id="0">
    <w:p w14:paraId="49D7370F" w14:textId="77777777" w:rsidR="00B07C9E" w:rsidRDefault="00B07C9E" w:rsidP="00850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5A15" w14:textId="77777777" w:rsidR="00B20BFB" w:rsidRDefault="00B20BF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258919"/>
      <w:docPartObj>
        <w:docPartGallery w:val="Page Numbers (Bottom of Page)"/>
        <w:docPartUnique/>
      </w:docPartObj>
    </w:sdtPr>
    <w:sdtContent>
      <w:p w14:paraId="3E9EA3A9" w14:textId="65544FDF" w:rsidR="00306027" w:rsidRDefault="00306027">
        <w:pPr>
          <w:pStyle w:val="Pieddepage"/>
          <w:jc w:val="right"/>
        </w:pPr>
        <w:r>
          <w:fldChar w:fldCharType="begin"/>
        </w:r>
        <w:r>
          <w:instrText>PAGE   \* MERGEFORMAT</w:instrText>
        </w:r>
        <w:r>
          <w:fldChar w:fldCharType="separate"/>
        </w:r>
        <w:r>
          <w:t>2</w:t>
        </w:r>
        <w:r>
          <w:fldChar w:fldCharType="end"/>
        </w:r>
      </w:p>
    </w:sdtContent>
  </w:sdt>
  <w:p w14:paraId="22CD70BA" w14:textId="77777777" w:rsidR="00306027" w:rsidRDefault="0030602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38BF4" w14:textId="77777777" w:rsidR="00B20BFB" w:rsidRDefault="00B20B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4CBE" w14:textId="77777777" w:rsidR="00B07C9E" w:rsidRDefault="00B07C9E" w:rsidP="008505E1">
      <w:pPr>
        <w:spacing w:after="0" w:line="240" w:lineRule="auto"/>
      </w:pPr>
      <w:r>
        <w:separator/>
      </w:r>
    </w:p>
  </w:footnote>
  <w:footnote w:type="continuationSeparator" w:id="0">
    <w:p w14:paraId="6F9E0ED2" w14:textId="77777777" w:rsidR="00B07C9E" w:rsidRDefault="00B07C9E" w:rsidP="008505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351BD" w14:textId="77777777" w:rsidR="00B20BFB" w:rsidRDefault="00B20BF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1CA2B" w14:textId="6C4C5408" w:rsidR="008505E1" w:rsidRDefault="008505E1">
    <w:pPr>
      <w:pStyle w:val="En-tte"/>
    </w:pPr>
    <w:r>
      <w:rPr>
        <w:noProof/>
      </w:rPr>
      <w:drawing>
        <wp:anchor distT="0" distB="0" distL="114300" distR="114300" simplePos="0" relativeHeight="251659264" behindDoc="1" locked="0" layoutInCell="1" allowOverlap="1" wp14:anchorId="21F4077C" wp14:editId="3D1408DB">
          <wp:simplePos x="0" y="0"/>
          <wp:positionH relativeFrom="page">
            <wp:posOffset>-78400</wp:posOffset>
          </wp:positionH>
          <wp:positionV relativeFrom="page">
            <wp:align>top</wp:align>
          </wp:positionV>
          <wp:extent cx="7560000" cy="1260000"/>
          <wp:effectExtent l="0" t="0" r="3175" b="0"/>
          <wp:wrapNone/>
          <wp:docPr id="1101694541" name="Image 1101694541"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capture d’écran, logo&#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2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75378" w14:textId="77777777" w:rsidR="00B20BFB" w:rsidRDefault="00B20BF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4FB6"/>
    <w:multiLevelType w:val="hybridMultilevel"/>
    <w:tmpl w:val="8C7252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66354F"/>
    <w:multiLevelType w:val="hybridMultilevel"/>
    <w:tmpl w:val="87009F1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C52602"/>
    <w:multiLevelType w:val="hybridMultilevel"/>
    <w:tmpl w:val="B9742D1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2E65B58"/>
    <w:multiLevelType w:val="hybridMultilevel"/>
    <w:tmpl w:val="2A264E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5BF615B"/>
    <w:multiLevelType w:val="multilevel"/>
    <w:tmpl w:val="5044C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96E321B"/>
    <w:multiLevelType w:val="hybridMultilevel"/>
    <w:tmpl w:val="C0529B8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F16CBA"/>
    <w:multiLevelType w:val="hybridMultilevel"/>
    <w:tmpl w:val="DE7AAF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416C8B"/>
    <w:multiLevelType w:val="hybridMultilevel"/>
    <w:tmpl w:val="A558B39E"/>
    <w:lvl w:ilvl="0" w:tplc="040C0005">
      <w:start w:val="1"/>
      <w:numFmt w:val="bullet"/>
      <w:lvlText w:val=""/>
      <w:lvlJc w:val="left"/>
      <w:pPr>
        <w:ind w:left="720" w:hanging="360"/>
      </w:pPr>
      <w:rPr>
        <w:rFonts w:ascii="Wingdings" w:hAnsi="Wingdings" w:hint="default"/>
      </w:rPr>
    </w:lvl>
    <w:lvl w:ilvl="1" w:tplc="508A1E92">
      <w:start w:val="15"/>
      <w:numFmt w:val="bullet"/>
      <w:lvlText w:val="•"/>
      <w:lvlJc w:val="left"/>
      <w:pPr>
        <w:ind w:left="1440" w:hanging="360"/>
      </w:pPr>
      <w:rPr>
        <w:rFonts w:ascii="Aptos Display" w:eastAsiaTheme="minorHAnsi" w:hAnsi="Aptos Display" w:cstheme="majorHAns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B65941"/>
    <w:multiLevelType w:val="hybridMultilevel"/>
    <w:tmpl w:val="E214AF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AA65848"/>
    <w:multiLevelType w:val="hybridMultilevel"/>
    <w:tmpl w:val="235039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9B468B"/>
    <w:multiLevelType w:val="hybridMultilevel"/>
    <w:tmpl w:val="305A34E6"/>
    <w:lvl w:ilvl="0" w:tplc="92CAE4E2">
      <w:start w:val="15"/>
      <w:numFmt w:val="bullet"/>
      <w:lvlText w:val="•"/>
      <w:lvlJc w:val="left"/>
      <w:pPr>
        <w:ind w:left="720" w:hanging="360"/>
      </w:pPr>
      <w:rPr>
        <w:rFonts w:ascii="Aptos Display" w:eastAsiaTheme="minorHAnsi" w:hAnsi="Aptos Display"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46051F8"/>
    <w:multiLevelType w:val="hybridMultilevel"/>
    <w:tmpl w:val="58AC331E"/>
    <w:lvl w:ilvl="0" w:tplc="CBAE4A86">
      <w:numFmt w:val="bullet"/>
      <w:lvlText w:val="-"/>
      <w:lvlJc w:val="left"/>
      <w:pPr>
        <w:ind w:left="720" w:hanging="360"/>
      </w:pPr>
      <w:rPr>
        <w:rFonts w:ascii="Aptos Display" w:eastAsiaTheme="minorHAnsi" w:hAnsi="Aptos Display"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A2E76FE"/>
    <w:multiLevelType w:val="hybridMultilevel"/>
    <w:tmpl w:val="92D8D97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33123446">
    <w:abstractNumId w:val="4"/>
  </w:num>
  <w:num w:numId="2" w16cid:durableId="1482890684">
    <w:abstractNumId w:val="11"/>
  </w:num>
  <w:num w:numId="3" w16cid:durableId="278950974">
    <w:abstractNumId w:val="5"/>
  </w:num>
  <w:num w:numId="4" w16cid:durableId="1651978082">
    <w:abstractNumId w:val="2"/>
  </w:num>
  <w:num w:numId="5" w16cid:durableId="324019003">
    <w:abstractNumId w:val="7"/>
  </w:num>
  <w:num w:numId="6" w16cid:durableId="1471482553">
    <w:abstractNumId w:val="1"/>
  </w:num>
  <w:num w:numId="7" w16cid:durableId="1600289686">
    <w:abstractNumId w:val="12"/>
  </w:num>
  <w:num w:numId="8" w16cid:durableId="853150644">
    <w:abstractNumId w:val="3"/>
  </w:num>
  <w:num w:numId="9" w16cid:durableId="1079446459">
    <w:abstractNumId w:val="10"/>
  </w:num>
  <w:num w:numId="10" w16cid:durableId="1464998595">
    <w:abstractNumId w:val="9"/>
  </w:num>
  <w:num w:numId="11" w16cid:durableId="969674540">
    <w:abstractNumId w:val="8"/>
  </w:num>
  <w:num w:numId="12" w16cid:durableId="1921018862">
    <w:abstractNumId w:val="6"/>
  </w:num>
  <w:num w:numId="13" w16cid:durableId="14115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C6B"/>
    <w:rsid w:val="00007D88"/>
    <w:rsid w:val="00053151"/>
    <w:rsid w:val="00086A88"/>
    <w:rsid w:val="000C42C5"/>
    <w:rsid w:val="000E56A4"/>
    <w:rsid w:val="0010258F"/>
    <w:rsid w:val="001735EE"/>
    <w:rsid w:val="001D04D8"/>
    <w:rsid w:val="001D7039"/>
    <w:rsid w:val="001E4FEA"/>
    <w:rsid w:val="001E77FF"/>
    <w:rsid w:val="001F4D20"/>
    <w:rsid w:val="002157F4"/>
    <w:rsid w:val="00230B55"/>
    <w:rsid w:val="002479AD"/>
    <w:rsid w:val="002B5EB3"/>
    <w:rsid w:val="002C61BD"/>
    <w:rsid w:val="002E41E9"/>
    <w:rsid w:val="002F6FEA"/>
    <w:rsid w:val="00306027"/>
    <w:rsid w:val="00311541"/>
    <w:rsid w:val="00344EF5"/>
    <w:rsid w:val="0037560F"/>
    <w:rsid w:val="00387829"/>
    <w:rsid w:val="003D185B"/>
    <w:rsid w:val="00413996"/>
    <w:rsid w:val="0046348B"/>
    <w:rsid w:val="00493237"/>
    <w:rsid w:val="004C68AD"/>
    <w:rsid w:val="004E569E"/>
    <w:rsid w:val="004F2159"/>
    <w:rsid w:val="00532EA5"/>
    <w:rsid w:val="00542EB5"/>
    <w:rsid w:val="00567EDF"/>
    <w:rsid w:val="00580BC7"/>
    <w:rsid w:val="00583C44"/>
    <w:rsid w:val="005E1875"/>
    <w:rsid w:val="00635436"/>
    <w:rsid w:val="00637BA7"/>
    <w:rsid w:val="00643AC9"/>
    <w:rsid w:val="00666BA4"/>
    <w:rsid w:val="006673CA"/>
    <w:rsid w:val="00692389"/>
    <w:rsid w:val="006A4E15"/>
    <w:rsid w:val="006A7151"/>
    <w:rsid w:val="006B629E"/>
    <w:rsid w:val="00717C6B"/>
    <w:rsid w:val="0072772C"/>
    <w:rsid w:val="00727892"/>
    <w:rsid w:val="007547C7"/>
    <w:rsid w:val="007609A3"/>
    <w:rsid w:val="007679A9"/>
    <w:rsid w:val="00785A68"/>
    <w:rsid w:val="007B50FF"/>
    <w:rsid w:val="007C08C0"/>
    <w:rsid w:val="007C3815"/>
    <w:rsid w:val="007D405A"/>
    <w:rsid w:val="007E38E9"/>
    <w:rsid w:val="007F24BF"/>
    <w:rsid w:val="00835653"/>
    <w:rsid w:val="00842056"/>
    <w:rsid w:val="008505E1"/>
    <w:rsid w:val="008619E0"/>
    <w:rsid w:val="0087608B"/>
    <w:rsid w:val="008A5192"/>
    <w:rsid w:val="008A602B"/>
    <w:rsid w:val="008C50E2"/>
    <w:rsid w:val="008F0012"/>
    <w:rsid w:val="0098569E"/>
    <w:rsid w:val="00990D2C"/>
    <w:rsid w:val="009A041E"/>
    <w:rsid w:val="009D5071"/>
    <w:rsid w:val="009D75DC"/>
    <w:rsid w:val="00A04904"/>
    <w:rsid w:val="00A049CF"/>
    <w:rsid w:val="00A056C7"/>
    <w:rsid w:val="00A10476"/>
    <w:rsid w:val="00A90459"/>
    <w:rsid w:val="00A90E6F"/>
    <w:rsid w:val="00A95422"/>
    <w:rsid w:val="00AA4A0C"/>
    <w:rsid w:val="00B07C9E"/>
    <w:rsid w:val="00B17F49"/>
    <w:rsid w:val="00B20BFB"/>
    <w:rsid w:val="00B32ABF"/>
    <w:rsid w:val="00B3429F"/>
    <w:rsid w:val="00B65679"/>
    <w:rsid w:val="00BA1373"/>
    <w:rsid w:val="00BF6C76"/>
    <w:rsid w:val="00C01C4E"/>
    <w:rsid w:val="00C1607A"/>
    <w:rsid w:val="00C17945"/>
    <w:rsid w:val="00C830A9"/>
    <w:rsid w:val="00CA712C"/>
    <w:rsid w:val="00CD1218"/>
    <w:rsid w:val="00DA1100"/>
    <w:rsid w:val="00DB2D0F"/>
    <w:rsid w:val="00DB3254"/>
    <w:rsid w:val="00DC0150"/>
    <w:rsid w:val="00E26DA6"/>
    <w:rsid w:val="00E310BA"/>
    <w:rsid w:val="00E400DB"/>
    <w:rsid w:val="00E71F53"/>
    <w:rsid w:val="00E738D9"/>
    <w:rsid w:val="00EC29A6"/>
    <w:rsid w:val="00ED251E"/>
    <w:rsid w:val="00EF6589"/>
    <w:rsid w:val="00F36858"/>
    <w:rsid w:val="00F57FD8"/>
    <w:rsid w:val="00F77ACF"/>
    <w:rsid w:val="00F931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2DCC7"/>
  <w15:chartTrackingRefBased/>
  <w15:docId w15:val="{37A345DD-31F1-48B9-BB93-AD008CF4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17C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17C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17C6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17C6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17C6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17C6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17C6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17C6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17C6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7C6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17C6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17C6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17C6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17C6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17C6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17C6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17C6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17C6B"/>
    <w:rPr>
      <w:rFonts w:eastAsiaTheme="majorEastAsia" w:cstheme="majorBidi"/>
      <w:color w:val="272727" w:themeColor="text1" w:themeTint="D8"/>
    </w:rPr>
  </w:style>
  <w:style w:type="paragraph" w:styleId="Titre">
    <w:name w:val="Title"/>
    <w:basedOn w:val="Normal"/>
    <w:next w:val="Normal"/>
    <w:link w:val="TitreCar"/>
    <w:qFormat/>
    <w:rsid w:val="00717C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17C6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17C6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17C6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17C6B"/>
    <w:pPr>
      <w:spacing w:before="160"/>
      <w:jc w:val="center"/>
    </w:pPr>
    <w:rPr>
      <w:i/>
      <w:iCs/>
      <w:color w:val="404040" w:themeColor="text1" w:themeTint="BF"/>
    </w:rPr>
  </w:style>
  <w:style w:type="character" w:customStyle="1" w:styleId="CitationCar">
    <w:name w:val="Citation Car"/>
    <w:basedOn w:val="Policepardfaut"/>
    <w:link w:val="Citation"/>
    <w:uiPriority w:val="29"/>
    <w:rsid w:val="00717C6B"/>
    <w:rPr>
      <w:i/>
      <w:iCs/>
      <w:color w:val="404040" w:themeColor="text1" w:themeTint="BF"/>
    </w:rPr>
  </w:style>
  <w:style w:type="paragraph" w:styleId="Paragraphedeliste">
    <w:name w:val="List Paragraph"/>
    <w:basedOn w:val="Normal"/>
    <w:uiPriority w:val="1"/>
    <w:qFormat/>
    <w:rsid w:val="00717C6B"/>
    <w:pPr>
      <w:ind w:left="720"/>
      <w:contextualSpacing/>
    </w:pPr>
  </w:style>
  <w:style w:type="character" w:styleId="Accentuationintense">
    <w:name w:val="Intense Emphasis"/>
    <w:basedOn w:val="Policepardfaut"/>
    <w:uiPriority w:val="21"/>
    <w:qFormat/>
    <w:rsid w:val="00717C6B"/>
    <w:rPr>
      <w:i/>
      <w:iCs/>
      <w:color w:val="0F4761" w:themeColor="accent1" w:themeShade="BF"/>
    </w:rPr>
  </w:style>
  <w:style w:type="paragraph" w:styleId="Citationintense">
    <w:name w:val="Intense Quote"/>
    <w:basedOn w:val="Normal"/>
    <w:next w:val="Normal"/>
    <w:link w:val="CitationintenseCar"/>
    <w:uiPriority w:val="30"/>
    <w:qFormat/>
    <w:rsid w:val="00717C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17C6B"/>
    <w:rPr>
      <w:i/>
      <w:iCs/>
      <w:color w:val="0F4761" w:themeColor="accent1" w:themeShade="BF"/>
    </w:rPr>
  </w:style>
  <w:style w:type="character" w:styleId="Rfrenceintense">
    <w:name w:val="Intense Reference"/>
    <w:basedOn w:val="Policepardfaut"/>
    <w:uiPriority w:val="32"/>
    <w:qFormat/>
    <w:rsid w:val="00717C6B"/>
    <w:rPr>
      <w:b/>
      <w:bCs/>
      <w:smallCaps/>
      <w:color w:val="0F4761" w:themeColor="accent1" w:themeShade="BF"/>
      <w:spacing w:val="5"/>
    </w:rPr>
  </w:style>
  <w:style w:type="paragraph" w:styleId="En-tte">
    <w:name w:val="header"/>
    <w:basedOn w:val="Normal"/>
    <w:link w:val="En-tteCar"/>
    <w:uiPriority w:val="99"/>
    <w:unhideWhenUsed/>
    <w:rsid w:val="008505E1"/>
    <w:pPr>
      <w:tabs>
        <w:tab w:val="center" w:pos="4536"/>
        <w:tab w:val="right" w:pos="9072"/>
      </w:tabs>
      <w:spacing w:after="0" w:line="240" w:lineRule="auto"/>
    </w:pPr>
  </w:style>
  <w:style w:type="character" w:customStyle="1" w:styleId="En-tteCar">
    <w:name w:val="En-tête Car"/>
    <w:basedOn w:val="Policepardfaut"/>
    <w:link w:val="En-tte"/>
    <w:uiPriority w:val="99"/>
    <w:rsid w:val="008505E1"/>
  </w:style>
  <w:style w:type="paragraph" w:styleId="Pieddepage">
    <w:name w:val="footer"/>
    <w:basedOn w:val="Normal"/>
    <w:link w:val="PieddepageCar"/>
    <w:uiPriority w:val="99"/>
    <w:unhideWhenUsed/>
    <w:rsid w:val="008505E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05E1"/>
  </w:style>
  <w:style w:type="character" w:styleId="Marquedecommentaire">
    <w:name w:val="annotation reference"/>
    <w:basedOn w:val="Policepardfaut"/>
    <w:uiPriority w:val="99"/>
    <w:semiHidden/>
    <w:unhideWhenUsed/>
    <w:rsid w:val="00567EDF"/>
    <w:rPr>
      <w:sz w:val="16"/>
      <w:szCs w:val="16"/>
    </w:rPr>
  </w:style>
  <w:style w:type="paragraph" w:styleId="Commentaire">
    <w:name w:val="annotation text"/>
    <w:basedOn w:val="Normal"/>
    <w:link w:val="CommentaireCar"/>
    <w:uiPriority w:val="99"/>
    <w:unhideWhenUsed/>
    <w:rsid w:val="00567EDF"/>
    <w:pPr>
      <w:spacing w:line="240" w:lineRule="auto"/>
    </w:pPr>
    <w:rPr>
      <w:sz w:val="20"/>
      <w:szCs w:val="20"/>
    </w:rPr>
  </w:style>
  <w:style w:type="character" w:customStyle="1" w:styleId="CommentaireCar">
    <w:name w:val="Commentaire Car"/>
    <w:basedOn w:val="Policepardfaut"/>
    <w:link w:val="Commentaire"/>
    <w:uiPriority w:val="99"/>
    <w:rsid w:val="00567EDF"/>
    <w:rPr>
      <w:sz w:val="20"/>
      <w:szCs w:val="20"/>
    </w:rPr>
  </w:style>
  <w:style w:type="paragraph" w:styleId="Objetducommentaire">
    <w:name w:val="annotation subject"/>
    <w:basedOn w:val="Commentaire"/>
    <w:next w:val="Commentaire"/>
    <w:link w:val="ObjetducommentaireCar"/>
    <w:uiPriority w:val="99"/>
    <w:semiHidden/>
    <w:unhideWhenUsed/>
    <w:rsid w:val="00567EDF"/>
    <w:rPr>
      <w:b/>
      <w:bCs/>
    </w:rPr>
  </w:style>
  <w:style w:type="character" w:customStyle="1" w:styleId="ObjetducommentaireCar">
    <w:name w:val="Objet du commentaire Car"/>
    <w:basedOn w:val="CommentaireCar"/>
    <w:link w:val="Objetducommentaire"/>
    <w:uiPriority w:val="99"/>
    <w:semiHidden/>
    <w:rsid w:val="00567E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731818">
      <w:bodyDiv w:val="1"/>
      <w:marLeft w:val="0"/>
      <w:marRight w:val="0"/>
      <w:marTop w:val="0"/>
      <w:marBottom w:val="0"/>
      <w:divBdr>
        <w:top w:val="none" w:sz="0" w:space="0" w:color="auto"/>
        <w:left w:val="none" w:sz="0" w:space="0" w:color="auto"/>
        <w:bottom w:val="none" w:sz="0" w:space="0" w:color="auto"/>
        <w:right w:val="none" w:sz="0" w:space="0" w:color="auto"/>
      </w:divBdr>
    </w:div>
    <w:div w:id="125193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864</Words>
  <Characters>4753</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Tiago SILVA</dc:creator>
  <cp:keywords/>
  <dc:description/>
  <cp:lastModifiedBy>Tiago SILVA</cp:lastModifiedBy>
  <cp:revision>2</cp:revision>
  <cp:lastPrinted>2025-04-15T15:16:00Z</cp:lastPrinted>
  <dcterms:created xsi:type="dcterms:W3CDTF">2025-07-21T15:19:00Z</dcterms:created>
  <dcterms:modified xsi:type="dcterms:W3CDTF">2025-07-21T15:19:00Z</dcterms:modified>
</cp:coreProperties>
</file>