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both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48"/>
          <w:szCs w:val="48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2"/>
          <w:sz w:val="48"/>
          <w:szCs w:val="48"/>
          <w:lang w:eastAsia="fr-FR"/>
        </w:rPr>
        <w:t>ACCORD D’ENTREPRISE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RELATIF À LA MISE EN PLACE D’UNE PRIME D’ANCIENNETÉ PLUS FAVORABLE**</w:t>
        <w:br/>
      </w: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fr-FR"/>
        </w:rPr>
        <w:t>Convention collective nationale des cabinets médicaux privés (IDCC 1147)</w:t>
      </w:r>
    </w:p>
    <w:p>
      <w:pPr>
        <w:pStyle w:val="Normal"/>
        <w:spacing w:lineRule="auto" w:line="24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Préambule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Le présent accord est conclu dans le cadre des dispositions des articles L.2232-21 et suivants du Code du travail, applicables aux entreprises de moins de 11 salariés dépourvues de délégué syndical.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La Convention collective nationale des cabinets médicaux privés (IDCC 1147) prévoit une prime d’ancienneté destinée à reconnaître la fidélité des salariés.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Souhaitant aller au-delà des dispositions conventionnelles et renforcer la reconnaissance de l’engagement professionnel de ses salariés, l’employeur a décidé de proposer un accord instaurant une prime d’ancienneté plus favorable, soumis à ratification directe des salariés.</w:t>
      </w:r>
    </w:p>
    <w:p>
      <w:pPr>
        <w:pStyle w:val="Normal"/>
        <w:spacing w:lineRule="auto" w:line="24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1 – Champ d’application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Le présent accord s’applique à l’ensemble des salariés du cabinet médical relevant de la Convention collective nationale des cabinets médicaux privés (IDCC 1147), quel que soit leur type de contrat de travail.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3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2 – Définition de l’ancienneté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L’ancienneté correspond à la durée de présence continue du salarié au sein du cabinet, calculée à compter de la date d’embauche figurant sur le contrat de travail.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Sont assimilées à du temps de présence effective, conformément aux dispositions légales et conventionnelles :</w:t>
      </w:r>
    </w:p>
    <w:p>
      <w:pPr>
        <w:pStyle w:val="Normal"/>
        <w:numPr>
          <w:ilvl w:val="0"/>
          <w:numId w:val="1"/>
        </w:numPr>
        <w:spacing w:lineRule="auto" w:line="240" w:beforeAutospacing="1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Les congés payés,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Les congés maternité, paternité et d’adoption,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Les absences pour accident du travail ou maladie professionnelle,</w:t>
      </w:r>
    </w:p>
    <w:p>
      <w:pPr>
        <w:pStyle w:val="Normal"/>
        <w:numPr>
          <w:ilvl w:val="0"/>
          <w:numId w:val="1"/>
        </w:numPr>
        <w:spacing w:lineRule="auto" w:line="240" w:before="0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Les périodes légalement assimilées à du temps de travail effectif.</w:t>
      </w:r>
    </w:p>
    <w:p>
      <w:pPr>
        <w:pStyle w:val="Normal"/>
        <w:spacing w:lineRule="auto" w:line="24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4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3 – Mise en place d’une prime d’ancienneté renforcée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Il est institué, par le présent accord, une prime d’ancienneté plus favorable que celle prévue par la Convention collective nationale des cabinets médicaux privés.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Cette prime se substitue à la prime d’ancienneté conventionnelle, sans pouvoir être moins favorable pour les salariés.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5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4 – Barème de la prime d’ancienneté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La prime d’ancienneté est attribuée selon le barème suivant :</w:t>
      </w:r>
    </w:p>
    <w:tbl>
      <w:tblPr>
        <w:tblW w:w="4856" w:type="dxa"/>
        <w:jc w:val="left"/>
        <w:tblInd w:w="0" w:type="dxa"/>
        <w:tblBorders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5"/>
        <w:gridCol w:w="2800"/>
      </w:tblGrid>
      <w:tr>
        <w:trPr>
          <w:tblHeader w:val="true"/>
        </w:trPr>
        <w:tc>
          <w:tcPr>
            <w:tcW w:w="205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eastAsia="fr-FR"/>
              </w:rPr>
              <w:t>Ancienneté atteinte</w:t>
            </w:r>
          </w:p>
        </w:tc>
        <w:tc>
          <w:tcPr>
            <w:tcW w:w="280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eastAsia="fr-FR"/>
              </w:rPr>
              <w:t>Montant de la prime</w:t>
            </w:r>
          </w:p>
        </w:tc>
      </w:tr>
      <w:tr>
        <w:trPr/>
        <w:tc>
          <w:tcPr>
            <w:tcW w:w="205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fr-FR"/>
              </w:rPr>
              <w:t>22 ans</w:t>
            </w:r>
          </w:p>
        </w:tc>
        <w:tc>
          <w:tcPr>
            <w:tcW w:w="280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fr-FR"/>
              </w:rPr>
              <w:t>23 % du salaire de référence</w:t>
            </w:r>
          </w:p>
        </w:tc>
      </w:tr>
      <w:tr>
        <w:trPr/>
        <w:tc>
          <w:tcPr>
            <w:tcW w:w="205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fr-FR"/>
              </w:rPr>
              <w:t>25 ans</w:t>
            </w:r>
          </w:p>
        </w:tc>
        <w:tc>
          <w:tcPr>
            <w:tcW w:w="280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fr-FR"/>
              </w:rPr>
              <w:t>26 % du salaire de référence</w:t>
            </w:r>
          </w:p>
        </w:tc>
      </w:tr>
      <w:tr>
        <w:trPr/>
        <w:tc>
          <w:tcPr>
            <w:tcW w:w="205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fr-FR"/>
              </w:rPr>
              <w:t>28 ans</w:t>
            </w:r>
          </w:p>
        </w:tc>
        <w:tc>
          <w:tcPr>
            <w:tcW w:w="280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fr-FR"/>
              </w:rPr>
              <w:t>28 % du salaire de référence</w:t>
            </w:r>
          </w:p>
        </w:tc>
      </w:tr>
      <w:tr>
        <w:trPr/>
        <w:tc>
          <w:tcPr>
            <w:tcW w:w="205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fr-FR"/>
              </w:rPr>
              <w:t>30 ans</w:t>
            </w:r>
          </w:p>
        </w:tc>
        <w:tc>
          <w:tcPr>
            <w:tcW w:w="2800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eastAsia="fr-FR"/>
              </w:rPr>
              <w:t>30 % du salaire de référence</w:t>
            </w:r>
          </w:p>
        </w:tc>
      </w:tr>
    </w:tbl>
    <w:p>
      <w:pPr>
        <w:pStyle w:val="Normal"/>
        <w:spacing w:lineRule="auto" w:line="24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6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5 – Salaire de référence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 xml:space="preserve">La prime d’ancienneté est calculée sur la base du </w:t>
      </w: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fr-FR"/>
        </w:rPr>
        <w:t>salaire mensuel brut de base conventionnel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 xml:space="preserve"> correspondant au coefficient hiérarchique du salarié, tel que défini par la Convention collective nationale des cabinets médicaux privés, à l’exclusion :</w:t>
      </w:r>
    </w:p>
    <w:p>
      <w:pPr>
        <w:pStyle w:val="Normal"/>
        <w:numPr>
          <w:ilvl w:val="0"/>
          <w:numId w:val="2"/>
        </w:numPr>
        <w:spacing w:lineRule="auto" w:line="240" w:beforeAutospacing="1" w:after="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des primes et gratifications,</w:t>
      </w:r>
    </w:p>
    <w:p>
      <w:pPr>
        <w:pStyle w:val="Normal"/>
        <w:numPr>
          <w:ilvl w:val="0"/>
          <w:numId w:val="2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des heures supplémentaires,</w:t>
      </w:r>
    </w:p>
    <w:p>
      <w:pPr>
        <w:pStyle w:val="Normal"/>
        <w:numPr>
          <w:ilvl w:val="0"/>
          <w:numId w:val="2"/>
        </w:numPr>
        <w:spacing w:lineRule="auto" w:line="240" w:before="0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des avantages en nature.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7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6 – Modalités de versement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La prime d’ancienneté est :</w:t>
      </w:r>
    </w:p>
    <w:p>
      <w:pPr>
        <w:pStyle w:val="Normal"/>
        <w:numPr>
          <w:ilvl w:val="0"/>
          <w:numId w:val="3"/>
        </w:numPr>
        <w:spacing w:lineRule="auto" w:line="240" w:beforeAutospacing="1" w:after="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Versée mensuellement,</w:t>
      </w:r>
    </w:p>
    <w:p>
      <w:pPr>
        <w:pStyle w:val="Normal"/>
        <w:numPr>
          <w:ilvl w:val="0"/>
          <w:numId w:val="3"/>
        </w:numPr>
        <w:spacing w:lineRule="auto" w:line="240" w:before="0" w:after="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Inscrite sur une ligne distincte du bulletin de paie,</w:t>
      </w:r>
    </w:p>
    <w:p>
      <w:pPr>
        <w:pStyle w:val="Normal"/>
        <w:numPr>
          <w:ilvl w:val="0"/>
          <w:numId w:val="3"/>
        </w:numPr>
        <w:spacing w:lineRule="auto" w:line="240" w:before="0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Due à compter du premier jour du mois suivant celui au cours duquel le salarié atteint le seuil d’ancienneté requis.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8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7 – Principe de faveur et garanties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Le présent accord institue des dispositions plus favorables que celles prévues par la Convention collective nationale des cabinets médicaux privés.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Aucune disposition du présent accord ne peut avoir pour effet de réduire un avantage individuel acquis ou une disposition contractuelle plus favorable.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9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8 – Modalités de ratification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Conformément à l’article L.2232-21 du Code du travail, le présent accord est soumis à la ratification directe des salariés du cabinet.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L’accord est réputé valide s’il est approuvé par la majorité des deux tiers (2/3) du personnel.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La ratification est organisée par l’employeur, par voie de consultation écrite, dont le résultat est consigné dans un procès-verbal annexé au présent accord.</w:t>
      </w:r>
    </w:p>
    <w:p>
      <w:pPr>
        <w:pStyle w:val="Normal"/>
        <w:spacing w:lineRule="auto" w:line="24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0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9 – Durée de l’accord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 xml:space="preserve">Le présent accord est conclu pour une durée </w:t>
      </w: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fr-FR"/>
        </w:rPr>
        <w:t>indéterminée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Il pourra être révisé ou dénoncé dans les conditions prévues par les dispositions légales en vigueur.</w:t>
      </w:r>
    </w:p>
    <w:p>
      <w:pPr>
        <w:pStyle w:val="Normal"/>
        <w:spacing w:lineRule="auto" w:line="24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1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10 – Entrée en vigueur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 xml:space="preserve">Le présent accord entrera en vigueur à compter du </w:t>
      </w: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fr-FR"/>
        </w:rPr>
        <w:t>01 février 2026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 xml:space="preserve"> sous réserve :</w:t>
      </w:r>
    </w:p>
    <w:p>
      <w:pPr>
        <w:pStyle w:val="Normal"/>
        <w:numPr>
          <w:ilvl w:val="0"/>
          <w:numId w:val="4"/>
        </w:numPr>
        <w:spacing w:lineRule="auto" w:line="240" w:beforeAutospacing="1" w:after="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de sa ratification par les salariés,</w:t>
      </w:r>
    </w:p>
    <w:p>
      <w:pPr>
        <w:pStyle w:val="Normal"/>
        <w:numPr>
          <w:ilvl w:val="0"/>
          <w:numId w:val="4"/>
        </w:numPr>
        <w:spacing w:lineRule="auto" w:line="240" w:before="0" w:afterAutospacing="1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de l’accomplissement des formalités légales de dépôt.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2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1"/>
        <w:rPr>
          <w:rFonts w:ascii="Times New Roman" w:hAnsi="Times New Roman" w:eastAsia="Times New Roman" w:cs="Times New Roman"/>
          <w:b/>
          <w:b/>
          <w:bCs/>
          <w:kern w:val="0"/>
          <w:sz w:val="36"/>
          <w:szCs w:val="36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36"/>
          <w:szCs w:val="36"/>
          <w:lang w:eastAsia="fr-FR"/>
        </w:rPr>
        <w:t>Article 11 – Dépôt et publicité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 xml:space="preserve">Le présent accord sera déposé par l’employeur sur la plateforme </w:t>
      </w: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fr-FR"/>
        </w:rPr>
        <w:t>TéléAccords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t>, accompagné des pièces obligatoires, conformément aux articles D.2231-2 et suivants du Code du travail.</w:t>
      </w:r>
    </w:p>
    <w:p>
      <w:pPr>
        <w:pStyle w:val="Normal"/>
        <w:spacing w:lineRule="auto" w:line="240"/>
        <w:jc w:val="both"/>
        <w:rPr>
          <w:rFonts w:ascii="Times New Roman" w:hAnsi="Times New Roman" w:eastAsia="Times New Roman" w:cs="Times New Roman"/>
          <w:kern w:val="0"/>
          <w:sz w:val="24"/>
          <w:szCs w:val="24"/>
          <w:lang w:eastAsia="fr-FR"/>
        </w:rPr>
      </w:pPr>
      <w:r>
        <w:rPr/>
        <mc:AlternateContent>
          <mc:Choice Requires="wps">
            <w:drawing>
              <wp:inline distT="0" distB="0" distL="114300" distR="114300">
                <wp:extent cx="1270" cy="19685"/>
                <wp:effectExtent l="0" t="0" r="0" b="0"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3" name="Rectangle 1"/>
                        <wps:cNvSpPr/>
                      </wps:nvSpPr>
                      <wps:spPr>
                        <a:xfrm>
                          <a:off x="0" y="0"/>
                          <a:ext cx="72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fillcolor="#a0a0a0" stroked="f" style="position:absolute;margin-left:0pt;margin-top:0pt;width:0pt;height:1.45pt">
                <w10:wrap type="none"/>
                <v:fill o:detectmouseclick="t" type="solid" color2="#5f5f5f"/>
                <v:stroke color="#3465a4" joinstyle="round" endcap="flat"/>
              </v:rect>
            </w:pict>
          </mc:Fallback>
        </mc:AlternateConten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2"/>
        <w:rPr/>
      </w:pPr>
      <w:r>
        <w:rPr>
          <w:rFonts w:eastAsia="Times New Roman" w:cs="Times New Roman" w:ascii="Times New Roman" w:hAnsi="Times New Roman"/>
          <w:b/>
          <w:bCs/>
          <w:kern w:val="0"/>
          <w:sz w:val="27"/>
          <w:szCs w:val="27"/>
          <w:lang w:eastAsia="fr-FR"/>
        </w:rPr>
        <w:t xml:space="preserve">Fait à 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outlineLvl w:val="2"/>
        <w:rPr/>
      </w:pPr>
      <w:r>
        <w:rPr>
          <w:rFonts w:eastAsia="Times New Roman" w:cs="Times New Roman" w:ascii="Times New Roman" w:hAnsi="Times New Roman"/>
          <w:b/>
          <w:bCs/>
          <w:kern w:val="0"/>
          <w:sz w:val="27"/>
          <w:szCs w:val="27"/>
          <w:lang w:eastAsia="fr-FR"/>
        </w:rPr>
        <w:t>Le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/>
          <w:bCs/>
          <w:kern w:val="0"/>
          <w:sz w:val="24"/>
          <w:szCs w:val="24"/>
          <w:lang w:eastAsia="fr-FR"/>
        </w:rPr>
      </w:pPr>
      <w:r>
        <w:rPr>
          <w:rFonts w:eastAsia="Times New Roman" w:cs="Times New Roman" w:ascii="Times New Roman" w:hAnsi="Times New Roman"/>
          <w:b/>
          <w:bCs/>
          <w:kern w:val="0"/>
          <w:sz w:val="24"/>
          <w:szCs w:val="24"/>
          <w:lang w:eastAsia="fr-FR"/>
        </w:rPr>
        <w:t>L’Employeur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fr-FR"/>
        </w:rPr>
        <w:b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fr-F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0753"/>
    <w:pPr>
      <w:widowControl/>
      <w:bidi w:val="0"/>
      <w:spacing w:lineRule="auto" w:line="276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fr-FR" w:eastAsia="en-US" w:bidi="ar-SA"/>
    </w:rPr>
  </w:style>
  <w:style w:type="paragraph" w:styleId="Titre1">
    <w:name w:val="Heading 1"/>
    <w:basedOn w:val="Normal"/>
    <w:link w:val="Titre1Car"/>
    <w:uiPriority w:val="9"/>
    <w:qFormat/>
    <w:rsid w:val="00fd62f0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fd62f0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kern w:val="0"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fd62f0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kern w:val="0"/>
      <w:sz w:val="27"/>
      <w:szCs w:val="27"/>
      <w:lang w:eastAsia="fr-F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1Car" w:customStyle="1">
    <w:name w:val="Titre 1 Car"/>
    <w:basedOn w:val="DefaultParagraphFont"/>
    <w:link w:val="Titre1"/>
    <w:uiPriority w:val="9"/>
    <w:qFormat/>
    <w:rsid w:val="00fd62f0"/>
    <w:rPr>
      <w:rFonts w:ascii="Times New Roman" w:hAnsi="Times New Roman" w:eastAsia="Times New Roman" w:cs="Times New Roman"/>
      <w:b/>
      <w:bCs/>
      <w:kern w:val="2"/>
      <w:sz w:val="48"/>
      <w:szCs w:val="48"/>
      <w:lang w:eastAsia="fr-FR"/>
    </w:rPr>
  </w:style>
  <w:style w:type="character" w:styleId="Titre2Car" w:customStyle="1">
    <w:name w:val="Titre 2 Car"/>
    <w:basedOn w:val="DefaultParagraphFont"/>
    <w:link w:val="Titre2"/>
    <w:uiPriority w:val="9"/>
    <w:qFormat/>
    <w:rsid w:val="00fd62f0"/>
    <w:rPr>
      <w:rFonts w:ascii="Times New Roman" w:hAnsi="Times New Roman" w:eastAsia="Times New Roman" w:cs="Times New Roman"/>
      <w:b/>
      <w:bCs/>
      <w:kern w:val="0"/>
      <w:sz w:val="36"/>
      <w:szCs w:val="36"/>
      <w:lang w:eastAsia="fr-FR"/>
    </w:rPr>
  </w:style>
  <w:style w:type="character" w:styleId="Titre3Car" w:customStyle="1">
    <w:name w:val="Titre 3 Car"/>
    <w:basedOn w:val="DefaultParagraphFont"/>
    <w:link w:val="Titre3"/>
    <w:uiPriority w:val="9"/>
    <w:qFormat/>
    <w:rsid w:val="00fd62f0"/>
    <w:rPr>
      <w:rFonts w:ascii="Times New Roman" w:hAnsi="Times New Roman" w:eastAsia="Times New Roman" w:cs="Times New Roman"/>
      <w:b/>
      <w:bCs/>
      <w:kern w:val="0"/>
      <w:sz w:val="27"/>
      <w:szCs w:val="27"/>
      <w:lang w:eastAsia="fr-FR"/>
    </w:rPr>
  </w:style>
  <w:style w:type="character" w:styleId="Strong">
    <w:name w:val="Strong"/>
    <w:basedOn w:val="DefaultParagraphFont"/>
    <w:uiPriority w:val="22"/>
    <w:qFormat/>
    <w:rsid w:val="00fd62f0"/>
    <w:rPr>
      <w:b/>
      <w:b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ascii="Times New Roman" w:hAnsi="Times New Roman"/>
      <w:sz w:val="24"/>
    </w:rPr>
  </w:style>
  <w:style w:type="character" w:styleId="ListLabel11">
    <w:name w:val="ListLabel 11"/>
    <w:qFormat/>
    <w:rPr>
      <w:sz w:val="20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rFonts w:ascii="Times New Roman" w:hAnsi="Times New Roman"/>
      <w:sz w:val="24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sz w:val="20"/>
    </w:rPr>
  </w:style>
  <w:style w:type="character" w:styleId="ListLabel23">
    <w:name w:val="ListLabel 23"/>
    <w:qFormat/>
    <w:rPr>
      <w:sz w:val="20"/>
    </w:rPr>
  </w:style>
  <w:style w:type="character" w:styleId="ListLabel24">
    <w:name w:val="ListLabel 24"/>
    <w:qFormat/>
    <w:rPr>
      <w:sz w:val="20"/>
    </w:rPr>
  </w:style>
  <w:style w:type="character" w:styleId="ListLabel25">
    <w:name w:val="ListLabel 25"/>
    <w:qFormat/>
    <w:rPr>
      <w:sz w:val="20"/>
    </w:rPr>
  </w:style>
  <w:style w:type="character" w:styleId="ListLabel26">
    <w:name w:val="ListLabel 26"/>
    <w:qFormat/>
    <w:rPr>
      <w:sz w:val="20"/>
    </w:rPr>
  </w:style>
  <w:style w:type="character" w:styleId="ListLabel27">
    <w:name w:val="ListLabel 27"/>
    <w:qFormat/>
    <w:rPr>
      <w:sz w:val="20"/>
    </w:rPr>
  </w:style>
  <w:style w:type="character" w:styleId="ListLabel28">
    <w:name w:val="ListLabel 28"/>
    <w:qFormat/>
    <w:rPr>
      <w:rFonts w:ascii="Times New Roman" w:hAnsi="Times New Roman"/>
      <w:sz w:val="24"/>
    </w:rPr>
  </w:style>
  <w:style w:type="character" w:styleId="ListLabel29">
    <w:name w:val="ListLabel 29"/>
    <w:qFormat/>
    <w:rPr>
      <w:sz w:val="20"/>
    </w:rPr>
  </w:style>
  <w:style w:type="character" w:styleId="ListLabel30">
    <w:name w:val="ListLabel 30"/>
    <w:qFormat/>
    <w:rPr>
      <w:sz w:val="20"/>
    </w:rPr>
  </w:style>
  <w:style w:type="character" w:styleId="ListLabel31">
    <w:name w:val="ListLabel 31"/>
    <w:qFormat/>
    <w:rPr>
      <w:sz w:val="20"/>
    </w:rPr>
  </w:style>
  <w:style w:type="character" w:styleId="ListLabel32">
    <w:name w:val="ListLabel 32"/>
    <w:qFormat/>
    <w:rPr>
      <w:sz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sz w:val="20"/>
    </w:rPr>
  </w:style>
  <w:style w:type="character" w:styleId="ListLabel35">
    <w:name w:val="ListLabel 35"/>
    <w:qFormat/>
    <w:rPr>
      <w:sz w:val="20"/>
    </w:rPr>
  </w:style>
  <w:style w:type="character" w:styleId="ListLabel36">
    <w:name w:val="ListLabel 36"/>
    <w:qFormat/>
    <w:rPr>
      <w:sz w:val="20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fd62f0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fr-F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LibreOffice/5.4.4.2$Windows_x86 LibreOffice_project/2524958677847fb3bb44820e40380acbe820f960</Application>
  <Pages>3</Pages>
  <Words>642</Words>
  <Characters>3576</Characters>
  <CharactersWithSpaces>4160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2026-01-29T10:50:00Z</dcterms:created>
  <dc:creator>Sophie</dc:creator>
  <dc:description/>
  <dc:language>fr-FR</dc:language>
  <cp:lastModifiedBy/>
  <cp:lastPrinted>2026-01-27T11:21:00Z</cp:lastPrinted>
  <dcterms:modified xsi:type="dcterms:W3CDTF">2026-01-29T12:10:02Z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