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
    <w:p>
      <w:pPr>
        <w:ind w:firstLine="708"/>
      </w:pPr>
    </w:p>
    <w:p>
      <w:pPr>
        <w:jc w:val="center"/>
        <w:rPr>
          <w:rFonts w:cstheme="minorHAnsi"/>
          <w:b/>
          <w:w w:val="105"/>
          <w:sz w:val="32"/>
          <w:szCs w:val="32"/>
        </w:rPr>
      </w:pPr>
    </w:p>
    <w:p>
      <w:pPr>
        <w:jc w:val="center"/>
        <w:rPr>
          <w:rFonts w:cstheme="minorHAnsi"/>
          <w:b/>
          <w:w w:val="105"/>
          <w:sz w:val="32"/>
          <w:szCs w:val="32"/>
        </w:rPr>
      </w:pPr>
      <w:r>
        <w:rPr>
          <w:rFonts w:cstheme="minorHAnsi"/>
          <w:b/>
          <w:w w:val="105"/>
          <w:sz w:val="32"/>
          <w:szCs w:val="32"/>
        </w:rPr>
        <w:t>ACCORD D’ENTREPRISE</w:t>
      </w:r>
    </w:p>
    <w:p>
      <w:pPr>
        <w:jc w:val="center"/>
        <w:rPr>
          <w:rFonts w:cstheme="minorHAnsi"/>
          <w:b/>
          <w:w w:val="105"/>
          <w:sz w:val="32"/>
          <w:szCs w:val="32"/>
        </w:rPr>
      </w:pPr>
      <w:r>
        <w:rPr>
          <w:rFonts w:cstheme="minorHAnsi"/>
          <w:b/>
          <w:w w:val="105"/>
          <w:sz w:val="32"/>
          <w:szCs w:val="32"/>
        </w:rPr>
        <w:t xml:space="preserve"> PRIME PARTAGE DE LA VALEUR</w:t>
      </w:r>
    </w:p>
    <w:p>
      <w:pPr>
        <w:jc w:val="both"/>
        <w:rPr>
          <w:rFonts w:ascii="Segoe UI Semilight" w:hAnsi="Segoe UI Semilight" w:cs="Segoe UI Semilight"/>
          <w:sz w:val="24"/>
          <w:szCs w:val="24"/>
        </w:rPr>
      </w:pPr>
    </w:p>
    <w:p>
      <w:pPr>
        <w:jc w:val="both"/>
        <w:rPr>
          <w:rFonts w:cstheme="minorHAnsi"/>
          <w:sz w:val="24"/>
          <w:szCs w:val="24"/>
        </w:rPr>
      </w:pPr>
      <w:r>
        <w:rPr>
          <w:rFonts w:cstheme="minorHAnsi"/>
          <w:sz w:val="24"/>
          <w:szCs w:val="24"/>
        </w:rPr>
        <w:t>ENTRE :</w:t>
      </w:r>
    </w:p>
    <w:p>
      <w:pPr>
        <w:jc w:val="both"/>
        <w:rPr>
          <w:rFonts w:cstheme="minorHAnsi"/>
          <w:sz w:val="24"/>
          <w:szCs w:val="24"/>
        </w:rPr>
      </w:pPr>
    </w:p>
    <w:p>
      <w:pPr>
        <w:jc w:val="both"/>
        <w:rPr>
          <w:rFonts w:cstheme="minorHAnsi"/>
          <w:sz w:val="24"/>
          <w:szCs w:val="24"/>
        </w:rPr>
      </w:pPr>
      <w:r>
        <w:rPr>
          <w:rFonts w:cstheme="minorHAnsi"/>
          <w:sz w:val="24"/>
          <w:szCs w:val="24"/>
        </w:rPr>
        <w:t>La Clinique XXX, représentée par XXX en sa qualité de Directrice,</w:t>
      </w:r>
    </w:p>
    <w:p>
      <w:pPr>
        <w:jc w:val="both"/>
        <w:rPr>
          <w:rFonts w:cstheme="minorHAnsi"/>
          <w:sz w:val="24"/>
          <w:szCs w:val="24"/>
        </w:rPr>
      </w:pPr>
    </w:p>
    <w:p>
      <w:pPr>
        <w:jc w:val="both"/>
        <w:rPr>
          <w:rFonts w:cstheme="minorHAnsi"/>
          <w:sz w:val="24"/>
          <w:szCs w:val="24"/>
        </w:rPr>
      </w:pPr>
      <w:r>
        <w:rPr>
          <w:rFonts w:cstheme="minorHAnsi"/>
          <w:sz w:val="24"/>
          <w:szCs w:val="24"/>
        </w:rPr>
        <w:t xml:space="preserve">D’une part, </w:t>
      </w:r>
    </w:p>
    <w:p>
      <w:pPr>
        <w:jc w:val="both"/>
        <w:rPr>
          <w:rFonts w:cstheme="minorHAnsi"/>
          <w:sz w:val="24"/>
          <w:szCs w:val="24"/>
        </w:rPr>
      </w:pPr>
    </w:p>
    <w:p>
      <w:pPr>
        <w:jc w:val="both"/>
        <w:rPr>
          <w:rFonts w:cstheme="minorHAnsi"/>
          <w:sz w:val="24"/>
          <w:szCs w:val="24"/>
        </w:rPr>
      </w:pPr>
      <w:r>
        <w:rPr>
          <w:rFonts w:cstheme="minorHAnsi"/>
          <w:sz w:val="24"/>
          <w:szCs w:val="24"/>
        </w:rPr>
        <w:t>Et,</w:t>
      </w:r>
    </w:p>
    <w:p>
      <w:pPr>
        <w:jc w:val="both"/>
        <w:rPr>
          <w:rFonts w:cstheme="minorHAnsi"/>
          <w:sz w:val="24"/>
          <w:szCs w:val="24"/>
        </w:rPr>
      </w:pPr>
    </w:p>
    <w:p>
      <w:pPr>
        <w:jc w:val="both"/>
        <w:rPr>
          <w:rFonts w:cstheme="minorHAnsi"/>
          <w:sz w:val="24"/>
          <w:szCs w:val="24"/>
        </w:rPr>
      </w:pPr>
      <w:r>
        <w:rPr>
          <w:rFonts w:cstheme="minorHAnsi"/>
          <w:sz w:val="24"/>
          <w:szCs w:val="24"/>
        </w:rPr>
        <w:t>L’organisation Syndicale Force Ouvrière</w:t>
      </w:r>
    </w:p>
    <w:p>
      <w:pPr>
        <w:jc w:val="both"/>
        <w:rPr>
          <w:rFonts w:cstheme="minorHAnsi"/>
          <w:sz w:val="24"/>
          <w:szCs w:val="24"/>
        </w:rPr>
      </w:pPr>
      <w:r>
        <w:rPr>
          <w:rFonts w:cstheme="minorHAnsi"/>
          <w:sz w:val="24"/>
          <w:szCs w:val="24"/>
        </w:rPr>
        <w:t xml:space="preserve">Représentée par XXX, Déléguée Syndicale, </w:t>
      </w:r>
    </w:p>
    <w:p>
      <w:pPr>
        <w:jc w:val="both"/>
        <w:rPr>
          <w:rFonts w:cstheme="minorHAnsi"/>
          <w:sz w:val="24"/>
          <w:szCs w:val="24"/>
        </w:rPr>
      </w:pPr>
    </w:p>
    <w:p>
      <w:pPr>
        <w:jc w:val="both"/>
        <w:rPr>
          <w:rFonts w:cstheme="minorHAnsi"/>
          <w:sz w:val="24"/>
          <w:szCs w:val="24"/>
        </w:rPr>
      </w:pPr>
      <w:r>
        <w:rPr>
          <w:rFonts w:cstheme="minorHAnsi"/>
          <w:sz w:val="24"/>
          <w:szCs w:val="24"/>
        </w:rPr>
        <w:t xml:space="preserve">D’autre part, </w:t>
      </w:r>
    </w:p>
    <w:p>
      <w:pPr>
        <w:jc w:val="both"/>
        <w:rPr>
          <w:rFonts w:cstheme="minorHAnsi"/>
          <w:b/>
          <w:w w:val="105"/>
          <w:sz w:val="24"/>
          <w:szCs w:val="24"/>
          <w:u w:val="single"/>
        </w:rPr>
      </w:pPr>
    </w:p>
    <w:p>
      <w:pPr>
        <w:jc w:val="both"/>
        <w:rPr>
          <w:rFonts w:cstheme="minorHAnsi"/>
          <w:b/>
          <w:w w:val="105"/>
          <w:sz w:val="24"/>
          <w:szCs w:val="24"/>
          <w:u w:val="single"/>
        </w:rPr>
      </w:pPr>
    </w:p>
    <w:p>
      <w:pPr>
        <w:jc w:val="both"/>
        <w:rPr>
          <w:rFonts w:cstheme="minorHAnsi"/>
          <w:b/>
          <w:w w:val="105"/>
          <w:sz w:val="24"/>
          <w:szCs w:val="24"/>
          <w:u w:val="single"/>
        </w:rPr>
      </w:pPr>
      <w:r>
        <w:rPr>
          <w:rFonts w:cstheme="minorHAnsi"/>
          <w:b/>
          <w:w w:val="105"/>
          <w:sz w:val="24"/>
          <w:szCs w:val="24"/>
          <w:u w:val="single"/>
        </w:rPr>
        <w:t>PREAMBULE :</w:t>
      </w:r>
    </w:p>
    <w:p>
      <w:pPr>
        <w:jc w:val="both"/>
        <w:rPr>
          <w:rFonts w:cstheme="minorHAnsi"/>
          <w:b/>
          <w:w w:val="105"/>
          <w:sz w:val="24"/>
          <w:szCs w:val="24"/>
          <w:u w:val="single"/>
        </w:rPr>
      </w:pPr>
    </w:p>
    <w:p>
      <w:pPr>
        <w:jc w:val="both"/>
        <w:rPr>
          <w:rFonts w:cstheme="minorHAnsi"/>
          <w:w w:val="105"/>
          <w:sz w:val="24"/>
          <w:szCs w:val="24"/>
        </w:rPr>
      </w:pPr>
      <w:r>
        <w:rPr>
          <w:rFonts w:cstheme="minorHAnsi"/>
          <w:sz w:val="24"/>
          <w:szCs w:val="24"/>
        </w:rPr>
        <w:t>La clinique XXX désireuse d’améliorer le pouvoir d’achat de ses salariés, décide d’attribuer une prime de partage de la valeur dans les conditions prévues par la Loi Pouvoir d’achat N° 2022-1158 du 16 août 2022, qui sera versée avec la paie du mois de février 2026.</w:t>
      </w:r>
      <w:r>
        <w:rPr>
          <w:rFonts w:cstheme="minorHAnsi"/>
          <w:sz w:val="24"/>
          <w:szCs w:val="24"/>
        </w:rPr>
        <w:br/>
      </w:r>
      <w:r>
        <w:rPr>
          <w:rFonts w:cstheme="minorHAnsi"/>
          <w:sz w:val="24"/>
          <w:szCs w:val="24"/>
        </w:rPr>
        <w:br/>
      </w:r>
      <w:r>
        <w:rPr>
          <w:rFonts w:cstheme="minorHAnsi"/>
          <w:w w:val="105"/>
          <w:sz w:val="24"/>
          <w:szCs w:val="24"/>
        </w:rPr>
        <w:t>Conformément à la Loi précitée, cette prime ne se substitue à aucune augmentation de rémunération, aucune prime ni aucun élément de rémunération versé par l’entreprise ou qui devient obligatoire en vertu de la Loi, d’une convention ou d’un accord collectif de travail, d’un contrat de travail ou d’un usage.</w:t>
      </w:r>
    </w:p>
    <w:p>
      <w:pPr>
        <w:jc w:val="both"/>
        <w:rPr>
          <w:rFonts w:cstheme="minorHAnsi"/>
          <w:w w:val="105"/>
          <w:sz w:val="24"/>
          <w:szCs w:val="24"/>
        </w:rPr>
      </w:pPr>
    </w:p>
    <w:p>
      <w:pPr>
        <w:jc w:val="both"/>
        <w:rPr>
          <w:rFonts w:cstheme="minorHAnsi"/>
          <w:w w:val="105"/>
          <w:sz w:val="24"/>
          <w:szCs w:val="24"/>
        </w:rPr>
      </w:pPr>
    </w:p>
    <w:p>
      <w:pPr>
        <w:jc w:val="both"/>
        <w:rPr>
          <w:rFonts w:cstheme="minorHAnsi"/>
          <w:w w:val="105"/>
          <w:sz w:val="24"/>
          <w:szCs w:val="24"/>
        </w:rPr>
      </w:pPr>
    </w:p>
    <w:p>
      <w:pPr>
        <w:jc w:val="both"/>
        <w:rPr>
          <w:rFonts w:cstheme="minorHAnsi"/>
          <w:w w:val="105"/>
          <w:sz w:val="24"/>
          <w:szCs w:val="24"/>
        </w:rPr>
      </w:pPr>
      <w:r>
        <w:rPr>
          <w:rFonts w:cstheme="minorHAnsi"/>
          <w:w w:val="105"/>
          <w:sz w:val="24"/>
          <w:szCs w:val="24"/>
        </w:rPr>
        <w:lastRenderedPageBreak/>
        <w:t>Il a été convenu ce qui suit :</w:t>
      </w:r>
    </w:p>
    <w:p>
      <w:pPr>
        <w:jc w:val="both"/>
        <w:rPr>
          <w:rFonts w:cstheme="minorHAnsi"/>
          <w:sz w:val="24"/>
          <w:szCs w:val="24"/>
        </w:rPr>
      </w:pPr>
    </w:p>
    <w:p>
      <w:pPr>
        <w:jc w:val="both"/>
        <w:rPr>
          <w:rFonts w:cstheme="minorHAnsi"/>
          <w:b/>
          <w:w w:val="105"/>
          <w:sz w:val="24"/>
          <w:szCs w:val="24"/>
          <w:u w:val="single"/>
        </w:rPr>
      </w:pPr>
      <w:r>
        <w:rPr>
          <w:rFonts w:cstheme="minorHAnsi"/>
          <w:b/>
          <w:w w:val="105"/>
          <w:sz w:val="24"/>
          <w:szCs w:val="24"/>
          <w:u w:val="single"/>
        </w:rPr>
        <w:t>1-MODALITES DE CALCUL DE LA PRIME DE PARTAGE DE LA VALEUR</w:t>
      </w:r>
    </w:p>
    <w:p>
      <w:pPr>
        <w:jc w:val="both"/>
        <w:rPr>
          <w:rFonts w:cstheme="minorHAnsi"/>
          <w:w w:val="105"/>
          <w:sz w:val="24"/>
          <w:szCs w:val="24"/>
        </w:rPr>
      </w:pPr>
    </w:p>
    <w:p>
      <w:pPr>
        <w:jc w:val="both"/>
        <w:rPr>
          <w:rFonts w:cstheme="minorHAnsi"/>
          <w:sz w:val="24"/>
          <w:szCs w:val="24"/>
        </w:rPr>
      </w:pPr>
      <w:r>
        <w:rPr>
          <w:rFonts w:cstheme="minorHAnsi"/>
          <w:w w:val="105"/>
          <w:sz w:val="24"/>
          <w:szCs w:val="24"/>
        </w:rPr>
        <w:t>S</w:t>
      </w:r>
      <w:r>
        <w:rPr>
          <w:rFonts w:cstheme="minorHAnsi"/>
          <w:sz w:val="24"/>
          <w:szCs w:val="24"/>
        </w:rPr>
        <w:t>eront ayants droit, tous les salariés présents dans l’effectif de l’entreprise au 30/01/2026.</w:t>
      </w:r>
    </w:p>
    <w:p>
      <w:pPr>
        <w:jc w:val="both"/>
        <w:rPr>
          <w:rFonts w:cstheme="minorHAnsi"/>
          <w:sz w:val="24"/>
          <w:szCs w:val="24"/>
        </w:rPr>
      </w:pPr>
      <w:r>
        <w:rPr>
          <w:rFonts w:cstheme="minorHAnsi"/>
          <w:sz w:val="24"/>
          <w:szCs w:val="24"/>
        </w:rPr>
        <w:t>La condition de présence au 30/01/2026 correspond à la date de signature de la présente décision.</w:t>
      </w:r>
      <w:r>
        <w:rPr>
          <w:rFonts w:cstheme="minorHAnsi"/>
          <w:sz w:val="24"/>
          <w:szCs w:val="24"/>
        </w:rPr>
        <w:br/>
        <w:t>La période de référence pour le calcul de la prime s’étend du 01/01/2025 au 31/12/2025.</w:t>
      </w:r>
    </w:p>
    <w:p>
      <w:pPr>
        <w:jc w:val="both"/>
        <w:rPr>
          <w:rFonts w:cstheme="minorHAnsi"/>
          <w:strike/>
          <w:color w:val="FF0000"/>
          <w:sz w:val="24"/>
          <w:szCs w:val="24"/>
        </w:rPr>
      </w:pPr>
      <w:r>
        <w:rPr>
          <w:rFonts w:cstheme="minorHAnsi"/>
          <w:sz w:val="24"/>
          <w:szCs w:val="24"/>
        </w:rPr>
        <w:t>Le montant de la prime sera réparti selon la durée de travail effectif calculée sur la période du 01/01/2025 au 31/12/2025.</w:t>
      </w:r>
    </w:p>
    <w:p>
      <w:pPr>
        <w:pStyle w:val="NormalWeb"/>
        <w:jc w:val="both"/>
        <w:rPr>
          <w:rFonts w:asciiTheme="minorHAnsi" w:hAnsiTheme="minorHAnsi" w:cstheme="minorHAnsi"/>
        </w:rPr>
      </w:pPr>
      <w:r>
        <w:rPr>
          <w:rFonts w:asciiTheme="minorHAnsi" w:hAnsiTheme="minorHAnsi" w:cstheme="minorHAnsi"/>
        </w:rPr>
        <w:t>La prime exceptionnelle nette de CSG et CRDS est attribuée aux salariés éligibles, indépendamment de la nature du contrat (CDI, CDD, apprentissage), dès lors que les conditions d’éligibilité sont remplies, en fonction de l’ancienneté des salariés et selon les règles de calcul suivantes :</w:t>
      </w:r>
    </w:p>
    <w:p>
      <w:pPr>
        <w:pStyle w:val="Paragraphedeliste"/>
        <w:numPr>
          <w:ilvl w:val="0"/>
          <w:numId w:val="2"/>
        </w:numPr>
        <w:jc w:val="both"/>
        <w:rPr>
          <w:rFonts w:cstheme="minorHAnsi"/>
          <w:w w:val="105"/>
          <w:sz w:val="24"/>
          <w:szCs w:val="24"/>
          <w:lang w:val="fr-FR"/>
        </w:rPr>
      </w:pPr>
      <w:bookmarkStart w:id="0" w:name="_Hlk189069059"/>
      <w:r>
        <w:rPr>
          <w:rFonts w:cstheme="minorHAnsi"/>
          <w:w w:val="105"/>
          <w:sz w:val="24"/>
          <w:szCs w:val="24"/>
          <w:lang w:val="fr-FR"/>
        </w:rPr>
        <w:t>Pour les salariés dont l’ancienneté est supérieure ou égale à 2 ans à la date de signature de la présente décision :</w:t>
      </w:r>
    </w:p>
    <w:p>
      <w:pPr>
        <w:pStyle w:val="Paragraphedeliste"/>
        <w:ind w:left="360"/>
        <w:jc w:val="both"/>
        <w:rPr>
          <w:rFonts w:cstheme="minorHAnsi"/>
          <w:w w:val="105"/>
          <w:sz w:val="24"/>
          <w:szCs w:val="24"/>
          <w:lang w:val="fr-FR"/>
        </w:rPr>
      </w:pPr>
    </w:p>
    <w:p>
      <w:pPr>
        <w:pStyle w:val="Paragraphedeliste"/>
        <w:ind w:left="360"/>
        <w:jc w:val="both"/>
        <w:rPr>
          <w:rFonts w:cstheme="minorHAnsi"/>
          <w:w w:val="105"/>
          <w:sz w:val="24"/>
          <w:szCs w:val="24"/>
          <w:lang w:val="fr-FR"/>
        </w:rPr>
      </w:pPr>
    </w:p>
    <w:bookmarkEnd w:id="0"/>
    <w:p>
      <w:pPr>
        <w:ind w:left="2694" w:firstLine="992"/>
        <w:rPr>
          <w:rFonts w:cstheme="minorHAnsi"/>
          <w:b/>
          <w:sz w:val="24"/>
          <w:szCs w:val="24"/>
        </w:rPr>
      </w:pPr>
      <w:r>
        <w:rPr>
          <w:rFonts w:cstheme="minorHAnsi"/>
          <w:b/>
          <w:sz w:val="24"/>
          <w:szCs w:val="24"/>
        </w:rPr>
        <w:t xml:space="preserve">300 euros X temps de travail effectif réalisé </w:t>
      </w:r>
    </w:p>
    <w:p>
      <w:pPr>
        <w:ind w:left="3969"/>
        <w:rPr>
          <w:rFonts w:cstheme="minorHAnsi"/>
          <w:b/>
          <w:sz w:val="24"/>
          <w:szCs w:val="24"/>
        </w:rPr>
      </w:pPr>
      <w:proofErr w:type="gramStart"/>
      <w:r>
        <w:rPr>
          <w:rFonts w:cstheme="minorHAnsi"/>
          <w:b/>
          <w:sz w:val="24"/>
          <w:szCs w:val="24"/>
        </w:rPr>
        <w:t>entre</w:t>
      </w:r>
      <w:proofErr w:type="gramEnd"/>
      <w:r>
        <w:rPr>
          <w:rFonts w:cstheme="minorHAnsi"/>
          <w:b/>
          <w:sz w:val="24"/>
          <w:szCs w:val="24"/>
        </w:rPr>
        <w:t xml:space="preserve"> le 01/01/2025 au 31/12/2025</w:t>
      </w:r>
    </w:p>
    <w:p>
      <w:pPr>
        <w:rPr>
          <w:rFonts w:cstheme="minorHAnsi"/>
          <w:sz w:val="24"/>
          <w:szCs w:val="24"/>
        </w:rPr>
      </w:pPr>
      <w:r>
        <w:rPr>
          <w:rFonts w:cstheme="minorHAnsi"/>
          <w:sz w:val="24"/>
          <w:szCs w:val="24"/>
        </w:rPr>
        <w:t xml:space="preserve">Prime exceptionnelle </w:t>
      </w:r>
    </w:p>
    <w:p>
      <w:pPr>
        <w:rPr>
          <w:rFonts w:cstheme="minorHAnsi"/>
          <w:sz w:val="24"/>
          <w:szCs w:val="24"/>
        </w:rPr>
      </w:pPr>
      <w:proofErr w:type="gramStart"/>
      <w:r>
        <w:rPr>
          <w:rFonts w:cstheme="minorHAnsi"/>
          <w:sz w:val="24"/>
          <w:szCs w:val="24"/>
        </w:rPr>
        <w:t>nette</w:t>
      </w:r>
      <w:proofErr w:type="gramEnd"/>
      <w:r>
        <w:rPr>
          <w:rFonts w:cstheme="minorHAnsi"/>
          <w:sz w:val="24"/>
          <w:szCs w:val="24"/>
        </w:rPr>
        <w:t xml:space="preserve"> de CSG/CRDS = </w:t>
      </w:r>
      <w:r>
        <w:rPr>
          <w:rFonts w:cstheme="minorHAnsi"/>
          <w:noProof/>
          <w:sz w:val="24"/>
          <w:szCs w:val="24"/>
          <w:lang w:eastAsia="fr-FR"/>
        </w:rPr>
        <mc:AlternateContent>
          <mc:Choice Requires="wps">
            <w:drawing>
              <wp:anchor distT="0" distB="0" distL="114300" distR="114300" simplePos="0" relativeHeight="251664384" behindDoc="0" locked="0" layoutInCell="1" allowOverlap="1">
                <wp:simplePos x="0" y="0"/>
                <wp:positionH relativeFrom="column">
                  <wp:posOffset>2073358</wp:posOffset>
                </wp:positionH>
                <wp:positionV relativeFrom="paragraph">
                  <wp:posOffset>131473</wp:posOffset>
                </wp:positionV>
                <wp:extent cx="3371353" cy="0"/>
                <wp:effectExtent l="0" t="0" r="19685" b="19050"/>
                <wp:wrapNone/>
                <wp:docPr id="5" name="Connecteur droit 5"/>
                <wp:cNvGraphicFramePr/>
                <a:graphic xmlns:a="http://schemas.openxmlformats.org/drawingml/2006/main">
                  <a:graphicData uri="http://schemas.microsoft.com/office/word/2010/wordprocessingShape">
                    <wps:wsp>
                      <wps:cNvCnPr/>
                      <wps:spPr>
                        <a:xfrm>
                          <a:off x="0" y="0"/>
                          <a:ext cx="3371353"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Connecteur droit 5"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3.25pt,10.35pt" to="428.7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" strokecolor="#4a7ebb"/>
            </w:pict>
          </mc:Fallback>
        </mc:AlternateContent>
      </w:r>
      <w:r>
        <w:rPr>
          <w:rFonts w:cstheme="minorHAnsi"/>
          <w:noProof/>
          <w:sz w:val="24"/>
          <w:szCs w:val="24"/>
          <w:lang w:eastAsia="fr-FR"/>
        </w:rPr>
        <mc:AlternateContent>
          <mc:Choice Requires="wps">
            <w:drawing>
              <wp:anchor distT="0" distB="0" distL="114300" distR="114300" simplePos="0" relativeHeight="251661312" behindDoc="0" locked="0" layoutInCell="1" allowOverlap="1">
                <wp:simplePos x="0" y="0"/>
                <wp:positionH relativeFrom="column">
                  <wp:posOffset>2073358</wp:posOffset>
                </wp:positionH>
                <wp:positionV relativeFrom="paragraph">
                  <wp:posOffset>131473</wp:posOffset>
                </wp:positionV>
                <wp:extent cx="3371353" cy="0"/>
                <wp:effectExtent l="0" t="0" r="19685" b="19050"/>
                <wp:wrapNone/>
                <wp:docPr id="3" name="Connecteur droit 3"/>
                <wp:cNvGraphicFramePr/>
                <a:graphic xmlns:a="http://schemas.openxmlformats.org/drawingml/2006/main">
                  <a:graphicData uri="http://schemas.microsoft.com/office/word/2010/wordprocessingShape">
                    <wps:wsp>
                      <wps:cNvCnPr/>
                      <wps:spPr>
                        <a:xfrm>
                          <a:off x="0" y="0"/>
                          <a:ext cx="3371353"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Connecteur droit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3.25pt,10.35pt" to="428.7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" strokecolor="#4a7ebb"/>
            </w:pict>
          </mc:Fallback>
        </mc:AlternateContent>
      </w:r>
    </w:p>
    <w:p>
      <w:pPr>
        <w:tabs>
          <w:tab w:val="left" w:pos="5103"/>
        </w:tabs>
        <w:rPr>
          <w:rFonts w:cstheme="minorHAnsi"/>
          <w:b/>
          <w:w w:val="105"/>
          <w:sz w:val="24"/>
          <w:szCs w:val="24"/>
        </w:rPr>
      </w:pPr>
      <w:r>
        <w:rPr>
          <w:rFonts w:cstheme="minorHAnsi"/>
          <w:b/>
          <w:w w:val="105"/>
          <w:sz w:val="24"/>
          <w:szCs w:val="24"/>
        </w:rPr>
        <w:tab/>
        <w:t>1 820 heures</w:t>
      </w:r>
    </w:p>
    <w:p>
      <w:pPr>
        <w:tabs>
          <w:tab w:val="left" w:pos="5103"/>
        </w:tabs>
        <w:rPr>
          <w:rFonts w:cstheme="minorHAnsi"/>
          <w:b/>
          <w:w w:val="105"/>
          <w:sz w:val="24"/>
          <w:szCs w:val="24"/>
        </w:rPr>
      </w:pPr>
    </w:p>
    <w:p>
      <w:pPr>
        <w:tabs>
          <w:tab w:val="left" w:pos="5103"/>
        </w:tabs>
        <w:rPr>
          <w:rFonts w:cstheme="minorHAnsi"/>
          <w:b/>
          <w:w w:val="105"/>
          <w:sz w:val="24"/>
          <w:szCs w:val="24"/>
        </w:rPr>
      </w:pPr>
    </w:p>
    <w:p>
      <w:pPr>
        <w:pStyle w:val="Paragraphedeliste"/>
        <w:numPr>
          <w:ilvl w:val="0"/>
          <w:numId w:val="2"/>
        </w:numPr>
        <w:jc w:val="both"/>
        <w:rPr>
          <w:rFonts w:cstheme="minorHAnsi"/>
          <w:w w:val="105"/>
          <w:sz w:val="24"/>
          <w:szCs w:val="24"/>
          <w:lang w:val="fr-FR"/>
        </w:rPr>
      </w:pPr>
      <w:r>
        <w:rPr>
          <w:rFonts w:cstheme="minorHAnsi"/>
          <w:w w:val="105"/>
          <w:sz w:val="24"/>
          <w:szCs w:val="24"/>
          <w:lang w:val="fr-FR"/>
        </w:rPr>
        <w:t>Pour les salariés dont l’ancienneté est inférieure à 2 ans à la date de signature de la présente décision :</w:t>
      </w:r>
    </w:p>
    <w:p>
      <w:pPr>
        <w:pStyle w:val="Paragraphedeliste"/>
        <w:ind w:left="360"/>
        <w:jc w:val="both"/>
        <w:rPr>
          <w:rFonts w:cstheme="minorHAnsi"/>
          <w:w w:val="105"/>
          <w:sz w:val="24"/>
          <w:szCs w:val="24"/>
          <w:lang w:val="fr-FR"/>
        </w:rPr>
      </w:pPr>
    </w:p>
    <w:p>
      <w:pPr>
        <w:ind w:left="2694" w:firstLine="992"/>
        <w:rPr>
          <w:rFonts w:cstheme="minorHAnsi"/>
          <w:b/>
          <w:sz w:val="24"/>
          <w:szCs w:val="24"/>
        </w:rPr>
      </w:pPr>
      <w:r>
        <w:rPr>
          <w:rFonts w:cstheme="minorHAnsi"/>
          <w:b/>
          <w:sz w:val="24"/>
          <w:szCs w:val="24"/>
        </w:rPr>
        <w:t xml:space="preserve">150 euros X temps de travail effectif réalisé </w:t>
      </w:r>
    </w:p>
    <w:p>
      <w:pPr>
        <w:ind w:left="3969"/>
        <w:rPr>
          <w:rFonts w:cstheme="minorHAnsi"/>
          <w:b/>
          <w:sz w:val="24"/>
          <w:szCs w:val="24"/>
        </w:rPr>
      </w:pPr>
      <w:proofErr w:type="gramStart"/>
      <w:r>
        <w:rPr>
          <w:rFonts w:cstheme="minorHAnsi"/>
          <w:b/>
          <w:sz w:val="24"/>
          <w:szCs w:val="24"/>
        </w:rPr>
        <w:t>entre</w:t>
      </w:r>
      <w:proofErr w:type="gramEnd"/>
      <w:r>
        <w:rPr>
          <w:rFonts w:cstheme="minorHAnsi"/>
          <w:b/>
          <w:sz w:val="24"/>
          <w:szCs w:val="24"/>
        </w:rPr>
        <w:t xml:space="preserve"> le 01/01/2025 au 31/12/2025</w:t>
      </w:r>
    </w:p>
    <w:p>
      <w:pPr>
        <w:rPr>
          <w:rFonts w:cstheme="minorHAnsi"/>
          <w:sz w:val="24"/>
          <w:szCs w:val="24"/>
        </w:rPr>
      </w:pPr>
      <w:r>
        <w:rPr>
          <w:rFonts w:cstheme="minorHAnsi"/>
          <w:sz w:val="24"/>
          <w:szCs w:val="24"/>
        </w:rPr>
        <w:t xml:space="preserve">Prime exceptionnelle </w:t>
      </w:r>
    </w:p>
    <w:p>
      <w:pPr>
        <w:rPr>
          <w:rFonts w:cstheme="minorHAnsi"/>
          <w:sz w:val="24"/>
          <w:szCs w:val="24"/>
        </w:rPr>
      </w:pPr>
      <w:proofErr w:type="gramStart"/>
      <w:r>
        <w:rPr>
          <w:rFonts w:cstheme="minorHAnsi"/>
          <w:sz w:val="24"/>
          <w:szCs w:val="24"/>
        </w:rPr>
        <w:t>nette</w:t>
      </w:r>
      <w:proofErr w:type="gramEnd"/>
      <w:r>
        <w:rPr>
          <w:rFonts w:cstheme="minorHAnsi"/>
          <w:sz w:val="24"/>
          <w:szCs w:val="24"/>
        </w:rPr>
        <w:t xml:space="preserve"> de CSG/CRDS = </w:t>
      </w:r>
      <w:r>
        <w:rPr>
          <w:rFonts w:cstheme="minorHAnsi"/>
          <w:noProof/>
          <w:sz w:val="24"/>
          <w:szCs w:val="24"/>
          <w:lang w:eastAsia="fr-FR"/>
        </w:rPr>
        <mc:AlternateContent>
          <mc:Choice Requires="wps">
            <w:drawing>
              <wp:anchor distT="0" distB="0" distL="114300" distR="114300" simplePos="0" relativeHeight="251666432" behindDoc="0" locked="0" layoutInCell="1" allowOverlap="1">
                <wp:simplePos x="0" y="0"/>
                <wp:positionH relativeFrom="column">
                  <wp:posOffset>2073358</wp:posOffset>
                </wp:positionH>
                <wp:positionV relativeFrom="paragraph">
                  <wp:posOffset>131473</wp:posOffset>
                </wp:positionV>
                <wp:extent cx="3371353" cy="0"/>
                <wp:effectExtent l="0" t="0" r="19685" b="19050"/>
                <wp:wrapNone/>
                <wp:docPr id="6" name="Connecteur droit 6"/>
                <wp:cNvGraphicFramePr/>
                <a:graphic xmlns:a="http://schemas.openxmlformats.org/drawingml/2006/main">
                  <a:graphicData uri="http://schemas.microsoft.com/office/word/2010/wordprocessingShape">
                    <wps:wsp>
                      <wps:cNvCnPr/>
                      <wps:spPr>
                        <a:xfrm>
                          <a:off x="0" y="0"/>
                          <a:ext cx="3371353"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Connecteur droit 6"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3.25pt,10.35pt" to="428.7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" strokecolor="#4a7ebb"/>
            </w:pict>
          </mc:Fallback>
        </mc:AlternateContent>
      </w:r>
      <w:r>
        <w:rPr>
          <w:rFonts w:cstheme="minorHAnsi"/>
          <w:sz w:val="24"/>
          <w:szCs w:val="24"/>
        </w:rPr>
        <w:t xml:space="preserve"> </w:t>
      </w:r>
      <w:r>
        <w:rPr>
          <w:rFonts w:cstheme="minorHAnsi"/>
          <w:noProof/>
          <w:sz w:val="24"/>
          <w:szCs w:val="24"/>
          <w:lang w:eastAsia="fr-FR"/>
        </w:rPr>
        <mc:AlternateContent>
          <mc:Choice Requires="wps">
            <w:drawing>
              <wp:anchor distT="0" distB="0" distL="114300" distR="114300" simplePos="0" relativeHeight="251662336" behindDoc="0" locked="0" layoutInCell="1" allowOverlap="1">
                <wp:simplePos x="0" y="0"/>
                <wp:positionH relativeFrom="column">
                  <wp:posOffset>2073358</wp:posOffset>
                </wp:positionH>
                <wp:positionV relativeFrom="paragraph">
                  <wp:posOffset>131473</wp:posOffset>
                </wp:positionV>
                <wp:extent cx="3371353" cy="0"/>
                <wp:effectExtent l="0" t="0" r="19685" b="19050"/>
                <wp:wrapNone/>
                <wp:docPr id="4" name="Connecteur droit 4"/>
                <wp:cNvGraphicFramePr/>
                <a:graphic xmlns:a="http://schemas.openxmlformats.org/drawingml/2006/main">
                  <a:graphicData uri="http://schemas.microsoft.com/office/word/2010/wordprocessingShape">
                    <wps:wsp>
                      <wps:cNvCnPr/>
                      <wps:spPr>
                        <a:xfrm>
                          <a:off x="0" y="0"/>
                          <a:ext cx="3371353"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Connecteur droit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3.25pt,10.35pt" to="428.7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" strokecolor="#4a7ebb"/>
            </w:pict>
          </mc:Fallback>
        </mc:AlternateContent>
      </w:r>
    </w:p>
    <w:p>
      <w:pPr>
        <w:tabs>
          <w:tab w:val="left" w:pos="5103"/>
        </w:tabs>
        <w:rPr>
          <w:rFonts w:cstheme="minorHAnsi"/>
          <w:b/>
          <w:w w:val="105"/>
          <w:sz w:val="24"/>
          <w:szCs w:val="24"/>
        </w:rPr>
      </w:pPr>
      <w:r>
        <w:rPr>
          <w:rFonts w:cstheme="minorHAnsi"/>
          <w:b/>
          <w:w w:val="105"/>
          <w:sz w:val="24"/>
          <w:szCs w:val="24"/>
        </w:rPr>
        <w:tab/>
        <w:t>1 820 heures</w:t>
      </w:r>
    </w:p>
    <w:p>
      <w:pPr>
        <w:rPr>
          <w:rFonts w:cstheme="minorHAnsi"/>
          <w:w w:val="105"/>
          <w:sz w:val="24"/>
          <w:szCs w:val="24"/>
        </w:rPr>
      </w:pPr>
    </w:p>
    <w:p>
      <w:pPr>
        <w:rPr>
          <w:rFonts w:cstheme="minorHAnsi"/>
          <w:w w:val="105"/>
          <w:sz w:val="24"/>
          <w:szCs w:val="24"/>
        </w:rPr>
      </w:pPr>
    </w:p>
    <w:p>
      <w:pPr>
        <w:rPr>
          <w:rFonts w:cstheme="minorHAnsi"/>
          <w:w w:val="105"/>
          <w:sz w:val="24"/>
          <w:szCs w:val="24"/>
        </w:rPr>
      </w:pPr>
      <w:r>
        <w:rPr>
          <w:rFonts w:cstheme="minorHAnsi"/>
          <w:w w:val="105"/>
          <w:sz w:val="24"/>
          <w:szCs w:val="24"/>
        </w:rPr>
        <w:t xml:space="preserve">Ne seront pas assimilées à du temps de travail effectif pour le calcul de la prime exceptionnelle, les suspensions de contrat de travail pour motifs suivants : </w:t>
      </w:r>
    </w:p>
    <w:p>
      <w:pPr>
        <w:rPr>
          <w:rFonts w:cstheme="minorHAnsi"/>
          <w:w w:val="105"/>
          <w:sz w:val="24"/>
          <w:szCs w:val="24"/>
        </w:rPr>
      </w:pPr>
    </w:p>
    <w:p>
      <w:pPr>
        <w:pStyle w:val="Paragraphedeliste"/>
        <w:numPr>
          <w:ilvl w:val="0"/>
          <w:numId w:val="1"/>
        </w:numPr>
        <w:ind w:left="851" w:hanging="284"/>
        <w:jc w:val="both"/>
        <w:rPr>
          <w:rFonts w:cstheme="minorHAnsi"/>
          <w:w w:val="105"/>
          <w:sz w:val="24"/>
          <w:szCs w:val="24"/>
          <w:lang w:val="fr-FR"/>
        </w:rPr>
      </w:pPr>
      <w:r>
        <w:rPr>
          <w:rFonts w:cstheme="minorHAnsi"/>
          <w:w w:val="105"/>
          <w:sz w:val="24"/>
          <w:szCs w:val="24"/>
          <w:lang w:val="fr-FR"/>
        </w:rPr>
        <w:lastRenderedPageBreak/>
        <w:t>Absence pour maladie non professionnelle ;</w:t>
      </w:r>
    </w:p>
    <w:p>
      <w:pPr>
        <w:pStyle w:val="Paragraphedeliste"/>
        <w:numPr>
          <w:ilvl w:val="0"/>
          <w:numId w:val="1"/>
        </w:numPr>
        <w:ind w:left="851" w:hanging="284"/>
        <w:jc w:val="both"/>
        <w:rPr>
          <w:rFonts w:cstheme="minorHAnsi"/>
          <w:w w:val="105"/>
          <w:sz w:val="24"/>
          <w:szCs w:val="24"/>
          <w:lang w:val="fr-FR"/>
        </w:rPr>
      </w:pPr>
      <w:r>
        <w:rPr>
          <w:rFonts w:cstheme="minorHAnsi"/>
          <w:w w:val="105"/>
          <w:sz w:val="24"/>
          <w:szCs w:val="24"/>
          <w:lang w:val="fr-FR"/>
        </w:rPr>
        <w:t>Absence pour accident de travail, accident de trajet ou maladie professionnelle au-delà d’une durée ininterrompue d’un an ;</w:t>
      </w:r>
    </w:p>
    <w:p>
      <w:pPr>
        <w:pStyle w:val="Paragraphedeliste"/>
        <w:numPr>
          <w:ilvl w:val="0"/>
          <w:numId w:val="1"/>
        </w:numPr>
        <w:ind w:left="851" w:hanging="284"/>
        <w:jc w:val="both"/>
        <w:rPr>
          <w:rFonts w:cstheme="minorHAnsi"/>
          <w:w w:val="105"/>
          <w:sz w:val="24"/>
          <w:szCs w:val="24"/>
          <w:lang w:val="fr-FR"/>
        </w:rPr>
      </w:pPr>
      <w:r>
        <w:rPr>
          <w:rFonts w:cstheme="minorHAnsi"/>
          <w:w w:val="105"/>
          <w:sz w:val="24"/>
          <w:szCs w:val="24"/>
          <w:lang w:val="fr-FR"/>
        </w:rPr>
        <w:t>Congés sans solde ;</w:t>
      </w:r>
    </w:p>
    <w:p>
      <w:pPr>
        <w:pStyle w:val="Paragraphedeliste"/>
        <w:numPr>
          <w:ilvl w:val="0"/>
          <w:numId w:val="1"/>
        </w:numPr>
        <w:ind w:left="851" w:hanging="284"/>
        <w:jc w:val="both"/>
        <w:rPr>
          <w:rFonts w:cstheme="minorHAnsi"/>
          <w:w w:val="105"/>
          <w:sz w:val="24"/>
          <w:szCs w:val="24"/>
          <w:lang w:val="fr-FR"/>
        </w:rPr>
      </w:pPr>
      <w:r>
        <w:rPr>
          <w:rFonts w:cstheme="minorHAnsi"/>
          <w:w w:val="105"/>
          <w:sz w:val="24"/>
          <w:szCs w:val="24"/>
          <w:lang w:val="fr-FR"/>
        </w:rPr>
        <w:t>Mise à pied ;</w:t>
      </w:r>
    </w:p>
    <w:p>
      <w:pPr>
        <w:pStyle w:val="Paragraphedeliste"/>
        <w:numPr>
          <w:ilvl w:val="0"/>
          <w:numId w:val="1"/>
        </w:numPr>
        <w:ind w:left="851" w:hanging="284"/>
        <w:jc w:val="both"/>
        <w:rPr>
          <w:rFonts w:cstheme="minorHAnsi"/>
          <w:w w:val="105"/>
          <w:sz w:val="24"/>
          <w:szCs w:val="24"/>
          <w:lang w:val="fr-FR"/>
        </w:rPr>
      </w:pPr>
      <w:r>
        <w:rPr>
          <w:rFonts w:cstheme="minorHAnsi"/>
          <w:w w:val="105"/>
          <w:sz w:val="24"/>
          <w:szCs w:val="24"/>
          <w:lang w:val="fr-FR"/>
        </w:rPr>
        <w:t>Congés pour création d’entreprise ;</w:t>
      </w:r>
    </w:p>
    <w:p>
      <w:pPr>
        <w:pStyle w:val="Paragraphedeliste"/>
        <w:numPr>
          <w:ilvl w:val="0"/>
          <w:numId w:val="1"/>
        </w:numPr>
        <w:ind w:left="851" w:hanging="284"/>
        <w:jc w:val="both"/>
        <w:rPr>
          <w:rFonts w:cstheme="minorHAnsi"/>
          <w:w w:val="105"/>
          <w:sz w:val="24"/>
          <w:szCs w:val="24"/>
          <w:lang w:val="fr-FR"/>
        </w:rPr>
      </w:pPr>
      <w:r>
        <w:rPr>
          <w:rFonts w:cstheme="minorHAnsi"/>
          <w:w w:val="105"/>
          <w:sz w:val="24"/>
          <w:szCs w:val="24"/>
          <w:lang w:val="fr-FR"/>
        </w:rPr>
        <w:t>Congés sabbatiques ;</w:t>
      </w:r>
    </w:p>
    <w:p>
      <w:pPr>
        <w:pStyle w:val="Paragraphedeliste"/>
        <w:numPr>
          <w:ilvl w:val="0"/>
          <w:numId w:val="1"/>
        </w:numPr>
        <w:ind w:left="851" w:hanging="284"/>
        <w:jc w:val="both"/>
        <w:rPr>
          <w:rFonts w:cstheme="minorHAnsi"/>
          <w:w w:val="105"/>
          <w:sz w:val="24"/>
          <w:szCs w:val="24"/>
          <w:lang w:val="fr-FR"/>
        </w:rPr>
      </w:pPr>
      <w:r>
        <w:rPr>
          <w:rFonts w:cstheme="minorHAnsi"/>
          <w:w w:val="105"/>
          <w:sz w:val="24"/>
          <w:szCs w:val="24"/>
          <w:lang w:val="fr-FR"/>
        </w:rPr>
        <w:t>Absences non rémunérées.</w:t>
      </w:r>
    </w:p>
    <w:p>
      <w:pPr>
        <w:jc w:val="both"/>
        <w:rPr>
          <w:rFonts w:cstheme="minorHAnsi"/>
          <w:w w:val="105"/>
          <w:sz w:val="24"/>
          <w:szCs w:val="24"/>
        </w:rPr>
      </w:pPr>
    </w:p>
    <w:p>
      <w:pPr>
        <w:jc w:val="both"/>
        <w:rPr>
          <w:rFonts w:cstheme="minorHAnsi"/>
          <w:w w:val="105"/>
          <w:sz w:val="24"/>
          <w:szCs w:val="24"/>
        </w:rPr>
      </w:pPr>
      <w:r>
        <w:rPr>
          <w:rFonts w:cstheme="minorHAnsi"/>
          <w:w w:val="105"/>
          <w:sz w:val="24"/>
          <w:szCs w:val="24"/>
        </w:rPr>
        <w:t>En tout état de cause, le montant de la prime nette ne pourra excéder 300 euros nets par salarié.</w:t>
      </w:r>
      <w:bookmarkStart w:id="1" w:name="_Toc47517751"/>
    </w:p>
    <w:p>
      <w:pPr>
        <w:jc w:val="both"/>
        <w:rPr>
          <w:rFonts w:cstheme="minorHAnsi"/>
          <w:w w:val="105"/>
          <w:sz w:val="24"/>
          <w:szCs w:val="24"/>
        </w:rPr>
      </w:pPr>
      <w:r>
        <w:rPr>
          <w:rFonts w:cstheme="minorHAnsi"/>
          <w:w w:val="105"/>
          <w:sz w:val="24"/>
          <w:szCs w:val="24"/>
        </w:rPr>
        <w:t xml:space="preserve">Le montant de la prime de partage de la valeur brut sera constitué de la prime nette telle que mentionnée précédemment et réhaussé de la CSG et de la CRDS. </w:t>
      </w:r>
    </w:p>
    <w:p>
      <w:pPr>
        <w:pStyle w:val="Titre1"/>
        <w:rPr>
          <w:rFonts w:asciiTheme="minorHAnsi" w:eastAsiaTheme="minorHAnsi" w:hAnsiTheme="minorHAnsi" w:cstheme="minorHAnsi"/>
          <w:b w:val="0"/>
          <w:w w:val="105"/>
          <w:u w:val="none"/>
          <w:lang w:val="fr-FR"/>
        </w:rPr>
      </w:pPr>
      <w:r>
        <w:rPr>
          <w:rFonts w:asciiTheme="minorHAnsi" w:eastAsiaTheme="minorHAnsi" w:hAnsiTheme="minorHAnsi" w:cstheme="minorHAnsi"/>
          <w:b w:val="0"/>
          <w:w w:val="105"/>
          <w:u w:val="none"/>
          <w:lang w:val="fr-FR"/>
        </w:rPr>
        <w:t>La prime demeure soumise au forfait social dans les conditions applicables à l’intéressement pour l’entreprise et sera imposable sur le revenu en cas de versement immédiat ou exonérée d’impôt sur le revenu en cas d’affectation sur un plan d’épargne entreprise.</w:t>
      </w:r>
    </w:p>
    <w:p>
      <w:pPr>
        <w:pStyle w:val="Titre1"/>
        <w:rPr>
          <w:rStyle w:val="ElApptiartf"/>
          <w:rFonts w:asciiTheme="minorHAnsi" w:eastAsia="Arial" w:hAnsiTheme="minorHAnsi" w:cstheme="minorHAnsi"/>
          <w:bCs w:val="0"/>
          <w:lang w:val="fr-FR"/>
        </w:rPr>
      </w:pPr>
    </w:p>
    <w:p>
      <w:pPr>
        <w:pStyle w:val="Titre1"/>
        <w:rPr>
          <w:rFonts w:asciiTheme="minorHAnsi" w:eastAsiaTheme="minorHAnsi" w:hAnsiTheme="minorHAnsi" w:cstheme="minorHAnsi"/>
          <w:b w:val="0"/>
          <w:w w:val="105"/>
          <w:u w:val="none"/>
          <w:lang w:val="fr-FR"/>
        </w:rPr>
      </w:pPr>
      <w:r>
        <w:rPr>
          <w:rFonts w:asciiTheme="minorHAnsi" w:eastAsiaTheme="minorHAnsi" w:hAnsiTheme="minorHAnsi" w:cstheme="minorHAnsi"/>
          <w:b w:val="0"/>
          <w:w w:val="105"/>
          <w:u w:val="none"/>
          <w:lang w:val="fr-FR"/>
        </w:rPr>
        <w:t>La PPV fera l’objet d’une mention et identifiable sur le bulletin de paie.</w:t>
      </w:r>
    </w:p>
    <w:bookmarkEnd w:id="1"/>
    <w:p>
      <w:pPr>
        <w:jc w:val="both"/>
        <w:rPr>
          <w:rFonts w:cstheme="minorHAnsi"/>
          <w:w w:val="105"/>
          <w:sz w:val="24"/>
          <w:szCs w:val="24"/>
        </w:rPr>
      </w:pPr>
    </w:p>
    <w:p>
      <w:pPr>
        <w:jc w:val="both"/>
        <w:rPr>
          <w:rFonts w:cstheme="minorHAnsi"/>
          <w:b/>
          <w:w w:val="105"/>
          <w:sz w:val="24"/>
          <w:szCs w:val="24"/>
          <w:u w:val="single"/>
        </w:rPr>
      </w:pPr>
    </w:p>
    <w:p>
      <w:pPr>
        <w:jc w:val="both"/>
        <w:rPr>
          <w:rFonts w:cstheme="minorHAnsi"/>
          <w:b/>
          <w:w w:val="105"/>
          <w:sz w:val="24"/>
          <w:szCs w:val="24"/>
          <w:u w:val="single"/>
        </w:rPr>
      </w:pPr>
      <w:r>
        <w:rPr>
          <w:rFonts w:cstheme="minorHAnsi"/>
          <w:b/>
          <w:w w:val="105"/>
          <w:sz w:val="24"/>
          <w:szCs w:val="24"/>
          <w:u w:val="single"/>
        </w:rPr>
        <w:t>2- DUREE DE L’ACCORD </w:t>
      </w:r>
    </w:p>
    <w:p>
      <w:pPr>
        <w:jc w:val="both"/>
        <w:rPr>
          <w:rFonts w:ascii="Segoe UI Semilight" w:hAnsi="Segoe UI Semilight" w:cs="Segoe UI Semilight"/>
          <w:w w:val="105"/>
        </w:rPr>
      </w:pPr>
    </w:p>
    <w:p>
      <w:pPr>
        <w:jc w:val="both"/>
        <w:rPr>
          <w:rFonts w:ascii="Segoe UI Semilight" w:hAnsi="Segoe UI Semilight" w:cs="Segoe UI Semilight"/>
          <w:w w:val="105"/>
        </w:rPr>
      </w:pPr>
      <w:r>
        <w:rPr>
          <w:rFonts w:cstheme="minorHAnsi"/>
          <w:w w:val="105"/>
          <w:sz w:val="24"/>
          <w:szCs w:val="24"/>
        </w:rPr>
        <w:t>Le présent accord est conclu à durée déterminée, prenant effet le jour du dépôt et prenant fin le 30 janvier 2027, du fait de son caractère exceptionnel</w:t>
      </w:r>
      <w:r>
        <w:rPr>
          <w:rFonts w:ascii="Segoe UI Semilight" w:hAnsi="Segoe UI Semilight" w:cs="Segoe UI Semilight"/>
          <w:w w:val="105"/>
        </w:rPr>
        <w:t>.</w:t>
      </w:r>
    </w:p>
    <w:p>
      <w:pPr>
        <w:jc w:val="both"/>
        <w:rPr>
          <w:rFonts w:ascii="Segoe UI Semilight" w:hAnsi="Segoe UI Semilight" w:cs="Segoe UI Semilight"/>
          <w:w w:val="105"/>
        </w:rPr>
      </w:pPr>
    </w:p>
    <w:p>
      <w:pPr>
        <w:jc w:val="both"/>
        <w:rPr>
          <w:rFonts w:cstheme="minorHAnsi"/>
          <w:b/>
          <w:w w:val="105"/>
          <w:sz w:val="24"/>
          <w:szCs w:val="24"/>
          <w:u w:val="single"/>
        </w:rPr>
      </w:pPr>
      <w:r>
        <w:rPr>
          <w:rFonts w:cstheme="minorHAnsi"/>
          <w:b/>
          <w:w w:val="105"/>
          <w:sz w:val="24"/>
          <w:szCs w:val="24"/>
          <w:u w:val="single"/>
        </w:rPr>
        <w:t>3- DENONCAITION </w:t>
      </w:r>
    </w:p>
    <w:p>
      <w:pPr>
        <w:jc w:val="both"/>
        <w:rPr>
          <w:rFonts w:ascii="Segoe UI Semilight" w:hAnsi="Segoe UI Semilight" w:cs="Segoe UI Semilight"/>
          <w:b/>
          <w:w w:val="105"/>
          <w:u w:val="single"/>
        </w:rPr>
      </w:pPr>
    </w:p>
    <w:p>
      <w:pPr>
        <w:jc w:val="both"/>
        <w:rPr>
          <w:rFonts w:cstheme="minorHAnsi"/>
          <w:w w:val="105"/>
          <w:sz w:val="24"/>
          <w:szCs w:val="24"/>
        </w:rPr>
      </w:pPr>
      <w:r>
        <w:rPr>
          <w:rFonts w:cstheme="minorHAnsi"/>
          <w:w w:val="105"/>
          <w:sz w:val="24"/>
          <w:szCs w:val="24"/>
        </w:rPr>
        <w:t>Le présent accord pourra être dénoncé à tout moment, soit par la Direction, soit par les organisations syndicales signataires.</w:t>
      </w:r>
    </w:p>
    <w:p>
      <w:pPr>
        <w:jc w:val="both"/>
        <w:rPr>
          <w:rFonts w:cstheme="minorHAnsi"/>
          <w:w w:val="105"/>
          <w:sz w:val="24"/>
          <w:szCs w:val="24"/>
        </w:rPr>
      </w:pPr>
      <w:r>
        <w:rPr>
          <w:rFonts w:cstheme="minorHAnsi"/>
          <w:w w:val="105"/>
          <w:sz w:val="24"/>
          <w:szCs w:val="24"/>
        </w:rPr>
        <w:t>La dénonciation est régie par les articles L.2261-9 et suivants du Code du Travail.</w:t>
      </w:r>
    </w:p>
    <w:p>
      <w:pPr>
        <w:jc w:val="both"/>
        <w:rPr>
          <w:rFonts w:ascii="Segoe UI Semilight" w:hAnsi="Segoe UI Semilight" w:cs="Segoe UI Semilight"/>
          <w:w w:val="105"/>
        </w:rPr>
      </w:pPr>
    </w:p>
    <w:p>
      <w:pPr>
        <w:jc w:val="both"/>
        <w:rPr>
          <w:rFonts w:cstheme="minorHAnsi"/>
          <w:b/>
          <w:w w:val="105"/>
          <w:sz w:val="24"/>
          <w:szCs w:val="24"/>
          <w:u w:val="single"/>
        </w:rPr>
      </w:pPr>
      <w:r>
        <w:rPr>
          <w:rFonts w:cstheme="minorHAnsi"/>
          <w:b/>
          <w:w w:val="105"/>
          <w:sz w:val="24"/>
          <w:szCs w:val="24"/>
          <w:u w:val="single"/>
        </w:rPr>
        <w:t>4- PUBLICITE DE L’ACCORD </w:t>
      </w:r>
    </w:p>
    <w:p>
      <w:pPr>
        <w:jc w:val="both"/>
        <w:rPr>
          <w:rFonts w:ascii="Segoe UI Semilight" w:hAnsi="Segoe UI Semilight" w:cs="Segoe UI Semilight"/>
          <w:b/>
          <w:w w:val="105"/>
          <w:u w:val="single"/>
        </w:rPr>
      </w:pPr>
    </w:p>
    <w:p>
      <w:pPr>
        <w:jc w:val="both"/>
        <w:rPr>
          <w:rFonts w:cstheme="minorHAnsi"/>
          <w:w w:val="105"/>
          <w:sz w:val="24"/>
          <w:szCs w:val="24"/>
        </w:rPr>
      </w:pPr>
      <w:r>
        <w:rPr>
          <w:rFonts w:cstheme="minorHAnsi"/>
          <w:w w:val="105"/>
          <w:sz w:val="24"/>
          <w:szCs w:val="24"/>
        </w:rPr>
        <w:t>Cet accord signé a été notifié aux Organisations Syndicales représentatives dans l’établissement à la date de sa signature.</w:t>
      </w:r>
    </w:p>
    <w:p>
      <w:pPr>
        <w:jc w:val="both"/>
        <w:rPr>
          <w:rFonts w:cstheme="minorHAnsi"/>
          <w:w w:val="105"/>
          <w:sz w:val="24"/>
          <w:szCs w:val="24"/>
        </w:rPr>
      </w:pPr>
      <w:r>
        <w:rPr>
          <w:rFonts w:cstheme="minorHAnsi"/>
          <w:w w:val="105"/>
          <w:sz w:val="24"/>
          <w:szCs w:val="24"/>
        </w:rPr>
        <w:t>L’accord sera déposé par messagerie en version anonymisée au format.docx et en version intégrale avec signatures, en format PDF selon cette nouvelle procédure à l’adresse suivante :</w:t>
      </w:r>
      <w:hyperlink r:id="rId7" w:history="1">
        <w:r>
          <w:rPr>
            <w:rFonts w:cstheme="minorHAnsi"/>
            <w:w w:val="105"/>
            <w:sz w:val="24"/>
            <w:szCs w:val="24"/>
          </w:rPr>
          <w:t xml:space="preserve"> http://www.teleaccords.travail-emploi.gouv.fr.</w:t>
        </w:r>
      </w:hyperlink>
    </w:p>
    <w:p>
      <w:pPr>
        <w:jc w:val="both"/>
        <w:rPr>
          <w:rFonts w:ascii="Segoe UI Semilight" w:hAnsi="Segoe UI Semilight" w:cs="Segoe UI Semilight"/>
          <w:w w:val="105"/>
        </w:rPr>
      </w:pPr>
    </w:p>
    <w:p>
      <w:pPr>
        <w:jc w:val="both"/>
        <w:rPr>
          <w:rFonts w:cstheme="minorHAnsi"/>
          <w:w w:val="105"/>
          <w:sz w:val="24"/>
          <w:szCs w:val="24"/>
        </w:rPr>
      </w:pPr>
      <w:r>
        <w:rPr>
          <w:rFonts w:ascii="Segoe UI Semilight" w:hAnsi="Segoe UI Semilight" w:cs="Segoe UI Semilight"/>
          <w:w w:val="105"/>
        </w:rPr>
        <w:t xml:space="preserve"> </w:t>
      </w:r>
      <w:r>
        <w:rPr>
          <w:rFonts w:cstheme="minorHAnsi"/>
          <w:w w:val="105"/>
          <w:sz w:val="24"/>
          <w:szCs w:val="24"/>
        </w:rPr>
        <w:t>Il est rappelé aux parties signataires que la législation actuellement en vigueur prévoit la publication des accords collectifs dans une base de données nationale (article L.2231-5-1 du Code du travail).</w:t>
      </w:r>
    </w:p>
    <w:p>
      <w:pPr>
        <w:jc w:val="both"/>
        <w:rPr>
          <w:rFonts w:cstheme="minorHAnsi"/>
          <w:w w:val="105"/>
          <w:sz w:val="24"/>
          <w:szCs w:val="24"/>
        </w:rPr>
      </w:pPr>
      <w:r>
        <w:rPr>
          <w:rFonts w:cstheme="minorHAnsi"/>
          <w:w w:val="105"/>
          <w:sz w:val="24"/>
          <w:szCs w:val="24"/>
        </w:rPr>
        <w:lastRenderedPageBreak/>
        <w:t>Un exemplaire sera déposé au secrétariat du Conseil des Prud'hommes par la partie la plus diligente.</w:t>
      </w:r>
    </w:p>
    <w:p>
      <w:pPr>
        <w:jc w:val="both"/>
        <w:rPr>
          <w:rFonts w:cstheme="minorHAnsi"/>
          <w:w w:val="105"/>
          <w:sz w:val="24"/>
          <w:szCs w:val="24"/>
        </w:rPr>
      </w:pPr>
    </w:p>
    <w:p>
      <w:pPr>
        <w:kinsoku w:val="0"/>
        <w:overflowPunct w:val="0"/>
        <w:spacing w:before="13" w:line="280" w:lineRule="exact"/>
        <w:jc w:val="both"/>
        <w:rPr>
          <w:rFonts w:cstheme="minorHAnsi"/>
          <w:sz w:val="24"/>
          <w:szCs w:val="24"/>
        </w:rPr>
      </w:pPr>
      <w:r>
        <w:rPr>
          <w:rFonts w:cstheme="minorHAnsi"/>
          <w:sz w:val="24"/>
          <w:szCs w:val="24"/>
        </w:rPr>
        <w:t>Fait à XXX le 30 janvier 2026</w:t>
      </w:r>
    </w:p>
    <w:p>
      <w:pPr>
        <w:kinsoku w:val="0"/>
        <w:overflowPunct w:val="0"/>
        <w:spacing w:before="13" w:line="280" w:lineRule="exact"/>
        <w:jc w:val="both"/>
        <w:rPr>
          <w:rFonts w:cstheme="minorHAnsi"/>
          <w:sz w:val="24"/>
          <w:szCs w:val="24"/>
        </w:rPr>
      </w:pPr>
    </w:p>
    <w:p>
      <w:pPr>
        <w:kinsoku w:val="0"/>
        <w:overflowPunct w:val="0"/>
        <w:spacing w:before="13" w:line="280" w:lineRule="exact"/>
        <w:jc w:val="both"/>
        <w:rPr>
          <w:rFonts w:cstheme="minorHAnsi"/>
          <w:sz w:val="24"/>
          <w:szCs w:val="24"/>
        </w:rPr>
      </w:pPr>
      <w:r>
        <w:rPr>
          <w:rFonts w:cstheme="minorHAnsi"/>
          <w:sz w:val="24"/>
          <w:szCs w:val="24"/>
        </w:rPr>
        <w:t xml:space="preserve">Pour la Délégation syndicale Force Ouvrière :              </w:t>
      </w:r>
    </w:p>
    <w:p>
      <w:pPr>
        <w:kinsoku w:val="0"/>
        <w:overflowPunct w:val="0"/>
        <w:spacing w:before="13" w:line="280" w:lineRule="exact"/>
        <w:jc w:val="both"/>
        <w:rPr>
          <w:rFonts w:cstheme="minorHAnsi"/>
          <w:sz w:val="24"/>
          <w:szCs w:val="24"/>
        </w:rPr>
      </w:pPr>
      <w:r>
        <w:rPr>
          <w:rFonts w:cstheme="minorHAnsi"/>
          <w:sz w:val="24"/>
          <w:szCs w:val="24"/>
        </w:rPr>
        <w:t>XXX</w:t>
      </w:r>
    </w:p>
    <w:p>
      <w:pPr>
        <w:kinsoku w:val="0"/>
        <w:overflowPunct w:val="0"/>
        <w:spacing w:before="13" w:line="280" w:lineRule="exact"/>
        <w:jc w:val="both"/>
        <w:rPr>
          <w:rFonts w:cstheme="minorHAnsi"/>
          <w:sz w:val="24"/>
          <w:szCs w:val="24"/>
        </w:rPr>
      </w:pPr>
      <w:r>
        <w:rPr>
          <w:rFonts w:cstheme="minorHAnsi"/>
          <w:sz w:val="24"/>
          <w:szCs w:val="24"/>
        </w:rPr>
        <w:t>Déléguée Syndicale FO</w:t>
      </w:r>
    </w:p>
    <w:p>
      <w:pPr>
        <w:kinsoku w:val="0"/>
        <w:overflowPunct w:val="0"/>
        <w:spacing w:before="13" w:line="280" w:lineRule="exact"/>
        <w:jc w:val="both"/>
        <w:rPr>
          <w:rFonts w:cstheme="minorHAnsi"/>
          <w:sz w:val="24"/>
          <w:szCs w:val="24"/>
        </w:rPr>
      </w:pPr>
    </w:p>
    <w:p>
      <w:pPr>
        <w:kinsoku w:val="0"/>
        <w:overflowPunct w:val="0"/>
        <w:spacing w:before="13" w:line="280" w:lineRule="exact"/>
        <w:jc w:val="both"/>
        <w:rPr>
          <w:rFonts w:cstheme="minorHAnsi"/>
          <w:sz w:val="24"/>
          <w:szCs w:val="24"/>
        </w:rPr>
      </w:pPr>
    </w:p>
    <w:p>
      <w:pPr>
        <w:kinsoku w:val="0"/>
        <w:overflowPunct w:val="0"/>
        <w:spacing w:before="13" w:line="280" w:lineRule="exact"/>
        <w:jc w:val="both"/>
        <w:rPr>
          <w:rFonts w:cstheme="minorHAnsi"/>
          <w:sz w:val="24"/>
          <w:szCs w:val="24"/>
        </w:rPr>
      </w:pPr>
    </w:p>
    <w:p>
      <w:pPr>
        <w:kinsoku w:val="0"/>
        <w:overflowPunct w:val="0"/>
        <w:spacing w:before="13" w:line="280" w:lineRule="exact"/>
        <w:jc w:val="both"/>
        <w:rPr>
          <w:rFonts w:cstheme="minorHAnsi"/>
          <w:sz w:val="24"/>
          <w:szCs w:val="24"/>
        </w:rPr>
      </w:pPr>
    </w:p>
    <w:p>
      <w:pPr>
        <w:kinsoku w:val="0"/>
        <w:overflowPunct w:val="0"/>
        <w:spacing w:before="13" w:line="280" w:lineRule="exact"/>
        <w:jc w:val="both"/>
        <w:rPr>
          <w:rFonts w:cstheme="minorHAnsi"/>
          <w:sz w:val="24"/>
          <w:szCs w:val="24"/>
        </w:rPr>
      </w:pPr>
      <w:r>
        <w:rPr>
          <w:rFonts w:cstheme="minorHAnsi"/>
          <w:sz w:val="24"/>
          <w:szCs w:val="24"/>
        </w:rPr>
        <w:t xml:space="preserve">Pour La Direction de la clinique XXX : </w:t>
      </w:r>
    </w:p>
    <w:p>
      <w:pPr>
        <w:kinsoku w:val="0"/>
        <w:overflowPunct w:val="0"/>
        <w:spacing w:before="13" w:line="280" w:lineRule="exact"/>
        <w:jc w:val="both"/>
        <w:rPr>
          <w:rFonts w:cstheme="minorHAnsi"/>
          <w:sz w:val="24"/>
          <w:szCs w:val="24"/>
        </w:rPr>
      </w:pPr>
      <w:r>
        <w:rPr>
          <w:rFonts w:cstheme="minorHAnsi"/>
          <w:sz w:val="24"/>
          <w:szCs w:val="24"/>
        </w:rPr>
        <w:t>XXXX</w:t>
      </w:r>
    </w:p>
    <w:p>
      <w:pPr>
        <w:kinsoku w:val="0"/>
        <w:overflowPunct w:val="0"/>
        <w:spacing w:before="13" w:line="280" w:lineRule="exact"/>
        <w:jc w:val="both"/>
        <w:rPr>
          <w:rFonts w:cstheme="minorHAnsi"/>
          <w:sz w:val="24"/>
          <w:szCs w:val="24"/>
        </w:rPr>
      </w:pPr>
      <w:r>
        <w:rPr>
          <w:rFonts w:cstheme="minorHAnsi"/>
          <w:sz w:val="24"/>
          <w:szCs w:val="24"/>
        </w:rPr>
        <w:t>Directrice</w:t>
      </w:r>
    </w:p>
    <w:p>
      <w:pPr>
        <w:kinsoku w:val="0"/>
        <w:overflowPunct w:val="0"/>
        <w:spacing w:before="13" w:line="280" w:lineRule="exact"/>
        <w:jc w:val="both"/>
        <w:rPr>
          <w:rFonts w:cstheme="minorHAnsi"/>
          <w:sz w:val="24"/>
          <w:szCs w:val="24"/>
        </w:rPr>
      </w:pPr>
    </w:p>
    <w:p>
      <w:pPr>
        <w:kinsoku w:val="0"/>
        <w:overflowPunct w:val="0"/>
        <w:spacing w:before="13" w:line="280" w:lineRule="exact"/>
        <w:jc w:val="both"/>
        <w:rPr>
          <w:rFonts w:cstheme="minorHAnsi"/>
          <w:sz w:val="24"/>
          <w:szCs w:val="24"/>
        </w:rPr>
      </w:pPr>
    </w:p>
    <w:p>
      <w:pPr>
        <w:kinsoku w:val="0"/>
        <w:overflowPunct w:val="0"/>
        <w:spacing w:before="13" w:line="280" w:lineRule="exact"/>
        <w:jc w:val="both"/>
        <w:rPr>
          <w:rFonts w:cstheme="minorHAnsi"/>
          <w:sz w:val="24"/>
          <w:szCs w:val="24"/>
        </w:rPr>
      </w:pPr>
    </w:p>
    <w:p/>
    <w:p/>
    <w:p>
      <w:bookmarkStart w:id="2" w:name="_GoBack"/>
      <w:bookmarkEnd w:id="2"/>
    </w:p>
    <w:p/>
    <w:p/>
    <w:p/>
    <w:p/>
    <w:p/>
    <w:p/>
    <w:p/>
    <w:p/>
    <w:p/>
    <w:p/>
    <w:p/>
    <w:p/>
    <w:p/>
    <w:p/>
    <w:sectPr>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925681"/>
    <w:multiLevelType w:val="hybridMultilevel"/>
    <w:tmpl w:val="D18A11C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792851BF"/>
    <w:multiLevelType w:val="hybridMultilevel"/>
    <w:tmpl w:val="8DC0A2F4"/>
    <w:lvl w:ilvl="0" w:tplc="70480F4A">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917C84-8BCB-452F-9CA8-AC1333D40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itre1">
    <w:name w:val="heading 1"/>
    <w:basedOn w:val="Normal"/>
    <w:link w:val="Titre1Car"/>
    <w:uiPriority w:val="1"/>
    <w:qFormat/>
    <w:pPr>
      <w:widowControl w:val="0"/>
      <w:spacing w:after="0" w:line="240" w:lineRule="auto"/>
      <w:jc w:val="both"/>
      <w:outlineLvl w:val="0"/>
    </w:pPr>
    <w:rPr>
      <w:rFonts w:ascii="Segoe UI" w:eastAsia="Times New Roman" w:hAnsi="Segoe UI"/>
      <w:b/>
      <w:sz w:val="24"/>
      <w:szCs w:val="24"/>
      <w:u w:val="single"/>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character" w:customStyle="1" w:styleId="Titre1Car">
    <w:name w:val="Titre 1 Car"/>
    <w:basedOn w:val="Policepardfaut"/>
    <w:link w:val="Titre1"/>
    <w:uiPriority w:val="1"/>
    <w:rPr>
      <w:rFonts w:ascii="Segoe UI" w:eastAsia="Times New Roman" w:hAnsi="Segoe UI"/>
      <w:b/>
      <w:sz w:val="24"/>
      <w:szCs w:val="24"/>
      <w:u w:val="single"/>
      <w:lang w:val="en-US"/>
    </w:rPr>
  </w:style>
  <w:style w:type="paragraph" w:styleId="Paragraphedeliste">
    <w:name w:val="List Paragraph"/>
    <w:basedOn w:val="Normal"/>
    <w:uiPriority w:val="1"/>
    <w:qFormat/>
    <w:pPr>
      <w:widowControl w:val="0"/>
      <w:spacing w:after="0" w:line="240" w:lineRule="auto"/>
    </w:pPr>
    <w:rPr>
      <w:lang w:val="en-US"/>
    </w:rPr>
  </w:style>
  <w:style w:type="character" w:customStyle="1" w:styleId="ElApptiartf">
    <w:name w:val="ElApp_tiartf"/>
    <w:rPr>
      <w:b/>
      <w:bCs/>
      <w:sz w:val="15"/>
      <w:szCs w:val="15"/>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teleaccords.travail-emploi.gouv.f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697</Words>
  <Characters>3836</Characters>
  <Application>Microsoft Office Word</Application>
  <DocSecurity>0</DocSecurity>
  <Lines>31</Lines>
  <Paragraphs>9</Paragraphs>
  <ScaleCrop>false</ScaleCrop>
  <HeadingPairs>
    <vt:vector size="2" baseType="variant">
      <vt:variant>
        <vt:lpstr>Titre</vt:lpstr>
      </vt:variant>
      <vt:variant>
        <vt:i4>1</vt:i4>
      </vt:variant>
    </vt:vector>
  </HeadingPairs>
  <TitlesOfParts>
    <vt:vector size="1" baseType="lpstr">
      <vt:lpstr/>
    </vt:vector>
  </TitlesOfParts>
  <Company>Oc Santé</Company>
  <LinksUpToDate>false</LinksUpToDate>
  <CharactersWithSpaces>4524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Laetitia Gilli</dc:creator>
  <cp:keywords/>
  <dc:description/>
  <cp:lastModifiedBy>Bérangère BDC. decrozals</cp:lastModifiedBy>
  <cp:revision>4</cp:revision>
  <cp:lastPrinted>2026-01-30T14:48:00Z</cp:lastPrinted>
  <dcterms:created xsi:type="dcterms:W3CDTF">2026-01-30T15:06:00Z</dcterms:created>
  <dcterms:modified xsi:type="dcterms:W3CDTF">2026-01-30T15:43:00Z</dcterms:modified>
</cp:coreProperties>
</file>