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2.xml" ContentType="application/vnd.openxmlformats-officedocument.wordprocessingml.header+xml"/>
  <Override PartName="/word/numbering.xml" ContentType="application/vnd.openxmlformats-officedocument.wordprocessingml.numbering+xml"/>
  <Override PartName="/word/media/image1.wmf" ContentType="image/x-wmf"/>
  <Override PartName="/word/header1.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spacing w:lineRule="auto" w:line="276"/>
        <w:rPr>
          <w:rFonts w:ascii="Arial" w:hAnsi="Arial" w:cs="Arial"/>
          <w:smallCaps/>
          <w:sz w:val="22"/>
          <w:szCs w:val="22"/>
        </w:rPr>
      </w:pPr>
      <w:r>
        <w:rPr>
          <w:rFonts w:cs="Arial" w:ascii="Arial" w:hAnsi="Arial"/>
          <w:smallCaps/>
          <w:sz w:val="22"/>
          <w:szCs w:val="22"/>
        </w:rPr>
        <w:t xml:space="preserve"> </w:t>
      </w:r>
    </w:p>
    <w:tbl>
      <w:tblPr>
        <w:tblW w:w="10029" w:type="dxa"/>
        <w:jc w:val="start"/>
        <w:tblInd w:w="0" w:type="dxa"/>
        <w:tblLayout w:type="fixed"/>
        <w:tblCellMar>
          <w:top w:w="0" w:type="dxa"/>
          <w:start w:w="108" w:type="dxa"/>
          <w:bottom w:w="0" w:type="dxa"/>
          <w:end w:w="108" w:type="dxa"/>
        </w:tblCellMar>
        <w:tblLook w:firstRow="1" w:noVBand="1" w:lastRow="0" w:firstColumn="1" w:lastColumn="0" w:noHBand="0" w:val="04a0"/>
      </w:tblPr>
      <w:tblGrid>
        <w:gridCol w:w="10029"/>
      </w:tblGrid>
      <w:tr>
        <w:trPr>
          <w:trHeight w:val="1374" w:hRule="atLeast"/>
        </w:trPr>
        <w:tc>
          <w:tcPr>
            <w:tcW w:w="10029" w:type="dxa"/>
            <w:tcBorders>
              <w:top w:val="single" w:sz="4" w:space="0" w:color="000000"/>
              <w:start w:val="single" w:sz="4" w:space="0" w:color="000000"/>
              <w:bottom w:val="single" w:sz="4" w:space="0" w:color="000000"/>
              <w:end w:val="single" w:sz="4" w:space="0" w:color="000000"/>
            </w:tcBorders>
            <w:shd w:color="auto" w:fill="3200E6" w:val="clear"/>
          </w:tcPr>
          <w:p>
            <w:pPr>
              <w:pStyle w:val="Normal"/>
              <w:spacing w:lineRule="auto" w:line="276"/>
              <w:jc w:val="both"/>
              <w:rPr>
                <w:rFonts w:ascii="Arial" w:hAnsi="Arial" w:eastAsia="Calibri" w:cs="Arial"/>
                <w:sz w:val="22"/>
                <w:szCs w:val="22"/>
              </w:rPr>
            </w:pPr>
            <w:r>
              <w:rPr>
                <w:rFonts w:eastAsia="Calibri" w:cs="Arial" w:ascii="Arial" w:hAnsi="Arial"/>
                <w:sz w:val="22"/>
                <w:szCs w:val="22"/>
              </w:rPr>
            </w:r>
          </w:p>
          <w:p>
            <w:pPr>
              <w:pStyle w:val="Normal"/>
              <w:spacing w:lineRule="auto" w:line="276"/>
              <w:jc w:val="center"/>
              <w:rPr>
                <w:rFonts w:ascii="Arial" w:hAnsi="Arial" w:cs="Arial"/>
                <w:b/>
                <w:sz w:val="22"/>
                <w:szCs w:val="22"/>
              </w:rPr>
            </w:pPr>
            <w:r>
              <w:rPr>
                <w:rFonts w:cs="Arial" w:ascii="Arial" w:hAnsi="Arial"/>
                <w:b/>
                <w:sz w:val="22"/>
                <w:szCs w:val="22"/>
              </w:rPr>
              <w:t>ACCORD RELATIF A LA NEGOCIATION ANNUELLE OBLIGATOIRE SUR LES SALAIRES EFFECTIFS, LA DUREE EFFECTIVE ET L’ORGANISATION DU TEMPS DE TRAVAIL, ET LE PARTAGE DE LA VALEUR AJOUTEE</w:t>
            </w:r>
          </w:p>
          <w:p>
            <w:pPr>
              <w:pStyle w:val="Normal"/>
              <w:spacing w:lineRule="auto" w:line="276"/>
              <w:jc w:val="center"/>
              <w:rPr>
                <w:rFonts w:ascii="Arial" w:hAnsi="Arial" w:eastAsia="Calibri" w:cs="Arial"/>
                <w:sz w:val="22"/>
                <w:szCs w:val="22"/>
              </w:rPr>
            </w:pPr>
            <w:r>
              <w:rPr>
                <w:rFonts w:eastAsia="Calibri" w:cs="Arial" w:ascii="Arial" w:hAnsi="Arial"/>
                <w:sz w:val="22"/>
                <w:szCs w:val="22"/>
              </w:rPr>
            </w:r>
          </w:p>
        </w:tc>
      </w:tr>
    </w:tbl>
    <w:p>
      <w:pPr>
        <w:pStyle w:val="Normal"/>
        <w:spacing w:lineRule="auto" w:line="276"/>
        <w:ind w:firstLine="708" w:start="2832"/>
        <w:rPr>
          <w:rFonts w:ascii="Arial" w:hAnsi="Arial" w:cs="Arial"/>
          <w:smallCaps/>
          <w:sz w:val="22"/>
          <w:szCs w:val="22"/>
        </w:rPr>
      </w:pPr>
      <w:r>
        <w:rPr>
          <w:rFonts w:cs="Arial" w:ascii="Arial" w:hAnsi="Arial"/>
          <w:smallCaps/>
          <w:sz w:val="22"/>
          <w:szCs w:val="22"/>
        </w:rPr>
      </w:r>
    </w:p>
    <w:p>
      <w:pPr>
        <w:pStyle w:val="NoSpacing"/>
        <w:jc w:val="both"/>
        <w:rPr>
          <w:rFonts w:ascii="Arial" w:hAnsi="Arial" w:cs="Arial"/>
        </w:rPr>
      </w:pPr>
      <w:r>
        <w:rPr>
          <w:rFonts w:cs="Arial" w:ascii="Arial" w:hAnsi="Arial"/>
        </w:rPr>
        <w:t>La négociation annuelle portant sur les salaires, les effectifs, la durée effective et l’organisation du temps de travail ainsi que les objectifs en matière d’égalité professionnelle entre les hommes et les femmes s’est engagée conformément à l’article L.2242-1 et suivants du Code du travail.</w:t>
      </w:r>
    </w:p>
    <w:p>
      <w:pPr>
        <w:pStyle w:val="Normal"/>
        <w:spacing w:lineRule="auto" w:line="276"/>
        <w:ind w:firstLine="708" w:start="2832"/>
        <w:rPr>
          <w:rFonts w:ascii="Arial" w:hAnsi="Arial" w:cs="Arial"/>
          <w:sz w:val="22"/>
          <w:szCs w:val="22"/>
        </w:rPr>
      </w:pPr>
      <w:r>
        <w:rPr>
          <w:rFonts w:cs="Arial" w:ascii="Arial" w:hAnsi="Arial"/>
          <w:sz w:val="22"/>
          <w:szCs w:val="22"/>
        </w:rPr>
      </w:r>
    </w:p>
    <w:p>
      <w:pPr>
        <w:pStyle w:val="Normal"/>
        <w:spacing w:lineRule="auto" w:line="276"/>
        <w:rPr>
          <w:rFonts w:ascii="Arial" w:hAnsi="Arial" w:cs="Arial"/>
          <w:smallCaps/>
          <w:sz w:val="22"/>
          <w:szCs w:val="22"/>
        </w:rPr>
      </w:pPr>
      <w:r>
        <w:rPr>
          <w:rFonts w:cs="Arial" w:ascii="Arial" w:hAnsi="Arial"/>
          <w:smallCaps/>
          <w:sz w:val="22"/>
          <w:szCs w:val="22"/>
        </w:rPr>
      </w:r>
    </w:p>
    <w:p>
      <w:pPr>
        <w:pStyle w:val="Normal"/>
        <w:spacing w:lineRule="auto" w:line="276"/>
        <w:rPr>
          <w:rFonts w:ascii="Arial" w:hAnsi="Arial" w:cs="Arial"/>
          <w:b/>
          <w:bCs/>
          <w:smallCaps/>
          <w:sz w:val="22"/>
          <w:szCs w:val="22"/>
          <w:u w:val="single"/>
        </w:rPr>
      </w:pPr>
      <w:r>
        <w:rPr>
          <w:rFonts w:cs="Arial" w:ascii="Arial" w:hAnsi="Arial"/>
          <w:b/>
          <w:bCs/>
          <w:smallCaps/>
          <w:sz w:val="22"/>
          <w:szCs w:val="22"/>
          <w:u w:val="single"/>
        </w:rPr>
        <w:t>entre les soussignés,</w:t>
      </w:r>
    </w:p>
    <w:p>
      <w:pPr>
        <w:pStyle w:val="Normal"/>
        <w:spacing w:lineRule="auto" w:line="276"/>
        <w:rPr>
          <w:rFonts w:ascii="Arial" w:hAnsi="Arial" w:cs="Arial"/>
          <w:sz w:val="22"/>
          <w:szCs w:val="22"/>
        </w:rPr>
      </w:pPr>
      <w:r>
        <w:rPr>
          <w:rFonts w:cs="Arial" w:ascii="Arial" w:hAnsi="Arial"/>
          <w:sz w:val="22"/>
          <w:szCs w:val="22"/>
        </w:rPr>
      </w:r>
    </w:p>
    <w:p>
      <w:pPr>
        <w:pStyle w:val="Normal"/>
        <w:spacing w:lineRule="auto" w:line="276"/>
        <w:rPr>
          <w:rFonts w:ascii="Arial" w:hAnsi="Arial" w:cs="Arial"/>
          <w:sz w:val="22"/>
          <w:szCs w:val="22"/>
        </w:rPr>
      </w:pPr>
      <w:r>
        <w:rPr>
          <w:rFonts w:cs="Arial" w:ascii="Arial" w:hAnsi="Arial"/>
          <w:sz w:val="22"/>
          <w:szCs w:val="22"/>
        </w:rPr>
      </w:r>
    </w:p>
    <w:p>
      <w:pPr>
        <w:pStyle w:val="Normal"/>
        <w:spacing w:lineRule="auto" w:line="276"/>
        <w:jc w:val="both"/>
        <w:rPr>
          <w:rFonts w:ascii="Arial" w:hAnsi="Arial" w:cs="Arial"/>
          <w:sz w:val="22"/>
          <w:szCs w:val="22"/>
        </w:rPr>
      </w:pPr>
      <w:r>
        <w:rPr>
          <w:rFonts w:cs="Arial" w:ascii="Arial" w:hAnsi="Arial"/>
          <w:sz w:val="22"/>
          <w:szCs w:val="22"/>
        </w:rPr>
        <w:t xml:space="preserve">La </w:t>
      </w:r>
      <w:r>
        <w:rPr>
          <w:rFonts w:cs="Arial" w:ascii="Arial" w:hAnsi="Arial"/>
          <w:b/>
          <w:bCs/>
          <w:sz w:val="22"/>
          <w:szCs w:val="22"/>
        </w:rPr>
        <w:t>Société GEODIS D&amp;E DAUPHINE</w:t>
      </w:r>
      <w:r>
        <w:rPr>
          <w:rFonts w:cs="Arial" w:ascii="Arial" w:hAnsi="Arial"/>
          <w:sz w:val="22"/>
          <w:szCs w:val="22"/>
        </w:rPr>
        <w:t>, dont le Siège social est situé 26, quai Charles Pasqua 92300 Levallois PERRET prise en tous ses établissements,</w:t>
      </w:r>
    </w:p>
    <w:p>
      <w:pPr>
        <w:pStyle w:val="Normal"/>
        <w:spacing w:lineRule="auto" w:line="276"/>
        <w:jc w:val="both"/>
        <w:rPr>
          <w:rFonts w:ascii="Arial" w:hAnsi="Arial" w:cs="Arial"/>
          <w:sz w:val="22"/>
          <w:szCs w:val="22"/>
        </w:rPr>
      </w:pPr>
      <w:r>
        <w:rPr>
          <w:rFonts w:cs="Arial" w:ascii="Arial" w:hAnsi="Arial"/>
          <w:sz w:val="22"/>
          <w:szCs w:val="22"/>
        </w:rPr>
      </w:r>
    </w:p>
    <w:p>
      <w:pPr>
        <w:pStyle w:val="Normal"/>
        <w:spacing w:lineRule="auto" w:line="276"/>
        <w:jc w:val="both"/>
        <w:rPr>
          <w:rFonts w:ascii="Arial" w:hAnsi="Arial" w:cs="Arial"/>
          <w:sz w:val="22"/>
          <w:szCs w:val="22"/>
        </w:rPr>
      </w:pPr>
      <w:r>
        <w:rPr>
          <w:rFonts w:cs="Arial" w:ascii="Arial" w:hAnsi="Arial"/>
          <w:sz w:val="22"/>
          <w:szCs w:val="22"/>
        </w:rPr>
        <w:t>Représentée par XXX, agissant en qualité de Présidente du CSE et dûment mandatée à cet effet par XXX, Président de la SAS GEODIS D&amp;E DAUPHINE,</w:t>
      </w:r>
    </w:p>
    <w:p>
      <w:pPr>
        <w:pStyle w:val="Normal"/>
        <w:spacing w:lineRule="auto" w:line="276"/>
        <w:rPr>
          <w:rFonts w:ascii="Arial" w:hAnsi="Arial" w:cs="Arial"/>
          <w:sz w:val="22"/>
          <w:szCs w:val="22"/>
        </w:rPr>
      </w:pPr>
      <w:r>
        <w:rPr>
          <w:rFonts w:cs="Arial" w:ascii="Arial" w:hAnsi="Arial"/>
          <w:sz w:val="22"/>
          <w:szCs w:val="22"/>
        </w:rPr>
      </w:r>
    </w:p>
    <w:p>
      <w:pPr>
        <w:pStyle w:val="Normal"/>
        <w:spacing w:lineRule="auto" w:line="276"/>
        <w:jc w:val="end"/>
        <w:rPr>
          <w:rFonts w:ascii="Arial" w:hAnsi="Arial" w:cs="Arial"/>
          <w:b/>
          <w:bCs/>
          <w:smallCaps/>
          <w:sz w:val="22"/>
          <w:szCs w:val="22"/>
        </w:rPr>
      </w:pPr>
      <w:r>
        <w:rPr>
          <w:rFonts w:cs="Arial" w:ascii="Arial" w:hAnsi="Arial"/>
          <w:b/>
          <w:bCs/>
          <w:smallCaps/>
          <w:sz w:val="22"/>
          <w:szCs w:val="22"/>
        </w:rPr>
        <w:t>d'une part,</w:t>
      </w:r>
    </w:p>
    <w:p>
      <w:pPr>
        <w:pStyle w:val="Normal"/>
        <w:spacing w:lineRule="auto" w:line="276"/>
        <w:rPr>
          <w:rFonts w:ascii="Arial" w:hAnsi="Arial" w:cs="Arial"/>
          <w:sz w:val="22"/>
          <w:szCs w:val="22"/>
        </w:rPr>
      </w:pPr>
      <w:r>
        <w:rPr>
          <w:rFonts w:cs="Arial" w:ascii="Arial" w:hAnsi="Arial"/>
          <w:sz w:val="22"/>
          <w:szCs w:val="22"/>
        </w:rPr>
      </w:r>
    </w:p>
    <w:p>
      <w:pPr>
        <w:pStyle w:val="Normal"/>
        <w:spacing w:lineRule="auto" w:line="276"/>
        <w:rPr>
          <w:rFonts w:ascii="Arial" w:hAnsi="Arial" w:cs="Arial"/>
          <w:smallCaps/>
          <w:sz w:val="22"/>
          <w:szCs w:val="22"/>
        </w:rPr>
      </w:pPr>
      <w:r>
        <w:rPr>
          <w:rFonts w:cs="Arial" w:ascii="Arial" w:hAnsi="Arial"/>
          <w:smallCaps/>
          <w:sz w:val="22"/>
          <w:szCs w:val="22"/>
        </w:rPr>
      </w:r>
    </w:p>
    <w:p>
      <w:pPr>
        <w:pStyle w:val="Normal"/>
        <w:spacing w:lineRule="auto" w:line="276"/>
        <w:rPr>
          <w:rFonts w:ascii="Arial" w:hAnsi="Arial" w:cs="Arial"/>
          <w:b/>
          <w:bCs/>
          <w:smallCaps/>
          <w:sz w:val="22"/>
          <w:szCs w:val="22"/>
          <w:u w:val="single"/>
        </w:rPr>
      </w:pPr>
      <w:r>
        <w:rPr>
          <w:rFonts w:cs="Arial" w:ascii="Arial" w:hAnsi="Arial"/>
          <w:b/>
          <w:bCs/>
          <w:smallCaps/>
          <w:sz w:val="22"/>
          <w:szCs w:val="22"/>
          <w:u w:val="single"/>
        </w:rPr>
        <w:t>et</w:t>
      </w:r>
    </w:p>
    <w:p>
      <w:pPr>
        <w:pStyle w:val="Normal"/>
        <w:spacing w:lineRule="auto" w:line="276"/>
        <w:rPr>
          <w:rFonts w:ascii="Arial" w:hAnsi="Arial" w:cs="Arial"/>
          <w:sz w:val="22"/>
          <w:szCs w:val="22"/>
        </w:rPr>
      </w:pPr>
      <w:r>
        <w:rPr>
          <w:rFonts w:cs="Arial" w:ascii="Arial" w:hAnsi="Arial"/>
          <w:sz w:val="22"/>
          <w:szCs w:val="22"/>
        </w:rPr>
      </w:r>
    </w:p>
    <w:p>
      <w:pPr>
        <w:pStyle w:val="Normal"/>
        <w:spacing w:lineRule="auto" w:line="276"/>
        <w:rPr>
          <w:rFonts w:ascii="Arial" w:hAnsi="Arial" w:cs="Arial"/>
          <w:sz w:val="22"/>
          <w:szCs w:val="22"/>
        </w:rPr>
      </w:pPr>
      <w:r>
        <w:rPr>
          <w:rFonts w:cs="Arial" w:ascii="Arial" w:hAnsi="Arial"/>
          <w:sz w:val="22"/>
          <w:szCs w:val="22"/>
        </w:rPr>
      </w:r>
    </w:p>
    <w:p>
      <w:pPr>
        <w:pStyle w:val="Normal"/>
        <w:spacing w:lineRule="auto" w:line="276"/>
        <w:rPr>
          <w:rFonts w:ascii="Arial" w:hAnsi="Arial" w:cs="Arial"/>
          <w:sz w:val="22"/>
          <w:szCs w:val="22"/>
        </w:rPr>
      </w:pPr>
      <w:r>
        <w:rPr>
          <w:rFonts w:cs="Arial" w:ascii="Arial" w:hAnsi="Arial"/>
          <w:sz w:val="22"/>
          <w:szCs w:val="22"/>
        </w:rPr>
      </w:r>
    </w:p>
    <w:p>
      <w:pPr>
        <w:pStyle w:val="Normal"/>
        <w:spacing w:lineRule="auto" w:line="276"/>
        <w:rPr>
          <w:rFonts w:ascii="Arial" w:hAnsi="Arial" w:cs="Arial"/>
          <w:b/>
          <w:bCs/>
          <w:sz w:val="22"/>
          <w:szCs w:val="22"/>
        </w:rPr>
      </w:pPr>
      <w:r>
        <w:rPr>
          <w:rFonts w:cs="Arial" w:ascii="Arial" w:hAnsi="Arial"/>
          <w:b/>
          <w:bCs/>
          <w:sz w:val="22"/>
          <w:szCs w:val="22"/>
        </w:rPr>
        <w:t xml:space="preserve">Les organisations syndicales </w:t>
      </w:r>
    </w:p>
    <w:p>
      <w:pPr>
        <w:pStyle w:val="Normal"/>
        <w:spacing w:lineRule="auto" w:line="276"/>
        <w:rPr>
          <w:rFonts w:ascii="Arial" w:hAnsi="Arial" w:cs="Arial"/>
          <w:sz w:val="22"/>
          <w:szCs w:val="22"/>
        </w:rPr>
      </w:pPr>
      <w:r>
        <w:rPr>
          <w:rFonts w:cs="Arial" w:ascii="Arial" w:hAnsi="Arial"/>
          <w:sz w:val="22"/>
          <w:szCs w:val="22"/>
        </w:rPr>
      </w:r>
    </w:p>
    <w:p>
      <w:pPr>
        <w:pStyle w:val="Normal"/>
        <w:spacing w:lineRule="auto" w:line="276"/>
        <w:rPr>
          <w:rFonts w:ascii="Arial" w:hAnsi="Arial" w:cs="Arial"/>
          <w:sz w:val="22"/>
          <w:szCs w:val="22"/>
        </w:rPr>
      </w:pPr>
      <w:r>
        <w:rPr>
          <w:rFonts w:cs="Arial" w:ascii="Arial" w:hAnsi="Arial"/>
          <w:sz w:val="22"/>
          <w:szCs w:val="22"/>
        </w:rPr>
        <w:t>Représentées par :</w:t>
      </w:r>
    </w:p>
    <w:p>
      <w:pPr>
        <w:pStyle w:val="Normal"/>
        <w:spacing w:lineRule="auto" w:line="276"/>
        <w:rPr>
          <w:rFonts w:ascii="Arial" w:hAnsi="Arial" w:cs="Arial"/>
          <w:sz w:val="22"/>
          <w:szCs w:val="22"/>
        </w:rPr>
      </w:pPr>
      <w:r>
        <w:rPr>
          <w:rFonts w:cs="Arial" w:ascii="Arial" w:hAnsi="Arial"/>
          <w:sz w:val="22"/>
          <w:szCs w:val="22"/>
        </w:rPr>
      </w:r>
    </w:p>
    <w:p>
      <w:pPr>
        <w:pStyle w:val="Normal"/>
        <w:spacing w:lineRule="auto" w:line="276"/>
        <w:rPr>
          <w:rFonts w:ascii="Arial" w:hAnsi="Arial" w:cs="Arial"/>
          <w:sz w:val="22"/>
          <w:szCs w:val="22"/>
        </w:rPr>
      </w:pPr>
      <w:r>
        <w:rPr>
          <w:rFonts w:cs="Arial" w:ascii="Arial" w:hAnsi="Arial"/>
          <w:sz w:val="22"/>
          <w:szCs w:val="22"/>
        </w:rPr>
        <w:t xml:space="preserve">CFDT, représentée par XXX </w:t>
      </w:r>
    </w:p>
    <w:p>
      <w:pPr>
        <w:pStyle w:val="Normal"/>
        <w:spacing w:lineRule="auto" w:line="276"/>
        <w:rPr>
          <w:rFonts w:ascii="Arial" w:hAnsi="Arial" w:cs="Arial"/>
          <w:sz w:val="22"/>
          <w:szCs w:val="22"/>
        </w:rPr>
      </w:pPr>
      <w:r>
        <w:rPr>
          <w:rFonts w:cs="Arial" w:ascii="Arial" w:hAnsi="Arial"/>
          <w:sz w:val="22"/>
          <w:szCs w:val="22"/>
        </w:rPr>
        <w:t xml:space="preserve">CFTC, représentée par XXX </w:t>
      </w:r>
    </w:p>
    <w:p>
      <w:pPr>
        <w:pStyle w:val="Normal"/>
        <w:spacing w:lineRule="auto" w:line="276"/>
        <w:rPr>
          <w:rFonts w:ascii="Arial" w:hAnsi="Arial" w:cs="Arial"/>
          <w:sz w:val="22"/>
          <w:szCs w:val="22"/>
        </w:rPr>
      </w:pPr>
      <w:r>
        <w:rPr>
          <w:rFonts w:cs="Arial" w:ascii="Arial" w:hAnsi="Arial"/>
          <w:sz w:val="22"/>
          <w:szCs w:val="22"/>
        </w:rPr>
        <w:t>CGT, représentée par XXX</w:t>
      </w:r>
    </w:p>
    <w:p>
      <w:pPr>
        <w:pStyle w:val="Normal"/>
        <w:spacing w:lineRule="auto" w:line="276"/>
        <w:jc w:val="end"/>
        <w:rPr>
          <w:rFonts w:ascii="Arial" w:hAnsi="Arial" w:cs="Arial"/>
          <w:smallCaps/>
          <w:sz w:val="22"/>
          <w:szCs w:val="22"/>
        </w:rPr>
      </w:pPr>
      <w:r>
        <w:rPr>
          <w:rFonts w:cs="Arial" w:ascii="Arial" w:hAnsi="Arial"/>
          <w:smallCaps/>
          <w:sz w:val="22"/>
          <w:szCs w:val="22"/>
        </w:rPr>
      </w:r>
    </w:p>
    <w:p>
      <w:pPr>
        <w:pStyle w:val="Normal"/>
        <w:spacing w:lineRule="auto" w:line="276"/>
        <w:jc w:val="end"/>
        <w:rPr>
          <w:rFonts w:ascii="Arial" w:hAnsi="Arial" w:cs="Arial"/>
          <w:b/>
          <w:bCs/>
          <w:smallCaps/>
          <w:sz w:val="22"/>
          <w:szCs w:val="22"/>
        </w:rPr>
      </w:pPr>
      <w:r>
        <w:rPr>
          <w:rFonts w:cs="Arial" w:ascii="Arial" w:hAnsi="Arial"/>
          <w:b/>
          <w:bCs/>
          <w:smallCaps/>
          <w:sz w:val="22"/>
          <w:szCs w:val="22"/>
        </w:rPr>
        <w:t>d'autre part.</w:t>
      </w:r>
    </w:p>
    <w:p>
      <w:pPr>
        <w:pStyle w:val="Normal"/>
        <w:spacing w:lineRule="auto" w:line="276"/>
        <w:rPr>
          <w:rFonts w:ascii="Arial" w:hAnsi="Arial" w:cs="Arial"/>
          <w:b/>
          <w:smallCaps/>
          <w:sz w:val="22"/>
          <w:szCs w:val="22"/>
          <w:u w:val="single"/>
        </w:rPr>
      </w:pPr>
      <w:r>
        <w:rPr>
          <w:rFonts w:cs="Arial" w:ascii="Arial" w:hAnsi="Arial"/>
          <w:b/>
          <w:smallCaps/>
          <w:sz w:val="22"/>
          <w:szCs w:val="22"/>
          <w:u w:val="single"/>
        </w:rPr>
      </w:r>
    </w:p>
    <w:p>
      <w:pPr>
        <w:pStyle w:val="Normal"/>
        <w:spacing w:lineRule="auto" w:line="276"/>
        <w:rPr>
          <w:rFonts w:ascii="Arial" w:hAnsi="Arial" w:cs="Arial"/>
          <w:b/>
          <w:smallCaps/>
          <w:sz w:val="22"/>
          <w:szCs w:val="22"/>
          <w:u w:val="single"/>
        </w:rPr>
      </w:pPr>
      <w:r>
        <w:rPr>
          <w:rFonts w:cs="Arial" w:ascii="Arial" w:hAnsi="Arial"/>
          <w:b/>
          <w:smallCaps/>
          <w:sz w:val="22"/>
          <w:szCs w:val="22"/>
          <w:u w:val="single"/>
        </w:rPr>
      </w:r>
    </w:p>
    <w:p>
      <w:pPr>
        <w:pStyle w:val="Normal"/>
        <w:spacing w:lineRule="auto" w:line="276"/>
        <w:rPr>
          <w:rFonts w:ascii="Arial" w:hAnsi="Arial" w:cs="Arial"/>
          <w:b/>
          <w:smallCaps/>
          <w:sz w:val="22"/>
          <w:szCs w:val="22"/>
          <w:u w:val="single"/>
        </w:rPr>
      </w:pPr>
      <w:r>
        <w:rPr>
          <w:rFonts w:cs="Arial" w:ascii="Arial" w:hAnsi="Arial"/>
          <w:b/>
          <w:smallCaps/>
          <w:sz w:val="22"/>
          <w:szCs w:val="22"/>
          <w:u w:val="single"/>
        </w:rPr>
      </w:r>
    </w:p>
    <w:p>
      <w:pPr>
        <w:pStyle w:val="Normal"/>
        <w:spacing w:lineRule="auto" w:line="276"/>
        <w:rPr>
          <w:rFonts w:ascii="Arial" w:hAnsi="Arial" w:cs="Arial"/>
          <w:b/>
          <w:smallCaps/>
          <w:sz w:val="22"/>
          <w:szCs w:val="22"/>
          <w:u w:val="single"/>
        </w:rPr>
      </w:pPr>
      <w:r>
        <w:rPr>
          <w:rFonts w:cs="Arial" w:ascii="Arial" w:hAnsi="Arial"/>
          <w:b/>
          <w:smallCaps/>
          <w:sz w:val="22"/>
          <w:szCs w:val="22"/>
          <w:u w:val="single"/>
        </w:rPr>
      </w:r>
    </w:p>
    <w:p>
      <w:pPr>
        <w:pStyle w:val="Normal"/>
        <w:spacing w:lineRule="auto" w:line="276"/>
        <w:rPr>
          <w:rFonts w:ascii="Arial" w:hAnsi="Arial" w:cs="Arial"/>
          <w:b/>
          <w:smallCaps/>
          <w:sz w:val="22"/>
          <w:szCs w:val="22"/>
          <w:u w:val="single"/>
        </w:rPr>
      </w:pPr>
      <w:r>
        <w:rPr>
          <w:rFonts w:cs="Arial" w:ascii="Arial" w:hAnsi="Arial"/>
          <w:b/>
          <w:smallCaps/>
          <w:sz w:val="22"/>
          <w:szCs w:val="22"/>
          <w:u w:val="single"/>
        </w:rPr>
      </w:r>
    </w:p>
    <w:p>
      <w:pPr>
        <w:pStyle w:val="Normal"/>
        <w:spacing w:lineRule="auto" w:line="276"/>
        <w:rPr>
          <w:rFonts w:ascii="Arial" w:hAnsi="Arial" w:cs="Arial"/>
          <w:b/>
          <w:smallCaps/>
          <w:sz w:val="22"/>
          <w:szCs w:val="22"/>
          <w:u w:val="single"/>
        </w:rPr>
      </w:pPr>
      <w:r>
        <w:rPr>
          <w:rFonts w:cs="Arial" w:ascii="Arial" w:hAnsi="Arial"/>
          <w:b/>
          <w:smallCaps/>
          <w:sz w:val="22"/>
          <w:szCs w:val="22"/>
          <w:u w:val="single"/>
        </w:rPr>
      </w:r>
    </w:p>
    <w:p>
      <w:pPr>
        <w:pStyle w:val="Normal"/>
        <w:spacing w:lineRule="auto" w:line="276"/>
        <w:rPr>
          <w:rFonts w:ascii="Arial" w:hAnsi="Arial" w:cs="Arial"/>
          <w:b/>
          <w:smallCaps/>
          <w:sz w:val="22"/>
          <w:szCs w:val="22"/>
          <w:u w:val="single"/>
        </w:rPr>
      </w:pPr>
      <w:r>
        <w:rPr>
          <w:rFonts w:cs="Arial" w:ascii="Arial" w:hAnsi="Arial"/>
          <w:b/>
          <w:smallCaps/>
          <w:sz w:val="22"/>
          <w:szCs w:val="22"/>
          <w:u w:val="single"/>
        </w:rPr>
      </w:r>
    </w:p>
    <w:p>
      <w:pPr>
        <w:pStyle w:val="Normal"/>
        <w:spacing w:lineRule="auto" w:line="276"/>
        <w:rPr>
          <w:rFonts w:ascii="Arial" w:hAnsi="Arial" w:cs="Arial"/>
          <w:b/>
          <w:smallCaps/>
          <w:sz w:val="22"/>
          <w:szCs w:val="22"/>
          <w:u w:val="single"/>
        </w:rPr>
      </w:pPr>
      <w:r>
        <w:rPr>
          <w:rFonts w:cs="Arial" w:ascii="Arial" w:hAnsi="Arial"/>
          <w:b/>
          <w:smallCaps/>
          <w:sz w:val="22"/>
          <w:szCs w:val="22"/>
          <w:u w:val="single"/>
        </w:rPr>
        <w:t>Préambule</w:t>
      </w:r>
    </w:p>
    <w:p>
      <w:pPr>
        <w:pStyle w:val="Normal"/>
        <w:spacing w:lineRule="auto" w:line="276"/>
        <w:jc w:val="both"/>
        <w:rPr>
          <w:rFonts w:ascii="Arial" w:hAnsi="Arial" w:cs="Arial"/>
          <w:sz w:val="22"/>
          <w:szCs w:val="22"/>
        </w:rPr>
      </w:pPr>
      <w:r>
        <w:rPr>
          <w:rFonts w:cs="Arial" w:ascii="Arial" w:hAnsi="Arial"/>
          <w:sz w:val="22"/>
          <w:szCs w:val="22"/>
        </w:rPr>
      </w:r>
    </w:p>
    <w:p>
      <w:pPr>
        <w:pStyle w:val="NoSpacing"/>
        <w:jc w:val="both"/>
        <w:rPr>
          <w:rFonts w:ascii="Arial" w:hAnsi="Arial" w:cs="Arial"/>
        </w:rPr>
      </w:pPr>
      <w:r>
        <w:rPr>
          <w:rFonts w:cs="Arial" w:ascii="Arial" w:hAnsi="Arial"/>
        </w:rPr>
        <w:t>Il est rappelé que les parties se sont rencontrées à plusieurs reprises, à savoir le 5 février 2026 (réunion préparatoire aux modalités de négociation), puis le 24 février 2026, et le 5 mars 2026, dans le cadre de la négociation d’un accord relatif à la négociation annuelle obligatoire sur les salaires effectifs, la durée effective et l’organisation du temps de travail, et le partage de valeur ajoutée.</w:t>
      </w:r>
    </w:p>
    <w:p>
      <w:pPr>
        <w:pStyle w:val="NoSpacing"/>
        <w:jc w:val="both"/>
        <w:rPr>
          <w:rFonts w:ascii="Arial" w:hAnsi="Arial" w:cs="Arial"/>
        </w:rPr>
      </w:pPr>
      <w:r>
        <w:rPr>
          <w:rFonts w:cs="Arial" w:ascii="Arial" w:hAnsi="Arial"/>
        </w:rPr>
      </w:r>
    </w:p>
    <w:p>
      <w:pPr>
        <w:pStyle w:val="NoSpacing"/>
        <w:jc w:val="both"/>
        <w:rPr>
          <w:rFonts w:ascii="Arial" w:hAnsi="Arial" w:cs="Arial"/>
        </w:rPr>
      </w:pPr>
      <w:r>
        <w:rPr>
          <w:rFonts w:cs="Arial" w:ascii="Arial" w:hAnsi="Arial"/>
        </w:rPr>
        <w:t xml:space="preserve">Préalablement à la première réunion de négociation, la Direction rappelle qu’elle a remis aux délégations syndicales l’ensemble des informations légales. </w:t>
      </w:r>
    </w:p>
    <w:p>
      <w:pPr>
        <w:pStyle w:val="NoSpacing"/>
        <w:jc w:val="both"/>
        <w:rPr>
          <w:rFonts w:ascii="Arial" w:hAnsi="Arial" w:cs="Arial"/>
        </w:rPr>
      </w:pPr>
      <w:r>
        <w:rPr>
          <w:rFonts w:cs="Arial" w:ascii="Arial" w:hAnsi="Arial"/>
        </w:rPr>
      </w:r>
    </w:p>
    <w:p>
      <w:pPr>
        <w:pStyle w:val="NoSpacing"/>
        <w:jc w:val="both"/>
        <w:rPr>
          <w:rFonts w:ascii="Arial" w:hAnsi="Arial" w:cs="Arial"/>
        </w:rPr>
      </w:pPr>
      <w:r>
        <w:rPr>
          <w:rFonts w:cs="Arial" w:ascii="Arial" w:hAnsi="Arial"/>
        </w:rPr>
        <w:t>Les délégations syndicales ont pu faire part à la Direction des propositions qu’elles souhaitaient soumettre dans le cadre des Négociations Annuelles Obligatoires dites « NAO ».</w:t>
      </w:r>
    </w:p>
    <w:p>
      <w:pPr>
        <w:pStyle w:val="Normal"/>
        <w:spacing w:lineRule="auto" w:line="276"/>
        <w:jc w:val="both"/>
        <w:rPr>
          <w:rFonts w:ascii="Arial" w:hAnsi="Arial" w:cs="Arial"/>
          <w:b/>
          <w:caps/>
          <w:sz w:val="22"/>
          <w:szCs w:val="22"/>
          <w:u w:val="single"/>
        </w:rPr>
      </w:pPr>
      <w:r>
        <w:rPr>
          <w:rFonts w:cs="Arial" w:ascii="Arial" w:hAnsi="Arial"/>
          <w:b/>
          <w:caps/>
          <w:sz w:val="22"/>
          <w:szCs w:val="22"/>
          <w:u w:val="single"/>
        </w:rPr>
      </w:r>
    </w:p>
    <w:p>
      <w:pPr>
        <w:pStyle w:val="Normal"/>
        <w:spacing w:lineRule="auto" w:line="276"/>
        <w:jc w:val="both"/>
        <w:rPr>
          <w:rFonts w:ascii="Arial" w:hAnsi="Arial" w:cs="Arial"/>
          <w:b/>
          <w:caps/>
          <w:sz w:val="22"/>
          <w:szCs w:val="22"/>
          <w:u w:val="single"/>
        </w:rPr>
      </w:pPr>
      <w:r>
        <w:rPr>
          <w:rFonts w:cs="Arial" w:ascii="Arial" w:hAnsi="Arial"/>
          <w:b/>
          <w:caps/>
          <w:sz w:val="22"/>
          <w:szCs w:val="22"/>
          <w:u w:val="single"/>
        </w:rPr>
        <w:t>Article 1 – CHAMP D’APPLICATION DE L’ACCORD</w:t>
      </w:r>
    </w:p>
    <w:p>
      <w:pPr>
        <w:pStyle w:val="Normal"/>
        <w:spacing w:lineRule="auto" w:line="276"/>
        <w:jc w:val="both"/>
        <w:rPr>
          <w:rFonts w:ascii="Arial" w:hAnsi="Arial" w:cs="Arial"/>
          <w:sz w:val="22"/>
          <w:szCs w:val="22"/>
        </w:rPr>
      </w:pPr>
      <w:r>
        <w:rPr>
          <w:rFonts w:cs="Arial" w:ascii="Arial" w:hAnsi="Arial"/>
          <w:sz w:val="22"/>
          <w:szCs w:val="22"/>
        </w:rPr>
      </w:r>
    </w:p>
    <w:p>
      <w:pPr>
        <w:pStyle w:val="Normal"/>
        <w:spacing w:lineRule="auto" w:line="276"/>
        <w:jc w:val="both"/>
        <w:rPr>
          <w:rFonts w:ascii="Arial" w:hAnsi="Arial" w:cs="Arial"/>
          <w:sz w:val="22"/>
          <w:szCs w:val="22"/>
        </w:rPr>
      </w:pPr>
      <w:r>
        <w:rPr>
          <w:rFonts w:cs="Arial" w:ascii="Arial" w:hAnsi="Arial"/>
          <w:sz w:val="22"/>
          <w:szCs w:val="22"/>
        </w:rPr>
        <w:t>Les dispositions suivantes s’appliquent à l’ensemble des salariés présents à la date de signature du présent accord de la société GEODIS D&amp;E DAUPHINE.</w:t>
      </w:r>
    </w:p>
    <w:p>
      <w:pPr>
        <w:pStyle w:val="Normal"/>
        <w:spacing w:lineRule="auto" w:line="276"/>
        <w:jc w:val="both"/>
        <w:rPr>
          <w:rFonts w:ascii="Arial" w:hAnsi="Arial" w:cs="Arial"/>
          <w:sz w:val="22"/>
          <w:szCs w:val="22"/>
        </w:rPr>
      </w:pPr>
      <w:r>
        <w:rPr>
          <w:rFonts w:cs="Arial" w:ascii="Arial" w:hAnsi="Arial"/>
          <w:sz w:val="22"/>
          <w:szCs w:val="22"/>
        </w:rPr>
      </w:r>
    </w:p>
    <w:p>
      <w:pPr>
        <w:pStyle w:val="Normal"/>
        <w:spacing w:lineRule="auto" w:line="276"/>
        <w:jc w:val="both"/>
        <w:rPr>
          <w:rFonts w:ascii="Arial" w:hAnsi="Arial" w:cs="Arial"/>
          <w:sz w:val="22"/>
          <w:szCs w:val="22"/>
        </w:rPr>
      </w:pPr>
      <w:r>
        <w:rPr>
          <w:rFonts w:cs="Arial" w:ascii="Arial" w:hAnsi="Arial"/>
          <w:sz w:val="22"/>
          <w:szCs w:val="22"/>
        </w:rPr>
        <w:t xml:space="preserve">La négociation annuelle est engagée par les partenaires sociaux pour l’ensemble de la société et de ses établissements. </w:t>
      </w:r>
    </w:p>
    <w:p>
      <w:pPr>
        <w:pStyle w:val="Normal"/>
        <w:spacing w:lineRule="auto" w:line="276"/>
        <w:jc w:val="both"/>
        <w:rPr>
          <w:rFonts w:ascii="Arial" w:hAnsi="Arial" w:cs="Arial"/>
          <w:sz w:val="22"/>
          <w:szCs w:val="22"/>
        </w:rPr>
      </w:pPr>
      <w:r>
        <w:rPr>
          <w:rFonts w:cs="Arial" w:ascii="Arial" w:hAnsi="Arial"/>
          <w:sz w:val="22"/>
          <w:szCs w:val="22"/>
        </w:rPr>
      </w:r>
    </w:p>
    <w:p>
      <w:pPr>
        <w:pStyle w:val="Normal"/>
        <w:spacing w:lineRule="auto" w:line="276"/>
        <w:jc w:val="both"/>
        <w:rPr>
          <w:rFonts w:ascii="Arial" w:hAnsi="Arial" w:cs="Arial"/>
          <w:b/>
          <w:smallCaps/>
          <w:sz w:val="22"/>
          <w:szCs w:val="22"/>
          <w:u w:val="single"/>
        </w:rPr>
      </w:pPr>
      <w:r>
        <w:rPr>
          <w:rFonts w:cs="Arial" w:ascii="Arial" w:hAnsi="Arial"/>
          <w:b/>
          <w:caps/>
          <w:sz w:val="22"/>
          <w:szCs w:val="22"/>
          <w:u w:val="single"/>
        </w:rPr>
        <w:t>Article 2</w:t>
      </w:r>
      <w:r>
        <w:rPr>
          <w:rFonts w:cs="Arial" w:ascii="Arial" w:hAnsi="Arial"/>
          <w:b/>
          <w:smallCaps/>
          <w:sz w:val="22"/>
          <w:szCs w:val="22"/>
          <w:u w:val="single"/>
        </w:rPr>
        <w:t xml:space="preserve"> – PROPOSITIONS INITIALES DES DELEGATIONS SYNDICALES</w:t>
      </w:r>
    </w:p>
    <w:p>
      <w:pPr>
        <w:pStyle w:val="Normal"/>
        <w:spacing w:lineRule="auto" w:line="276"/>
        <w:jc w:val="both"/>
        <w:rPr>
          <w:rFonts w:ascii="Arial" w:hAnsi="Arial" w:cs="Arial"/>
          <w:sz w:val="22"/>
          <w:szCs w:val="22"/>
        </w:rPr>
      </w:pPr>
      <w:r>
        <w:rPr>
          <w:rFonts w:cs="Arial" w:ascii="Arial" w:hAnsi="Arial"/>
          <w:sz w:val="22"/>
          <w:szCs w:val="22"/>
        </w:rPr>
      </w:r>
    </w:p>
    <w:p>
      <w:pPr>
        <w:pStyle w:val="Normal"/>
        <w:spacing w:lineRule="auto" w:line="276"/>
        <w:jc w:val="both"/>
        <w:rPr>
          <w:rFonts w:ascii="Arial" w:hAnsi="Arial" w:cs="Arial"/>
          <w:b/>
          <w:sz w:val="22"/>
          <w:szCs w:val="22"/>
          <w:u w:val="single"/>
        </w:rPr>
      </w:pPr>
      <w:r>
        <w:rPr>
          <w:rFonts w:cs="Arial" w:ascii="Arial" w:hAnsi="Arial"/>
          <w:b/>
          <w:sz w:val="22"/>
          <w:szCs w:val="22"/>
          <w:u w:val="single"/>
        </w:rPr>
        <w:t xml:space="preserve">Propositions communes - Délégations CFDT / CFTC </w:t>
      </w:r>
    </w:p>
    <w:p>
      <w:pPr>
        <w:pStyle w:val="Normal"/>
        <w:tabs>
          <w:tab w:val="clear" w:pos="708"/>
          <w:tab w:val="left" w:pos="1185" w:leader="none"/>
        </w:tabs>
        <w:spacing w:lineRule="auto" w:line="276"/>
        <w:jc w:val="both"/>
        <w:rPr>
          <w:rFonts w:ascii="Arial" w:hAnsi="Arial" w:cs="Arial"/>
          <w:sz w:val="22"/>
          <w:szCs w:val="22"/>
        </w:rPr>
      </w:pPr>
      <w:r>
        <w:rPr>
          <w:rFonts w:cs="Arial" w:ascii="Arial" w:hAnsi="Arial"/>
          <w:sz w:val="22"/>
          <w:szCs w:val="22"/>
        </w:rPr>
        <w:tab/>
      </w:r>
    </w:p>
    <w:p>
      <w:pPr>
        <w:pStyle w:val="Normal"/>
        <w:spacing w:lineRule="auto" w:line="276"/>
        <w:jc w:val="both"/>
        <w:rPr>
          <w:rFonts w:ascii="Arial" w:hAnsi="Arial" w:cs="Arial"/>
          <w:sz w:val="22"/>
          <w:szCs w:val="22"/>
        </w:rPr>
      </w:pPr>
      <w:r>
        <w:rPr>
          <w:rFonts w:cs="Arial" w:ascii="Arial" w:hAnsi="Arial"/>
          <w:sz w:val="22"/>
          <w:szCs w:val="22"/>
          <w:u w:val="single"/>
        </w:rPr>
        <w:t>Rémunération et autres éléments de rémunération</w:t>
      </w:r>
      <w:r>
        <w:rPr>
          <w:rFonts w:cs="Arial" w:ascii="Arial" w:hAnsi="Arial"/>
          <w:sz w:val="22"/>
          <w:szCs w:val="22"/>
        </w:rPr>
        <w:t> :</w:t>
      </w:r>
    </w:p>
    <w:p>
      <w:pPr>
        <w:pStyle w:val="Normal"/>
        <w:numPr>
          <w:ilvl w:val="0"/>
          <w:numId w:val="1"/>
        </w:numPr>
        <w:spacing w:lineRule="auto" w:line="276"/>
        <w:jc w:val="both"/>
        <w:rPr>
          <w:rFonts w:ascii="Arial" w:hAnsi="Arial" w:cs="Arial"/>
          <w:sz w:val="22"/>
          <w:szCs w:val="22"/>
          <w:u w:val="single"/>
        </w:rPr>
      </w:pPr>
      <w:r>
        <w:rPr>
          <w:rFonts w:cs="Arial" w:ascii="Arial" w:hAnsi="Arial"/>
          <w:sz w:val="22"/>
          <w:szCs w:val="22"/>
        </w:rPr>
        <w:t>Augmentation de 50 euros bruts pour les salaires &lt; ou = à 3000 euros</w:t>
      </w:r>
    </w:p>
    <w:p>
      <w:pPr>
        <w:pStyle w:val="Normal"/>
        <w:numPr>
          <w:ilvl w:val="0"/>
          <w:numId w:val="1"/>
        </w:numPr>
        <w:spacing w:lineRule="auto" w:line="276"/>
        <w:jc w:val="both"/>
        <w:rPr>
          <w:rFonts w:ascii="Arial" w:hAnsi="Arial" w:cs="Arial"/>
          <w:sz w:val="22"/>
          <w:szCs w:val="22"/>
          <w:u w:val="single"/>
        </w:rPr>
      </w:pPr>
      <w:r>
        <w:rPr>
          <w:rFonts w:cs="Arial" w:ascii="Arial" w:hAnsi="Arial"/>
          <w:sz w:val="22"/>
          <w:szCs w:val="22"/>
        </w:rPr>
        <w:t>Harmonisation des salaires dans les services</w:t>
      </w:r>
    </w:p>
    <w:p>
      <w:pPr>
        <w:pStyle w:val="Normal"/>
        <w:numPr>
          <w:ilvl w:val="0"/>
          <w:numId w:val="1"/>
        </w:numPr>
        <w:spacing w:lineRule="auto" w:line="276"/>
        <w:jc w:val="both"/>
        <w:rPr>
          <w:rFonts w:ascii="Arial" w:hAnsi="Arial" w:cs="Arial"/>
          <w:sz w:val="22"/>
          <w:szCs w:val="22"/>
        </w:rPr>
      </w:pPr>
      <w:r>
        <w:rPr>
          <w:rFonts w:cs="Arial" w:ascii="Arial" w:hAnsi="Arial"/>
          <w:sz w:val="22"/>
          <w:szCs w:val="22"/>
        </w:rPr>
        <w:t>Augmentation de la prime d’assiduité, chauffeurs inclus et tous les collaborateurs qui n’en bénéficient pas : passage de 65 euros à 80 euros, de 60 euros à 75 euros et de 30 euros à 35 euros.</w:t>
      </w:r>
    </w:p>
    <w:p>
      <w:pPr>
        <w:pStyle w:val="Normal"/>
        <w:numPr>
          <w:ilvl w:val="0"/>
          <w:numId w:val="1"/>
        </w:numPr>
        <w:spacing w:lineRule="auto" w:line="276"/>
        <w:jc w:val="both"/>
        <w:rPr>
          <w:rFonts w:ascii="Arial" w:hAnsi="Arial" w:cs="Arial"/>
          <w:sz w:val="22"/>
          <w:szCs w:val="22"/>
        </w:rPr>
      </w:pPr>
      <w:r>
        <w:rPr>
          <w:rFonts w:cs="Arial" w:ascii="Arial" w:hAnsi="Arial"/>
          <w:sz w:val="22"/>
          <w:szCs w:val="22"/>
        </w:rPr>
        <w:t>Revalorisation de la grille d’ancienneté de 10 euros par tranche</w:t>
      </w:r>
    </w:p>
    <w:p>
      <w:pPr>
        <w:pStyle w:val="Normal"/>
        <w:numPr>
          <w:ilvl w:val="0"/>
          <w:numId w:val="1"/>
        </w:numPr>
        <w:spacing w:lineRule="auto" w:line="276"/>
        <w:jc w:val="both"/>
        <w:rPr>
          <w:rFonts w:ascii="Arial" w:hAnsi="Arial" w:cs="Arial"/>
          <w:sz w:val="22"/>
          <w:szCs w:val="22"/>
        </w:rPr>
      </w:pPr>
      <w:r>
        <w:rPr>
          <w:rFonts w:cs="Arial" w:ascii="Arial" w:hAnsi="Arial"/>
          <w:sz w:val="22"/>
          <w:szCs w:val="22"/>
        </w:rPr>
        <w:t>Prime de non-casse pour le matériel d’engins de manutention pour les agents de quai soit 28€ bruts par mois.</w:t>
      </w:r>
    </w:p>
    <w:p>
      <w:pPr>
        <w:pStyle w:val="Normal"/>
        <w:spacing w:lineRule="auto" w:line="276"/>
        <w:jc w:val="both"/>
        <w:rPr>
          <w:rFonts w:ascii="Arial" w:hAnsi="Arial" w:cs="Arial"/>
          <w:sz w:val="22"/>
          <w:szCs w:val="22"/>
          <w:u w:val="single"/>
        </w:rPr>
      </w:pPr>
      <w:r>
        <w:rPr>
          <w:rFonts w:cs="Arial" w:ascii="Arial" w:hAnsi="Arial"/>
          <w:sz w:val="22"/>
          <w:szCs w:val="22"/>
          <w:u w:val="single"/>
        </w:rPr>
      </w:r>
    </w:p>
    <w:p>
      <w:pPr>
        <w:pStyle w:val="Normal"/>
        <w:spacing w:lineRule="auto" w:line="276"/>
        <w:jc w:val="both"/>
        <w:rPr>
          <w:rFonts w:ascii="Arial" w:hAnsi="Arial" w:cs="Arial"/>
          <w:sz w:val="22"/>
          <w:szCs w:val="22"/>
        </w:rPr>
      </w:pPr>
      <w:r>
        <w:rPr>
          <w:rFonts w:cs="Arial" w:ascii="Arial" w:hAnsi="Arial"/>
          <w:sz w:val="22"/>
          <w:szCs w:val="22"/>
          <w:u w:val="single"/>
        </w:rPr>
        <w:t>Participation au CSE</w:t>
      </w:r>
      <w:r>
        <w:rPr>
          <w:rFonts w:cs="Arial" w:ascii="Arial" w:hAnsi="Arial"/>
          <w:sz w:val="22"/>
          <w:szCs w:val="22"/>
        </w:rPr>
        <w:t> : Enveloppe de 80 000 euros</w:t>
      </w:r>
    </w:p>
    <w:p>
      <w:pPr>
        <w:pStyle w:val="Normal"/>
        <w:spacing w:lineRule="auto" w:line="276"/>
        <w:jc w:val="both"/>
        <w:rPr>
          <w:rFonts w:ascii="Arial" w:hAnsi="Arial" w:cs="Arial"/>
          <w:sz w:val="22"/>
          <w:szCs w:val="22"/>
          <w:u w:val="single"/>
        </w:rPr>
      </w:pPr>
      <w:r>
        <w:rPr>
          <w:rFonts w:cs="Arial" w:ascii="Arial" w:hAnsi="Arial"/>
          <w:sz w:val="22"/>
          <w:szCs w:val="22"/>
          <w:u w:val="single"/>
        </w:rPr>
      </w:r>
    </w:p>
    <w:p>
      <w:pPr>
        <w:pStyle w:val="Normal"/>
        <w:spacing w:lineRule="auto" w:line="276"/>
        <w:jc w:val="both"/>
        <w:rPr>
          <w:rFonts w:ascii="Arial" w:hAnsi="Arial" w:cs="Arial"/>
          <w:sz w:val="22"/>
          <w:szCs w:val="22"/>
        </w:rPr>
      </w:pPr>
      <w:r>
        <w:rPr>
          <w:rFonts w:cs="Arial" w:ascii="Arial" w:hAnsi="Arial"/>
          <w:sz w:val="22"/>
          <w:szCs w:val="22"/>
          <w:u w:val="single"/>
        </w:rPr>
        <w:t>Journée de solidarité</w:t>
      </w:r>
      <w:r>
        <w:rPr>
          <w:rFonts w:cs="Arial" w:ascii="Arial" w:hAnsi="Arial"/>
          <w:sz w:val="22"/>
          <w:szCs w:val="22"/>
        </w:rPr>
        <w:t> : Prise en charge par la société</w:t>
      </w:r>
    </w:p>
    <w:p>
      <w:pPr>
        <w:pStyle w:val="Normal"/>
        <w:spacing w:lineRule="auto" w:line="276"/>
        <w:jc w:val="both"/>
        <w:rPr>
          <w:rFonts w:ascii="Arial" w:hAnsi="Arial" w:cs="Arial"/>
          <w:sz w:val="22"/>
          <w:szCs w:val="22"/>
        </w:rPr>
      </w:pPr>
      <w:r>
        <w:rPr>
          <w:rFonts w:cs="Arial" w:ascii="Arial" w:hAnsi="Arial"/>
          <w:sz w:val="22"/>
          <w:szCs w:val="22"/>
        </w:rPr>
      </w:r>
    </w:p>
    <w:p>
      <w:pPr>
        <w:pStyle w:val="Normal"/>
        <w:spacing w:lineRule="auto" w:line="276"/>
        <w:jc w:val="both"/>
        <w:rPr>
          <w:rFonts w:ascii="Arial" w:hAnsi="Arial" w:cs="Arial"/>
          <w:sz w:val="22"/>
          <w:szCs w:val="22"/>
        </w:rPr>
      </w:pPr>
      <w:r>
        <w:rPr>
          <w:rFonts w:cs="Arial" w:ascii="Arial" w:hAnsi="Arial"/>
          <w:sz w:val="22"/>
          <w:szCs w:val="22"/>
          <w:u w:val="single"/>
        </w:rPr>
        <w:t>Augmentation des tickets restaurants</w:t>
      </w:r>
      <w:r>
        <w:rPr>
          <w:rFonts w:cs="Arial" w:ascii="Arial" w:hAnsi="Arial"/>
          <w:sz w:val="22"/>
          <w:szCs w:val="22"/>
        </w:rPr>
        <w:t> : Augmentation de la valeur faciale à 9 euros sans participation salariale</w:t>
      </w:r>
    </w:p>
    <w:p>
      <w:pPr>
        <w:pStyle w:val="Normal"/>
        <w:spacing w:lineRule="auto" w:line="276"/>
        <w:jc w:val="both"/>
        <w:rPr>
          <w:rFonts w:ascii="Arial" w:hAnsi="Arial" w:cs="Arial"/>
          <w:sz w:val="22"/>
          <w:szCs w:val="22"/>
        </w:rPr>
      </w:pPr>
      <w:r>
        <w:rPr>
          <w:rFonts w:cs="Arial" w:ascii="Arial" w:hAnsi="Arial"/>
          <w:sz w:val="22"/>
          <w:szCs w:val="22"/>
        </w:rPr>
      </w:r>
    </w:p>
    <w:p>
      <w:pPr>
        <w:pStyle w:val="Normal"/>
        <w:spacing w:lineRule="auto" w:line="276"/>
        <w:jc w:val="both"/>
        <w:rPr>
          <w:rFonts w:ascii="Arial" w:hAnsi="Arial" w:cs="Arial"/>
          <w:sz w:val="22"/>
          <w:szCs w:val="22"/>
        </w:rPr>
      </w:pPr>
      <w:r>
        <w:rPr>
          <w:rFonts w:cs="Arial" w:ascii="Arial" w:hAnsi="Arial"/>
          <w:sz w:val="22"/>
          <w:szCs w:val="22"/>
          <w:u w:val="single"/>
        </w:rPr>
        <w:t>Avantages collectifs divers </w:t>
      </w:r>
      <w:r>
        <w:rPr>
          <w:rFonts w:cs="Arial" w:ascii="Arial" w:hAnsi="Arial"/>
          <w:sz w:val="22"/>
          <w:szCs w:val="22"/>
        </w:rPr>
        <w:t>:</w:t>
      </w:r>
    </w:p>
    <w:p>
      <w:pPr>
        <w:pStyle w:val="Normal"/>
        <w:numPr>
          <w:ilvl w:val="0"/>
          <w:numId w:val="1"/>
        </w:numPr>
        <w:spacing w:lineRule="auto" w:line="276"/>
        <w:jc w:val="both"/>
        <w:rPr>
          <w:rFonts w:ascii="Arial" w:hAnsi="Arial" w:cs="Arial"/>
          <w:sz w:val="22"/>
          <w:szCs w:val="22"/>
        </w:rPr>
      </w:pPr>
      <w:r>
        <w:rPr>
          <w:rFonts w:cs="Arial" w:ascii="Arial" w:hAnsi="Arial"/>
          <w:sz w:val="22"/>
          <w:szCs w:val="22"/>
        </w:rPr>
        <w:t>Mesures en faveur des travailleurs handicapés : reconduction pour 2026 des accords actuels</w:t>
      </w:r>
    </w:p>
    <w:p>
      <w:pPr>
        <w:pStyle w:val="Normal"/>
        <w:numPr>
          <w:ilvl w:val="0"/>
          <w:numId w:val="1"/>
        </w:numPr>
        <w:spacing w:lineRule="auto" w:line="276"/>
        <w:jc w:val="both"/>
        <w:rPr>
          <w:rFonts w:ascii="Arial" w:hAnsi="Arial" w:cs="Arial"/>
          <w:sz w:val="22"/>
          <w:szCs w:val="22"/>
        </w:rPr>
      </w:pPr>
      <w:r>
        <w:rPr>
          <w:rFonts w:cs="Arial" w:ascii="Arial" w:hAnsi="Arial"/>
          <w:sz w:val="22"/>
          <w:szCs w:val="22"/>
        </w:rPr>
        <w:t>Revalorisation des jours de congé pour décès parents et enfants : 5 jours de congés en cas de décès d’un enfant ou des parents</w:t>
      </w:r>
    </w:p>
    <w:p>
      <w:pPr>
        <w:pStyle w:val="Normal"/>
        <w:numPr>
          <w:ilvl w:val="0"/>
          <w:numId w:val="1"/>
        </w:numPr>
        <w:spacing w:lineRule="auto" w:line="276"/>
        <w:jc w:val="both"/>
        <w:rPr>
          <w:rFonts w:ascii="Arial" w:hAnsi="Arial" w:cs="Arial"/>
          <w:sz w:val="22"/>
          <w:szCs w:val="22"/>
        </w:rPr>
      </w:pPr>
      <w:r>
        <w:rPr>
          <w:rFonts w:cs="Arial" w:ascii="Arial" w:hAnsi="Arial"/>
          <w:sz w:val="22"/>
          <w:szCs w:val="22"/>
        </w:rPr>
        <w:t>Octroi d’un jour de congé supplémentaire pour tous les salariés à partir de 55 ans et une ancienneté de 25 ans</w:t>
      </w:r>
    </w:p>
    <w:p>
      <w:pPr>
        <w:pStyle w:val="Normal"/>
        <w:numPr>
          <w:ilvl w:val="0"/>
          <w:numId w:val="1"/>
        </w:numPr>
        <w:spacing w:lineRule="auto" w:line="276"/>
        <w:jc w:val="both"/>
        <w:rPr>
          <w:rFonts w:ascii="Arial" w:hAnsi="Arial" w:cs="Arial"/>
          <w:sz w:val="22"/>
          <w:szCs w:val="22"/>
        </w:rPr>
      </w:pPr>
      <w:r>
        <w:rPr>
          <w:rFonts w:cs="Arial" w:ascii="Arial" w:hAnsi="Arial"/>
          <w:sz w:val="22"/>
          <w:szCs w:val="22"/>
        </w:rPr>
        <w:t>Octroi de 5 jours de congés rémunérés pour enfants malades jusqu’à 16 ans, et 3 jours pour hospitalisation, jours fractionnables (accord légal) et extension aux collaborateurs ayant des enfants handicapés sans limite d’âge.</w:t>
      </w:r>
    </w:p>
    <w:p>
      <w:pPr>
        <w:pStyle w:val="Normal"/>
        <w:numPr>
          <w:ilvl w:val="0"/>
          <w:numId w:val="1"/>
        </w:numPr>
        <w:spacing w:lineRule="auto" w:line="276"/>
        <w:jc w:val="both"/>
        <w:rPr>
          <w:rFonts w:ascii="Arial" w:hAnsi="Arial" w:cs="Arial"/>
          <w:sz w:val="22"/>
          <w:szCs w:val="22"/>
        </w:rPr>
      </w:pPr>
      <w:r>
        <w:rPr>
          <w:rFonts w:cs="Arial" w:ascii="Arial" w:hAnsi="Arial"/>
          <w:sz w:val="22"/>
          <w:szCs w:val="22"/>
        </w:rPr>
        <w:t>Reconduction des mesures actuelles en faveur des salariés en situation de handicap</w:t>
      </w:r>
    </w:p>
    <w:p>
      <w:pPr>
        <w:pStyle w:val="Normal"/>
        <w:numPr>
          <w:ilvl w:val="0"/>
          <w:numId w:val="1"/>
        </w:numPr>
        <w:spacing w:lineRule="auto" w:line="276"/>
        <w:jc w:val="both"/>
        <w:rPr>
          <w:rFonts w:ascii="Arial" w:hAnsi="Arial" w:cs="Arial"/>
          <w:sz w:val="22"/>
          <w:szCs w:val="22"/>
        </w:rPr>
      </w:pPr>
      <w:r>
        <w:rPr>
          <w:rFonts w:cs="Arial" w:ascii="Arial" w:hAnsi="Arial"/>
          <w:sz w:val="22"/>
          <w:szCs w:val="22"/>
        </w:rPr>
        <w:t>Journée de télétravail sans aucune condition (jour férié ou CP entre)</w:t>
      </w:r>
    </w:p>
    <w:p>
      <w:pPr>
        <w:pStyle w:val="Normal"/>
        <w:spacing w:lineRule="auto" w:line="276"/>
        <w:jc w:val="both"/>
        <w:rPr>
          <w:rFonts w:ascii="Arial" w:hAnsi="Arial" w:cs="Arial"/>
          <w:b/>
          <w:sz w:val="22"/>
          <w:szCs w:val="22"/>
          <w:u w:val="single"/>
        </w:rPr>
      </w:pPr>
      <w:r>
        <w:rPr>
          <w:rFonts w:cs="Arial" w:ascii="Arial" w:hAnsi="Arial"/>
          <w:b/>
          <w:sz w:val="22"/>
          <w:szCs w:val="22"/>
          <w:u w:val="single"/>
        </w:rPr>
      </w:r>
    </w:p>
    <w:p>
      <w:pPr>
        <w:pStyle w:val="Normal"/>
        <w:spacing w:lineRule="auto" w:line="276"/>
        <w:jc w:val="both"/>
        <w:rPr>
          <w:rFonts w:ascii="Arial" w:hAnsi="Arial" w:cs="Arial"/>
          <w:b/>
          <w:sz w:val="22"/>
          <w:szCs w:val="22"/>
          <w:u w:val="single"/>
        </w:rPr>
      </w:pPr>
      <w:r>
        <w:rPr>
          <w:rFonts w:cs="Arial" w:ascii="Arial" w:hAnsi="Arial"/>
          <w:b/>
          <w:sz w:val="22"/>
          <w:szCs w:val="22"/>
          <w:u w:val="single"/>
        </w:rPr>
        <w:t>Délégation CGT</w:t>
      </w:r>
    </w:p>
    <w:p>
      <w:pPr>
        <w:pStyle w:val="Normal"/>
        <w:spacing w:lineRule="auto" w:line="276"/>
        <w:jc w:val="both"/>
        <w:rPr>
          <w:rFonts w:ascii="Arial" w:hAnsi="Arial" w:cs="Arial"/>
          <w:b/>
          <w:sz w:val="22"/>
          <w:szCs w:val="22"/>
          <w:u w:val="single"/>
        </w:rPr>
      </w:pPr>
      <w:r>
        <w:rPr>
          <w:rFonts w:cs="Arial" w:ascii="Arial" w:hAnsi="Arial"/>
          <w:b/>
          <w:sz w:val="22"/>
          <w:szCs w:val="22"/>
          <w:u w:val="single"/>
        </w:rPr>
      </w:r>
    </w:p>
    <w:p>
      <w:pPr>
        <w:pStyle w:val="Normal"/>
        <w:spacing w:lineRule="auto" w:line="276"/>
        <w:jc w:val="both"/>
        <w:rPr>
          <w:rFonts w:ascii="Arial" w:hAnsi="Arial" w:cs="Arial"/>
          <w:sz w:val="22"/>
          <w:szCs w:val="22"/>
        </w:rPr>
      </w:pPr>
      <w:r>
        <w:rPr>
          <w:rFonts w:cs="Arial" w:ascii="Arial" w:hAnsi="Arial"/>
          <w:b/>
          <w:sz w:val="22"/>
          <w:szCs w:val="22"/>
          <w:u w:val="single"/>
        </w:rPr>
        <w:t xml:space="preserve"> </w:t>
      </w:r>
      <w:r>
        <w:rPr>
          <w:rFonts w:cs="Arial" w:ascii="Arial" w:hAnsi="Arial"/>
          <w:sz w:val="22"/>
          <w:szCs w:val="22"/>
          <w:u w:val="single"/>
        </w:rPr>
        <w:t>Rémunération et autres éléments de rémunération</w:t>
      </w:r>
      <w:r>
        <w:rPr>
          <w:rFonts w:cs="Arial" w:ascii="Arial" w:hAnsi="Arial"/>
          <w:sz w:val="22"/>
          <w:szCs w:val="22"/>
        </w:rPr>
        <w:t> :</w:t>
      </w:r>
    </w:p>
    <w:p>
      <w:pPr>
        <w:pStyle w:val="Normal"/>
        <w:numPr>
          <w:ilvl w:val="0"/>
          <w:numId w:val="1"/>
        </w:numPr>
        <w:spacing w:lineRule="auto" w:line="276"/>
        <w:jc w:val="both"/>
        <w:rPr>
          <w:rFonts w:ascii="Arial" w:hAnsi="Arial" w:cs="Arial"/>
          <w:sz w:val="22"/>
          <w:szCs w:val="22"/>
          <w:u w:val="single"/>
        </w:rPr>
      </w:pPr>
      <w:r>
        <w:rPr>
          <w:rFonts w:cs="Arial" w:ascii="Arial" w:hAnsi="Arial"/>
          <w:sz w:val="22"/>
          <w:szCs w:val="22"/>
        </w:rPr>
        <w:t>Augmentation de 60€ pour les salaires jusqu’à 2300€ avec rétroactivité au 1</w:t>
      </w:r>
      <w:r>
        <w:rPr>
          <w:rFonts w:cs="Arial" w:ascii="Arial" w:hAnsi="Arial"/>
          <w:sz w:val="22"/>
          <w:szCs w:val="22"/>
          <w:vertAlign w:val="superscript"/>
        </w:rPr>
        <w:t>er</w:t>
      </w:r>
      <w:r>
        <w:rPr>
          <w:rFonts w:cs="Arial" w:ascii="Arial" w:hAnsi="Arial"/>
          <w:sz w:val="22"/>
          <w:szCs w:val="22"/>
        </w:rPr>
        <w:t xml:space="preserve"> janvier 2026</w:t>
      </w:r>
    </w:p>
    <w:p>
      <w:pPr>
        <w:pStyle w:val="Normal"/>
        <w:numPr>
          <w:ilvl w:val="0"/>
          <w:numId w:val="1"/>
        </w:numPr>
        <w:spacing w:lineRule="auto" w:line="276"/>
        <w:jc w:val="both"/>
        <w:rPr>
          <w:rFonts w:ascii="Arial" w:hAnsi="Arial" w:cs="Arial"/>
          <w:sz w:val="22"/>
          <w:szCs w:val="22"/>
          <w:u w:val="single"/>
        </w:rPr>
      </w:pPr>
      <w:r>
        <w:rPr>
          <w:rFonts w:cs="Arial" w:ascii="Arial" w:hAnsi="Arial"/>
          <w:sz w:val="22"/>
          <w:szCs w:val="22"/>
        </w:rPr>
        <w:t>Augmentation de 50€ pour les salaires de 2301€ jusqu’à 3000€ avec rétroactivité au 1</w:t>
      </w:r>
      <w:r>
        <w:rPr>
          <w:rFonts w:cs="Arial" w:ascii="Arial" w:hAnsi="Arial"/>
          <w:sz w:val="22"/>
          <w:szCs w:val="22"/>
          <w:vertAlign w:val="superscript"/>
        </w:rPr>
        <w:t>er</w:t>
      </w:r>
      <w:r>
        <w:rPr>
          <w:rFonts w:cs="Arial" w:ascii="Arial" w:hAnsi="Arial"/>
          <w:sz w:val="22"/>
          <w:szCs w:val="22"/>
        </w:rPr>
        <w:t xml:space="preserve"> janvier 2026</w:t>
      </w:r>
    </w:p>
    <w:p>
      <w:pPr>
        <w:pStyle w:val="Normal"/>
        <w:numPr>
          <w:ilvl w:val="0"/>
          <w:numId w:val="1"/>
        </w:numPr>
        <w:spacing w:lineRule="auto" w:line="276"/>
        <w:jc w:val="both"/>
        <w:rPr>
          <w:rFonts w:ascii="Arial" w:hAnsi="Arial" w:cs="Arial"/>
          <w:sz w:val="22"/>
          <w:szCs w:val="22"/>
          <w:u w:val="single"/>
        </w:rPr>
      </w:pPr>
      <w:r>
        <w:rPr>
          <w:rFonts w:cs="Arial" w:ascii="Arial" w:hAnsi="Arial"/>
          <w:sz w:val="22"/>
          <w:szCs w:val="22"/>
        </w:rPr>
        <w:t>Négociation individuelle obligatoire des salaires pour les cadres</w:t>
      </w:r>
    </w:p>
    <w:p>
      <w:pPr>
        <w:pStyle w:val="Normal"/>
        <w:numPr>
          <w:ilvl w:val="0"/>
          <w:numId w:val="1"/>
        </w:numPr>
        <w:spacing w:lineRule="auto" w:line="276"/>
        <w:jc w:val="both"/>
        <w:rPr>
          <w:rFonts w:ascii="Arial" w:hAnsi="Arial" w:cs="Arial"/>
          <w:sz w:val="22"/>
          <w:szCs w:val="22"/>
        </w:rPr>
      </w:pPr>
      <w:r>
        <w:rPr>
          <w:rFonts w:cs="Arial" w:ascii="Arial" w:hAnsi="Arial"/>
          <w:sz w:val="22"/>
          <w:szCs w:val="22"/>
        </w:rPr>
        <w:t>Octroi d’une prime de 100€ mensuel à tous les salariés qui ne bénéficient d’aucune prime et pour les services qui ont des objectifs</w:t>
      </w:r>
    </w:p>
    <w:p>
      <w:pPr>
        <w:pStyle w:val="Normal"/>
        <w:numPr>
          <w:ilvl w:val="0"/>
          <w:numId w:val="1"/>
        </w:numPr>
        <w:spacing w:lineRule="auto" w:line="276"/>
        <w:jc w:val="both"/>
        <w:rPr>
          <w:rFonts w:ascii="Arial" w:hAnsi="Arial" w:cs="Arial"/>
          <w:sz w:val="22"/>
          <w:szCs w:val="22"/>
        </w:rPr>
      </w:pPr>
      <w:r>
        <w:rPr>
          <w:rFonts w:cs="Arial" w:ascii="Arial" w:hAnsi="Arial"/>
          <w:sz w:val="22"/>
          <w:szCs w:val="22"/>
        </w:rPr>
        <w:t>Augmentation de la prime d’assiduité, chauffeurs inclus et tous les collaborateurs qui n’en bénéficient pas : passage de 65 Euros à 70 Euros, de 60 Euros à 65 Euros et de 30 Euros à 40 Euros.</w:t>
      </w:r>
    </w:p>
    <w:p>
      <w:pPr>
        <w:pStyle w:val="Normal"/>
        <w:numPr>
          <w:ilvl w:val="0"/>
          <w:numId w:val="1"/>
        </w:numPr>
        <w:spacing w:lineRule="auto" w:line="276"/>
        <w:jc w:val="both"/>
        <w:rPr>
          <w:rFonts w:ascii="Arial" w:hAnsi="Arial" w:cs="Arial"/>
          <w:sz w:val="22"/>
          <w:szCs w:val="22"/>
        </w:rPr>
      </w:pPr>
      <w:r>
        <w:rPr>
          <w:rFonts w:cs="Arial" w:ascii="Arial" w:hAnsi="Arial"/>
          <w:sz w:val="22"/>
          <w:szCs w:val="22"/>
        </w:rPr>
        <w:t xml:space="preserve">Augmentation de la prime de non-accident : passage de 50€ à 100€ mensuel </w:t>
      </w:r>
    </w:p>
    <w:p>
      <w:pPr>
        <w:pStyle w:val="Normal"/>
        <w:numPr>
          <w:ilvl w:val="0"/>
          <w:numId w:val="1"/>
        </w:numPr>
        <w:spacing w:lineRule="auto" w:line="276"/>
        <w:jc w:val="both"/>
        <w:rPr>
          <w:rFonts w:ascii="Arial" w:hAnsi="Arial" w:cs="Arial"/>
          <w:sz w:val="22"/>
          <w:szCs w:val="22"/>
        </w:rPr>
      </w:pPr>
      <w:r>
        <w:rPr>
          <w:rFonts w:cs="Arial" w:ascii="Arial" w:hAnsi="Arial"/>
          <w:sz w:val="22"/>
          <w:szCs w:val="22"/>
        </w:rPr>
        <w:t>Revalorisation de la grille d’ancienneté de 3%</w:t>
      </w:r>
    </w:p>
    <w:p>
      <w:pPr>
        <w:pStyle w:val="Normal"/>
        <w:spacing w:lineRule="auto" w:line="276"/>
        <w:jc w:val="both"/>
        <w:rPr>
          <w:rFonts w:ascii="Arial" w:hAnsi="Arial" w:cs="Arial"/>
          <w:sz w:val="22"/>
          <w:szCs w:val="22"/>
        </w:rPr>
      </w:pPr>
      <w:r>
        <w:rPr>
          <w:rFonts w:cs="Arial" w:ascii="Arial" w:hAnsi="Arial"/>
          <w:sz w:val="22"/>
          <w:szCs w:val="22"/>
        </w:rPr>
      </w:r>
    </w:p>
    <w:p>
      <w:pPr>
        <w:pStyle w:val="Normal"/>
        <w:spacing w:lineRule="auto" w:line="276"/>
        <w:jc w:val="both"/>
        <w:rPr>
          <w:rFonts w:ascii="Arial" w:hAnsi="Arial" w:cs="Arial"/>
          <w:sz w:val="22"/>
          <w:szCs w:val="22"/>
        </w:rPr>
      </w:pPr>
      <w:r>
        <w:rPr>
          <w:rFonts w:cs="Arial" w:ascii="Arial" w:hAnsi="Arial"/>
          <w:sz w:val="22"/>
          <w:szCs w:val="22"/>
          <w:u w:val="single"/>
        </w:rPr>
        <w:t>Augmentation des tickets restaurants</w:t>
      </w:r>
      <w:r>
        <w:rPr>
          <w:rFonts w:cs="Arial" w:ascii="Arial" w:hAnsi="Arial"/>
          <w:sz w:val="22"/>
          <w:szCs w:val="22"/>
        </w:rPr>
        <w:t> : Augmentation de la part patronale à 5.50 Euros pour une valeur faciale de 9 Euros et annuler la condition de pause méridienne pour leur attribution</w:t>
      </w:r>
    </w:p>
    <w:p>
      <w:pPr>
        <w:pStyle w:val="Normal"/>
        <w:spacing w:lineRule="auto" w:line="276"/>
        <w:jc w:val="both"/>
        <w:rPr>
          <w:rFonts w:ascii="Arial" w:hAnsi="Arial" w:cs="Arial"/>
          <w:sz w:val="22"/>
          <w:szCs w:val="22"/>
        </w:rPr>
      </w:pPr>
      <w:r>
        <w:rPr>
          <w:rFonts w:cs="Arial" w:ascii="Arial" w:hAnsi="Arial"/>
          <w:sz w:val="22"/>
          <w:szCs w:val="22"/>
        </w:rPr>
      </w:r>
    </w:p>
    <w:p>
      <w:pPr>
        <w:pStyle w:val="Normal"/>
        <w:spacing w:lineRule="auto" w:line="276"/>
        <w:jc w:val="both"/>
        <w:rPr>
          <w:rFonts w:ascii="Arial" w:hAnsi="Arial" w:cs="Arial"/>
          <w:sz w:val="22"/>
          <w:szCs w:val="22"/>
        </w:rPr>
      </w:pPr>
      <w:r>
        <w:rPr>
          <w:rFonts w:cs="Arial" w:ascii="Arial" w:hAnsi="Arial"/>
          <w:sz w:val="22"/>
          <w:szCs w:val="22"/>
          <w:u w:val="single"/>
        </w:rPr>
        <w:t>Participation au CSE</w:t>
      </w:r>
      <w:r>
        <w:rPr>
          <w:rFonts w:cs="Arial" w:ascii="Arial" w:hAnsi="Arial"/>
          <w:sz w:val="22"/>
          <w:szCs w:val="22"/>
        </w:rPr>
        <w:t> : Enveloppe de 70 000 Euros</w:t>
      </w:r>
    </w:p>
    <w:p>
      <w:pPr>
        <w:pStyle w:val="Normal"/>
        <w:spacing w:lineRule="auto" w:line="276"/>
        <w:jc w:val="both"/>
        <w:rPr>
          <w:rFonts w:ascii="Arial" w:hAnsi="Arial" w:cs="Arial"/>
          <w:sz w:val="22"/>
          <w:szCs w:val="22"/>
        </w:rPr>
      </w:pPr>
      <w:r>
        <w:rPr>
          <w:rFonts w:cs="Arial" w:ascii="Arial" w:hAnsi="Arial"/>
          <w:sz w:val="22"/>
          <w:szCs w:val="22"/>
        </w:rPr>
      </w:r>
    </w:p>
    <w:p>
      <w:pPr>
        <w:pStyle w:val="Normal"/>
        <w:spacing w:lineRule="auto" w:line="276"/>
        <w:jc w:val="both"/>
        <w:rPr>
          <w:rFonts w:ascii="Arial" w:hAnsi="Arial" w:cs="Arial"/>
          <w:sz w:val="22"/>
          <w:szCs w:val="22"/>
        </w:rPr>
      </w:pPr>
      <w:r>
        <w:rPr>
          <w:rFonts w:cs="Arial" w:ascii="Arial" w:hAnsi="Arial"/>
          <w:sz w:val="22"/>
          <w:szCs w:val="22"/>
          <w:u w:val="single"/>
        </w:rPr>
        <w:t>Journée de solidarité</w:t>
      </w:r>
      <w:r>
        <w:rPr>
          <w:rFonts w:cs="Arial" w:ascii="Arial" w:hAnsi="Arial"/>
          <w:sz w:val="22"/>
          <w:szCs w:val="22"/>
        </w:rPr>
        <w:t> : Prise en charge par la société</w:t>
      </w:r>
    </w:p>
    <w:p>
      <w:pPr>
        <w:pStyle w:val="Normal"/>
        <w:spacing w:lineRule="auto" w:line="276"/>
        <w:jc w:val="both"/>
        <w:rPr>
          <w:rFonts w:ascii="Arial" w:hAnsi="Arial" w:cs="Arial"/>
          <w:sz w:val="22"/>
          <w:szCs w:val="22"/>
        </w:rPr>
      </w:pPr>
      <w:r>
        <w:rPr>
          <w:rFonts w:cs="Arial" w:ascii="Arial" w:hAnsi="Arial"/>
          <w:sz w:val="22"/>
          <w:szCs w:val="22"/>
        </w:rPr>
      </w:r>
    </w:p>
    <w:p>
      <w:pPr>
        <w:pStyle w:val="Normal"/>
        <w:spacing w:lineRule="auto" w:line="276"/>
        <w:jc w:val="both"/>
        <w:rPr>
          <w:rFonts w:ascii="Arial" w:hAnsi="Arial" w:cs="Arial"/>
          <w:sz w:val="22"/>
          <w:szCs w:val="22"/>
        </w:rPr>
      </w:pPr>
      <w:r>
        <w:rPr>
          <w:rFonts w:cs="Arial" w:ascii="Arial" w:hAnsi="Arial"/>
          <w:sz w:val="22"/>
          <w:szCs w:val="22"/>
          <w:u w:val="single"/>
        </w:rPr>
        <w:t>Avantages collectifs divers </w:t>
      </w:r>
      <w:r>
        <w:rPr>
          <w:rFonts w:cs="Arial" w:ascii="Arial" w:hAnsi="Arial"/>
          <w:sz w:val="22"/>
          <w:szCs w:val="22"/>
        </w:rPr>
        <w:t>:</w:t>
      </w:r>
    </w:p>
    <w:p>
      <w:pPr>
        <w:pStyle w:val="Normal"/>
        <w:numPr>
          <w:ilvl w:val="0"/>
          <w:numId w:val="1"/>
        </w:numPr>
        <w:spacing w:lineRule="auto" w:line="276"/>
        <w:jc w:val="both"/>
        <w:rPr>
          <w:rFonts w:ascii="Arial" w:hAnsi="Arial" w:cs="Arial"/>
          <w:sz w:val="22"/>
          <w:szCs w:val="22"/>
        </w:rPr>
      </w:pPr>
      <w:r>
        <w:rPr>
          <w:rFonts w:cs="Arial" w:ascii="Arial" w:hAnsi="Arial"/>
          <w:sz w:val="22"/>
          <w:szCs w:val="22"/>
        </w:rPr>
        <w:t>Octroi de jetons pour station de lavage camion,</w:t>
      </w:r>
    </w:p>
    <w:p>
      <w:pPr>
        <w:pStyle w:val="Normal"/>
        <w:numPr>
          <w:ilvl w:val="0"/>
          <w:numId w:val="1"/>
        </w:numPr>
        <w:spacing w:lineRule="auto" w:line="276"/>
        <w:jc w:val="both"/>
        <w:rPr>
          <w:rFonts w:ascii="Arial" w:hAnsi="Arial" w:cs="Arial"/>
          <w:sz w:val="22"/>
          <w:szCs w:val="22"/>
        </w:rPr>
      </w:pPr>
      <w:r>
        <w:rPr>
          <w:rFonts w:cs="Arial" w:ascii="Arial" w:hAnsi="Arial"/>
          <w:sz w:val="22"/>
          <w:szCs w:val="22"/>
        </w:rPr>
        <w:t>Reconduction pour 2026 des accords actuels concernant les jours enfant handicapé</w:t>
      </w:r>
    </w:p>
    <w:p>
      <w:pPr>
        <w:pStyle w:val="Normal"/>
        <w:numPr>
          <w:ilvl w:val="0"/>
          <w:numId w:val="1"/>
        </w:numPr>
        <w:spacing w:lineRule="auto" w:line="276"/>
        <w:jc w:val="both"/>
        <w:rPr>
          <w:rFonts w:ascii="Arial" w:hAnsi="Arial" w:cs="Arial"/>
          <w:sz w:val="22"/>
          <w:szCs w:val="22"/>
        </w:rPr>
      </w:pPr>
      <w:r>
        <w:rPr>
          <w:rFonts w:cs="Arial" w:ascii="Arial" w:hAnsi="Arial"/>
          <w:sz w:val="22"/>
          <w:szCs w:val="22"/>
        </w:rPr>
        <w:t>Attribution d’un trajet aller/retour en train pris en charge par l’employeur</w:t>
      </w:r>
    </w:p>
    <w:p>
      <w:pPr>
        <w:pStyle w:val="Normal"/>
        <w:numPr>
          <w:ilvl w:val="0"/>
          <w:numId w:val="1"/>
        </w:numPr>
        <w:spacing w:lineRule="auto" w:line="276"/>
        <w:jc w:val="both"/>
        <w:rPr>
          <w:rFonts w:ascii="Arial" w:hAnsi="Arial" w:cs="Arial"/>
          <w:sz w:val="22"/>
          <w:szCs w:val="22"/>
        </w:rPr>
      </w:pPr>
      <w:r>
        <w:rPr>
          <w:rFonts w:cs="Arial" w:ascii="Arial" w:hAnsi="Arial"/>
          <w:sz w:val="22"/>
          <w:szCs w:val="22"/>
        </w:rPr>
        <w:t>Revalorisation des jours de congé pour décès parents et enfants : 5 jours de congés en cas de décès d’un enfant ou des parents</w:t>
      </w:r>
    </w:p>
    <w:p>
      <w:pPr>
        <w:pStyle w:val="Normal"/>
        <w:numPr>
          <w:ilvl w:val="0"/>
          <w:numId w:val="1"/>
        </w:numPr>
        <w:spacing w:lineRule="auto" w:line="276"/>
        <w:jc w:val="both"/>
        <w:rPr>
          <w:rFonts w:ascii="Arial" w:hAnsi="Arial" w:cs="Arial"/>
          <w:sz w:val="22"/>
          <w:szCs w:val="22"/>
        </w:rPr>
      </w:pPr>
      <w:r>
        <w:rPr>
          <w:rFonts w:cs="Arial" w:ascii="Arial" w:hAnsi="Arial"/>
          <w:sz w:val="22"/>
          <w:szCs w:val="22"/>
        </w:rPr>
        <w:t>Octroi d’un jour de congé supplémentaire à partir de 10 ans d’ancienneté dès 55 ans au lieu des 57 ans actuel</w:t>
      </w:r>
    </w:p>
    <w:p>
      <w:pPr>
        <w:pStyle w:val="Normal"/>
        <w:numPr>
          <w:ilvl w:val="0"/>
          <w:numId w:val="1"/>
        </w:numPr>
        <w:spacing w:lineRule="auto" w:line="276"/>
        <w:jc w:val="both"/>
        <w:rPr>
          <w:rFonts w:ascii="Arial" w:hAnsi="Arial" w:cs="Arial"/>
          <w:sz w:val="22"/>
          <w:szCs w:val="22"/>
        </w:rPr>
      </w:pPr>
      <w:r>
        <w:rPr>
          <w:rFonts w:cs="Arial" w:ascii="Arial" w:hAnsi="Arial"/>
          <w:sz w:val="22"/>
          <w:szCs w:val="22"/>
        </w:rPr>
        <w:t>Passage automatique d’un grade tous les 5 ans</w:t>
      </w:r>
    </w:p>
    <w:p>
      <w:pPr>
        <w:pStyle w:val="Normal"/>
        <w:numPr>
          <w:ilvl w:val="0"/>
          <w:numId w:val="1"/>
        </w:numPr>
        <w:spacing w:lineRule="auto" w:line="276"/>
        <w:jc w:val="both"/>
        <w:rPr>
          <w:rFonts w:ascii="Arial" w:hAnsi="Arial" w:cs="Arial"/>
          <w:sz w:val="22"/>
          <w:szCs w:val="22"/>
        </w:rPr>
      </w:pPr>
      <w:r>
        <w:rPr>
          <w:rFonts w:cs="Arial" w:ascii="Arial" w:hAnsi="Arial"/>
          <w:sz w:val="22"/>
          <w:szCs w:val="22"/>
        </w:rPr>
        <w:t>Octroi d’une prime pointage, de qualité et casse matériel de 100€ mensuelle pour les salariés de quais</w:t>
      </w:r>
    </w:p>
    <w:p>
      <w:pPr>
        <w:pStyle w:val="Normal"/>
        <w:numPr>
          <w:ilvl w:val="0"/>
          <w:numId w:val="1"/>
        </w:numPr>
        <w:spacing w:lineRule="auto" w:line="276"/>
        <w:jc w:val="both"/>
        <w:rPr>
          <w:rFonts w:ascii="Arial" w:hAnsi="Arial" w:cs="Arial"/>
          <w:sz w:val="22"/>
          <w:szCs w:val="22"/>
        </w:rPr>
      </w:pPr>
      <w:r>
        <w:rPr>
          <w:rFonts w:cs="Arial" w:ascii="Arial" w:hAnsi="Arial"/>
          <w:sz w:val="22"/>
          <w:szCs w:val="22"/>
        </w:rPr>
        <w:t>Octroi de 5 jours de congés rémunérés pour enfants malades jusqu’à 16 ans, et 3 jours pour hospitalisation, jours fractionnables (accord légal) et extension aux collaborateurs ayant des enfants handicapés sans limite d’âge.</w:t>
      </w:r>
    </w:p>
    <w:p>
      <w:pPr>
        <w:pStyle w:val="Normal"/>
        <w:spacing w:lineRule="auto" w:line="276"/>
        <w:jc w:val="both"/>
        <w:rPr>
          <w:rFonts w:ascii="Arial" w:hAnsi="Arial" w:cs="Arial"/>
          <w:sz w:val="22"/>
          <w:szCs w:val="22"/>
        </w:rPr>
      </w:pPr>
      <w:r>
        <w:rPr>
          <w:rFonts w:cs="Arial" w:ascii="Arial" w:hAnsi="Arial"/>
          <w:sz w:val="22"/>
          <w:szCs w:val="22"/>
        </w:rPr>
      </w:r>
    </w:p>
    <w:p>
      <w:pPr>
        <w:pStyle w:val="Normal"/>
        <w:tabs>
          <w:tab w:val="clear" w:pos="708"/>
          <w:tab w:val="left" w:pos="1185" w:leader="none"/>
        </w:tabs>
        <w:spacing w:lineRule="auto" w:line="276"/>
        <w:jc w:val="both"/>
        <w:rPr>
          <w:rFonts w:ascii="Arial" w:hAnsi="Arial" w:cs="Arial"/>
          <w:sz w:val="22"/>
          <w:szCs w:val="22"/>
        </w:rPr>
      </w:pPr>
      <w:r>
        <w:rPr>
          <w:rFonts w:cs="Arial" w:ascii="Arial" w:hAnsi="Arial"/>
          <w:sz w:val="22"/>
          <w:szCs w:val="22"/>
        </w:rPr>
      </w:r>
    </w:p>
    <w:p>
      <w:pPr>
        <w:pStyle w:val="Normal"/>
        <w:spacing w:lineRule="auto" w:line="276"/>
        <w:jc w:val="both"/>
        <w:rPr>
          <w:rFonts w:ascii="Arial" w:hAnsi="Arial" w:cs="Arial"/>
          <w:b/>
          <w:sz w:val="22"/>
          <w:szCs w:val="22"/>
          <w:u w:val="single"/>
        </w:rPr>
      </w:pPr>
      <w:r>
        <w:rPr>
          <w:rFonts w:cs="Arial" w:ascii="Arial" w:hAnsi="Arial"/>
          <w:b/>
          <w:sz w:val="22"/>
          <w:szCs w:val="22"/>
          <w:u w:val="single"/>
        </w:rPr>
        <w:t>ARTICLE 3 – ACCORD TROUVE ENTRE LA DIRECTION ET LES DELEGATIONS SYNDICALES</w:t>
      </w:r>
    </w:p>
    <w:p>
      <w:pPr>
        <w:pStyle w:val="Normal"/>
        <w:spacing w:lineRule="auto" w:line="276"/>
        <w:jc w:val="both"/>
        <w:rPr>
          <w:rFonts w:ascii="Arial" w:hAnsi="Arial" w:cs="Arial"/>
          <w:b/>
          <w:sz w:val="22"/>
          <w:szCs w:val="22"/>
          <w:u w:val="single"/>
        </w:rPr>
      </w:pPr>
      <w:r>
        <w:rPr>
          <w:rFonts w:cs="Arial" w:ascii="Arial" w:hAnsi="Arial"/>
          <w:b/>
          <w:sz w:val="22"/>
          <w:szCs w:val="22"/>
          <w:u w:val="single"/>
        </w:rPr>
      </w:r>
    </w:p>
    <w:p>
      <w:pPr>
        <w:pStyle w:val="NoSpacing"/>
        <w:spacing w:lineRule="auto" w:line="276"/>
        <w:jc w:val="both"/>
        <w:rPr>
          <w:rFonts w:ascii="Arial" w:hAnsi="Arial" w:cs="Arial"/>
          <w:b/>
          <w:bCs/>
          <w:color w:val="0000FF"/>
          <w:u w:val="single"/>
        </w:rPr>
      </w:pPr>
      <w:r>
        <w:rPr>
          <w:rFonts w:cs="Arial" w:ascii="Arial" w:hAnsi="Arial"/>
          <w:b/>
          <w:bCs/>
          <w:color w:val="0000FF"/>
          <w:u w:val="single"/>
        </w:rPr>
        <w:t xml:space="preserve">3.1 Egalité professionnelle / Qualité de vie et des conditions de travail </w:t>
      </w:r>
    </w:p>
    <w:p>
      <w:pPr>
        <w:pStyle w:val="Normal"/>
        <w:spacing w:lineRule="auto" w:line="276"/>
        <w:jc w:val="both"/>
        <w:rPr>
          <w:rFonts w:ascii="Arial" w:hAnsi="Arial" w:cs="Arial"/>
          <w:b/>
          <w:sz w:val="22"/>
          <w:szCs w:val="22"/>
          <w:u w:val="single"/>
        </w:rPr>
      </w:pPr>
      <w:r>
        <w:rPr>
          <w:rFonts w:cs="Arial" w:ascii="Arial" w:hAnsi="Arial"/>
          <w:b/>
          <w:sz w:val="22"/>
          <w:szCs w:val="22"/>
          <w:u w:val="single"/>
        </w:rPr>
      </w:r>
    </w:p>
    <w:p>
      <w:pPr>
        <w:pStyle w:val="NoSpacing"/>
        <w:spacing w:lineRule="auto" w:line="276"/>
        <w:jc w:val="both"/>
        <w:rPr>
          <w:rFonts w:ascii="Arial" w:hAnsi="Arial" w:cs="Arial"/>
        </w:rPr>
      </w:pPr>
      <w:r>
        <w:rPr>
          <w:rFonts w:cs="Arial" w:ascii="Arial" w:hAnsi="Arial"/>
        </w:rPr>
        <w:t>Les partenaires sociaux rappellent que depuis plusieurs années, ils se sont engagés dans une démarche de Qualité de Vie au Travail et d’égalité professionnelle afin d’initier des projets et des actions, tels que :</w:t>
      </w:r>
    </w:p>
    <w:p>
      <w:pPr>
        <w:pStyle w:val="Normal"/>
        <w:spacing w:lineRule="auto" w:line="276"/>
        <w:jc w:val="both"/>
        <w:rPr>
          <w:rFonts w:ascii="Arial" w:hAnsi="Arial" w:cs="Arial"/>
          <w:sz w:val="22"/>
          <w:szCs w:val="22"/>
        </w:rPr>
      </w:pPr>
      <w:r>
        <w:rPr>
          <w:rFonts w:cs="Arial" w:ascii="Arial" w:hAnsi="Arial"/>
          <w:sz w:val="22"/>
          <w:szCs w:val="22"/>
        </w:rPr>
      </w:r>
    </w:p>
    <w:p>
      <w:pPr>
        <w:pStyle w:val="NoSpacing"/>
        <w:numPr>
          <w:ilvl w:val="0"/>
          <w:numId w:val="2"/>
        </w:numPr>
        <w:suppressAutoHyphens w:val="false"/>
        <w:spacing w:lineRule="auto" w:line="276"/>
        <w:ind w:hanging="360" w:start="720"/>
        <w:jc w:val="both"/>
        <w:rPr>
          <w:rFonts w:ascii="Arial" w:hAnsi="Arial" w:cs="Arial"/>
        </w:rPr>
      </w:pPr>
      <w:r>
        <w:rPr>
          <w:rFonts w:cs="Arial" w:ascii="Arial" w:hAnsi="Arial"/>
        </w:rPr>
        <w:t>En 2019, la Direction en collaboration avec les Organisations syndicales a développé plusieurs actions liées à la Qualité de Vie au Travail telles que l’Académie Management, la journée de convivialité, l’aménagement des bureaux des Services Relations Clients, la campagne Food Trucks, la formation des managers à la conduite des EAP et EP, etc.</w:t>
      </w:r>
    </w:p>
    <w:p>
      <w:pPr>
        <w:pStyle w:val="NoSpacing"/>
        <w:suppressAutoHyphens w:val="false"/>
        <w:spacing w:lineRule="auto" w:line="276"/>
        <w:ind w:start="720"/>
        <w:jc w:val="both"/>
        <w:rPr>
          <w:rFonts w:ascii="Arial" w:hAnsi="Arial" w:cs="Arial"/>
        </w:rPr>
      </w:pPr>
      <w:r>
        <w:rPr>
          <w:rFonts w:cs="Arial" w:ascii="Arial" w:hAnsi="Arial"/>
        </w:rPr>
      </w:r>
    </w:p>
    <w:p>
      <w:pPr>
        <w:pStyle w:val="NoSpacing"/>
        <w:numPr>
          <w:ilvl w:val="0"/>
          <w:numId w:val="2"/>
        </w:numPr>
        <w:suppressAutoHyphens w:val="false"/>
        <w:spacing w:lineRule="auto" w:line="276"/>
        <w:ind w:hanging="360" w:start="720"/>
        <w:jc w:val="both"/>
        <w:rPr>
          <w:rFonts w:ascii="Arial" w:hAnsi="Arial" w:cs="Arial"/>
        </w:rPr>
      </w:pPr>
      <w:r>
        <w:rPr>
          <w:rFonts w:cs="Arial" w:ascii="Arial" w:hAnsi="Arial"/>
        </w:rPr>
        <w:t>La Direction a par ailleurs reconduit avec les Organisations syndicales représentatives de la Société un accord relatif au télétravail applicable à compter du 1</w:t>
      </w:r>
      <w:r>
        <w:rPr>
          <w:rFonts w:cs="Arial" w:ascii="Arial" w:hAnsi="Arial"/>
          <w:vertAlign w:val="superscript"/>
        </w:rPr>
        <w:t>er</w:t>
      </w:r>
      <w:r>
        <w:rPr>
          <w:rFonts w:cs="Arial" w:ascii="Arial" w:hAnsi="Arial"/>
        </w:rPr>
        <w:t xml:space="preserve"> décembre 2023 pour une durée de 3 ans, afin d’encadrer la pratique du télétravail visant à améliorer la Qualité de Vie au Travail et l’articulation entre vie professionnelle et vie personnelle des collaborateurs. </w:t>
      </w:r>
    </w:p>
    <w:p>
      <w:pPr>
        <w:pStyle w:val="NoSpacing"/>
        <w:suppressAutoHyphens w:val="false"/>
        <w:spacing w:lineRule="auto" w:line="276"/>
        <w:jc w:val="both"/>
        <w:rPr>
          <w:rFonts w:ascii="Arial" w:hAnsi="Arial" w:cs="Arial"/>
        </w:rPr>
      </w:pPr>
      <w:r>
        <w:rPr>
          <w:rFonts w:cs="Arial" w:ascii="Arial" w:hAnsi="Arial"/>
        </w:rPr>
      </w:r>
    </w:p>
    <w:p>
      <w:pPr>
        <w:pStyle w:val="NoSpacing"/>
        <w:numPr>
          <w:ilvl w:val="0"/>
          <w:numId w:val="2"/>
        </w:numPr>
        <w:suppressAutoHyphens w:val="false"/>
        <w:spacing w:lineRule="auto" w:line="276"/>
        <w:ind w:hanging="360" w:start="720"/>
        <w:jc w:val="both"/>
        <w:rPr>
          <w:rFonts w:ascii="Arial" w:hAnsi="Arial" w:cs="Arial"/>
        </w:rPr>
      </w:pPr>
      <w:r>
        <w:rPr>
          <w:rFonts w:cs="Arial" w:ascii="Arial" w:hAnsi="Arial"/>
        </w:rPr>
        <w:t>Chaque année, la direction informe le Comité Social et Economique des résultats de l’index Egalité Femmes-Hommes pour la société GEODIS D&amp;E Dauphiné.</w:t>
      </w:r>
    </w:p>
    <w:p>
      <w:pPr>
        <w:pStyle w:val="NoSpacing"/>
        <w:suppressAutoHyphens w:val="false"/>
        <w:spacing w:lineRule="auto" w:line="276"/>
        <w:jc w:val="both"/>
        <w:rPr>
          <w:rFonts w:ascii="Arial" w:hAnsi="Arial" w:cs="Arial"/>
        </w:rPr>
      </w:pPr>
      <w:r>
        <w:rPr>
          <w:rFonts w:cs="Arial" w:ascii="Arial" w:hAnsi="Arial"/>
        </w:rPr>
      </w:r>
    </w:p>
    <w:p>
      <w:pPr>
        <w:pStyle w:val="NoSpacing"/>
        <w:numPr>
          <w:ilvl w:val="0"/>
          <w:numId w:val="2"/>
        </w:numPr>
        <w:suppressAutoHyphens w:val="false"/>
        <w:ind w:hanging="360" w:start="720"/>
        <w:jc w:val="both"/>
        <w:rPr>
          <w:rFonts w:ascii="Arial" w:hAnsi="Arial" w:cs="Arial"/>
        </w:rPr>
      </w:pPr>
      <w:r>
        <w:rPr>
          <w:rFonts w:cs="Arial" w:ascii="Arial" w:hAnsi="Arial"/>
        </w:rPr>
        <w:t>Dans le cadre de cette démarche, la Direction avait exprimé son intention d’engager, d’ici la fin de l’année 2025, des négociations en vue de conclure un accord portant sur la Qualité de Vie et des Conditions de Travail ainsi que sur l’Égalité professionnelle. Toutefois, ces négociations n’ont pas pu être initiées dans le délai prévu. La société réaffirme néanmoins sa volonté d’ouvrir des discussions sur ces thématiques.</w:t>
      </w:r>
    </w:p>
    <w:p>
      <w:pPr>
        <w:pStyle w:val="NoSpacing"/>
        <w:spacing w:lineRule="auto" w:line="276"/>
        <w:jc w:val="both"/>
        <w:rPr>
          <w:rFonts w:ascii="Arial" w:hAnsi="Arial" w:cs="Arial"/>
        </w:rPr>
      </w:pPr>
      <w:r>
        <w:rPr>
          <w:rFonts w:cs="Arial" w:ascii="Arial" w:hAnsi="Arial"/>
        </w:rPr>
      </w:r>
    </w:p>
    <w:p>
      <w:pPr>
        <w:pStyle w:val="NoSpacing"/>
        <w:numPr>
          <w:ilvl w:val="0"/>
          <w:numId w:val="2"/>
        </w:numPr>
        <w:suppressAutoHyphens w:val="false"/>
        <w:spacing w:lineRule="auto" w:line="276"/>
        <w:ind w:hanging="360" w:start="720"/>
        <w:jc w:val="both"/>
        <w:rPr>
          <w:rFonts w:ascii="Arial" w:hAnsi="Arial" w:cs="Arial"/>
        </w:rPr>
      </w:pPr>
      <w:r>
        <w:rPr>
          <w:rFonts w:cs="Arial" w:ascii="Arial" w:hAnsi="Arial"/>
        </w:rPr>
        <w:t xml:space="preserve">La Direction organise depuis juin 2024 une semaine dédiée à la sécurité au sein de la société GEODIS D&amp;E DAUPHINE.  </w:t>
      </w:r>
    </w:p>
    <w:p>
      <w:pPr>
        <w:pStyle w:val="NoSpacing"/>
        <w:spacing w:lineRule="auto" w:line="276"/>
        <w:jc w:val="both"/>
        <w:rPr>
          <w:rFonts w:ascii="Arial" w:hAnsi="Arial" w:cs="Arial"/>
        </w:rPr>
      </w:pPr>
      <w:r>
        <w:rPr>
          <w:rFonts w:cs="Arial" w:ascii="Arial" w:hAnsi="Arial"/>
        </w:rPr>
      </w:r>
    </w:p>
    <w:p>
      <w:pPr>
        <w:pStyle w:val="NoSpacing"/>
        <w:spacing w:lineRule="auto" w:line="276"/>
        <w:jc w:val="both"/>
        <w:rPr>
          <w:rFonts w:ascii="Arial" w:hAnsi="Arial" w:cs="Arial"/>
        </w:rPr>
      </w:pPr>
      <w:r>
        <w:rPr>
          <w:rFonts w:cs="Arial" w:ascii="Arial" w:hAnsi="Arial"/>
        </w:rPr>
        <w:t>Dans le cadre du présent accord, les partenaires sociaux s’accordent pour reconduire pour l’année 2026 les mesures prises en faveur des salariés en situation de handicap :</w:t>
      </w:r>
    </w:p>
    <w:p>
      <w:pPr>
        <w:pStyle w:val="NoSpacing"/>
        <w:spacing w:lineRule="auto" w:line="276"/>
        <w:jc w:val="both"/>
        <w:rPr>
          <w:rFonts w:ascii="Arial" w:hAnsi="Arial" w:cs="Arial"/>
        </w:rPr>
      </w:pPr>
      <w:r>
        <w:rPr>
          <w:rFonts w:cs="Arial" w:ascii="Arial" w:hAnsi="Arial"/>
        </w:rPr>
      </w:r>
    </w:p>
    <w:p>
      <w:pPr>
        <w:pStyle w:val="NoSpacing"/>
        <w:spacing w:lineRule="auto" w:line="276"/>
        <w:jc w:val="both"/>
        <w:rPr>
          <w:rFonts w:ascii="Arial" w:hAnsi="Arial" w:cs="Arial"/>
        </w:rPr>
      </w:pPr>
      <w:r>
        <w:rPr>
          <w:rFonts w:cs="Arial" w:ascii="Arial" w:hAnsi="Arial"/>
        </w:rPr>
      </w:r>
    </w:p>
    <w:p>
      <w:pPr>
        <w:pStyle w:val="Normal"/>
        <w:numPr>
          <w:ilvl w:val="0"/>
          <w:numId w:val="4"/>
        </w:numPr>
        <w:overflowPunct w:val="false"/>
        <w:spacing w:lineRule="auto" w:line="276"/>
        <w:jc w:val="both"/>
        <w:textAlignment w:val="auto"/>
        <w:rPr>
          <w:rFonts w:ascii="Arial" w:hAnsi="Arial" w:eastAsia="Calibri" w:cs="Arial"/>
          <w:b/>
          <w:bCs/>
          <w:sz w:val="22"/>
          <w:szCs w:val="22"/>
          <w:u w:val="single"/>
          <w:lang w:eastAsia="en-US"/>
        </w:rPr>
      </w:pPr>
      <w:r>
        <w:rPr>
          <w:rFonts w:eastAsia="Calibri" w:cs="Arial" w:ascii="Arial" w:hAnsi="Arial"/>
          <w:b/>
          <w:bCs/>
          <w:sz w:val="22"/>
          <w:szCs w:val="22"/>
          <w:u w:val="single"/>
          <w:lang w:eastAsia="en-US"/>
        </w:rPr>
        <w:t>Travailleurs en situation de handicap</w:t>
      </w:r>
    </w:p>
    <w:p>
      <w:pPr>
        <w:pStyle w:val="Normal"/>
        <w:overflowPunct w:val="false"/>
        <w:spacing w:lineRule="auto" w:line="276"/>
        <w:jc w:val="both"/>
        <w:textAlignment w:val="auto"/>
        <w:rPr>
          <w:rFonts w:ascii="Arial" w:hAnsi="Arial" w:eastAsia="Calibri" w:cs="Arial"/>
          <w:sz w:val="22"/>
          <w:szCs w:val="22"/>
          <w:lang w:eastAsia="en-US"/>
        </w:rPr>
      </w:pPr>
      <w:r>
        <w:rPr>
          <w:rFonts w:eastAsia="Calibri" w:cs="Arial" w:ascii="Arial" w:hAnsi="Arial"/>
          <w:sz w:val="22"/>
          <w:szCs w:val="22"/>
          <w:lang w:eastAsia="en-US"/>
        </w:rPr>
      </w:r>
    </w:p>
    <w:p>
      <w:pPr>
        <w:pStyle w:val="NoSpacing"/>
        <w:jc w:val="both"/>
        <w:rPr>
          <w:rFonts w:ascii="Arial" w:hAnsi="Arial" w:cs="Arial"/>
        </w:rPr>
      </w:pPr>
      <w:r>
        <w:rPr>
          <w:rFonts w:cs="Arial" w:ascii="Arial" w:hAnsi="Arial"/>
        </w:rPr>
        <w:t>Les partenaires sociaux s’engagent activement en faveur de l’insertion et du maintien dans l’emploi des travailleurs handicapés.</w:t>
      </w:r>
    </w:p>
    <w:p>
      <w:pPr>
        <w:pStyle w:val="NoSpacing"/>
        <w:jc w:val="both"/>
        <w:rPr>
          <w:rFonts w:ascii="Arial" w:hAnsi="Arial" w:cs="Arial"/>
        </w:rPr>
      </w:pPr>
      <w:r>
        <w:rPr>
          <w:rFonts w:cs="Arial" w:ascii="Arial" w:hAnsi="Arial"/>
        </w:rPr>
      </w:r>
    </w:p>
    <w:p>
      <w:pPr>
        <w:pStyle w:val="NoSpacing"/>
        <w:jc w:val="both"/>
        <w:rPr>
          <w:rFonts w:ascii="Arial" w:hAnsi="Arial" w:cs="Arial"/>
        </w:rPr>
      </w:pPr>
      <w:r>
        <w:rPr>
          <w:rFonts w:cs="Arial" w:ascii="Arial" w:hAnsi="Arial"/>
        </w:rPr>
      </w:r>
    </w:p>
    <w:p>
      <w:pPr>
        <w:pStyle w:val="NoSpacing"/>
        <w:jc w:val="both"/>
        <w:rPr>
          <w:rFonts w:ascii="Arial" w:hAnsi="Arial" w:cs="Arial"/>
        </w:rPr>
      </w:pPr>
      <w:r>
        <w:rPr>
          <w:rFonts w:cs="Arial" w:ascii="Arial" w:hAnsi="Arial"/>
        </w:rPr>
        <w:t>Ainsi, la Direction rappelle qu’un salarié ayant besoin d’effectuer des démarches pour obtenir la reconnaissance de la qualité de travailleur handicapé peut bénéficier d’une journée d’absence autorisée et rémunérée, sous réserve de la présentation d’un justificatif attestant des démarches réalisées.</w:t>
      </w:r>
    </w:p>
    <w:p>
      <w:pPr>
        <w:pStyle w:val="NoSpacing"/>
        <w:jc w:val="both"/>
        <w:rPr>
          <w:rFonts w:ascii="Arial" w:hAnsi="Arial" w:cs="Arial"/>
        </w:rPr>
      </w:pPr>
      <w:r>
        <w:rPr>
          <w:rFonts w:cs="Arial" w:ascii="Arial" w:hAnsi="Arial"/>
        </w:rPr>
      </w:r>
    </w:p>
    <w:p>
      <w:pPr>
        <w:pStyle w:val="NoSpacing"/>
        <w:jc w:val="both"/>
        <w:rPr>
          <w:rFonts w:ascii="Arial" w:hAnsi="Arial" w:cs="Arial"/>
        </w:rPr>
      </w:pPr>
      <w:r>
        <w:rPr>
          <w:rFonts w:cs="Arial" w:ascii="Arial" w:hAnsi="Arial"/>
        </w:rPr>
        <w:t>De même, il a été décidé de reconduire en 2026 les mesures en faveur des salariés déclarés bénéficiaires de l’obligation d’emploi des personnes handicapées dans le cadre de la déclaration annuelle, notamment le versement d’une prime valorisée selon les modalités suivantes :</w:t>
      </w:r>
    </w:p>
    <w:p>
      <w:pPr>
        <w:pStyle w:val="NoSpacing"/>
        <w:suppressAutoHyphens w:val="false"/>
        <w:ind w:start="720"/>
        <w:jc w:val="both"/>
        <w:rPr>
          <w:rFonts w:ascii="Arial" w:hAnsi="Arial" w:cs="Arial"/>
        </w:rPr>
      </w:pPr>
      <w:r>
        <w:rPr>
          <w:rFonts w:cs="Arial" w:ascii="Arial" w:hAnsi="Arial"/>
        </w:rPr>
      </w:r>
    </w:p>
    <w:p>
      <w:pPr>
        <w:pStyle w:val="NoSpacing"/>
        <w:numPr>
          <w:ilvl w:val="0"/>
          <w:numId w:val="3"/>
        </w:numPr>
        <w:suppressAutoHyphens w:val="false"/>
        <w:ind w:hanging="360" w:start="720"/>
        <w:jc w:val="both"/>
        <w:rPr>
          <w:rFonts w:ascii="Arial" w:hAnsi="Arial" w:cs="Arial"/>
        </w:rPr>
      </w:pPr>
      <w:r>
        <w:rPr>
          <w:rFonts w:cs="Arial" w:ascii="Arial" w:hAnsi="Arial"/>
        </w:rPr>
        <w:t>CESU de 200 euros ou prime de 170 euros bruts pour les salariés qui se déclarent initialement en 2026 et qui comptent pour la déclaration DOETH. Pour les nouveaux embauchés, cette prime sera versée uniquement en cas de validation de la période d’essai.</w:t>
      </w:r>
    </w:p>
    <w:p>
      <w:pPr>
        <w:pStyle w:val="ListParagraph"/>
        <w:rPr>
          <w:rFonts w:ascii="Arial" w:hAnsi="Arial" w:cs="Arial"/>
        </w:rPr>
      </w:pPr>
      <w:r>
        <w:rPr>
          <w:rFonts w:cs="Arial" w:ascii="Arial" w:hAnsi="Arial"/>
        </w:rPr>
      </w:r>
    </w:p>
    <w:p>
      <w:pPr>
        <w:pStyle w:val="NoSpacing"/>
        <w:numPr>
          <w:ilvl w:val="0"/>
          <w:numId w:val="3"/>
        </w:numPr>
        <w:suppressAutoHyphens w:val="false"/>
        <w:ind w:hanging="360" w:start="720"/>
        <w:jc w:val="both"/>
        <w:rPr>
          <w:rFonts w:ascii="Arial" w:hAnsi="Arial" w:cs="Arial"/>
        </w:rPr>
      </w:pPr>
      <w:r>
        <w:rPr>
          <w:rFonts w:cs="Arial" w:ascii="Arial" w:hAnsi="Arial"/>
        </w:rPr>
        <w:t>Une journée de congé supplémentaire payée par an pour tous les salariés reconnus travailleurs handicapés, déjà déclarés ou qui se déclarent dans l’année, et qui ont validé leur période d’essai. Les salariés à temps partiel avec un horaire au plus égal à un mi-temps bénéficieront d’une demi-journée de congé supplémentaire payée.</w:t>
      </w:r>
    </w:p>
    <w:p>
      <w:pPr>
        <w:pStyle w:val="NoSpacing"/>
        <w:jc w:val="both"/>
        <w:rPr>
          <w:rFonts w:ascii="Arial" w:hAnsi="Arial" w:cs="Arial"/>
          <w:highlight w:val="yellow"/>
        </w:rPr>
      </w:pPr>
      <w:r>
        <w:rPr>
          <w:rFonts w:cs="Arial" w:ascii="Arial" w:hAnsi="Arial"/>
          <w:highlight w:val="yellow"/>
        </w:rPr>
      </w:r>
    </w:p>
    <w:p>
      <w:pPr>
        <w:pStyle w:val="NoSpacing"/>
        <w:ind w:firstLine="708"/>
        <w:jc w:val="both"/>
        <w:rPr>
          <w:rFonts w:ascii="Arial" w:hAnsi="Arial" w:cs="Arial"/>
        </w:rPr>
      </w:pPr>
      <w:r>
        <w:rPr>
          <w:rFonts w:cs="Arial" w:ascii="Arial" w:hAnsi="Arial"/>
        </w:rPr>
        <w:t>La période de référence d’acquisition de ce congé supplémentaire est l’année 2026.</w:t>
      </w:r>
    </w:p>
    <w:p>
      <w:pPr>
        <w:pStyle w:val="NoSpacing"/>
        <w:ind w:firstLine="708"/>
        <w:jc w:val="both"/>
        <w:rPr>
          <w:rFonts w:ascii="Arial" w:hAnsi="Arial" w:cs="Arial"/>
        </w:rPr>
      </w:pPr>
      <w:r>
        <w:rPr>
          <w:rFonts w:cs="Arial" w:ascii="Arial" w:hAnsi="Arial"/>
        </w:rPr>
      </w:r>
    </w:p>
    <w:p>
      <w:pPr>
        <w:pStyle w:val="NoSpacing"/>
        <w:ind w:start="708"/>
        <w:jc w:val="both"/>
        <w:rPr>
          <w:rFonts w:ascii="Arial" w:hAnsi="Arial" w:cs="Arial"/>
        </w:rPr>
      </w:pPr>
      <w:r>
        <w:rPr>
          <w:rFonts w:cs="Arial" w:ascii="Arial" w:hAnsi="Arial"/>
        </w:rPr>
        <w:t xml:space="preserve">Les modalités de prise de ce congé supplémentaire seront identiques à celles applicables aux congés payés. </w:t>
      </w:r>
    </w:p>
    <w:p>
      <w:pPr>
        <w:pStyle w:val="NoSpacing"/>
        <w:spacing w:lineRule="auto" w:line="276"/>
        <w:jc w:val="both"/>
        <w:rPr>
          <w:rFonts w:ascii="Arial" w:hAnsi="Arial" w:cs="Arial"/>
        </w:rPr>
      </w:pPr>
      <w:r>
        <w:rPr>
          <w:rFonts w:cs="Arial" w:ascii="Arial" w:hAnsi="Arial"/>
        </w:rPr>
      </w:r>
    </w:p>
    <w:p>
      <w:pPr>
        <w:pStyle w:val="NoSpacing"/>
        <w:numPr>
          <w:ilvl w:val="0"/>
          <w:numId w:val="4"/>
        </w:numPr>
        <w:suppressAutoHyphens w:val="false"/>
        <w:spacing w:lineRule="auto" w:line="276"/>
        <w:jc w:val="both"/>
        <w:rPr>
          <w:rFonts w:ascii="Arial" w:hAnsi="Arial" w:cs="Arial"/>
          <w:b/>
          <w:bCs/>
          <w:u w:val="single"/>
        </w:rPr>
      </w:pPr>
      <w:r>
        <w:rPr>
          <w:rFonts w:cs="Arial" w:ascii="Arial" w:hAnsi="Arial"/>
          <w:b/>
          <w:bCs/>
          <w:u w:val="single"/>
        </w:rPr>
        <w:t xml:space="preserve">Sénior </w:t>
      </w:r>
    </w:p>
    <w:p>
      <w:pPr>
        <w:pStyle w:val="NoSpacing"/>
        <w:spacing w:lineRule="auto" w:line="276"/>
        <w:jc w:val="both"/>
        <w:rPr>
          <w:rFonts w:ascii="Arial" w:hAnsi="Arial" w:cs="Arial"/>
        </w:rPr>
      </w:pPr>
      <w:r>
        <w:rPr>
          <w:rFonts w:cs="Arial" w:ascii="Arial" w:hAnsi="Arial"/>
        </w:rPr>
      </w:r>
    </w:p>
    <w:p>
      <w:pPr>
        <w:pStyle w:val="NoSpacing"/>
        <w:jc w:val="both"/>
        <w:rPr>
          <w:rFonts w:ascii="Arial" w:hAnsi="Arial" w:cs="Arial"/>
        </w:rPr>
      </w:pPr>
      <w:r>
        <w:rPr>
          <w:rFonts w:cs="Arial" w:ascii="Arial" w:hAnsi="Arial"/>
        </w:rPr>
        <w:t xml:space="preserve">La Direction rappelle que les partenaires sociaux de la société GEODIS D&amp;E Dauphiné ont délégué leur pouvoir de négociation dans le cadre d’un accord national collectif au sein du Groupe Geodis dont fait partie la société et qu’il n’est pas prévu d’apporter de changements autres que ceux prévus par les négociateurs de l’accord collectif. </w:t>
      </w:r>
    </w:p>
    <w:p>
      <w:pPr>
        <w:pStyle w:val="NoSpacing"/>
        <w:jc w:val="both"/>
        <w:rPr>
          <w:rFonts w:ascii="Arial" w:hAnsi="Arial" w:cs="Arial"/>
        </w:rPr>
      </w:pPr>
      <w:r>
        <w:rPr>
          <w:rFonts w:cs="Arial" w:ascii="Arial" w:hAnsi="Arial"/>
        </w:rPr>
      </w:r>
    </w:p>
    <w:p>
      <w:pPr>
        <w:pStyle w:val="NoSpacing"/>
        <w:spacing w:lineRule="auto" w:line="276"/>
        <w:jc w:val="both"/>
        <w:rPr>
          <w:rFonts w:ascii="Arial" w:hAnsi="Arial" w:cs="Arial"/>
        </w:rPr>
      </w:pPr>
      <w:r>
        <w:rPr>
          <w:rFonts w:cs="Arial" w:ascii="Arial" w:hAnsi="Arial"/>
        </w:rPr>
        <w:t>Il est également rappelé qu’en 2023, les partenaires sociaux ont mis en place un dispositif accordant aux salariés seniors relevant du statut Ouvrier un jour de congé supplémentaire. Ce dispositif a été reconduit pour les années 2024 et 2025.</w:t>
      </w:r>
    </w:p>
    <w:p>
      <w:pPr>
        <w:pStyle w:val="NoSpacing"/>
        <w:spacing w:lineRule="auto" w:line="276"/>
        <w:jc w:val="both"/>
        <w:rPr>
          <w:rFonts w:ascii="Arial" w:hAnsi="Arial" w:cs="Arial"/>
        </w:rPr>
      </w:pPr>
      <w:r>
        <w:rPr>
          <w:rFonts w:cs="Arial" w:ascii="Arial" w:hAnsi="Arial"/>
        </w:rPr>
      </w:r>
    </w:p>
    <w:p>
      <w:pPr>
        <w:pStyle w:val="NoSpacing"/>
        <w:spacing w:lineRule="auto" w:line="276"/>
        <w:jc w:val="both"/>
        <w:rPr>
          <w:rFonts w:ascii="Arial" w:hAnsi="Arial" w:cs="Arial"/>
        </w:rPr>
      </w:pPr>
      <w:r>
        <w:rPr>
          <w:rFonts w:cs="Arial" w:ascii="Arial" w:hAnsi="Arial"/>
        </w:rPr>
        <w:t>Pour l’année 2026, les partenaires sociaux ont convenu d’élargir ce dispositif à l’ensemble des collaborateurs, quel que soit leur statut, sous réserve de remplir cumulativement les conditions suivantes :</w:t>
      </w:r>
    </w:p>
    <w:p>
      <w:pPr>
        <w:pStyle w:val="NoSpacing"/>
        <w:spacing w:lineRule="auto" w:line="276"/>
        <w:jc w:val="both"/>
        <w:rPr>
          <w:rFonts w:ascii="Arial" w:hAnsi="Arial" w:cs="Arial"/>
        </w:rPr>
      </w:pPr>
      <w:r>
        <w:rPr>
          <w:rFonts w:cs="Arial" w:ascii="Arial" w:hAnsi="Arial"/>
        </w:rPr>
      </w:r>
    </w:p>
    <w:p>
      <w:pPr>
        <w:pStyle w:val="NoSpacing"/>
        <w:numPr>
          <w:ilvl w:val="0"/>
          <w:numId w:val="3"/>
        </w:numPr>
        <w:suppressAutoHyphens w:val="false"/>
        <w:spacing w:lineRule="auto" w:line="276"/>
        <w:ind w:hanging="360" w:start="720"/>
        <w:jc w:val="both"/>
        <w:rPr>
          <w:rFonts w:ascii="Arial" w:hAnsi="Arial" w:cs="Arial"/>
        </w:rPr>
      </w:pPr>
      <w:r>
        <w:rPr>
          <w:rFonts w:cs="Arial" w:ascii="Arial" w:hAnsi="Arial"/>
        </w:rPr>
        <w:t>Être âgé de 57 ans et plus,</w:t>
      </w:r>
    </w:p>
    <w:p>
      <w:pPr>
        <w:pStyle w:val="NoSpacing"/>
        <w:numPr>
          <w:ilvl w:val="0"/>
          <w:numId w:val="3"/>
        </w:numPr>
        <w:suppressAutoHyphens w:val="false"/>
        <w:spacing w:lineRule="auto" w:line="276"/>
        <w:ind w:hanging="360" w:start="720"/>
        <w:jc w:val="both"/>
        <w:rPr>
          <w:rFonts w:ascii="Arial" w:hAnsi="Arial" w:cs="Arial"/>
        </w:rPr>
      </w:pPr>
      <w:r>
        <w:rPr>
          <w:rFonts w:cs="Arial" w:ascii="Arial" w:hAnsi="Arial"/>
        </w:rPr>
        <w:t xml:space="preserve">Justifier de 10 années d’ancienneté au sein de la société GEODIS D&amp;E Dauphiné ou du Groupe GEODIS. </w:t>
      </w:r>
    </w:p>
    <w:p>
      <w:pPr>
        <w:pStyle w:val="NoSpacing"/>
        <w:spacing w:lineRule="auto" w:line="276"/>
        <w:jc w:val="both"/>
        <w:rPr>
          <w:rFonts w:ascii="Arial" w:hAnsi="Arial" w:cs="Arial"/>
        </w:rPr>
      </w:pPr>
      <w:r>
        <w:rPr>
          <w:rFonts w:cs="Arial" w:ascii="Arial" w:hAnsi="Arial"/>
        </w:rPr>
      </w:r>
    </w:p>
    <w:p>
      <w:pPr>
        <w:pStyle w:val="NoSpacing"/>
        <w:spacing w:lineRule="auto" w:line="276"/>
        <w:jc w:val="both"/>
        <w:rPr>
          <w:rFonts w:ascii="Arial" w:hAnsi="Arial" w:cs="Arial"/>
        </w:rPr>
      </w:pPr>
      <w:r>
        <w:rPr>
          <w:rFonts w:cs="Arial" w:ascii="Arial" w:hAnsi="Arial"/>
        </w:rPr>
        <w:t>Ces conditions sont appréciées, chaque année, au terme de la période de référence pour l’acquisition des congés payés au sein de la société, à savoir au 31 mai.</w:t>
      </w:r>
    </w:p>
    <w:p>
      <w:pPr>
        <w:pStyle w:val="NoSpacing"/>
        <w:spacing w:lineRule="auto" w:line="276"/>
        <w:jc w:val="both"/>
        <w:rPr>
          <w:rFonts w:ascii="Arial" w:hAnsi="Arial" w:cs="Arial"/>
        </w:rPr>
      </w:pPr>
      <w:r>
        <w:rPr>
          <w:rFonts w:cs="Arial" w:ascii="Arial" w:hAnsi="Arial"/>
        </w:rPr>
      </w:r>
    </w:p>
    <w:p>
      <w:pPr>
        <w:pStyle w:val="NoSpacing"/>
        <w:spacing w:lineRule="auto" w:line="276"/>
        <w:jc w:val="both"/>
        <w:rPr>
          <w:rFonts w:ascii="Arial" w:hAnsi="Arial" w:cs="Arial"/>
        </w:rPr>
      </w:pPr>
      <w:r>
        <w:rPr>
          <w:rFonts w:cs="Arial" w:ascii="Arial" w:hAnsi="Arial"/>
        </w:rPr>
        <w:t xml:space="preserve">Les modalités de prise de ce congé supplémentaire seront identiques à celles applicables aux congés payés. </w:t>
      </w:r>
    </w:p>
    <w:p>
      <w:pPr>
        <w:pStyle w:val="NoSpacing"/>
        <w:spacing w:lineRule="auto" w:line="276"/>
        <w:jc w:val="both"/>
        <w:rPr>
          <w:rFonts w:ascii="Arial" w:hAnsi="Arial" w:cs="Arial"/>
          <w:b/>
          <w:bCs/>
          <w:color w:val="0000FF"/>
          <w:u w:val="single"/>
        </w:rPr>
      </w:pPr>
      <w:r>
        <w:rPr>
          <w:rFonts w:cs="Arial" w:ascii="Arial" w:hAnsi="Arial"/>
          <w:b/>
          <w:bCs/>
          <w:color w:val="0000FF"/>
          <w:u w:val="single"/>
        </w:rPr>
      </w:r>
    </w:p>
    <w:p>
      <w:pPr>
        <w:pStyle w:val="NoSpacing"/>
        <w:spacing w:lineRule="auto" w:line="276"/>
        <w:jc w:val="both"/>
        <w:rPr>
          <w:rFonts w:ascii="Arial" w:hAnsi="Arial" w:cs="Arial"/>
          <w:b/>
          <w:bCs/>
          <w:color w:val="0000FF"/>
          <w:u w:val="single"/>
        </w:rPr>
      </w:pPr>
      <w:r>
        <w:rPr>
          <w:rFonts w:cs="Arial" w:ascii="Arial" w:hAnsi="Arial"/>
          <w:b/>
          <w:bCs/>
          <w:color w:val="0000FF"/>
          <w:u w:val="single"/>
        </w:rPr>
      </w:r>
    </w:p>
    <w:p>
      <w:pPr>
        <w:pStyle w:val="NoSpacing"/>
        <w:spacing w:lineRule="auto" w:line="276"/>
        <w:jc w:val="both"/>
        <w:rPr>
          <w:rFonts w:ascii="Arial" w:hAnsi="Arial" w:cs="Arial"/>
          <w:b/>
          <w:bCs/>
          <w:color w:val="0000FF"/>
          <w:u w:val="single"/>
        </w:rPr>
      </w:pPr>
      <w:r>
        <w:rPr>
          <w:rFonts w:cs="Arial" w:ascii="Arial" w:hAnsi="Arial"/>
          <w:b/>
          <w:bCs/>
          <w:color w:val="0000FF"/>
          <w:u w:val="single"/>
        </w:rPr>
      </w:r>
    </w:p>
    <w:p>
      <w:pPr>
        <w:pStyle w:val="NoSpacing"/>
        <w:spacing w:lineRule="auto" w:line="276"/>
        <w:jc w:val="both"/>
        <w:rPr>
          <w:rFonts w:ascii="Arial" w:hAnsi="Arial" w:cs="Arial"/>
          <w:b/>
          <w:bCs/>
          <w:color w:val="0000FF"/>
          <w:u w:val="single"/>
        </w:rPr>
      </w:pPr>
      <w:r>
        <w:rPr>
          <w:rFonts w:cs="Arial" w:ascii="Arial" w:hAnsi="Arial"/>
          <w:b/>
          <w:bCs/>
          <w:color w:val="0000FF"/>
          <w:u w:val="single"/>
        </w:rPr>
        <w:t>3.2 Partage de la valeur ajoutée</w:t>
      </w:r>
    </w:p>
    <w:p>
      <w:pPr>
        <w:pStyle w:val="Normal"/>
        <w:spacing w:lineRule="auto" w:line="276"/>
        <w:jc w:val="both"/>
        <w:rPr>
          <w:rFonts w:ascii="Arial" w:hAnsi="Arial" w:cs="Arial"/>
          <w:bCs/>
          <w:sz w:val="22"/>
          <w:szCs w:val="22"/>
        </w:rPr>
      </w:pPr>
      <w:r>
        <w:rPr>
          <w:rFonts w:cs="Arial" w:ascii="Arial" w:hAnsi="Arial"/>
          <w:bCs/>
          <w:sz w:val="22"/>
          <w:szCs w:val="22"/>
        </w:rPr>
      </w:r>
    </w:p>
    <w:p>
      <w:pPr>
        <w:pStyle w:val="Normal"/>
        <w:numPr>
          <w:ilvl w:val="0"/>
          <w:numId w:val="4"/>
        </w:numPr>
        <w:spacing w:lineRule="auto" w:line="276"/>
        <w:jc w:val="both"/>
        <w:rPr>
          <w:rFonts w:ascii="Arial" w:hAnsi="Arial" w:cs="Arial"/>
          <w:b/>
          <w:sz w:val="22"/>
          <w:szCs w:val="22"/>
        </w:rPr>
      </w:pPr>
      <w:r>
        <w:rPr>
          <w:rFonts w:cs="Arial" w:ascii="Arial" w:hAnsi="Arial"/>
          <w:b/>
          <w:sz w:val="22"/>
          <w:szCs w:val="22"/>
        </w:rPr>
        <w:t>Intéressement</w:t>
      </w:r>
    </w:p>
    <w:p>
      <w:pPr>
        <w:pStyle w:val="Normal"/>
        <w:spacing w:lineRule="auto" w:line="276"/>
        <w:jc w:val="both"/>
        <w:rPr>
          <w:rFonts w:ascii="Arial" w:hAnsi="Arial" w:cs="Arial"/>
          <w:sz w:val="22"/>
          <w:szCs w:val="22"/>
        </w:rPr>
      </w:pPr>
      <w:r>
        <w:rPr>
          <w:rFonts w:cs="Arial" w:ascii="Arial" w:hAnsi="Arial"/>
          <w:sz w:val="22"/>
          <w:szCs w:val="22"/>
        </w:rPr>
      </w:r>
    </w:p>
    <w:p>
      <w:pPr>
        <w:pStyle w:val="Normal"/>
        <w:spacing w:lineRule="auto" w:line="276"/>
        <w:jc w:val="both"/>
        <w:rPr>
          <w:rFonts w:ascii="Arial" w:hAnsi="Arial" w:cs="Arial"/>
          <w:bCs/>
          <w:kern w:val="2"/>
          <w:sz w:val="22"/>
          <w:szCs w:val="22"/>
        </w:rPr>
      </w:pPr>
      <w:r>
        <w:rPr>
          <w:rFonts w:cs="Arial" w:ascii="Arial" w:hAnsi="Arial"/>
          <w:bCs/>
          <w:kern w:val="2"/>
          <w:sz w:val="22"/>
          <w:szCs w:val="22"/>
        </w:rPr>
        <w:t>La société GEODIS D&amp;E DAUPHINE a conclu un accord d’intéressement en date du 19 juin 2014, complété par un avenant n°1 en date du 27 octobre 2014 et un avenant n°2 en date du 26 mai 2016. Cet accord était initialement applicable pour les exercices 2014, 2015 et 2016, et a été reconduit par tacite reconduction pour les exercices suivants.</w:t>
      </w:r>
    </w:p>
    <w:p>
      <w:pPr>
        <w:pStyle w:val="Normal"/>
        <w:spacing w:lineRule="auto" w:line="276"/>
        <w:jc w:val="both"/>
        <w:rPr>
          <w:rFonts w:ascii="Arial" w:hAnsi="Arial" w:cs="Arial"/>
          <w:bCs/>
          <w:kern w:val="2"/>
          <w:sz w:val="22"/>
          <w:szCs w:val="22"/>
        </w:rPr>
      </w:pPr>
      <w:r>
        <w:rPr>
          <w:rFonts w:cs="Arial" w:ascii="Arial" w:hAnsi="Arial"/>
          <w:bCs/>
          <w:kern w:val="2"/>
          <w:sz w:val="22"/>
          <w:szCs w:val="22"/>
        </w:rPr>
      </w:r>
    </w:p>
    <w:p>
      <w:pPr>
        <w:pStyle w:val="Normal"/>
        <w:spacing w:lineRule="auto" w:line="276"/>
        <w:jc w:val="both"/>
        <w:rPr>
          <w:rFonts w:ascii="Arial" w:hAnsi="Arial" w:cs="Arial"/>
          <w:bCs/>
          <w:kern w:val="2"/>
          <w:sz w:val="22"/>
          <w:szCs w:val="22"/>
        </w:rPr>
      </w:pPr>
      <w:r>
        <w:rPr>
          <w:rFonts w:cs="Arial" w:ascii="Arial" w:hAnsi="Arial"/>
          <w:bCs/>
          <w:kern w:val="2"/>
          <w:sz w:val="22"/>
          <w:szCs w:val="22"/>
        </w:rPr>
        <w:t>À l’issue des échanges intervenus, il a été convenu entre la Direction et les partenaires sociaux de ne pas ouvrir de négociation relative à l’accord d’intéressement pour l’exercice en cours.</w:t>
      </w:r>
    </w:p>
    <w:p>
      <w:pPr>
        <w:pStyle w:val="Normal"/>
        <w:spacing w:lineRule="auto" w:line="276"/>
        <w:jc w:val="both"/>
        <w:rPr>
          <w:rFonts w:ascii="Arial" w:hAnsi="Arial" w:cs="Arial"/>
          <w:b/>
          <w:sz w:val="22"/>
          <w:szCs w:val="22"/>
        </w:rPr>
      </w:pPr>
      <w:r>
        <w:rPr>
          <w:rFonts w:cs="Arial" w:ascii="Arial" w:hAnsi="Arial"/>
          <w:b/>
          <w:sz w:val="22"/>
          <w:szCs w:val="22"/>
        </w:rPr>
      </w:r>
    </w:p>
    <w:p>
      <w:pPr>
        <w:pStyle w:val="Normal"/>
        <w:numPr>
          <w:ilvl w:val="0"/>
          <w:numId w:val="4"/>
        </w:numPr>
        <w:spacing w:lineRule="auto" w:line="276"/>
        <w:jc w:val="both"/>
        <w:rPr>
          <w:rFonts w:ascii="Arial" w:hAnsi="Arial" w:cs="Arial"/>
          <w:b/>
          <w:sz w:val="22"/>
          <w:szCs w:val="22"/>
        </w:rPr>
      </w:pPr>
      <w:r>
        <w:rPr>
          <w:rFonts w:cs="Arial" w:ascii="Arial" w:hAnsi="Arial"/>
          <w:b/>
          <w:sz w:val="22"/>
          <w:szCs w:val="22"/>
        </w:rPr>
        <w:t xml:space="preserve">Participation </w:t>
      </w:r>
    </w:p>
    <w:p>
      <w:pPr>
        <w:pStyle w:val="Normal"/>
        <w:spacing w:lineRule="auto" w:line="276"/>
        <w:jc w:val="both"/>
        <w:rPr>
          <w:rFonts w:ascii="Arial" w:hAnsi="Arial" w:cs="Arial"/>
          <w:sz w:val="22"/>
          <w:szCs w:val="22"/>
        </w:rPr>
      </w:pPr>
      <w:r>
        <w:rPr>
          <w:rFonts w:cs="Arial" w:ascii="Arial" w:hAnsi="Arial"/>
          <w:sz w:val="22"/>
          <w:szCs w:val="22"/>
        </w:rPr>
      </w:r>
    </w:p>
    <w:p>
      <w:pPr>
        <w:pStyle w:val="NormalWeb"/>
        <w:spacing w:lineRule="auto" w:line="276" w:beforeAutospacing="0" w:before="0" w:afterAutospacing="0" w:after="0"/>
        <w:jc w:val="both"/>
        <w:rPr>
          <w:rFonts w:ascii="Arial" w:hAnsi="Arial" w:cs="Arial"/>
          <w:bCs/>
          <w:kern w:val="2"/>
          <w:sz w:val="22"/>
          <w:szCs w:val="22"/>
        </w:rPr>
      </w:pPr>
      <w:r>
        <w:rPr>
          <w:rFonts w:cs="Arial" w:ascii="Arial" w:hAnsi="Arial"/>
          <w:bCs/>
          <w:kern w:val="2"/>
          <w:sz w:val="22"/>
          <w:szCs w:val="22"/>
        </w:rPr>
        <w:t>La société GEODIS D&amp;E DAUPHINE est couverte par un accord de participation en date du 15 juin 2010.</w:t>
      </w:r>
    </w:p>
    <w:p>
      <w:pPr>
        <w:pStyle w:val="NormalWeb"/>
        <w:spacing w:lineRule="auto" w:line="276" w:beforeAutospacing="0" w:before="0" w:afterAutospacing="0" w:after="0"/>
        <w:jc w:val="both"/>
        <w:rPr>
          <w:rFonts w:ascii="Arial" w:hAnsi="Arial" w:cs="Arial"/>
          <w:bCs/>
          <w:kern w:val="2"/>
          <w:sz w:val="22"/>
          <w:szCs w:val="22"/>
        </w:rPr>
      </w:pPr>
      <w:r>
        <w:rPr>
          <w:rFonts w:cs="Arial" w:ascii="Arial" w:hAnsi="Arial"/>
          <w:bCs/>
          <w:kern w:val="2"/>
          <w:sz w:val="22"/>
          <w:szCs w:val="22"/>
        </w:rPr>
      </w:r>
    </w:p>
    <w:p>
      <w:pPr>
        <w:pStyle w:val="NormalWeb"/>
        <w:spacing w:lineRule="auto" w:line="276" w:beforeAutospacing="0" w:before="0" w:afterAutospacing="0" w:after="0"/>
        <w:jc w:val="both"/>
        <w:rPr>
          <w:rFonts w:ascii="Arial" w:hAnsi="Arial" w:cs="Arial"/>
          <w:bCs/>
          <w:kern w:val="2"/>
          <w:sz w:val="22"/>
          <w:szCs w:val="22"/>
        </w:rPr>
      </w:pPr>
      <w:r>
        <w:rPr>
          <w:rFonts w:cs="Arial" w:ascii="Arial" w:hAnsi="Arial"/>
          <w:bCs/>
          <w:kern w:val="2"/>
          <w:sz w:val="22"/>
          <w:szCs w:val="22"/>
        </w:rPr>
        <w:t>Aucune modification de l’accord d’entreprise actuellement en vigueur n’est envisagée.</w:t>
      </w:r>
    </w:p>
    <w:p>
      <w:pPr>
        <w:pStyle w:val="NormalWeb"/>
        <w:spacing w:lineRule="auto" w:line="276" w:beforeAutospacing="0" w:before="0" w:afterAutospacing="0" w:after="0"/>
        <w:jc w:val="both"/>
        <w:rPr>
          <w:rFonts w:ascii="Arial" w:hAnsi="Arial" w:cs="Arial"/>
          <w:bCs/>
          <w:kern w:val="2"/>
          <w:sz w:val="22"/>
          <w:szCs w:val="22"/>
        </w:rPr>
      </w:pPr>
      <w:r>
        <w:rPr>
          <w:rFonts w:cs="Arial" w:ascii="Arial" w:hAnsi="Arial"/>
          <w:bCs/>
          <w:kern w:val="2"/>
          <w:sz w:val="22"/>
          <w:szCs w:val="22"/>
        </w:rPr>
      </w:r>
    </w:p>
    <w:p>
      <w:pPr>
        <w:pStyle w:val="NormalWeb"/>
        <w:spacing w:lineRule="auto" w:line="276" w:beforeAutospacing="0" w:before="0" w:afterAutospacing="0" w:after="0"/>
        <w:jc w:val="both"/>
        <w:rPr>
          <w:rFonts w:ascii="Arial" w:hAnsi="Arial" w:cs="Arial"/>
          <w:bCs/>
          <w:kern w:val="2"/>
          <w:sz w:val="22"/>
          <w:szCs w:val="22"/>
        </w:rPr>
      </w:pPr>
      <w:r>
        <w:rPr>
          <w:rFonts w:cs="Arial" w:ascii="Arial" w:hAnsi="Arial"/>
          <w:bCs/>
          <w:kern w:val="2"/>
          <w:sz w:val="22"/>
          <w:szCs w:val="22"/>
        </w:rPr>
        <w:t>Sous réserve de la validation des comptes de la société GEODIS D&amp;E DAUPHINE par les Commissaires aux Comptes, la Direction confirme que la participation au titre de l’exercice 2025 sera versée conformément aux dispositions de l’accord collectif susmentionné.</w:t>
      </w:r>
    </w:p>
    <w:p>
      <w:pPr>
        <w:pStyle w:val="NormalWeb"/>
        <w:spacing w:lineRule="auto" w:line="276" w:beforeAutospacing="0" w:before="0" w:afterAutospacing="0" w:after="0"/>
        <w:jc w:val="both"/>
        <w:rPr>
          <w:rFonts w:ascii="Arial" w:hAnsi="Arial" w:cs="Arial"/>
          <w:bCs/>
          <w:kern w:val="2"/>
          <w:sz w:val="22"/>
          <w:szCs w:val="22"/>
        </w:rPr>
      </w:pPr>
      <w:r>
        <w:rPr>
          <w:rFonts w:cs="Arial" w:ascii="Arial" w:hAnsi="Arial"/>
          <w:bCs/>
          <w:kern w:val="2"/>
          <w:sz w:val="22"/>
          <w:szCs w:val="22"/>
        </w:rPr>
      </w:r>
    </w:p>
    <w:p>
      <w:pPr>
        <w:pStyle w:val="NormalWeb"/>
        <w:spacing w:lineRule="auto" w:line="276" w:beforeAutospacing="0" w:before="0" w:afterAutospacing="0" w:after="0"/>
        <w:jc w:val="both"/>
        <w:rPr>
          <w:rFonts w:ascii="Arial" w:hAnsi="Arial" w:cs="Arial"/>
          <w:bCs/>
          <w:kern w:val="2"/>
          <w:sz w:val="22"/>
          <w:szCs w:val="22"/>
        </w:rPr>
      </w:pPr>
      <w:r>
        <w:rPr>
          <w:rFonts w:cs="Arial" w:ascii="Arial" w:hAnsi="Arial"/>
          <w:bCs/>
          <w:kern w:val="2"/>
          <w:sz w:val="22"/>
          <w:szCs w:val="22"/>
        </w:rPr>
        <w:t>Ce versement interviendra au plus tard le dernier jour du cinquième mois suivant la clôture de l’exercice, soit lors de la paie du mois de mai 2026.</w:t>
      </w:r>
    </w:p>
    <w:p>
      <w:pPr>
        <w:pStyle w:val="NormalWeb"/>
        <w:spacing w:lineRule="auto" w:line="276" w:beforeAutospacing="0" w:before="0" w:afterAutospacing="0" w:after="0"/>
        <w:jc w:val="both"/>
        <w:rPr>
          <w:rFonts w:ascii="Arial" w:hAnsi="Arial" w:cs="Arial"/>
          <w:b/>
          <w:bCs/>
          <w:kern w:val="2"/>
          <w:sz w:val="22"/>
          <w:szCs w:val="22"/>
        </w:rPr>
      </w:pPr>
      <w:r>
        <w:rPr>
          <w:rFonts w:cs="Arial" w:ascii="Arial" w:hAnsi="Arial"/>
          <w:b/>
          <w:bCs/>
          <w:kern w:val="2"/>
          <w:sz w:val="22"/>
          <w:szCs w:val="22"/>
        </w:rPr>
      </w:r>
    </w:p>
    <w:p>
      <w:pPr>
        <w:pStyle w:val="NormalWeb"/>
        <w:numPr>
          <w:ilvl w:val="0"/>
          <w:numId w:val="4"/>
        </w:numPr>
        <w:spacing w:lineRule="auto" w:line="276" w:beforeAutospacing="0" w:before="0" w:afterAutospacing="0" w:after="0"/>
        <w:jc w:val="both"/>
        <w:rPr>
          <w:rFonts w:ascii="Arial" w:hAnsi="Arial" w:cs="Arial"/>
          <w:b/>
          <w:bCs/>
          <w:kern w:val="2"/>
          <w:sz w:val="22"/>
          <w:szCs w:val="22"/>
        </w:rPr>
      </w:pPr>
      <w:r>
        <w:rPr>
          <w:rFonts w:cs="Arial" w:ascii="Arial" w:hAnsi="Arial"/>
          <w:b/>
          <w:bCs/>
          <w:kern w:val="2"/>
          <w:sz w:val="22"/>
          <w:szCs w:val="22"/>
        </w:rPr>
        <w:t>Epargne salariale (PEG – PERCOL – CARDIF)</w:t>
      </w:r>
    </w:p>
    <w:p>
      <w:pPr>
        <w:pStyle w:val="NormalWeb"/>
        <w:spacing w:lineRule="auto" w:line="276" w:beforeAutospacing="0" w:before="0" w:afterAutospacing="0" w:after="0"/>
        <w:jc w:val="both"/>
        <w:rPr>
          <w:rFonts w:ascii="Arial" w:hAnsi="Arial" w:cs="Arial"/>
          <w:bCs/>
          <w:kern w:val="2"/>
          <w:sz w:val="22"/>
          <w:szCs w:val="22"/>
        </w:rPr>
      </w:pPr>
      <w:r>
        <w:rPr>
          <w:rFonts w:cs="Arial" w:ascii="Arial" w:hAnsi="Arial"/>
          <w:bCs/>
          <w:kern w:val="2"/>
          <w:sz w:val="22"/>
          <w:szCs w:val="22"/>
        </w:rPr>
      </w:r>
    </w:p>
    <w:p>
      <w:pPr>
        <w:pStyle w:val="NormalWeb"/>
        <w:spacing w:lineRule="auto" w:line="276" w:beforeAutospacing="0" w:before="0" w:afterAutospacing="0" w:after="0"/>
        <w:jc w:val="both"/>
        <w:rPr>
          <w:rFonts w:ascii="Arial" w:hAnsi="Arial" w:cs="Arial"/>
          <w:bCs/>
          <w:kern w:val="2"/>
          <w:sz w:val="22"/>
          <w:szCs w:val="22"/>
        </w:rPr>
      </w:pPr>
      <w:r>
        <w:rPr>
          <w:rFonts w:cs="Arial" w:ascii="Arial" w:hAnsi="Arial"/>
          <w:bCs/>
          <w:kern w:val="2"/>
          <w:sz w:val="22"/>
          <w:szCs w:val="22"/>
        </w:rPr>
        <w:t>La Direction rappelle que les partenaires sociaux de la société GEODIS D&amp;E DAUPHINE ont délégué leur pouvoir de négociation dans le cadre d’un accord collectif national au sein du Groupe GEODIS, auquel appartient la société, pour la mise en œuvre du dispositif PERCOL, ainsi que dans le cadre d’un accord collectif national relatif au régime de retraite supplémentaire CARDIF.</w:t>
      </w:r>
    </w:p>
    <w:p>
      <w:pPr>
        <w:pStyle w:val="NormalWeb"/>
        <w:spacing w:lineRule="auto" w:line="276" w:beforeAutospacing="0" w:before="0" w:afterAutospacing="0" w:after="0"/>
        <w:jc w:val="both"/>
        <w:rPr>
          <w:rFonts w:ascii="Arial" w:hAnsi="Arial" w:cs="Arial"/>
          <w:bCs/>
          <w:kern w:val="2"/>
          <w:sz w:val="22"/>
          <w:szCs w:val="22"/>
        </w:rPr>
      </w:pPr>
      <w:r>
        <w:rPr>
          <w:rFonts w:cs="Arial" w:ascii="Arial" w:hAnsi="Arial"/>
          <w:bCs/>
          <w:kern w:val="2"/>
          <w:sz w:val="22"/>
          <w:szCs w:val="22"/>
        </w:rPr>
      </w:r>
    </w:p>
    <w:p>
      <w:pPr>
        <w:pStyle w:val="NormalWeb"/>
        <w:spacing w:lineRule="auto" w:line="276" w:beforeAutospacing="0" w:before="0" w:afterAutospacing="0" w:after="0"/>
        <w:jc w:val="both"/>
        <w:rPr>
          <w:rFonts w:ascii="Arial" w:hAnsi="Arial" w:cs="Arial"/>
          <w:bCs/>
          <w:kern w:val="2"/>
          <w:sz w:val="22"/>
          <w:szCs w:val="22"/>
        </w:rPr>
      </w:pPr>
      <w:r>
        <w:rPr>
          <w:rFonts w:cs="Arial" w:ascii="Arial" w:hAnsi="Arial"/>
          <w:bCs/>
          <w:kern w:val="2"/>
          <w:sz w:val="22"/>
          <w:szCs w:val="22"/>
        </w:rPr>
        <w:t>Aucune modification n’est envisagée, hormis celles décidées par les négociateurs des accords collectifs précités.</w:t>
      </w:r>
    </w:p>
    <w:p>
      <w:pPr>
        <w:pStyle w:val="NormalWeb"/>
        <w:spacing w:lineRule="auto" w:line="276" w:beforeAutospacing="0" w:before="0" w:afterAutospacing="0" w:after="0"/>
        <w:jc w:val="both"/>
        <w:rPr>
          <w:rFonts w:ascii="Arial" w:hAnsi="Arial" w:cs="Arial"/>
          <w:bCs/>
          <w:kern w:val="2"/>
          <w:sz w:val="22"/>
          <w:szCs w:val="22"/>
        </w:rPr>
      </w:pPr>
      <w:r>
        <w:rPr>
          <w:rFonts w:cs="Arial" w:ascii="Arial" w:hAnsi="Arial"/>
          <w:bCs/>
          <w:kern w:val="2"/>
          <w:sz w:val="22"/>
          <w:szCs w:val="22"/>
        </w:rPr>
      </w:r>
    </w:p>
    <w:p>
      <w:pPr>
        <w:pStyle w:val="NormalWeb"/>
        <w:spacing w:lineRule="auto" w:line="276" w:beforeAutospacing="0" w:before="0" w:afterAutospacing="0" w:after="0"/>
        <w:jc w:val="both"/>
        <w:rPr>
          <w:rFonts w:ascii="Arial" w:hAnsi="Arial" w:cs="Arial"/>
          <w:bCs/>
          <w:kern w:val="2"/>
          <w:sz w:val="22"/>
          <w:szCs w:val="22"/>
        </w:rPr>
      </w:pPr>
      <w:r>
        <w:rPr>
          <w:rFonts w:cs="Arial" w:ascii="Arial" w:hAnsi="Arial"/>
          <w:bCs/>
          <w:kern w:val="2"/>
          <w:sz w:val="22"/>
          <w:szCs w:val="22"/>
        </w:rPr>
        <w:t>Par ailleurs, la Direction précise que le Plan d’Épargne Groupe (PEG) est mis en place par le biais d’une décision unilatérale du Groupe GEODIS.</w:t>
      </w:r>
    </w:p>
    <w:p>
      <w:pPr>
        <w:pStyle w:val="NormalWeb"/>
        <w:spacing w:lineRule="auto" w:line="276" w:beforeAutospacing="0" w:before="0" w:afterAutospacing="0" w:after="0"/>
        <w:jc w:val="both"/>
        <w:rPr>
          <w:rFonts w:ascii="Arial" w:hAnsi="Arial" w:cs="Arial"/>
          <w:bCs/>
          <w:kern w:val="2"/>
          <w:sz w:val="22"/>
          <w:szCs w:val="22"/>
        </w:rPr>
      </w:pPr>
      <w:r>
        <w:rPr>
          <w:rFonts w:cs="Arial" w:ascii="Arial" w:hAnsi="Arial"/>
          <w:bCs/>
          <w:kern w:val="2"/>
          <w:sz w:val="22"/>
          <w:szCs w:val="22"/>
        </w:rPr>
      </w:r>
    </w:p>
    <w:p>
      <w:pPr>
        <w:pStyle w:val="NormalWeb"/>
        <w:spacing w:lineRule="auto" w:line="276" w:beforeAutospacing="0" w:before="0" w:afterAutospacing="0" w:after="0"/>
        <w:jc w:val="both"/>
        <w:rPr>
          <w:rFonts w:ascii="Arial" w:hAnsi="Arial" w:cs="Arial"/>
          <w:bCs/>
          <w:kern w:val="2"/>
          <w:sz w:val="22"/>
          <w:szCs w:val="22"/>
        </w:rPr>
      </w:pPr>
      <w:r>
        <w:rPr>
          <w:rFonts w:cs="Arial" w:ascii="Arial" w:hAnsi="Arial"/>
          <w:bCs/>
          <w:kern w:val="2"/>
          <w:sz w:val="22"/>
          <w:szCs w:val="22"/>
        </w:rPr>
      </w:r>
    </w:p>
    <w:p>
      <w:pPr>
        <w:pStyle w:val="NormalWeb"/>
        <w:spacing w:lineRule="auto" w:line="276" w:beforeAutospacing="0" w:before="0" w:afterAutospacing="0" w:after="0"/>
        <w:jc w:val="both"/>
        <w:rPr>
          <w:rFonts w:ascii="Arial" w:hAnsi="Arial" w:cs="Arial"/>
          <w:bCs/>
          <w:kern w:val="2"/>
          <w:sz w:val="22"/>
          <w:szCs w:val="22"/>
        </w:rPr>
      </w:pPr>
      <w:r>
        <w:rPr>
          <w:rFonts w:cs="Arial" w:ascii="Arial" w:hAnsi="Arial"/>
          <w:bCs/>
          <w:kern w:val="2"/>
          <w:sz w:val="22"/>
          <w:szCs w:val="22"/>
        </w:rPr>
      </w:r>
    </w:p>
    <w:p>
      <w:pPr>
        <w:pStyle w:val="NormalWeb"/>
        <w:spacing w:lineRule="auto" w:line="276" w:beforeAutospacing="0" w:before="0" w:afterAutospacing="0" w:after="0"/>
        <w:jc w:val="both"/>
        <w:rPr>
          <w:rFonts w:ascii="Arial" w:hAnsi="Arial" w:cs="Arial"/>
          <w:bCs/>
          <w:kern w:val="2"/>
          <w:sz w:val="22"/>
          <w:szCs w:val="22"/>
        </w:rPr>
      </w:pPr>
      <w:r>
        <w:rPr>
          <w:rFonts w:cs="Arial" w:ascii="Arial" w:hAnsi="Arial"/>
          <w:bCs/>
          <w:kern w:val="2"/>
          <w:sz w:val="22"/>
          <w:szCs w:val="22"/>
        </w:rPr>
      </w:r>
    </w:p>
    <w:p>
      <w:pPr>
        <w:pStyle w:val="NormalWeb"/>
        <w:spacing w:lineRule="auto" w:line="276" w:beforeAutospacing="0" w:before="0" w:afterAutospacing="0" w:after="0"/>
        <w:jc w:val="both"/>
        <w:rPr>
          <w:rFonts w:ascii="Arial" w:hAnsi="Arial" w:cs="Arial"/>
          <w:bCs/>
          <w:kern w:val="2"/>
          <w:sz w:val="22"/>
          <w:szCs w:val="22"/>
        </w:rPr>
      </w:pPr>
      <w:r>
        <w:rPr>
          <w:rFonts w:cs="Arial" w:ascii="Arial" w:hAnsi="Arial"/>
          <w:bCs/>
          <w:kern w:val="2"/>
          <w:sz w:val="22"/>
          <w:szCs w:val="22"/>
        </w:rPr>
      </w:r>
    </w:p>
    <w:p>
      <w:pPr>
        <w:pStyle w:val="NormalWeb"/>
        <w:spacing w:lineRule="auto" w:line="276" w:beforeAutospacing="0" w:before="0" w:afterAutospacing="0" w:after="0"/>
        <w:jc w:val="both"/>
        <w:rPr>
          <w:rFonts w:ascii="Arial" w:hAnsi="Arial" w:cs="Arial"/>
          <w:bCs/>
          <w:kern w:val="2"/>
          <w:sz w:val="22"/>
          <w:szCs w:val="22"/>
        </w:rPr>
      </w:pPr>
      <w:r>
        <w:rPr>
          <w:rFonts w:cs="Arial" w:ascii="Arial" w:hAnsi="Arial"/>
          <w:bCs/>
          <w:kern w:val="2"/>
          <w:sz w:val="22"/>
          <w:szCs w:val="22"/>
        </w:rPr>
      </w:r>
    </w:p>
    <w:p>
      <w:pPr>
        <w:pStyle w:val="NormalWeb"/>
        <w:spacing w:lineRule="auto" w:line="276" w:beforeAutospacing="0" w:before="0" w:afterAutospacing="0" w:after="0"/>
        <w:jc w:val="both"/>
        <w:rPr>
          <w:rFonts w:ascii="Arial" w:hAnsi="Arial" w:cs="Arial"/>
          <w:bCs/>
          <w:kern w:val="2"/>
          <w:sz w:val="22"/>
          <w:szCs w:val="22"/>
        </w:rPr>
      </w:pPr>
      <w:r>
        <w:rPr>
          <w:rFonts w:cs="Arial" w:ascii="Arial" w:hAnsi="Arial"/>
          <w:bCs/>
          <w:kern w:val="2"/>
          <w:sz w:val="22"/>
          <w:szCs w:val="22"/>
        </w:rPr>
      </w:r>
    </w:p>
    <w:p>
      <w:pPr>
        <w:pStyle w:val="NoSpacing"/>
        <w:spacing w:lineRule="auto" w:line="276"/>
        <w:jc w:val="both"/>
        <w:rPr>
          <w:rFonts w:ascii="Arial" w:hAnsi="Arial" w:cs="Arial"/>
          <w:b/>
          <w:bCs/>
          <w:color w:val="0000FF"/>
          <w:u w:val="single"/>
        </w:rPr>
      </w:pPr>
      <w:r>
        <w:rPr>
          <w:rFonts w:cs="Arial" w:ascii="Arial" w:hAnsi="Arial"/>
          <w:b/>
          <w:bCs/>
          <w:color w:val="0000FF"/>
          <w:u w:val="single"/>
        </w:rPr>
        <w:t xml:space="preserve">3.3 Rémunération </w:t>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r>
    </w:p>
    <w:p>
      <w:pPr>
        <w:pStyle w:val="NormalWeb"/>
        <w:numPr>
          <w:ilvl w:val="0"/>
          <w:numId w:val="4"/>
        </w:numPr>
        <w:spacing w:lineRule="auto" w:line="276" w:beforeAutospacing="0" w:before="0" w:afterAutospacing="0" w:after="0"/>
        <w:jc w:val="both"/>
        <w:rPr>
          <w:rFonts w:ascii="Arial" w:hAnsi="Arial" w:cs="Arial"/>
          <w:b/>
          <w:bCs/>
          <w:sz w:val="22"/>
          <w:szCs w:val="22"/>
        </w:rPr>
      </w:pPr>
      <w:r>
        <w:rPr>
          <w:rFonts w:cs="Arial" w:ascii="Arial" w:hAnsi="Arial"/>
          <w:b/>
          <w:bCs/>
          <w:sz w:val="22"/>
          <w:szCs w:val="22"/>
        </w:rPr>
        <w:t xml:space="preserve">Augmentation des salaires </w:t>
      </w:r>
    </w:p>
    <w:p>
      <w:pPr>
        <w:pStyle w:val="NormalWeb"/>
        <w:spacing w:lineRule="auto" w:line="276" w:beforeAutospacing="0" w:before="0" w:afterAutospacing="0" w:after="0"/>
        <w:ind w:start="360"/>
        <w:jc w:val="both"/>
        <w:rPr>
          <w:rFonts w:ascii="Arial" w:hAnsi="Arial" w:cs="Arial"/>
          <w:sz w:val="22"/>
          <w:szCs w:val="22"/>
        </w:rPr>
      </w:pPr>
      <w:r>
        <w:rPr>
          <w:rFonts w:cs="Arial" w:ascii="Arial" w:hAnsi="Arial"/>
          <w:sz w:val="22"/>
          <w:szCs w:val="22"/>
        </w:rPr>
      </w:r>
    </w:p>
    <w:p>
      <w:pPr>
        <w:pStyle w:val="NoSpacing"/>
        <w:jc w:val="both"/>
        <w:rPr>
          <w:rFonts w:ascii="Arial" w:hAnsi="Arial" w:eastAsia="Times New Roman" w:cs="Arial"/>
          <w:bCs/>
          <w:kern w:val="2"/>
          <w:lang w:eastAsia="fr-FR"/>
        </w:rPr>
      </w:pPr>
      <w:r>
        <w:rPr>
          <w:rFonts w:eastAsia="Times New Roman" w:cs="Arial" w:ascii="Arial" w:hAnsi="Arial"/>
          <w:bCs/>
          <w:kern w:val="2"/>
          <w:lang w:eastAsia="fr-FR"/>
        </w:rPr>
        <w:t xml:space="preserve">Les partenaires sociaux s’accordent sur une revalorisation des salaires de base d’un montant de </w:t>
      </w:r>
      <w:r>
        <w:rPr>
          <w:rFonts w:eastAsia="Times New Roman" w:cs="Arial" w:ascii="Arial" w:hAnsi="Arial"/>
          <w:b/>
          <w:kern w:val="2"/>
          <w:lang w:eastAsia="fr-FR"/>
        </w:rPr>
        <w:t>25 euros bruts mensuels</w:t>
      </w:r>
      <w:r>
        <w:rPr>
          <w:rFonts w:eastAsia="Times New Roman" w:cs="Arial" w:ascii="Arial" w:hAnsi="Arial"/>
          <w:bCs/>
          <w:kern w:val="2"/>
          <w:lang w:eastAsia="fr-FR"/>
        </w:rPr>
        <w:t>, applicable aux personnels dont la rémunération mensuelle brute contractuelle est inférieure à 3000 euros, à l’exception des salariés sous contrat d’apprentissage ou de professionnalisation. Cette mesure prendra effet rétroactivement à compter du 1er février 2026.</w:t>
      </w:r>
    </w:p>
    <w:p>
      <w:pPr>
        <w:pStyle w:val="NormalWeb"/>
        <w:spacing w:lineRule="auto" w:line="276" w:beforeAutospacing="0" w:before="0" w:afterAutospacing="0" w:after="0"/>
        <w:jc w:val="both"/>
        <w:rPr>
          <w:rFonts w:ascii="Arial" w:hAnsi="Arial" w:cs="Arial"/>
          <w:b/>
          <w:sz w:val="22"/>
          <w:szCs w:val="22"/>
        </w:rPr>
      </w:pPr>
      <w:r>
        <w:rPr>
          <w:rFonts w:cs="Arial" w:ascii="Arial" w:hAnsi="Arial"/>
          <w:b/>
          <w:sz w:val="22"/>
          <w:szCs w:val="22"/>
        </w:rPr>
      </w:r>
    </w:p>
    <w:p>
      <w:pPr>
        <w:pStyle w:val="NormalWeb"/>
        <w:numPr>
          <w:ilvl w:val="0"/>
          <w:numId w:val="4"/>
        </w:numPr>
        <w:spacing w:lineRule="auto" w:line="276" w:beforeAutospacing="0" w:before="0" w:afterAutospacing="0" w:after="0"/>
        <w:jc w:val="both"/>
        <w:rPr>
          <w:rFonts w:ascii="Arial" w:hAnsi="Arial" w:cs="Arial"/>
          <w:b/>
          <w:sz w:val="22"/>
          <w:szCs w:val="22"/>
        </w:rPr>
      </w:pPr>
      <w:r>
        <w:rPr>
          <w:rFonts w:cs="Arial" w:ascii="Arial" w:hAnsi="Arial"/>
          <w:b/>
          <w:sz w:val="22"/>
          <w:szCs w:val="22"/>
        </w:rPr>
        <w:t>Revalorisation de la grille d’ancienneté de 0,7%</w:t>
      </w:r>
    </w:p>
    <w:p>
      <w:pPr>
        <w:pStyle w:val="NormalWeb"/>
        <w:spacing w:lineRule="auto" w:line="276" w:beforeAutospacing="0" w:before="0" w:afterAutospacing="0" w:after="0"/>
        <w:jc w:val="both"/>
        <w:rPr>
          <w:rFonts w:ascii="Arial" w:hAnsi="Arial" w:cs="Arial"/>
          <w:bCs/>
          <w:kern w:val="2"/>
          <w:sz w:val="22"/>
          <w:szCs w:val="22"/>
        </w:rPr>
      </w:pPr>
      <w:r>
        <w:rPr>
          <w:rFonts w:cs="Arial" w:ascii="Arial" w:hAnsi="Arial"/>
          <w:bCs/>
          <w:kern w:val="2"/>
          <w:sz w:val="22"/>
          <w:szCs w:val="22"/>
        </w:rPr>
      </w:r>
    </w:p>
    <w:p>
      <w:pPr>
        <w:pStyle w:val="NormalWeb"/>
        <w:spacing w:lineRule="auto" w:line="276" w:beforeAutospacing="0" w:before="0" w:afterAutospacing="0" w:after="0"/>
        <w:jc w:val="both"/>
        <w:rPr>
          <w:rFonts w:ascii="Arial" w:hAnsi="Arial" w:cs="Arial"/>
          <w:bCs/>
          <w:kern w:val="2"/>
          <w:sz w:val="22"/>
          <w:szCs w:val="22"/>
        </w:rPr>
      </w:pPr>
      <w:r>
        <w:rPr>
          <w:rFonts w:cs="Arial" w:ascii="Arial" w:hAnsi="Arial"/>
          <w:bCs/>
          <w:kern w:val="2"/>
          <w:sz w:val="22"/>
          <w:szCs w:val="22"/>
        </w:rPr>
        <w:t>Les partenaires sociaux conviennent d’une revalorisation de 0,7% de la grille d’ancienneté actuellement en vigueur au sein de la Société GEODIS D&amp;E DAUPHINE, applicable à compter du 1</w:t>
      </w:r>
      <w:r>
        <w:rPr>
          <w:rFonts w:cs="Arial" w:ascii="Arial" w:hAnsi="Arial"/>
          <w:bCs/>
          <w:kern w:val="2"/>
          <w:sz w:val="22"/>
          <w:szCs w:val="22"/>
          <w:vertAlign w:val="superscript"/>
        </w:rPr>
        <w:t>er</w:t>
      </w:r>
      <w:r>
        <w:rPr>
          <w:rFonts w:cs="Arial" w:ascii="Arial" w:hAnsi="Arial"/>
          <w:bCs/>
          <w:kern w:val="2"/>
          <w:sz w:val="22"/>
          <w:szCs w:val="22"/>
        </w:rPr>
        <w:t xml:space="preserve"> février 2026 :</w:t>
      </w:r>
    </w:p>
    <w:p>
      <w:pPr>
        <w:pStyle w:val="NormalWeb"/>
        <w:spacing w:lineRule="auto" w:line="276" w:beforeAutospacing="0" w:before="0" w:afterAutospacing="0" w:after="0"/>
        <w:jc w:val="both"/>
        <w:rPr>
          <w:rFonts w:ascii="Arial" w:hAnsi="Arial" w:cs="Arial"/>
          <w:bCs/>
          <w:kern w:val="2"/>
          <w:sz w:val="22"/>
          <w:szCs w:val="22"/>
        </w:rPr>
      </w:pPr>
      <w:r>
        <w:rPr>
          <w:rFonts w:cs="Arial" w:ascii="Arial" w:hAnsi="Arial"/>
          <w:bCs/>
          <w:kern w:val="2"/>
          <w:sz w:val="22"/>
          <w:szCs w:val="22"/>
        </w:rPr>
      </w:r>
    </w:p>
    <w:p>
      <w:pPr>
        <w:pStyle w:val="NormalWeb"/>
        <w:spacing w:lineRule="auto" w:line="276" w:beforeAutospacing="0" w:before="0" w:afterAutospacing="0" w:after="0"/>
        <w:jc w:val="both"/>
        <w:rPr>
          <w:rFonts w:ascii="Arial" w:hAnsi="Arial" w:cs="Arial"/>
          <w:bCs/>
          <w:kern w:val="2"/>
          <w:sz w:val="22"/>
          <w:szCs w:val="22"/>
        </w:rPr>
      </w:pPr>
      <w:r>
        <w:rPr>
          <w:rFonts w:cs="Arial" w:ascii="Arial" w:hAnsi="Arial"/>
          <w:bCs/>
          <w:kern w:val="2"/>
          <w:sz w:val="22"/>
          <w:szCs w:val="22"/>
        </w:rPr>
        <w:t xml:space="preserve"> </w:t>
      </w:r>
    </w:p>
    <w:p>
      <w:pPr>
        <w:pStyle w:val="NormalWeb"/>
        <w:spacing w:lineRule="auto" w:line="276" w:beforeAutospacing="0" w:before="0" w:afterAutospacing="0" w:after="0"/>
        <w:jc w:val="both"/>
        <w:rPr>
          <w:rFonts w:ascii="Arial" w:hAnsi="Arial" w:cs="Arial"/>
          <w:b/>
          <w:sz w:val="22"/>
          <w:szCs w:val="22"/>
        </w:rPr>
      </w:pPr>
      <w:r>
        <w:rPr/>
        <w:drawing>
          <wp:inline distT="0" distB="0" distL="0" distR="0">
            <wp:extent cx="6115050" cy="6286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2"/>
                    <a:stretch>
                      <a:fillRect/>
                    </a:stretch>
                  </pic:blipFill>
                  <pic:spPr bwMode="auto">
                    <a:xfrm>
                      <a:off x="0" y="0"/>
                      <a:ext cx="6115050" cy="628650"/>
                    </a:xfrm>
                    <a:prstGeom prst="rect">
                      <a:avLst/>
                    </a:prstGeom>
                    <a:noFill/>
                  </pic:spPr>
                </pic:pic>
              </a:graphicData>
            </a:graphic>
          </wp:inline>
        </w:drawing>
      </w:r>
    </w:p>
    <w:p>
      <w:pPr>
        <w:pStyle w:val="NormalWeb"/>
        <w:spacing w:lineRule="auto" w:line="276" w:beforeAutospacing="0" w:before="0" w:afterAutospacing="0" w:after="0"/>
        <w:jc w:val="both"/>
        <w:rPr>
          <w:rFonts w:ascii="Arial" w:hAnsi="Arial" w:cs="Arial"/>
          <w:b/>
          <w:sz w:val="22"/>
          <w:szCs w:val="22"/>
        </w:rPr>
      </w:pPr>
      <w:r>
        <w:rPr>
          <w:rFonts w:cs="Arial" w:ascii="Arial" w:hAnsi="Arial"/>
          <w:b/>
          <w:sz w:val="22"/>
          <w:szCs w:val="22"/>
        </w:rPr>
      </w:r>
    </w:p>
    <w:p>
      <w:pPr>
        <w:pStyle w:val="NormalWeb"/>
        <w:spacing w:lineRule="auto" w:line="276" w:beforeAutospacing="0" w:before="0" w:afterAutospacing="0" w:after="0"/>
        <w:jc w:val="both"/>
        <w:rPr>
          <w:rFonts w:ascii="Arial" w:hAnsi="Arial" w:cs="Arial"/>
          <w:b/>
          <w:sz w:val="22"/>
          <w:szCs w:val="22"/>
        </w:rPr>
      </w:pPr>
      <w:r>
        <w:rPr>
          <w:rFonts w:cs="Arial" w:ascii="Arial" w:hAnsi="Arial"/>
          <w:b/>
          <w:sz w:val="22"/>
          <w:szCs w:val="22"/>
        </w:rPr>
      </w:r>
    </w:p>
    <w:p>
      <w:pPr>
        <w:pStyle w:val="NormalWeb"/>
        <w:numPr>
          <w:ilvl w:val="0"/>
          <w:numId w:val="4"/>
        </w:numPr>
        <w:spacing w:lineRule="auto" w:line="276" w:beforeAutospacing="0" w:before="0" w:afterAutospacing="0" w:after="0"/>
        <w:jc w:val="both"/>
        <w:rPr>
          <w:rFonts w:ascii="Arial" w:hAnsi="Arial" w:cs="Arial"/>
          <w:b/>
          <w:sz w:val="22"/>
          <w:szCs w:val="22"/>
        </w:rPr>
      </w:pPr>
      <w:r>
        <w:rPr>
          <w:rFonts w:cs="Arial" w:ascii="Arial" w:hAnsi="Arial"/>
          <w:b/>
          <w:sz w:val="22"/>
          <w:szCs w:val="22"/>
        </w:rPr>
        <w:t xml:space="preserve">Attribution d’une prime d’assiduité </w:t>
      </w:r>
    </w:p>
    <w:p>
      <w:pPr>
        <w:pStyle w:val="NormalWeb"/>
        <w:spacing w:lineRule="auto" w:line="276" w:beforeAutospacing="0" w:before="0" w:afterAutospacing="0" w:after="0"/>
        <w:jc w:val="both"/>
        <w:rPr>
          <w:rFonts w:ascii="Arial" w:hAnsi="Arial" w:cs="Arial"/>
          <w:b/>
          <w:sz w:val="22"/>
          <w:szCs w:val="22"/>
        </w:rPr>
      </w:pPr>
      <w:r>
        <w:rPr>
          <w:rFonts w:cs="Arial" w:ascii="Arial" w:hAnsi="Arial"/>
          <w:b/>
          <w:sz w:val="22"/>
          <w:szCs w:val="22"/>
        </w:rPr>
      </w:r>
    </w:p>
    <w:p>
      <w:pPr>
        <w:pStyle w:val="NormalWeb"/>
        <w:spacing w:lineRule="auto" w:line="276" w:beforeAutospacing="0" w:before="0" w:afterAutospacing="0" w:after="0"/>
        <w:jc w:val="both"/>
        <w:rPr>
          <w:rFonts w:ascii="Arial" w:hAnsi="Arial" w:cs="Arial"/>
          <w:bCs/>
          <w:kern w:val="2"/>
          <w:sz w:val="22"/>
          <w:szCs w:val="22"/>
        </w:rPr>
      </w:pPr>
      <w:r>
        <w:rPr>
          <w:rFonts w:cs="Arial" w:ascii="Arial" w:hAnsi="Arial"/>
          <w:bCs/>
          <w:kern w:val="2"/>
          <w:sz w:val="22"/>
          <w:szCs w:val="22"/>
        </w:rPr>
        <w:t>La Direction, soucieuse de récompenser la présence régulière des salariés à leur poste de travail, souhaite reconduire le bénéfice d’une prime d’assiduité pour l’année 2026 dans les conditions rappelées ci-après :</w:t>
      </w:r>
    </w:p>
    <w:p>
      <w:pPr>
        <w:pStyle w:val="NormalWeb"/>
        <w:spacing w:lineRule="auto" w:line="276" w:beforeAutospacing="0" w:before="0" w:afterAutospacing="0" w:after="0"/>
        <w:jc w:val="both"/>
        <w:rPr>
          <w:rFonts w:ascii="Arial" w:hAnsi="Arial" w:cs="Arial"/>
          <w:bCs/>
          <w:sz w:val="22"/>
          <w:szCs w:val="22"/>
        </w:rPr>
      </w:pPr>
      <w:r>
        <w:rPr>
          <w:rFonts w:cs="Arial" w:ascii="Arial" w:hAnsi="Arial"/>
          <w:bCs/>
          <w:sz w:val="22"/>
          <w:szCs w:val="22"/>
        </w:rPr>
      </w:r>
    </w:p>
    <w:p>
      <w:pPr>
        <w:pStyle w:val="NormalWeb"/>
        <w:numPr>
          <w:ilvl w:val="0"/>
          <w:numId w:val="7"/>
        </w:numPr>
        <w:spacing w:lineRule="auto" w:line="276" w:beforeAutospacing="0" w:before="0" w:afterAutospacing="0" w:after="0"/>
        <w:jc w:val="both"/>
        <w:rPr>
          <w:rFonts w:ascii="Arial" w:hAnsi="Arial" w:cs="Arial"/>
          <w:bCs/>
          <w:sz w:val="22"/>
          <w:szCs w:val="22"/>
        </w:rPr>
      </w:pPr>
      <w:r>
        <w:rPr>
          <w:rFonts w:cs="Arial" w:ascii="Arial" w:hAnsi="Arial"/>
          <w:bCs/>
          <w:sz w:val="22"/>
          <w:szCs w:val="22"/>
        </w:rPr>
        <w:t>Montant de la prime d’assiduité</w:t>
      </w:r>
    </w:p>
    <w:p>
      <w:pPr>
        <w:pStyle w:val="NormalWeb"/>
        <w:spacing w:lineRule="auto" w:line="276" w:beforeAutospacing="0" w:before="0" w:afterAutospacing="0" w:after="0"/>
        <w:jc w:val="both"/>
        <w:rPr>
          <w:rFonts w:ascii="Arial" w:hAnsi="Arial" w:cs="Arial"/>
          <w:b/>
          <w:sz w:val="22"/>
          <w:szCs w:val="22"/>
        </w:rPr>
      </w:pPr>
      <w:r>
        <w:rPr>
          <w:rFonts w:cs="Arial" w:ascii="Arial" w:hAnsi="Arial"/>
          <w:b/>
          <w:sz w:val="22"/>
          <w:szCs w:val="22"/>
        </w:rPr>
      </w:r>
    </w:p>
    <w:p>
      <w:pPr>
        <w:pStyle w:val="NormalWeb"/>
        <w:spacing w:lineRule="auto" w:line="276" w:beforeAutospacing="0" w:before="0" w:afterAutospacing="0" w:after="0"/>
        <w:jc w:val="both"/>
        <w:rPr>
          <w:rFonts w:ascii="Arial" w:hAnsi="Arial" w:cs="Arial"/>
          <w:bCs/>
          <w:sz w:val="22"/>
          <w:szCs w:val="22"/>
        </w:rPr>
      </w:pPr>
      <w:r>
        <w:rPr>
          <w:rFonts w:cs="Arial" w:ascii="Arial" w:hAnsi="Arial"/>
          <w:bCs/>
          <w:sz w:val="22"/>
          <w:szCs w:val="22"/>
        </w:rPr>
        <w:t>Le bénéfice de la prime d’assiduité s’applique à certaines catégories de salariés liées par un contrat de travail à la Société GEODIS D&amp;E Dauphiné, sans condition d’ancienneté, selon les modalités suivantes :</w:t>
      </w:r>
    </w:p>
    <w:p>
      <w:pPr>
        <w:pStyle w:val="NormalWeb"/>
        <w:spacing w:lineRule="auto" w:line="276" w:beforeAutospacing="0" w:before="0" w:afterAutospacing="0" w:after="0"/>
        <w:jc w:val="both"/>
        <w:rPr>
          <w:rFonts w:ascii="Arial" w:hAnsi="Arial" w:cs="Arial"/>
          <w:bCs/>
          <w:sz w:val="22"/>
          <w:szCs w:val="22"/>
        </w:rPr>
      </w:pPr>
      <w:r>
        <w:rPr>
          <w:rFonts w:cs="Arial" w:ascii="Arial" w:hAnsi="Arial"/>
          <w:bCs/>
          <w:sz w:val="22"/>
          <w:szCs w:val="22"/>
        </w:rPr>
      </w:r>
    </w:p>
    <w:p>
      <w:pPr>
        <w:pStyle w:val="NormalWeb"/>
        <w:numPr>
          <w:ilvl w:val="0"/>
          <w:numId w:val="3"/>
        </w:numPr>
        <w:spacing w:lineRule="auto" w:line="276" w:beforeAutospacing="0" w:before="0" w:afterAutospacing="0" w:after="0"/>
        <w:jc w:val="both"/>
        <w:rPr>
          <w:rFonts w:ascii="Arial" w:hAnsi="Arial" w:cs="Arial"/>
          <w:bCs/>
          <w:sz w:val="22"/>
          <w:szCs w:val="22"/>
        </w:rPr>
      </w:pPr>
      <w:r>
        <w:rPr>
          <w:rFonts w:cs="Arial" w:ascii="Arial" w:hAnsi="Arial"/>
          <w:bCs/>
          <w:sz w:val="22"/>
          <w:szCs w:val="22"/>
        </w:rPr>
        <w:t>Personnel Ouvrier sédentaire/Employé : 65 euros bruts par mois</w:t>
      </w:r>
    </w:p>
    <w:p>
      <w:pPr>
        <w:pStyle w:val="NormalWeb"/>
        <w:numPr>
          <w:ilvl w:val="0"/>
          <w:numId w:val="3"/>
        </w:numPr>
        <w:spacing w:lineRule="auto" w:line="276" w:beforeAutospacing="0" w:before="0" w:afterAutospacing="0" w:after="0"/>
        <w:jc w:val="both"/>
        <w:rPr>
          <w:rFonts w:ascii="Arial" w:hAnsi="Arial" w:cs="Arial"/>
          <w:bCs/>
          <w:sz w:val="22"/>
          <w:szCs w:val="22"/>
        </w:rPr>
      </w:pPr>
      <w:r>
        <w:rPr>
          <w:rFonts w:cs="Arial" w:ascii="Arial" w:hAnsi="Arial"/>
          <w:bCs/>
          <w:sz w:val="22"/>
          <w:szCs w:val="22"/>
        </w:rPr>
        <w:t>Personnel Maîtrise M1 : 60 euros bruts par mois</w:t>
      </w:r>
    </w:p>
    <w:p>
      <w:pPr>
        <w:pStyle w:val="NormalWeb"/>
        <w:numPr>
          <w:ilvl w:val="0"/>
          <w:numId w:val="3"/>
        </w:numPr>
        <w:spacing w:lineRule="auto" w:line="276" w:beforeAutospacing="0" w:before="0" w:afterAutospacing="0" w:after="0"/>
        <w:jc w:val="both"/>
        <w:rPr>
          <w:rFonts w:ascii="Arial" w:hAnsi="Arial" w:cs="Arial"/>
          <w:bCs/>
          <w:sz w:val="22"/>
          <w:szCs w:val="22"/>
        </w:rPr>
      </w:pPr>
      <w:r>
        <w:rPr>
          <w:rFonts w:cs="Arial" w:ascii="Arial" w:hAnsi="Arial"/>
          <w:bCs/>
          <w:sz w:val="22"/>
          <w:szCs w:val="22"/>
        </w:rPr>
        <w:t>Personnel Conducteur : 30 euros bruts par mois</w:t>
      </w:r>
    </w:p>
    <w:p>
      <w:pPr>
        <w:pStyle w:val="NormalWeb"/>
        <w:spacing w:lineRule="auto" w:line="276" w:beforeAutospacing="0" w:before="0" w:afterAutospacing="0" w:after="0"/>
        <w:jc w:val="both"/>
        <w:rPr>
          <w:rFonts w:ascii="Arial" w:hAnsi="Arial" w:cs="Arial"/>
          <w:bCs/>
          <w:sz w:val="22"/>
          <w:szCs w:val="22"/>
        </w:rPr>
      </w:pPr>
      <w:r>
        <w:rPr>
          <w:rFonts w:cs="Arial" w:ascii="Arial" w:hAnsi="Arial"/>
          <w:bCs/>
          <w:sz w:val="22"/>
          <w:szCs w:val="22"/>
        </w:rPr>
      </w:r>
    </w:p>
    <w:p>
      <w:pPr>
        <w:pStyle w:val="NormalWeb"/>
        <w:spacing w:lineRule="auto" w:line="276" w:beforeAutospacing="0" w:before="0" w:afterAutospacing="0" w:after="0"/>
        <w:jc w:val="both"/>
        <w:rPr>
          <w:rFonts w:ascii="Arial" w:hAnsi="Arial" w:cs="Arial"/>
          <w:bCs/>
          <w:sz w:val="22"/>
          <w:szCs w:val="22"/>
        </w:rPr>
      </w:pPr>
      <w:r>
        <w:rPr>
          <w:rFonts w:cs="Arial" w:ascii="Arial" w:hAnsi="Arial"/>
          <w:bCs/>
          <w:sz w:val="22"/>
          <w:szCs w:val="22"/>
        </w:rPr>
        <w:t>Il est précisé qu’en cas d’embauche ou de sortie en cours de mois, la prime d’assiduité sera versée au prorata temporis du temps de présence du salarié sur le mois considéré.</w:t>
      </w:r>
    </w:p>
    <w:p>
      <w:pPr>
        <w:pStyle w:val="NormalWeb"/>
        <w:spacing w:lineRule="auto" w:line="276" w:beforeAutospacing="0" w:before="0" w:afterAutospacing="0" w:after="0"/>
        <w:jc w:val="both"/>
        <w:rPr>
          <w:rFonts w:ascii="Arial" w:hAnsi="Arial" w:cs="Arial"/>
          <w:bCs/>
          <w:sz w:val="22"/>
          <w:szCs w:val="22"/>
        </w:rPr>
      </w:pPr>
      <w:r>
        <w:rPr>
          <w:rFonts w:cs="Arial" w:ascii="Arial" w:hAnsi="Arial"/>
          <w:bCs/>
          <w:sz w:val="22"/>
          <w:szCs w:val="22"/>
        </w:rPr>
      </w:r>
    </w:p>
    <w:p>
      <w:pPr>
        <w:pStyle w:val="NormalWeb"/>
        <w:spacing w:lineRule="auto" w:line="276" w:beforeAutospacing="0" w:before="0" w:afterAutospacing="0" w:after="0"/>
        <w:jc w:val="both"/>
        <w:rPr>
          <w:rFonts w:ascii="Arial" w:hAnsi="Arial" w:cs="Arial"/>
          <w:bCs/>
          <w:sz w:val="22"/>
          <w:szCs w:val="22"/>
        </w:rPr>
      </w:pPr>
      <w:r>
        <w:rPr>
          <w:rFonts w:cs="Arial" w:ascii="Arial" w:hAnsi="Arial"/>
          <w:bCs/>
          <w:sz w:val="22"/>
          <w:szCs w:val="22"/>
        </w:rPr>
        <w:t>De même, le montant de la prime sera calculé au prorata temporis de leur temps de travail pour les salariés à temps partiel ou en temps partiel thérapeutique.</w:t>
      </w:r>
    </w:p>
    <w:p>
      <w:pPr>
        <w:pStyle w:val="NormalWeb"/>
        <w:spacing w:lineRule="auto" w:line="276" w:beforeAutospacing="0" w:before="0" w:afterAutospacing="0" w:after="0"/>
        <w:jc w:val="both"/>
        <w:rPr>
          <w:rFonts w:ascii="Arial" w:hAnsi="Arial" w:cs="Arial"/>
          <w:bCs/>
          <w:sz w:val="22"/>
          <w:szCs w:val="22"/>
        </w:rPr>
      </w:pPr>
      <w:r>
        <w:rPr>
          <w:rFonts w:cs="Arial" w:ascii="Arial" w:hAnsi="Arial"/>
          <w:bCs/>
          <w:sz w:val="22"/>
          <w:szCs w:val="22"/>
        </w:rPr>
      </w:r>
    </w:p>
    <w:p>
      <w:pPr>
        <w:pStyle w:val="NormalWeb"/>
        <w:spacing w:lineRule="auto" w:line="276" w:beforeAutospacing="0" w:before="0" w:afterAutospacing="0" w:after="0"/>
        <w:jc w:val="both"/>
        <w:rPr>
          <w:rFonts w:ascii="Arial" w:hAnsi="Arial" w:cs="Arial"/>
          <w:bCs/>
          <w:sz w:val="22"/>
          <w:szCs w:val="22"/>
        </w:rPr>
      </w:pPr>
      <w:r>
        <w:rPr>
          <w:rFonts w:cs="Arial" w:ascii="Arial" w:hAnsi="Arial"/>
          <w:bCs/>
          <w:sz w:val="22"/>
          <w:szCs w:val="22"/>
        </w:rPr>
      </w:r>
    </w:p>
    <w:p>
      <w:pPr>
        <w:pStyle w:val="NormalWeb"/>
        <w:numPr>
          <w:ilvl w:val="0"/>
          <w:numId w:val="7"/>
        </w:numPr>
        <w:spacing w:lineRule="auto" w:line="276" w:beforeAutospacing="0" w:before="0" w:afterAutospacing="0" w:after="0"/>
        <w:jc w:val="both"/>
        <w:rPr>
          <w:rFonts w:ascii="Arial" w:hAnsi="Arial" w:cs="Arial"/>
          <w:bCs/>
          <w:sz w:val="22"/>
          <w:szCs w:val="22"/>
        </w:rPr>
      </w:pPr>
      <w:r>
        <w:rPr>
          <w:rFonts w:cs="Arial" w:ascii="Arial" w:hAnsi="Arial"/>
          <w:bCs/>
          <w:sz w:val="22"/>
          <w:szCs w:val="22"/>
        </w:rPr>
        <w:t>Conditions d’attribution de la prime</w:t>
      </w:r>
    </w:p>
    <w:p>
      <w:pPr>
        <w:pStyle w:val="NormalWeb"/>
        <w:spacing w:lineRule="auto" w:line="276" w:beforeAutospacing="0" w:before="0" w:afterAutospacing="0" w:after="0"/>
        <w:jc w:val="both"/>
        <w:rPr>
          <w:rFonts w:ascii="Arial" w:hAnsi="Arial" w:cs="Arial"/>
          <w:bCs/>
          <w:sz w:val="22"/>
          <w:szCs w:val="22"/>
        </w:rPr>
      </w:pPr>
      <w:r>
        <w:rPr>
          <w:rFonts w:cs="Arial" w:ascii="Arial" w:hAnsi="Arial"/>
          <w:bCs/>
          <w:sz w:val="22"/>
          <w:szCs w:val="22"/>
        </w:rPr>
      </w:r>
    </w:p>
    <w:p>
      <w:pPr>
        <w:pStyle w:val="NormalWeb"/>
        <w:spacing w:lineRule="auto" w:line="276" w:beforeAutospacing="0" w:before="0" w:afterAutospacing="0" w:after="0"/>
        <w:jc w:val="both"/>
        <w:rPr>
          <w:rFonts w:ascii="Arial" w:hAnsi="Arial" w:cs="Arial"/>
          <w:bCs/>
          <w:sz w:val="22"/>
          <w:szCs w:val="22"/>
        </w:rPr>
      </w:pPr>
      <w:r>
        <w:rPr>
          <w:rFonts w:cs="Arial" w:ascii="Arial" w:hAnsi="Arial"/>
          <w:bCs/>
          <w:sz w:val="22"/>
          <w:szCs w:val="22"/>
        </w:rPr>
        <w:t>Les parties conviennent que la prime d’assiduité ne sera versée au salarié que s’il est présent sur la totalité du mois considéré. Ainsi, à partir d’une absence sur le mois considéré, la prime d’assiduité ne sera pas due, sauf cas d’absence légalement assimilée à du temps de travail effectif.</w:t>
      </w:r>
    </w:p>
    <w:p>
      <w:pPr>
        <w:pStyle w:val="NormalWeb"/>
        <w:spacing w:lineRule="auto" w:line="276" w:beforeAutospacing="0" w:before="0" w:afterAutospacing="0" w:after="0"/>
        <w:jc w:val="both"/>
        <w:rPr>
          <w:rFonts w:ascii="Arial" w:hAnsi="Arial" w:cs="Arial"/>
          <w:bCs/>
          <w:sz w:val="22"/>
          <w:szCs w:val="22"/>
        </w:rPr>
      </w:pPr>
      <w:r>
        <w:rPr>
          <w:rFonts w:cs="Arial" w:ascii="Arial" w:hAnsi="Arial"/>
          <w:bCs/>
          <w:sz w:val="22"/>
          <w:szCs w:val="22"/>
        </w:rPr>
      </w:r>
    </w:p>
    <w:p>
      <w:pPr>
        <w:pStyle w:val="NormalWeb"/>
        <w:spacing w:lineRule="auto" w:line="276" w:beforeAutospacing="0" w:before="0" w:afterAutospacing="0" w:after="0"/>
        <w:jc w:val="both"/>
        <w:rPr>
          <w:rFonts w:ascii="Arial" w:hAnsi="Arial" w:cs="Arial"/>
          <w:bCs/>
          <w:sz w:val="22"/>
          <w:szCs w:val="22"/>
        </w:rPr>
      </w:pPr>
      <w:r>
        <w:rPr>
          <w:rFonts w:cs="Arial" w:ascii="Arial" w:hAnsi="Arial"/>
          <w:bCs/>
          <w:sz w:val="22"/>
          <w:szCs w:val="22"/>
        </w:rPr>
        <w:t>Sont notamment assimilées à du temps de travail effectif, les absences suivantes :</w:t>
      </w:r>
    </w:p>
    <w:p>
      <w:pPr>
        <w:pStyle w:val="Normal"/>
        <w:numPr>
          <w:ilvl w:val="0"/>
          <w:numId w:val="3"/>
        </w:numPr>
        <w:overflowPunct w:val="false"/>
        <w:ind w:hanging="360" w:start="720"/>
        <w:jc w:val="both"/>
        <w:textAlignment w:val="auto"/>
        <w:rPr>
          <w:rFonts w:ascii="Arial" w:hAnsi="Arial" w:cs="Arial"/>
          <w:sz w:val="22"/>
          <w:szCs w:val="22"/>
        </w:rPr>
      </w:pPr>
      <w:r>
        <w:rPr>
          <w:rFonts w:cs="Arial" w:ascii="Arial" w:hAnsi="Arial"/>
          <w:sz w:val="22"/>
          <w:szCs w:val="22"/>
        </w:rPr>
        <w:t>Les congés payés ;</w:t>
      </w:r>
    </w:p>
    <w:p>
      <w:pPr>
        <w:pStyle w:val="Normal"/>
        <w:numPr>
          <w:ilvl w:val="0"/>
          <w:numId w:val="3"/>
        </w:numPr>
        <w:overflowPunct w:val="false"/>
        <w:ind w:hanging="360" w:start="720"/>
        <w:jc w:val="both"/>
        <w:textAlignment w:val="auto"/>
        <w:rPr>
          <w:rFonts w:ascii="Arial" w:hAnsi="Arial" w:cs="Arial"/>
          <w:sz w:val="22"/>
          <w:szCs w:val="22"/>
        </w:rPr>
      </w:pPr>
      <w:r>
        <w:rPr>
          <w:rFonts w:cs="Arial" w:ascii="Arial" w:hAnsi="Arial"/>
          <w:sz w:val="22"/>
          <w:szCs w:val="22"/>
        </w:rPr>
        <w:t>Les jours fériés chômés ;</w:t>
      </w:r>
    </w:p>
    <w:p>
      <w:pPr>
        <w:pStyle w:val="Normal"/>
        <w:numPr>
          <w:ilvl w:val="0"/>
          <w:numId w:val="3"/>
        </w:numPr>
        <w:overflowPunct w:val="false"/>
        <w:ind w:hanging="360" w:start="720"/>
        <w:jc w:val="both"/>
        <w:textAlignment w:val="auto"/>
        <w:rPr>
          <w:rFonts w:ascii="Arial" w:hAnsi="Arial" w:cs="Arial"/>
          <w:sz w:val="22"/>
          <w:szCs w:val="22"/>
        </w:rPr>
      </w:pPr>
      <w:r>
        <w:rPr>
          <w:rFonts w:cs="Arial" w:ascii="Arial" w:hAnsi="Arial"/>
          <w:sz w:val="22"/>
          <w:szCs w:val="22"/>
        </w:rPr>
        <w:t xml:space="preserve">Les congés légaux pour événements familiaux (mariage, décès, naissances...) ; </w:t>
      </w:r>
    </w:p>
    <w:p>
      <w:pPr>
        <w:pStyle w:val="Normal"/>
        <w:numPr>
          <w:ilvl w:val="0"/>
          <w:numId w:val="3"/>
        </w:numPr>
        <w:overflowPunct w:val="false"/>
        <w:ind w:hanging="360" w:start="720"/>
        <w:jc w:val="both"/>
        <w:textAlignment w:val="auto"/>
        <w:rPr>
          <w:rFonts w:ascii="Arial" w:hAnsi="Arial" w:cs="Arial"/>
          <w:sz w:val="22"/>
          <w:szCs w:val="22"/>
        </w:rPr>
      </w:pPr>
      <w:r>
        <w:rPr>
          <w:rFonts w:cs="Arial" w:ascii="Arial" w:hAnsi="Arial"/>
          <w:sz w:val="22"/>
          <w:szCs w:val="22"/>
        </w:rPr>
        <w:t xml:space="preserve">Les absences pour participation à un stage de formation professionnelle dans le cadre du plan de développement des compétences ; </w:t>
      </w:r>
    </w:p>
    <w:p>
      <w:pPr>
        <w:pStyle w:val="Normal"/>
        <w:numPr>
          <w:ilvl w:val="0"/>
          <w:numId w:val="3"/>
        </w:numPr>
        <w:overflowPunct w:val="false"/>
        <w:ind w:hanging="360" w:start="720"/>
        <w:jc w:val="both"/>
        <w:textAlignment w:val="auto"/>
        <w:rPr>
          <w:rFonts w:ascii="Arial" w:hAnsi="Arial" w:cs="Arial"/>
          <w:sz w:val="22"/>
          <w:szCs w:val="22"/>
        </w:rPr>
      </w:pPr>
      <w:r>
        <w:rPr>
          <w:rFonts w:cs="Arial" w:ascii="Arial" w:hAnsi="Arial"/>
          <w:sz w:val="22"/>
          <w:szCs w:val="22"/>
        </w:rPr>
        <w:t>Les congés de formation économique, sociale et syndicale ;</w:t>
      </w:r>
    </w:p>
    <w:p>
      <w:pPr>
        <w:pStyle w:val="Normal"/>
        <w:numPr>
          <w:ilvl w:val="0"/>
          <w:numId w:val="3"/>
        </w:numPr>
        <w:overflowPunct w:val="false"/>
        <w:ind w:hanging="360" w:start="720"/>
        <w:jc w:val="both"/>
        <w:textAlignment w:val="auto"/>
        <w:rPr>
          <w:rFonts w:ascii="Arial" w:hAnsi="Arial" w:cs="Arial"/>
          <w:sz w:val="22"/>
          <w:szCs w:val="22"/>
        </w:rPr>
      </w:pPr>
      <w:r>
        <w:rPr>
          <w:rFonts w:cs="Arial" w:ascii="Arial" w:hAnsi="Arial"/>
          <w:sz w:val="22"/>
          <w:szCs w:val="22"/>
        </w:rPr>
        <w:t>Les heures de délégation syndicale ou d’un mandat représentatif dans l’entreprise ;</w:t>
      </w:r>
    </w:p>
    <w:p>
      <w:pPr>
        <w:pStyle w:val="Normal"/>
        <w:numPr>
          <w:ilvl w:val="0"/>
          <w:numId w:val="3"/>
        </w:numPr>
        <w:overflowPunct w:val="false"/>
        <w:ind w:hanging="360" w:start="720"/>
        <w:jc w:val="both"/>
        <w:textAlignment w:val="auto"/>
        <w:rPr>
          <w:rFonts w:ascii="Arial" w:hAnsi="Arial" w:cs="Arial"/>
          <w:sz w:val="22"/>
          <w:szCs w:val="22"/>
        </w:rPr>
      </w:pPr>
      <w:r>
        <w:rPr>
          <w:rFonts w:cs="Arial" w:ascii="Arial" w:hAnsi="Arial"/>
          <w:sz w:val="22"/>
          <w:szCs w:val="22"/>
        </w:rPr>
        <w:t>Les examens médicaux des femmes enceintes ou bénéficiant d'une assistance médicale à la procréation et absences des conjoints les accompagnants ;</w:t>
      </w:r>
    </w:p>
    <w:p>
      <w:pPr>
        <w:pStyle w:val="Normal"/>
        <w:numPr>
          <w:ilvl w:val="0"/>
          <w:numId w:val="3"/>
        </w:numPr>
        <w:overflowPunct w:val="false"/>
        <w:ind w:hanging="360" w:start="720"/>
        <w:jc w:val="both"/>
        <w:textAlignment w:val="auto"/>
        <w:rPr>
          <w:rFonts w:ascii="Arial" w:hAnsi="Arial" w:cs="Arial"/>
          <w:sz w:val="22"/>
          <w:szCs w:val="22"/>
        </w:rPr>
      </w:pPr>
      <w:r>
        <w:rPr>
          <w:rFonts w:cs="Arial" w:ascii="Arial" w:hAnsi="Arial"/>
          <w:sz w:val="22"/>
          <w:szCs w:val="22"/>
        </w:rPr>
        <w:t>Les absences pour maladie professionnelle et accident du travail (hors accident de trajet) ;</w:t>
      </w:r>
    </w:p>
    <w:p>
      <w:pPr>
        <w:pStyle w:val="Normal"/>
        <w:numPr>
          <w:ilvl w:val="0"/>
          <w:numId w:val="3"/>
        </w:numPr>
        <w:overflowPunct w:val="false"/>
        <w:ind w:hanging="360" w:start="720"/>
        <w:jc w:val="both"/>
        <w:textAlignment w:val="auto"/>
        <w:rPr>
          <w:rFonts w:ascii="Arial" w:hAnsi="Arial" w:cs="Arial"/>
          <w:sz w:val="22"/>
          <w:szCs w:val="22"/>
        </w:rPr>
      </w:pPr>
      <w:r>
        <w:rPr>
          <w:rFonts w:cs="Arial" w:ascii="Arial" w:hAnsi="Arial"/>
          <w:sz w:val="22"/>
          <w:szCs w:val="22"/>
        </w:rPr>
        <w:t>Les périodes de congé maternité, paternité et adoption.</w:t>
      </w:r>
    </w:p>
    <w:p>
      <w:pPr>
        <w:pStyle w:val="NormalWeb"/>
        <w:spacing w:lineRule="auto" w:line="276" w:beforeAutospacing="0" w:before="0" w:afterAutospacing="0" w:after="0"/>
        <w:jc w:val="both"/>
        <w:rPr>
          <w:rFonts w:ascii="Arial" w:hAnsi="Arial" w:cs="Arial"/>
          <w:bCs/>
          <w:sz w:val="22"/>
          <w:szCs w:val="22"/>
        </w:rPr>
      </w:pPr>
      <w:r>
        <w:rPr>
          <w:rFonts w:cs="Arial" w:ascii="Arial" w:hAnsi="Arial"/>
          <w:bCs/>
          <w:sz w:val="22"/>
          <w:szCs w:val="22"/>
        </w:rPr>
      </w:r>
    </w:p>
    <w:p>
      <w:pPr>
        <w:pStyle w:val="NormalWeb"/>
        <w:spacing w:lineRule="auto" w:line="276" w:beforeAutospacing="0" w:before="0" w:afterAutospacing="0" w:after="0"/>
        <w:jc w:val="both"/>
        <w:rPr>
          <w:rFonts w:ascii="Arial" w:hAnsi="Arial" w:cs="Arial"/>
          <w:bCs/>
          <w:sz w:val="22"/>
          <w:szCs w:val="22"/>
        </w:rPr>
      </w:pPr>
      <w:r>
        <w:rPr>
          <w:rFonts w:cs="Arial" w:ascii="Arial" w:hAnsi="Arial"/>
          <w:bCs/>
          <w:sz w:val="22"/>
          <w:szCs w:val="22"/>
        </w:rPr>
        <w:t>Les parties conviennent néanmoins que la prime d’assiduité ne sera plus due en cas d’absence pour accident du travail ou maladie professionnelle se poursuivant au-delà d’une année consécutive.</w:t>
      </w:r>
    </w:p>
    <w:p>
      <w:pPr>
        <w:pStyle w:val="NormalWeb"/>
        <w:spacing w:lineRule="auto" w:line="276" w:beforeAutospacing="0" w:before="0" w:afterAutospacing="0" w:after="0"/>
        <w:jc w:val="both"/>
        <w:rPr>
          <w:rFonts w:ascii="Arial" w:hAnsi="Arial" w:cs="Arial"/>
          <w:bCs/>
          <w:sz w:val="22"/>
          <w:szCs w:val="22"/>
        </w:rPr>
      </w:pPr>
      <w:r>
        <w:rPr>
          <w:rFonts w:cs="Arial" w:ascii="Arial" w:hAnsi="Arial"/>
          <w:bCs/>
          <w:sz w:val="22"/>
          <w:szCs w:val="22"/>
        </w:rPr>
      </w:r>
    </w:p>
    <w:p>
      <w:pPr>
        <w:pStyle w:val="NormalWeb"/>
        <w:numPr>
          <w:ilvl w:val="0"/>
          <w:numId w:val="7"/>
        </w:numPr>
        <w:spacing w:lineRule="auto" w:line="276" w:beforeAutospacing="0" w:before="0" w:afterAutospacing="0" w:after="0"/>
        <w:jc w:val="both"/>
        <w:rPr>
          <w:rFonts w:ascii="Arial" w:hAnsi="Arial" w:cs="Arial"/>
          <w:bCs/>
          <w:sz w:val="22"/>
          <w:szCs w:val="22"/>
        </w:rPr>
      </w:pPr>
      <w:r>
        <w:rPr>
          <w:rFonts w:cs="Arial" w:ascii="Arial" w:hAnsi="Arial"/>
          <w:bCs/>
          <w:sz w:val="22"/>
          <w:szCs w:val="22"/>
        </w:rPr>
        <w:t>Versement de la prime d’assiduité</w:t>
      </w:r>
    </w:p>
    <w:p>
      <w:pPr>
        <w:pStyle w:val="NormalWeb"/>
        <w:spacing w:lineRule="auto" w:line="276" w:beforeAutospacing="0" w:before="0" w:afterAutospacing="0" w:after="0"/>
        <w:ind w:start="720"/>
        <w:jc w:val="both"/>
        <w:rPr>
          <w:rFonts w:ascii="Arial" w:hAnsi="Arial" w:cs="Arial"/>
          <w:bCs/>
          <w:sz w:val="22"/>
          <w:szCs w:val="22"/>
        </w:rPr>
      </w:pPr>
      <w:r>
        <w:rPr>
          <w:rFonts w:cs="Arial" w:ascii="Arial" w:hAnsi="Arial"/>
          <w:bCs/>
          <w:sz w:val="22"/>
          <w:szCs w:val="22"/>
        </w:rPr>
      </w:r>
    </w:p>
    <w:p>
      <w:pPr>
        <w:pStyle w:val="NormalWeb"/>
        <w:spacing w:lineRule="auto" w:line="276" w:beforeAutospacing="0" w:before="0" w:afterAutospacing="0" w:after="0"/>
        <w:jc w:val="both"/>
        <w:rPr>
          <w:rFonts w:ascii="Arial" w:hAnsi="Arial" w:cs="Arial"/>
          <w:bCs/>
          <w:sz w:val="22"/>
          <w:szCs w:val="22"/>
        </w:rPr>
      </w:pPr>
      <w:r>
        <w:rPr>
          <w:rFonts w:cs="Arial" w:ascii="Arial" w:hAnsi="Arial"/>
          <w:bCs/>
          <w:sz w:val="22"/>
          <w:szCs w:val="22"/>
        </w:rPr>
        <w:t>La prime d’assiduité figure sur le bulletin de paie. Elle est versée mensuellement, avec un mois de décalage (M+1), afin de tenir compte des évènements du mois précédent.</w:t>
      </w:r>
    </w:p>
    <w:p>
      <w:pPr>
        <w:pStyle w:val="NormalWeb"/>
        <w:spacing w:lineRule="auto" w:line="276" w:beforeAutospacing="0" w:before="0" w:afterAutospacing="0" w:after="0"/>
        <w:jc w:val="both"/>
        <w:rPr>
          <w:rFonts w:ascii="Arial" w:hAnsi="Arial" w:cs="Arial"/>
          <w:b/>
          <w:sz w:val="22"/>
          <w:szCs w:val="22"/>
        </w:rPr>
      </w:pPr>
      <w:r>
        <w:rPr>
          <w:rFonts w:cs="Arial" w:ascii="Arial" w:hAnsi="Arial"/>
          <w:b/>
          <w:sz w:val="22"/>
          <w:szCs w:val="22"/>
        </w:rPr>
      </w:r>
    </w:p>
    <w:p>
      <w:pPr>
        <w:pStyle w:val="NormalWeb"/>
        <w:numPr>
          <w:ilvl w:val="0"/>
          <w:numId w:val="4"/>
        </w:numPr>
        <w:spacing w:lineRule="auto" w:line="276" w:beforeAutospacing="0" w:before="0" w:afterAutospacing="0" w:after="0"/>
        <w:jc w:val="both"/>
        <w:rPr>
          <w:rFonts w:ascii="Arial" w:hAnsi="Arial" w:cs="Arial"/>
          <w:b/>
          <w:sz w:val="22"/>
          <w:szCs w:val="22"/>
        </w:rPr>
      </w:pPr>
      <w:r>
        <w:rPr>
          <w:rFonts w:cs="Arial" w:ascii="Arial" w:hAnsi="Arial"/>
          <w:b/>
          <w:sz w:val="22"/>
          <w:szCs w:val="22"/>
        </w:rPr>
        <w:t>Attribution d’une prime de non-accident</w:t>
      </w:r>
    </w:p>
    <w:p>
      <w:pPr>
        <w:pStyle w:val="NormalWeb"/>
        <w:spacing w:lineRule="auto" w:line="276" w:beforeAutospacing="0" w:before="0" w:afterAutospacing="0" w:after="0"/>
        <w:jc w:val="both"/>
        <w:rPr>
          <w:rFonts w:ascii="Arial" w:hAnsi="Arial" w:cs="Arial"/>
          <w:b/>
        </w:rPr>
      </w:pPr>
      <w:r>
        <w:rPr>
          <w:rFonts w:cs="Arial" w:ascii="Arial" w:hAnsi="Arial"/>
          <w:b/>
        </w:rPr>
      </w:r>
    </w:p>
    <w:p>
      <w:pPr>
        <w:pStyle w:val="NormalWeb"/>
        <w:spacing w:lineRule="auto" w:line="276" w:beforeAutospacing="0" w:before="0" w:afterAutospacing="0" w:after="30"/>
        <w:jc w:val="both"/>
        <w:rPr>
          <w:rFonts w:ascii="Arial" w:hAnsi="Arial" w:cs="Arial"/>
          <w:sz w:val="22"/>
          <w:szCs w:val="22"/>
        </w:rPr>
      </w:pPr>
      <w:r>
        <w:rPr>
          <w:rFonts w:cs="Arial" w:ascii="Arial" w:hAnsi="Arial"/>
          <w:sz w:val="22"/>
          <w:szCs w:val="22"/>
        </w:rPr>
        <w:t>Dans le cadre de la politique de prévention des risques routiers et en vue de promouvoir l’adoption par les conducteurs d’une conduite sécuritaire et prudente, les partenaires sociaux ont décidé de reconduire, pour l’année 2026, le dispositif de prime de non-accident, en ajoutant un nouveau critère d’attribution lié à la réalisation du tour de véhicule, et ce afin de prévenir les réparations et autres défauts du véhicule.</w:t>
      </w:r>
    </w:p>
    <w:p>
      <w:pPr>
        <w:pStyle w:val="NormalWeb"/>
        <w:spacing w:lineRule="auto" w:line="276" w:beforeAutospacing="0" w:before="0" w:afterAutospacing="0" w:after="30"/>
        <w:jc w:val="both"/>
        <w:rPr>
          <w:rFonts w:ascii="Arial" w:hAnsi="Arial" w:cs="Arial"/>
          <w:sz w:val="22"/>
          <w:szCs w:val="22"/>
        </w:rPr>
      </w:pPr>
      <w:r>
        <w:rPr>
          <w:rFonts w:cs="Arial" w:ascii="Arial" w:hAnsi="Arial"/>
          <w:sz w:val="22"/>
          <w:szCs w:val="22"/>
        </w:rPr>
      </w:r>
    </w:p>
    <w:p>
      <w:pPr>
        <w:pStyle w:val="NormalWeb"/>
        <w:spacing w:lineRule="auto" w:line="276" w:beforeAutospacing="0" w:before="0" w:afterAutospacing="0" w:after="30"/>
        <w:jc w:val="both"/>
        <w:rPr>
          <w:rFonts w:ascii="Arial" w:hAnsi="Arial" w:cs="Arial"/>
          <w:sz w:val="22"/>
          <w:szCs w:val="22"/>
        </w:rPr>
      </w:pPr>
      <w:r>
        <w:rPr>
          <w:rFonts w:cs="Arial" w:ascii="Arial" w:hAnsi="Arial"/>
          <w:sz w:val="22"/>
          <w:szCs w:val="22"/>
        </w:rPr>
        <w:t xml:space="preserve">Le montant de la prime de non-accident est de </w:t>
      </w:r>
      <w:r>
        <w:rPr>
          <w:rFonts w:cs="Arial" w:ascii="Arial" w:hAnsi="Arial"/>
          <w:bCs/>
          <w:sz w:val="22"/>
          <w:szCs w:val="22"/>
        </w:rPr>
        <w:t>50 euros bruts mensuels sur 12 mois pour le personnel roulant lié par un contrat de travail à la Société GEODIS D&amp;E Dauphiné, sans condition d’ancienneté.</w:t>
      </w:r>
    </w:p>
    <w:p>
      <w:pPr>
        <w:pStyle w:val="ListParagraph"/>
        <w:ind w:start="0"/>
        <w:rPr>
          <w:rFonts w:ascii="Arial" w:hAnsi="Arial" w:cs="Arial"/>
          <w:sz w:val="20"/>
        </w:rPr>
      </w:pPr>
      <w:r>
        <w:rPr>
          <w:rFonts w:cs="Arial" w:ascii="Arial" w:hAnsi="Arial"/>
          <w:sz w:val="20"/>
        </w:rPr>
      </w:r>
    </w:p>
    <w:p>
      <w:pPr>
        <w:pStyle w:val="NormalWeb"/>
        <w:spacing w:lineRule="auto" w:line="276" w:beforeAutospacing="0" w:before="0" w:afterAutospacing="0" w:after="30"/>
        <w:jc w:val="both"/>
        <w:rPr>
          <w:rFonts w:ascii="Arial" w:hAnsi="Arial" w:cs="Arial"/>
          <w:sz w:val="22"/>
          <w:szCs w:val="22"/>
        </w:rPr>
      </w:pPr>
      <w:r>
        <w:rPr>
          <w:rFonts w:cs="Arial" w:ascii="Arial" w:hAnsi="Arial"/>
          <w:sz w:val="22"/>
          <w:szCs w:val="22"/>
        </w:rPr>
        <w:t xml:space="preserve">Les parties rappellent qu’en cas d’accident responsable, la prime sera supprimée en intégralité sur la fiche de paie du mois suivant. </w:t>
      </w:r>
    </w:p>
    <w:p>
      <w:pPr>
        <w:pStyle w:val="NormalWeb"/>
        <w:spacing w:lineRule="auto" w:line="276" w:beforeAutospacing="0" w:before="0" w:afterAutospacing="0" w:after="30"/>
        <w:jc w:val="both"/>
        <w:rPr>
          <w:rFonts w:ascii="Arial" w:hAnsi="Arial" w:cs="Arial"/>
          <w:sz w:val="22"/>
          <w:szCs w:val="22"/>
        </w:rPr>
      </w:pPr>
      <w:r>
        <w:rPr>
          <w:rFonts w:cs="Arial" w:ascii="Arial" w:hAnsi="Arial"/>
          <w:sz w:val="22"/>
          <w:szCs w:val="22"/>
        </w:rPr>
      </w:r>
    </w:p>
    <w:p>
      <w:pPr>
        <w:pStyle w:val="NormalWeb"/>
        <w:spacing w:lineRule="auto" w:line="276" w:beforeAutospacing="0" w:before="0" w:afterAutospacing="0" w:after="30"/>
        <w:jc w:val="both"/>
        <w:rPr>
          <w:rFonts w:ascii="Arial" w:hAnsi="Arial" w:cs="Arial"/>
          <w:sz w:val="22"/>
          <w:szCs w:val="22"/>
        </w:rPr>
      </w:pPr>
      <w:r>
        <w:rPr>
          <w:rFonts w:cs="Arial" w:ascii="Arial" w:hAnsi="Arial"/>
          <w:sz w:val="22"/>
          <w:szCs w:val="22"/>
        </w:rPr>
        <w:t>Pour rappel, est considéré comme « accident responsable » toute dégradation de véhicule et/ou biens matériels, et/ou accident corporel quel que soit le lieu ou le moment au cours duquel survient cet accident et dans lequel le conducteur(trice) est responsable à 50% ou 100% suite à l’analyse d’accident réalisée par la hiérarchie avec le conducteur(trice) concerné(e).</w:t>
      </w:r>
    </w:p>
    <w:p>
      <w:pPr>
        <w:pStyle w:val="NormalWeb"/>
        <w:spacing w:lineRule="auto" w:line="276" w:beforeAutospacing="0" w:before="0" w:afterAutospacing="0" w:after="30"/>
        <w:jc w:val="both"/>
        <w:rPr>
          <w:rFonts w:ascii="Arial" w:hAnsi="Arial" w:cs="Arial"/>
          <w:sz w:val="22"/>
          <w:szCs w:val="22"/>
        </w:rPr>
      </w:pPr>
      <w:r>
        <w:rPr>
          <w:rFonts w:cs="Arial" w:ascii="Arial" w:hAnsi="Arial"/>
          <w:sz w:val="22"/>
          <w:szCs w:val="22"/>
        </w:rPr>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t>Les parties conviennent également que l’absence de réalisation d’un seul tour de véhicule entraînera la suppression totale de la prime mensuelle de non-accident.</w:t>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br/>
        <w:t>Il est précisé qu’un tour de véhicule effectué de manière non conforme sera considéré comme non réalisé.</w:t>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t>En cas de suppression de la prime, son montant sera progressivement réintégré au salaire brut du salarié concerné, par paliers mensuels de dix euros bruts, sous réserve qu’aucun accident responsable ne soit constaté au cours des mois suivants et que l’ensemble des tours de véhicule soit dûment réalisé.</w:t>
      </w:r>
    </w:p>
    <w:p>
      <w:pPr>
        <w:pStyle w:val="NormalWeb"/>
        <w:spacing w:lineRule="auto" w:line="276" w:beforeAutospacing="0" w:before="0" w:afterAutospacing="0" w:after="0"/>
        <w:jc w:val="both"/>
        <w:rPr>
          <w:rFonts w:ascii="Arial" w:hAnsi="Arial" w:cs="Arial"/>
          <w:bCs/>
          <w:sz w:val="22"/>
          <w:szCs w:val="22"/>
        </w:rPr>
      </w:pPr>
      <w:r>
        <w:rPr>
          <w:rFonts w:cs="Arial" w:ascii="Arial" w:hAnsi="Arial"/>
          <w:bCs/>
          <w:sz w:val="22"/>
          <w:szCs w:val="22"/>
        </w:rPr>
      </w:r>
    </w:p>
    <w:p>
      <w:pPr>
        <w:pStyle w:val="NormalWeb"/>
        <w:spacing w:lineRule="auto" w:line="276" w:beforeAutospacing="0" w:before="0" w:afterAutospacing="0" w:after="0"/>
        <w:jc w:val="both"/>
        <w:rPr>
          <w:rFonts w:ascii="Arial" w:hAnsi="Arial" w:cs="Arial"/>
          <w:bCs/>
          <w:sz w:val="22"/>
          <w:szCs w:val="22"/>
        </w:rPr>
      </w:pPr>
      <w:r>
        <w:rPr>
          <w:rFonts w:cs="Arial" w:ascii="Arial" w:hAnsi="Arial"/>
          <w:bCs/>
          <w:sz w:val="22"/>
          <w:szCs w:val="22"/>
        </w:rPr>
        <w:t>Il est précisé qu’en cas d’embauche ou de sortie en cours de mois, la prime de non-accident sera versée au prorata temporis du temps de présence du salarié sur le mois considéré.</w:t>
      </w:r>
    </w:p>
    <w:p>
      <w:pPr>
        <w:pStyle w:val="NormalWeb"/>
        <w:spacing w:lineRule="auto" w:line="276" w:beforeAutospacing="0" w:before="0" w:afterAutospacing="0" w:after="0"/>
        <w:jc w:val="both"/>
        <w:rPr>
          <w:rFonts w:ascii="Arial" w:hAnsi="Arial" w:cs="Arial"/>
          <w:bCs/>
          <w:sz w:val="22"/>
          <w:szCs w:val="22"/>
        </w:rPr>
      </w:pPr>
      <w:r>
        <w:rPr>
          <w:rFonts w:cs="Arial" w:ascii="Arial" w:hAnsi="Arial"/>
          <w:bCs/>
          <w:sz w:val="22"/>
          <w:szCs w:val="22"/>
        </w:rPr>
      </w:r>
    </w:p>
    <w:p>
      <w:pPr>
        <w:pStyle w:val="NormalWeb"/>
        <w:spacing w:lineRule="auto" w:line="276" w:beforeAutospacing="0" w:before="0" w:afterAutospacing="0" w:after="0"/>
        <w:jc w:val="both"/>
        <w:rPr>
          <w:rFonts w:ascii="Arial" w:hAnsi="Arial" w:cs="Arial"/>
          <w:bCs/>
          <w:sz w:val="22"/>
          <w:szCs w:val="22"/>
        </w:rPr>
      </w:pPr>
      <w:r>
        <w:rPr>
          <w:rFonts w:cs="Arial" w:ascii="Arial" w:hAnsi="Arial"/>
          <w:bCs/>
          <w:sz w:val="22"/>
          <w:szCs w:val="22"/>
        </w:rPr>
        <w:t>De même, le montant de la prime sera calculé au prorata temporis de leur temps de travail pour les salariés à temps partiel et temps partiel thérapeutique et en cas d’absences non considérées comme du temps de travail effectif.</w:t>
      </w:r>
    </w:p>
    <w:p>
      <w:pPr>
        <w:pStyle w:val="NormalWeb"/>
        <w:spacing w:lineRule="auto" w:line="276" w:beforeAutospacing="0" w:before="0" w:afterAutospacing="0" w:after="0"/>
        <w:jc w:val="both"/>
        <w:rPr>
          <w:rFonts w:ascii="Arial" w:hAnsi="Arial" w:cs="Arial"/>
          <w:bCs/>
          <w:sz w:val="22"/>
          <w:szCs w:val="22"/>
        </w:rPr>
      </w:pPr>
      <w:r>
        <w:rPr>
          <w:rFonts w:cs="Arial" w:ascii="Arial" w:hAnsi="Arial"/>
          <w:bCs/>
          <w:sz w:val="22"/>
          <w:szCs w:val="22"/>
        </w:rPr>
      </w:r>
    </w:p>
    <w:p>
      <w:pPr>
        <w:pStyle w:val="NormalWeb"/>
        <w:shd w:val="clear" w:color="auto" w:fill="FFFFFF"/>
        <w:spacing w:lineRule="auto" w:line="276" w:beforeAutospacing="0" w:before="0" w:afterAutospacing="0" w:after="0"/>
        <w:jc w:val="both"/>
        <w:rPr>
          <w:rFonts w:ascii="Arial" w:hAnsi="Arial" w:cs="Arial"/>
          <w:bCs/>
          <w:sz w:val="22"/>
          <w:szCs w:val="22"/>
        </w:rPr>
      </w:pPr>
      <w:r>
        <w:rPr>
          <w:rFonts w:cs="Arial" w:ascii="Arial" w:hAnsi="Arial"/>
          <w:bCs/>
          <w:sz w:val="22"/>
          <w:szCs w:val="22"/>
        </w:rPr>
        <w:t>Les parties conviennent que la prime de non-accident ne sera plus due en cas d’absence pour accident du travail ou maladie professionnelle se poursuivant au-delà d’une année consécutive.</w:t>
      </w:r>
    </w:p>
    <w:p>
      <w:pPr>
        <w:pStyle w:val="NormalWeb"/>
        <w:spacing w:lineRule="auto" w:line="276" w:beforeAutospacing="0" w:before="0" w:afterAutospacing="0" w:after="30"/>
        <w:jc w:val="both"/>
        <w:rPr>
          <w:rFonts w:ascii="Arial" w:hAnsi="Arial" w:cs="Arial"/>
          <w:sz w:val="20"/>
          <w:szCs w:val="20"/>
        </w:rPr>
      </w:pPr>
      <w:r>
        <w:rPr>
          <w:rFonts w:cs="Arial" w:ascii="Arial" w:hAnsi="Arial"/>
          <w:sz w:val="20"/>
          <w:szCs w:val="20"/>
        </w:rPr>
      </w:r>
    </w:p>
    <w:p>
      <w:pPr>
        <w:pStyle w:val="ListParagraph"/>
        <w:ind w:start="0"/>
        <w:rPr>
          <w:rFonts w:ascii="Arial" w:hAnsi="Arial" w:cs="Arial"/>
          <w:b/>
          <w:sz w:val="22"/>
          <w:szCs w:val="22"/>
        </w:rPr>
      </w:pPr>
      <w:r>
        <w:rPr>
          <w:rFonts w:cs="Arial" w:ascii="Arial" w:hAnsi="Arial"/>
          <w:b/>
          <w:sz w:val="22"/>
          <w:szCs w:val="22"/>
        </w:rPr>
      </w:r>
    </w:p>
    <w:p>
      <w:pPr>
        <w:pStyle w:val="NormalWeb"/>
        <w:numPr>
          <w:ilvl w:val="0"/>
          <w:numId w:val="4"/>
        </w:numPr>
        <w:spacing w:lineRule="auto" w:line="276" w:beforeAutospacing="0" w:before="0" w:afterAutospacing="0" w:after="0"/>
        <w:jc w:val="both"/>
        <w:rPr>
          <w:rFonts w:ascii="Arial" w:hAnsi="Arial" w:cs="Arial"/>
          <w:b/>
          <w:sz w:val="22"/>
          <w:szCs w:val="22"/>
        </w:rPr>
      </w:pPr>
      <w:r>
        <w:rPr>
          <w:rFonts w:cs="Arial" w:ascii="Arial" w:hAnsi="Arial"/>
          <w:b/>
          <w:sz w:val="22"/>
          <w:szCs w:val="22"/>
        </w:rPr>
        <w:t>Prise en charge de l’abonnement pour les transports en commun</w:t>
      </w:r>
    </w:p>
    <w:p>
      <w:pPr>
        <w:pStyle w:val="Normal"/>
        <w:jc w:val="both"/>
        <w:rPr>
          <w:rStyle w:val="Strong"/>
          <w:rFonts w:cs="Calibri"/>
          <w:b w:val="false"/>
          <w:highlight w:val="yellow"/>
        </w:rPr>
      </w:pPr>
      <w:r>
        <w:rPr>
          <w:rFonts w:cs="Calibri"/>
          <w:b w:val="false"/>
          <w:highlight w:val="yellow"/>
        </w:rPr>
      </w:r>
    </w:p>
    <w:p>
      <w:pPr>
        <w:pStyle w:val="Normal"/>
        <w:jc w:val="both"/>
        <w:rPr>
          <w:rStyle w:val="Strong"/>
          <w:rFonts w:ascii="Arial" w:hAnsi="Arial" w:cs="Arial"/>
          <w:b w:val="false"/>
          <w:sz w:val="22"/>
          <w:szCs w:val="18"/>
        </w:rPr>
      </w:pPr>
      <w:r>
        <w:rPr>
          <w:rFonts w:cs="Arial" w:ascii="Arial" w:hAnsi="Arial"/>
          <w:b w:val="false"/>
          <w:sz w:val="22"/>
          <w:szCs w:val="18"/>
        </w:rPr>
      </w:r>
    </w:p>
    <w:p>
      <w:pPr>
        <w:pStyle w:val="Normal"/>
        <w:jc w:val="both"/>
        <w:rPr>
          <w:rStyle w:val="Strong"/>
          <w:rFonts w:ascii="Arial" w:hAnsi="Arial" w:cs="Arial"/>
          <w:b w:val="false"/>
          <w:bCs w:val="false"/>
          <w:sz w:val="22"/>
          <w:szCs w:val="18"/>
        </w:rPr>
      </w:pPr>
      <w:r>
        <w:rPr>
          <w:rStyle w:val="Strong"/>
          <w:rFonts w:cs="Arial" w:ascii="Arial" w:hAnsi="Arial"/>
          <w:b w:val="false"/>
          <w:bCs w:val="false"/>
          <w:sz w:val="22"/>
          <w:szCs w:val="18"/>
        </w:rPr>
        <w:t>Dans le cadre de la législation en vigueur, la société remboursera, pour l’année 2026, 50 % du coût des titres d’abonnement (annuel, mensuel ou hebdomadaire) souscrits par les salariés pour leur trajet entre leur résidence habituelle et leur lieu de travail, accompli au moyen de services de transports publics ainsi que des services publics de location de vélo.</w:t>
      </w:r>
    </w:p>
    <w:p>
      <w:pPr>
        <w:pStyle w:val="Normal"/>
        <w:jc w:val="both"/>
        <w:rPr>
          <w:rStyle w:val="Strong"/>
          <w:rFonts w:ascii="Arial" w:hAnsi="Arial" w:cs="Arial"/>
          <w:b w:val="false"/>
          <w:bCs w:val="false"/>
          <w:sz w:val="22"/>
          <w:szCs w:val="18"/>
          <w:highlight w:val="yellow"/>
        </w:rPr>
      </w:pPr>
      <w:r>
        <w:rPr>
          <w:rFonts w:cs="Arial" w:ascii="Arial" w:hAnsi="Arial"/>
          <w:b w:val="false"/>
          <w:bCs w:val="false"/>
          <w:sz w:val="22"/>
          <w:szCs w:val="18"/>
          <w:highlight w:val="yellow"/>
        </w:rPr>
      </w:r>
    </w:p>
    <w:p>
      <w:pPr>
        <w:pStyle w:val="NormalWeb"/>
        <w:spacing w:lineRule="auto" w:line="276" w:beforeAutospacing="0" w:before="0" w:afterAutospacing="0" w:after="0"/>
        <w:jc w:val="both"/>
        <w:rPr>
          <w:rFonts w:ascii="Arial" w:hAnsi="Arial" w:cs="Arial"/>
          <w:b/>
          <w:sz w:val="22"/>
          <w:szCs w:val="22"/>
        </w:rPr>
      </w:pPr>
      <w:r>
        <w:rPr>
          <w:rFonts w:cs="Arial" w:ascii="Arial" w:hAnsi="Arial"/>
          <w:b/>
          <w:sz w:val="22"/>
          <w:szCs w:val="22"/>
        </w:rPr>
      </w:r>
    </w:p>
    <w:p>
      <w:pPr>
        <w:pStyle w:val="NoSpacing"/>
        <w:numPr>
          <w:ilvl w:val="1"/>
          <w:numId w:val="7"/>
        </w:numPr>
        <w:spacing w:lineRule="auto" w:line="276"/>
        <w:jc w:val="both"/>
        <w:rPr>
          <w:rFonts w:ascii="Arial" w:hAnsi="Arial" w:cs="Arial"/>
          <w:b/>
          <w:bCs/>
          <w:color w:val="0000FF"/>
          <w:u w:val="single"/>
        </w:rPr>
      </w:pPr>
      <w:r>
        <w:rPr>
          <w:rFonts w:cs="Arial" w:ascii="Arial" w:hAnsi="Arial"/>
          <w:b/>
          <w:bCs/>
          <w:color w:val="0000FF"/>
          <w:u w:val="single"/>
        </w:rPr>
        <w:t xml:space="preserve">Titres restaurant </w:t>
      </w:r>
    </w:p>
    <w:p>
      <w:pPr>
        <w:pStyle w:val="NormalWeb"/>
        <w:spacing w:lineRule="auto" w:line="276" w:beforeAutospacing="0" w:before="0" w:afterAutospacing="0" w:after="0"/>
        <w:jc w:val="both"/>
        <w:rPr>
          <w:rFonts w:ascii="Arial" w:hAnsi="Arial" w:cs="Arial"/>
          <w:b/>
          <w:sz w:val="22"/>
          <w:szCs w:val="22"/>
        </w:rPr>
      </w:pPr>
      <w:r>
        <w:rPr>
          <w:rFonts w:cs="Arial" w:ascii="Arial" w:hAnsi="Arial"/>
          <w:b/>
          <w:sz w:val="22"/>
          <w:szCs w:val="22"/>
        </w:rPr>
      </w:r>
    </w:p>
    <w:p>
      <w:pPr>
        <w:pStyle w:val="NormalWeb"/>
        <w:numPr>
          <w:ilvl w:val="0"/>
          <w:numId w:val="8"/>
        </w:numPr>
        <w:spacing w:lineRule="auto" w:line="276" w:beforeAutospacing="0" w:before="0" w:afterAutospacing="0" w:after="0"/>
        <w:jc w:val="both"/>
        <w:rPr>
          <w:rFonts w:ascii="Arial" w:hAnsi="Arial" w:cs="Arial"/>
          <w:sz w:val="22"/>
          <w:szCs w:val="22"/>
        </w:rPr>
      </w:pPr>
      <w:r>
        <w:rPr>
          <w:rFonts w:cs="Arial" w:ascii="Arial" w:hAnsi="Arial"/>
          <w:sz w:val="22"/>
          <w:szCs w:val="22"/>
        </w:rPr>
        <w:t>Conditions d’attribution</w:t>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t xml:space="preserve">Il est rappelé que les titres restaurant sont attribués au personnel de la société GEODIS D&amp;E DAUPHINE dont l’amplitude journalière de l’horaire de travail </w:t>
      </w:r>
      <w:r>
        <w:rPr>
          <w:rFonts w:cs="Arial" w:ascii="Arial" w:hAnsi="Arial"/>
          <w:sz w:val="22"/>
          <w:szCs w:val="22"/>
          <w:u w:val="single"/>
        </w:rPr>
        <w:t>couvre entièrement</w:t>
      </w:r>
      <w:r>
        <w:rPr>
          <w:rFonts w:cs="Arial" w:ascii="Arial" w:hAnsi="Arial"/>
          <w:sz w:val="22"/>
          <w:szCs w:val="22"/>
        </w:rPr>
        <w:t xml:space="preserve"> la pause méridienne déterminée ci-après par le présent accord, et sous réserve d’en formuler expressément la demande auprès du service des Ressources Humaines.</w:t>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t>La pause méridienne se déroule entre 12h00 et 14h00, étant entendu que les collaborateurs dont l’horaire de travail débute ou prend fin durant la pause méridienne précitée, ne pourront pas bénéficier de titres-restaurants.</w:t>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t>Il est précisé que les titres restaurant ne sont pas cumulables avec l’attribution d’un autre frais de repas.</w:t>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r>
    </w:p>
    <w:p>
      <w:pPr>
        <w:pStyle w:val="NormalWeb"/>
        <w:numPr>
          <w:ilvl w:val="0"/>
          <w:numId w:val="8"/>
        </w:numPr>
        <w:spacing w:lineRule="auto" w:line="276" w:beforeAutospacing="0" w:before="0" w:afterAutospacing="0" w:after="0"/>
        <w:jc w:val="both"/>
        <w:rPr>
          <w:rFonts w:ascii="Arial" w:hAnsi="Arial" w:cs="Arial"/>
          <w:sz w:val="22"/>
          <w:szCs w:val="22"/>
        </w:rPr>
      </w:pPr>
      <w:r>
        <w:rPr>
          <w:rFonts w:cs="Arial" w:ascii="Arial" w:hAnsi="Arial"/>
          <w:sz w:val="22"/>
          <w:szCs w:val="22"/>
        </w:rPr>
        <w:t>Montant et prise en charge</w:t>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t xml:space="preserve">Pour l’année 2026, les partenaires sociaux ont décidé d’une augmentation de la valeur faciale des titres restaurant avec un passage à 8,55 euros et une prise en charge à 60% par l’employeur, soit 5,13 euros. </w:t>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t>Cette augmentation sera applicable pour les titres restaurant distribués à l’échéance de paie du mois d’avril 2026, afin de tenir compte des éléments du mois précédent, soit mars 2026.</w:t>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t>Il est rappelé que le nombre des titres restaurant sera calculé selon le nombre de jours ouvrés dans le mois considéré. De facto, seuls les jours de présence effective du collaborateur concerné à son poste de travail ouvrent droit à l’attribution d’un nombre correspondant de titres restaurant.</w:t>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t>En conséquence, toute absence au poste de travail (arrêt maladie, congés payés, jours ARTT, jours fériés, congés conventionnels, etc.) sera décomptée de la dotation due.</w:t>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t xml:space="preserve">Il est également rappelé qu’en cas de demi-journées non travaillées, le titre restaurant ne sera pas dû. </w:t>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t>De même, lorsqu’un repas du midi est pris en charge par la société pour quelque raison que ce soit, le titre restaurant sera déduit du nombre total.</w:t>
      </w:r>
    </w:p>
    <w:p>
      <w:pPr>
        <w:pStyle w:val="NormalWeb"/>
        <w:spacing w:lineRule="auto" w:line="276" w:beforeAutospacing="0" w:before="0" w:afterAutospacing="0" w:after="0"/>
        <w:jc w:val="both"/>
        <w:rPr>
          <w:rFonts w:ascii="Arial" w:hAnsi="Arial" w:cs="Arial"/>
          <w:b/>
          <w:sz w:val="22"/>
          <w:szCs w:val="22"/>
        </w:rPr>
      </w:pPr>
      <w:r>
        <w:rPr>
          <w:rFonts w:cs="Arial" w:ascii="Arial" w:hAnsi="Arial"/>
          <w:b/>
          <w:sz w:val="22"/>
          <w:szCs w:val="22"/>
        </w:rPr>
      </w:r>
    </w:p>
    <w:p>
      <w:pPr>
        <w:pStyle w:val="NoSpacing"/>
        <w:spacing w:lineRule="auto" w:line="276"/>
        <w:jc w:val="both"/>
        <w:rPr>
          <w:rFonts w:ascii="Arial" w:hAnsi="Arial" w:cs="Arial"/>
          <w:b/>
          <w:bCs/>
          <w:color w:val="0000FF"/>
          <w:u w:val="single"/>
        </w:rPr>
      </w:pPr>
      <w:r>
        <w:rPr>
          <w:rFonts w:cs="Arial" w:ascii="Arial" w:hAnsi="Arial"/>
          <w:b/>
          <w:bCs/>
          <w:color w:val="0000FF"/>
          <w:u w:val="single"/>
        </w:rPr>
        <w:t xml:space="preserve">3.5 Œuvres sociales </w:t>
      </w:r>
    </w:p>
    <w:p>
      <w:pPr>
        <w:pStyle w:val="NormalWeb"/>
        <w:spacing w:lineRule="auto" w:line="276" w:beforeAutospacing="0" w:before="0" w:afterAutospacing="0" w:after="0"/>
        <w:jc w:val="both"/>
        <w:rPr>
          <w:rFonts w:ascii="Arial" w:hAnsi="Arial" w:cs="Arial"/>
          <w:b/>
          <w:sz w:val="22"/>
          <w:szCs w:val="22"/>
        </w:rPr>
      </w:pPr>
      <w:r>
        <w:rPr>
          <w:rFonts w:cs="Arial" w:ascii="Arial" w:hAnsi="Arial"/>
          <w:b/>
          <w:sz w:val="22"/>
          <w:szCs w:val="22"/>
        </w:rPr>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t xml:space="preserve">Au titre de l’année 2026 et uniquement pour l’année 2026, une dotation exceptionnelle de                      100 euros par collaborateur présent à l’effectif à la date de signature du présent accord (Cent euros) est attribuée au budget des œuvres sociales du Comité Social et Economique de la société </w:t>
      </w:r>
      <w:r>
        <w:rPr>
          <w:rFonts w:cs="Arial" w:ascii="Arial" w:hAnsi="Arial"/>
          <w:bCs/>
          <w:kern w:val="2"/>
          <w:sz w:val="22"/>
          <w:szCs w:val="22"/>
        </w:rPr>
        <w:t>GEODIS D&amp;E DAUPHINE</w:t>
      </w:r>
      <w:r>
        <w:rPr>
          <w:rFonts w:cs="Arial" w:ascii="Arial" w:hAnsi="Arial"/>
          <w:sz w:val="22"/>
          <w:szCs w:val="22"/>
        </w:rPr>
        <w:t>.</w:t>
      </w:r>
    </w:p>
    <w:p>
      <w:pPr>
        <w:pStyle w:val="NormalWeb"/>
        <w:spacing w:lineRule="auto" w:line="276" w:beforeAutospacing="0" w:before="0" w:afterAutospacing="0" w:after="0"/>
        <w:jc w:val="both"/>
        <w:rPr>
          <w:rFonts w:ascii="Arial" w:hAnsi="Arial" w:cs="Arial"/>
          <w:b/>
          <w:sz w:val="22"/>
          <w:szCs w:val="22"/>
        </w:rPr>
      </w:pPr>
      <w:r>
        <w:rPr>
          <w:rFonts w:cs="Arial" w:ascii="Arial" w:hAnsi="Arial"/>
          <w:b/>
          <w:sz w:val="22"/>
          <w:szCs w:val="22"/>
        </w:rPr>
      </w:r>
    </w:p>
    <w:p>
      <w:pPr>
        <w:pStyle w:val="NoSpacing"/>
        <w:spacing w:lineRule="auto" w:line="276"/>
        <w:jc w:val="both"/>
        <w:rPr>
          <w:rFonts w:ascii="Arial" w:hAnsi="Arial" w:cs="Arial"/>
          <w:b/>
          <w:bCs/>
          <w:color w:val="0000FF"/>
          <w:u w:val="single"/>
        </w:rPr>
      </w:pPr>
      <w:r>
        <w:rPr>
          <w:rFonts w:cs="Arial" w:ascii="Arial" w:hAnsi="Arial"/>
          <w:b/>
          <w:bCs/>
          <w:color w:val="0000FF"/>
          <w:u w:val="single"/>
        </w:rPr>
        <w:t>3.6 Régime complémentaire de frais de santé</w:t>
      </w:r>
    </w:p>
    <w:p>
      <w:pPr>
        <w:pStyle w:val="NormalWeb"/>
        <w:spacing w:lineRule="auto" w:line="276" w:beforeAutospacing="0" w:before="0" w:afterAutospacing="0" w:after="0"/>
        <w:jc w:val="both"/>
        <w:rPr>
          <w:rFonts w:ascii="Arial" w:hAnsi="Arial" w:cs="Arial"/>
          <w:b/>
          <w:sz w:val="22"/>
          <w:szCs w:val="22"/>
        </w:rPr>
      </w:pPr>
      <w:r>
        <w:rPr>
          <w:rFonts w:cs="Arial" w:ascii="Arial" w:hAnsi="Arial"/>
          <w:b/>
          <w:sz w:val="22"/>
          <w:szCs w:val="22"/>
        </w:rPr>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t xml:space="preserve">La Direction rappelle que les partenaires sociaux de la société </w:t>
      </w:r>
      <w:r>
        <w:rPr>
          <w:rFonts w:cs="Arial" w:ascii="Arial" w:hAnsi="Arial"/>
          <w:bCs/>
          <w:kern w:val="2"/>
          <w:sz w:val="22"/>
          <w:szCs w:val="22"/>
        </w:rPr>
        <w:t xml:space="preserve">GEODIS D&amp;E DAUPHINE </w:t>
      </w:r>
      <w:r>
        <w:rPr>
          <w:rFonts w:cs="Arial" w:ascii="Arial" w:hAnsi="Arial"/>
          <w:sz w:val="22"/>
          <w:szCs w:val="22"/>
        </w:rPr>
        <w:t>ont délégué leur pouvoir de négociation dans le cadre d’un accord national collectif au sein du Groupe Geodis dont fait partie la société.</w:t>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t>Il n’est pas prévu d’apporter de changements autres que ceux prévus par les négociateurs de l’accord collectif national et de ses éventuels avenants.</w:t>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r>
    </w:p>
    <w:p>
      <w:pPr>
        <w:pStyle w:val="NoSpacing"/>
        <w:spacing w:lineRule="auto" w:line="276"/>
        <w:jc w:val="both"/>
        <w:rPr>
          <w:rFonts w:ascii="Arial" w:hAnsi="Arial" w:cs="Arial"/>
          <w:b/>
          <w:bCs/>
          <w:color w:val="0000FF"/>
          <w:u w:val="single"/>
        </w:rPr>
      </w:pPr>
      <w:r>
        <w:rPr>
          <w:rFonts w:cs="Arial" w:ascii="Arial" w:hAnsi="Arial"/>
          <w:b/>
          <w:bCs/>
          <w:color w:val="0000FF"/>
          <w:u w:val="single"/>
        </w:rPr>
        <w:t xml:space="preserve">3.7 Prévoyance </w:t>
      </w:r>
    </w:p>
    <w:p>
      <w:pPr>
        <w:pStyle w:val="NormalWeb"/>
        <w:spacing w:lineRule="auto" w:line="276" w:beforeAutospacing="0" w:before="0" w:afterAutospacing="0" w:after="0"/>
        <w:jc w:val="both"/>
        <w:rPr>
          <w:rFonts w:ascii="Arial" w:hAnsi="Arial" w:cs="Arial"/>
          <w:b/>
          <w:sz w:val="22"/>
          <w:szCs w:val="22"/>
        </w:rPr>
      </w:pPr>
      <w:r>
        <w:rPr>
          <w:rFonts w:cs="Arial" w:ascii="Arial" w:hAnsi="Arial"/>
          <w:b/>
          <w:sz w:val="22"/>
          <w:szCs w:val="22"/>
        </w:rPr>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t>La Direction rappelle que les partenaires sociaux de la société GEODIS D&amp;E DAUPHINE ont délégué leur pouvoir de négociation dans le cadre d’un accord national collectif au sein du Groupe Geodis dont fait partie la société.</w:t>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t>Il n’est pas prévu d’apporter de changements autres que ceux prévus par les négociateurs de l’accord collectif national et de ses éventuels avenants.</w:t>
      </w:r>
    </w:p>
    <w:p>
      <w:pPr>
        <w:pStyle w:val="NoSpacing"/>
        <w:spacing w:lineRule="auto" w:line="276"/>
        <w:jc w:val="both"/>
        <w:rPr>
          <w:rFonts w:ascii="Arial" w:hAnsi="Arial" w:cs="Arial"/>
          <w:b/>
          <w:bCs/>
          <w:color w:val="0000FF"/>
          <w:u w:val="single"/>
        </w:rPr>
      </w:pPr>
      <w:r>
        <w:rPr>
          <w:rFonts w:cs="Arial" w:ascii="Arial" w:hAnsi="Arial"/>
          <w:b/>
          <w:bCs/>
          <w:color w:val="0000FF"/>
          <w:u w:val="single"/>
        </w:rPr>
      </w:r>
    </w:p>
    <w:p>
      <w:pPr>
        <w:pStyle w:val="NoSpacing"/>
        <w:spacing w:lineRule="auto" w:line="276"/>
        <w:jc w:val="both"/>
        <w:rPr>
          <w:rFonts w:ascii="Arial" w:hAnsi="Arial" w:cs="Arial"/>
          <w:b/>
          <w:bCs/>
          <w:color w:val="0000FF"/>
          <w:u w:val="single"/>
        </w:rPr>
      </w:pPr>
      <w:r>
        <w:rPr>
          <w:rFonts w:cs="Arial" w:ascii="Arial" w:hAnsi="Arial"/>
          <w:b/>
          <w:bCs/>
          <w:color w:val="0000FF"/>
          <w:u w:val="single"/>
        </w:rPr>
        <w:t>3.8 Congés exceptionnels pour enfants malades / enfants hospitalisés</w:t>
      </w:r>
    </w:p>
    <w:p>
      <w:pPr>
        <w:pStyle w:val="Normal"/>
        <w:spacing w:lineRule="auto" w:line="276"/>
        <w:jc w:val="both"/>
        <w:rPr>
          <w:rFonts w:ascii="Arial" w:hAnsi="Arial" w:cs="Arial"/>
          <w:b/>
          <w:sz w:val="22"/>
          <w:szCs w:val="22"/>
        </w:rPr>
      </w:pPr>
      <w:r>
        <w:rPr>
          <w:rFonts w:cs="Arial" w:ascii="Arial" w:hAnsi="Arial"/>
          <w:b/>
          <w:sz w:val="22"/>
          <w:szCs w:val="22"/>
        </w:rPr>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t>Les partenaires sociaux s’engagent à reconduire pour l’année 2026, les mesures prises en ce domaine par accord collectif signé le 2 juillet 2002, et qui font l’objet d’une reconduction d’année en année.</w:t>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r>
    </w:p>
    <w:p>
      <w:pPr>
        <w:pStyle w:val="Normal"/>
        <w:spacing w:lineRule="auto" w:line="276"/>
        <w:jc w:val="both"/>
        <w:rPr>
          <w:rFonts w:ascii="Arial" w:hAnsi="Arial" w:cs="Arial"/>
          <w:bCs/>
          <w:sz w:val="22"/>
          <w:szCs w:val="22"/>
        </w:rPr>
      </w:pPr>
      <w:r>
        <w:rPr>
          <w:rFonts w:cs="Arial" w:ascii="Arial" w:hAnsi="Arial"/>
          <w:bCs/>
          <w:sz w:val="22"/>
          <w:szCs w:val="22"/>
        </w:rPr>
        <w:t>Il est expressément rappelé par les partenaires sociaux que les deux dispositifs de congés exceptionnels (enfant malade et enfant hospitalisé) ne pourront pas se cumuler pour un même salarié et ce au cours d’une même période de 12 mois consécutifs après la prise d’un des deux congés.</w:t>
      </w:r>
    </w:p>
    <w:p>
      <w:pPr>
        <w:pStyle w:val="Normal"/>
        <w:spacing w:lineRule="auto" w:line="276"/>
        <w:jc w:val="both"/>
        <w:rPr>
          <w:rFonts w:ascii="Arial" w:hAnsi="Arial" w:cs="Arial"/>
          <w:bCs/>
          <w:sz w:val="22"/>
          <w:szCs w:val="22"/>
        </w:rPr>
      </w:pPr>
      <w:r>
        <w:rPr>
          <w:rFonts w:cs="Arial" w:ascii="Arial" w:hAnsi="Arial"/>
          <w:bCs/>
          <w:sz w:val="22"/>
          <w:szCs w:val="22"/>
        </w:rPr>
      </w:r>
    </w:p>
    <w:p>
      <w:pPr>
        <w:pStyle w:val="Normal"/>
        <w:spacing w:lineRule="auto" w:line="276"/>
        <w:jc w:val="both"/>
        <w:rPr>
          <w:rFonts w:ascii="Arial" w:hAnsi="Arial" w:cs="Arial"/>
          <w:bCs/>
          <w:sz w:val="22"/>
          <w:szCs w:val="22"/>
        </w:rPr>
      </w:pPr>
      <w:r>
        <w:rPr>
          <w:rFonts w:cs="Arial" w:ascii="Arial" w:hAnsi="Arial"/>
          <w:bCs/>
          <w:sz w:val="22"/>
          <w:szCs w:val="22"/>
        </w:rPr>
        <w:t>Ces congés exceptionnels sont fractionnables et sont traités en paie comme une absence autorisée et rémunérée.</w:t>
      </w:r>
    </w:p>
    <w:p>
      <w:pPr>
        <w:pStyle w:val="Normal"/>
        <w:spacing w:lineRule="auto" w:line="276"/>
        <w:jc w:val="both"/>
        <w:rPr>
          <w:rFonts w:ascii="Arial" w:hAnsi="Arial" w:cs="Arial"/>
          <w:bCs/>
          <w:sz w:val="22"/>
          <w:szCs w:val="22"/>
        </w:rPr>
      </w:pPr>
      <w:r>
        <w:rPr>
          <w:rFonts w:cs="Arial" w:ascii="Arial" w:hAnsi="Arial"/>
          <w:bCs/>
          <w:sz w:val="22"/>
          <w:szCs w:val="22"/>
        </w:rPr>
      </w:r>
    </w:p>
    <w:p>
      <w:pPr>
        <w:pStyle w:val="Normal"/>
        <w:numPr>
          <w:ilvl w:val="0"/>
          <w:numId w:val="4"/>
        </w:numPr>
        <w:spacing w:lineRule="auto" w:line="276"/>
        <w:jc w:val="both"/>
        <w:rPr>
          <w:rFonts w:ascii="Arial" w:hAnsi="Arial" w:cs="Arial"/>
          <w:b/>
          <w:bCs/>
          <w:sz w:val="22"/>
          <w:szCs w:val="22"/>
        </w:rPr>
      </w:pPr>
      <w:r>
        <w:rPr>
          <w:rFonts w:cs="Arial" w:ascii="Arial" w:hAnsi="Arial"/>
          <w:b/>
          <w:bCs/>
          <w:sz w:val="22"/>
          <w:szCs w:val="22"/>
        </w:rPr>
        <w:t>Congé exceptionnel pour enfant hospitalisé de moins de 16 ans : </w:t>
      </w:r>
    </w:p>
    <w:p>
      <w:pPr>
        <w:pStyle w:val="Normal"/>
        <w:spacing w:lineRule="auto" w:line="276"/>
        <w:jc w:val="both"/>
        <w:rPr>
          <w:rFonts w:ascii="Arial" w:hAnsi="Arial" w:cs="Arial"/>
          <w:sz w:val="22"/>
          <w:szCs w:val="22"/>
        </w:rPr>
      </w:pPr>
      <w:r>
        <w:rPr>
          <w:rFonts w:cs="Arial" w:ascii="Arial" w:hAnsi="Arial"/>
          <w:sz w:val="22"/>
          <w:szCs w:val="22"/>
        </w:rPr>
      </w:r>
    </w:p>
    <w:p>
      <w:pPr>
        <w:pStyle w:val="Normal"/>
        <w:numPr>
          <w:ilvl w:val="0"/>
          <w:numId w:val="5"/>
        </w:numPr>
        <w:spacing w:lineRule="auto" w:line="276"/>
        <w:jc w:val="both"/>
        <w:rPr>
          <w:rFonts w:ascii="Arial" w:hAnsi="Arial" w:cs="Arial"/>
          <w:sz w:val="22"/>
          <w:szCs w:val="22"/>
        </w:rPr>
      </w:pPr>
      <w:r>
        <w:rPr>
          <w:rFonts w:cs="Arial" w:ascii="Arial" w:hAnsi="Arial"/>
          <w:sz w:val="22"/>
          <w:szCs w:val="22"/>
        </w:rPr>
        <w:t>Trois jours de congés exceptionnels par année civile aux collaborateurs et collaboratrices confrontés à la situation d’un enfant hospitalisé dans les conditions cumulatives suivantes :</w:t>
      </w:r>
    </w:p>
    <w:p>
      <w:pPr>
        <w:pStyle w:val="Normal"/>
        <w:spacing w:lineRule="auto" w:line="276"/>
        <w:jc w:val="both"/>
        <w:rPr>
          <w:rFonts w:ascii="Arial" w:hAnsi="Arial" w:cs="Arial"/>
          <w:sz w:val="22"/>
          <w:szCs w:val="22"/>
        </w:rPr>
      </w:pPr>
      <w:r>
        <w:rPr>
          <w:rFonts w:cs="Arial" w:ascii="Arial" w:hAnsi="Arial"/>
          <w:sz w:val="22"/>
          <w:szCs w:val="22"/>
        </w:rPr>
      </w:r>
    </w:p>
    <w:p>
      <w:pPr>
        <w:pStyle w:val="Normal"/>
        <w:numPr>
          <w:ilvl w:val="0"/>
          <w:numId w:val="3"/>
        </w:numPr>
        <w:spacing w:lineRule="auto" w:line="276"/>
        <w:jc w:val="both"/>
        <w:rPr>
          <w:rFonts w:ascii="Arial" w:hAnsi="Arial" w:cs="Arial"/>
          <w:sz w:val="22"/>
          <w:szCs w:val="22"/>
        </w:rPr>
      </w:pPr>
      <w:r>
        <w:rPr>
          <w:rFonts w:cs="Arial" w:ascii="Arial" w:hAnsi="Arial"/>
          <w:sz w:val="22"/>
          <w:szCs w:val="22"/>
        </w:rPr>
        <w:t>Enfant âgé de moins de 16 ans,</w:t>
      </w:r>
    </w:p>
    <w:p>
      <w:pPr>
        <w:pStyle w:val="Normal"/>
        <w:numPr>
          <w:ilvl w:val="0"/>
          <w:numId w:val="3"/>
        </w:numPr>
        <w:spacing w:lineRule="auto" w:line="276"/>
        <w:jc w:val="both"/>
        <w:rPr>
          <w:rFonts w:ascii="Arial" w:hAnsi="Arial" w:cs="Arial"/>
          <w:sz w:val="22"/>
          <w:szCs w:val="22"/>
        </w:rPr>
      </w:pPr>
      <w:r>
        <w:rPr>
          <w:rFonts w:cs="Arial" w:ascii="Arial" w:hAnsi="Arial"/>
          <w:sz w:val="22"/>
          <w:szCs w:val="22"/>
        </w:rPr>
        <w:t>Sous condition de production d’un certificat d’hospitalisation de l’enfant,</w:t>
      </w:r>
    </w:p>
    <w:p>
      <w:pPr>
        <w:pStyle w:val="Normal"/>
        <w:numPr>
          <w:ilvl w:val="0"/>
          <w:numId w:val="3"/>
        </w:numPr>
        <w:spacing w:lineRule="auto" w:line="276"/>
        <w:jc w:val="both"/>
        <w:rPr>
          <w:rFonts w:ascii="Arial" w:hAnsi="Arial" w:cs="Arial"/>
          <w:sz w:val="22"/>
          <w:szCs w:val="22"/>
        </w:rPr>
      </w:pPr>
      <w:r>
        <w:rPr>
          <w:rFonts w:cs="Arial" w:ascii="Arial" w:hAnsi="Arial"/>
          <w:sz w:val="22"/>
          <w:szCs w:val="22"/>
        </w:rPr>
        <w:t>Congé pris au moment de la survenance de l’évènement,</w:t>
      </w:r>
    </w:p>
    <w:p>
      <w:pPr>
        <w:pStyle w:val="Normal"/>
        <w:numPr>
          <w:ilvl w:val="0"/>
          <w:numId w:val="3"/>
        </w:numPr>
        <w:spacing w:lineRule="auto" w:line="276"/>
        <w:jc w:val="both"/>
        <w:rPr>
          <w:rFonts w:ascii="Arial" w:hAnsi="Arial" w:cs="Arial"/>
          <w:sz w:val="22"/>
          <w:szCs w:val="22"/>
        </w:rPr>
      </w:pPr>
      <w:r>
        <w:rPr>
          <w:rFonts w:cs="Arial" w:ascii="Arial" w:hAnsi="Arial"/>
          <w:sz w:val="22"/>
          <w:szCs w:val="22"/>
        </w:rPr>
        <w:t>Congé attribué à un seul des deux parents s’ils sont tous les deux salariés de l’entreprise,</w:t>
      </w:r>
    </w:p>
    <w:p>
      <w:pPr>
        <w:pStyle w:val="Normal"/>
        <w:numPr>
          <w:ilvl w:val="0"/>
          <w:numId w:val="3"/>
        </w:numPr>
        <w:spacing w:lineRule="auto" w:line="276"/>
        <w:jc w:val="both"/>
        <w:rPr>
          <w:rFonts w:ascii="Arial" w:hAnsi="Arial" w:cs="Arial"/>
          <w:sz w:val="22"/>
          <w:szCs w:val="22"/>
        </w:rPr>
      </w:pPr>
      <w:r>
        <w:rPr>
          <w:rFonts w:cs="Arial" w:ascii="Arial" w:hAnsi="Arial"/>
          <w:sz w:val="22"/>
          <w:szCs w:val="22"/>
        </w:rPr>
        <w:t xml:space="preserve">Le responsable de service doit être averti dans les meilleurs délais de la prise de ce congé. </w:t>
      </w:r>
    </w:p>
    <w:p>
      <w:pPr>
        <w:pStyle w:val="Normal"/>
        <w:spacing w:lineRule="auto" w:line="276"/>
        <w:jc w:val="both"/>
        <w:rPr>
          <w:rFonts w:ascii="Arial" w:hAnsi="Arial" w:cs="Arial"/>
          <w:sz w:val="22"/>
          <w:szCs w:val="22"/>
          <w:u w:val="single"/>
        </w:rPr>
      </w:pPr>
      <w:r>
        <w:rPr>
          <w:rFonts w:cs="Arial" w:ascii="Arial" w:hAnsi="Arial"/>
          <w:sz w:val="22"/>
          <w:szCs w:val="22"/>
          <w:u w:val="single"/>
        </w:rPr>
      </w:r>
    </w:p>
    <w:p>
      <w:pPr>
        <w:pStyle w:val="Normal"/>
        <w:numPr>
          <w:ilvl w:val="0"/>
          <w:numId w:val="4"/>
        </w:numPr>
        <w:spacing w:lineRule="auto" w:line="276"/>
        <w:jc w:val="both"/>
        <w:rPr>
          <w:rFonts w:ascii="Arial" w:hAnsi="Arial" w:cs="Arial"/>
          <w:b/>
          <w:bCs/>
          <w:sz w:val="22"/>
          <w:szCs w:val="22"/>
        </w:rPr>
      </w:pPr>
      <w:r>
        <w:rPr>
          <w:rFonts w:cs="Arial" w:ascii="Arial" w:hAnsi="Arial"/>
          <w:b/>
          <w:bCs/>
          <w:sz w:val="22"/>
          <w:szCs w:val="22"/>
        </w:rPr>
        <w:t>Congé exceptionnel pour enfant malade de moins de 16 ans :</w:t>
      </w:r>
    </w:p>
    <w:p>
      <w:pPr>
        <w:pStyle w:val="Normal"/>
        <w:spacing w:lineRule="auto" w:line="276"/>
        <w:jc w:val="both"/>
        <w:rPr>
          <w:rFonts w:ascii="Arial" w:hAnsi="Arial" w:cs="Arial"/>
          <w:sz w:val="22"/>
          <w:szCs w:val="22"/>
        </w:rPr>
      </w:pPr>
      <w:r>
        <w:rPr>
          <w:rFonts w:cs="Arial" w:ascii="Arial" w:hAnsi="Arial"/>
          <w:sz w:val="22"/>
          <w:szCs w:val="22"/>
        </w:rPr>
      </w:r>
    </w:p>
    <w:p>
      <w:pPr>
        <w:pStyle w:val="Normal"/>
        <w:numPr>
          <w:ilvl w:val="0"/>
          <w:numId w:val="6"/>
        </w:numPr>
        <w:spacing w:lineRule="auto" w:line="276"/>
        <w:jc w:val="both"/>
        <w:rPr>
          <w:rFonts w:ascii="Arial" w:hAnsi="Arial" w:cs="Arial"/>
          <w:sz w:val="22"/>
          <w:szCs w:val="22"/>
        </w:rPr>
      </w:pPr>
      <w:r>
        <w:rPr>
          <w:rFonts w:cs="Arial" w:ascii="Arial" w:hAnsi="Arial"/>
          <w:sz w:val="22"/>
          <w:szCs w:val="22"/>
        </w:rPr>
        <w:t>Deux journées de congés exceptionnels par année civile aux collaborateurs et collaboratrices confrontés à la situation d’un enfant malade dans les conditions cumulatives suivantes :</w:t>
      </w:r>
    </w:p>
    <w:p>
      <w:pPr>
        <w:pStyle w:val="Normal"/>
        <w:numPr>
          <w:ilvl w:val="0"/>
          <w:numId w:val="3"/>
        </w:numPr>
        <w:spacing w:lineRule="auto" w:line="276"/>
        <w:jc w:val="both"/>
        <w:rPr>
          <w:rFonts w:ascii="Arial" w:hAnsi="Arial" w:cs="Arial"/>
          <w:sz w:val="22"/>
          <w:szCs w:val="22"/>
        </w:rPr>
      </w:pPr>
      <w:r>
        <w:rPr>
          <w:rFonts w:cs="Arial" w:ascii="Arial" w:hAnsi="Arial"/>
          <w:sz w:val="22"/>
          <w:szCs w:val="22"/>
        </w:rPr>
        <w:t>Enfant âgé de moins de 16 ans,</w:t>
      </w:r>
    </w:p>
    <w:p>
      <w:pPr>
        <w:pStyle w:val="Normal"/>
        <w:numPr>
          <w:ilvl w:val="0"/>
          <w:numId w:val="3"/>
        </w:numPr>
        <w:spacing w:lineRule="auto" w:line="276"/>
        <w:jc w:val="both"/>
        <w:rPr>
          <w:rFonts w:ascii="Arial" w:hAnsi="Arial" w:cs="Arial"/>
          <w:sz w:val="22"/>
          <w:szCs w:val="22"/>
        </w:rPr>
      </w:pPr>
      <w:r>
        <w:rPr>
          <w:rFonts w:cs="Arial" w:ascii="Arial" w:hAnsi="Arial"/>
          <w:sz w:val="22"/>
          <w:szCs w:val="22"/>
        </w:rPr>
        <w:t>Sous condition de production d’un certificat médical prescrivant la présence obligatoire d’un</w:t>
      </w:r>
    </w:p>
    <w:p>
      <w:pPr>
        <w:pStyle w:val="Normal"/>
        <w:spacing w:lineRule="auto" w:line="276"/>
        <w:jc w:val="both"/>
        <w:rPr>
          <w:rFonts w:ascii="Arial" w:hAnsi="Arial" w:cs="Arial"/>
          <w:sz w:val="22"/>
          <w:szCs w:val="22"/>
        </w:rPr>
      </w:pPr>
      <w:r>
        <w:rPr>
          <w:rFonts w:cs="Arial" w:ascii="Arial" w:hAnsi="Arial"/>
          <w:sz w:val="22"/>
          <w:szCs w:val="22"/>
        </w:rPr>
        <w:t xml:space="preserve">           </w:t>
      </w:r>
      <w:r>
        <w:rPr>
          <w:rFonts w:cs="Arial" w:ascii="Arial" w:hAnsi="Arial"/>
          <w:sz w:val="22"/>
          <w:szCs w:val="22"/>
        </w:rPr>
        <w:t>parent à domicile pour prendre soin de l’enfant malade,</w:t>
      </w:r>
    </w:p>
    <w:p>
      <w:pPr>
        <w:pStyle w:val="Normal"/>
        <w:numPr>
          <w:ilvl w:val="0"/>
          <w:numId w:val="3"/>
        </w:numPr>
        <w:spacing w:lineRule="auto" w:line="276"/>
        <w:jc w:val="both"/>
        <w:rPr>
          <w:rFonts w:ascii="Arial" w:hAnsi="Arial" w:cs="Arial"/>
          <w:sz w:val="22"/>
          <w:szCs w:val="22"/>
        </w:rPr>
      </w:pPr>
      <w:r>
        <w:rPr>
          <w:rFonts w:cs="Arial" w:ascii="Arial" w:hAnsi="Arial"/>
          <w:sz w:val="22"/>
          <w:szCs w:val="22"/>
        </w:rPr>
        <w:t>Congé pris au moment de la survenance de l’évènement,</w:t>
      </w:r>
    </w:p>
    <w:p>
      <w:pPr>
        <w:pStyle w:val="Normal"/>
        <w:numPr>
          <w:ilvl w:val="0"/>
          <w:numId w:val="3"/>
        </w:numPr>
        <w:spacing w:lineRule="auto" w:line="276"/>
        <w:jc w:val="both"/>
        <w:rPr>
          <w:rFonts w:ascii="Arial" w:hAnsi="Arial" w:cs="Arial"/>
          <w:sz w:val="22"/>
          <w:szCs w:val="22"/>
        </w:rPr>
      </w:pPr>
      <w:r>
        <w:rPr>
          <w:rFonts w:cs="Arial" w:ascii="Arial" w:hAnsi="Arial"/>
          <w:sz w:val="22"/>
          <w:szCs w:val="22"/>
        </w:rPr>
        <w:t>Congé attribué à un seul des deux parents s’ils sont tous les deux salariés de l’entreprise,</w:t>
      </w:r>
    </w:p>
    <w:p>
      <w:pPr>
        <w:pStyle w:val="Normal"/>
        <w:numPr>
          <w:ilvl w:val="0"/>
          <w:numId w:val="3"/>
        </w:numPr>
        <w:spacing w:lineRule="auto" w:line="276"/>
        <w:jc w:val="both"/>
        <w:rPr>
          <w:rFonts w:ascii="Arial" w:hAnsi="Arial" w:cs="Arial"/>
          <w:sz w:val="22"/>
          <w:szCs w:val="22"/>
        </w:rPr>
      </w:pPr>
      <w:r>
        <w:rPr>
          <w:rFonts w:cs="Arial" w:ascii="Arial" w:hAnsi="Arial"/>
          <w:sz w:val="22"/>
          <w:szCs w:val="22"/>
        </w:rPr>
        <w:t xml:space="preserve">Le responsable de service doit être averti dans les meilleurs délais de la prise de ce congé. </w:t>
      </w:r>
    </w:p>
    <w:p>
      <w:pPr>
        <w:pStyle w:val="Normal"/>
        <w:spacing w:lineRule="auto" w:line="276"/>
        <w:jc w:val="both"/>
        <w:rPr>
          <w:rFonts w:ascii="Arial" w:hAnsi="Arial" w:cs="Arial"/>
          <w:sz w:val="22"/>
          <w:szCs w:val="22"/>
        </w:rPr>
      </w:pPr>
      <w:r>
        <w:rPr>
          <w:rFonts w:cs="Arial" w:ascii="Arial" w:hAnsi="Arial"/>
          <w:sz w:val="22"/>
          <w:szCs w:val="22"/>
        </w:rPr>
      </w:r>
    </w:p>
    <w:p>
      <w:pPr>
        <w:pStyle w:val="Normal"/>
        <w:numPr>
          <w:ilvl w:val="0"/>
          <w:numId w:val="4"/>
        </w:numPr>
        <w:spacing w:lineRule="auto" w:line="276"/>
        <w:jc w:val="both"/>
        <w:rPr>
          <w:rFonts w:ascii="Arial" w:hAnsi="Arial" w:cs="Arial"/>
          <w:b/>
          <w:bCs/>
          <w:sz w:val="22"/>
          <w:szCs w:val="22"/>
        </w:rPr>
      </w:pPr>
      <w:r>
        <w:rPr>
          <w:rFonts w:cs="Arial" w:ascii="Arial" w:hAnsi="Arial"/>
          <w:b/>
          <w:bCs/>
          <w:sz w:val="22"/>
          <w:szCs w:val="22"/>
        </w:rPr>
        <w:t>Extension des deux dispositifs de congés exceptionnels pour personne handicapée de plus de 16 ans dont un collaborateur à la charge</w:t>
      </w:r>
    </w:p>
    <w:p>
      <w:pPr>
        <w:pStyle w:val="Normal"/>
        <w:spacing w:lineRule="auto" w:line="276"/>
        <w:jc w:val="both"/>
        <w:rPr>
          <w:rFonts w:ascii="Arial" w:hAnsi="Arial" w:cs="Arial"/>
          <w:b/>
          <w:sz w:val="22"/>
          <w:szCs w:val="22"/>
        </w:rPr>
      </w:pPr>
      <w:r>
        <w:rPr>
          <w:rFonts w:cs="Arial" w:ascii="Arial" w:hAnsi="Arial"/>
          <w:b/>
          <w:sz w:val="22"/>
          <w:szCs w:val="22"/>
        </w:rPr>
      </w:r>
    </w:p>
    <w:p>
      <w:pPr>
        <w:pStyle w:val="Normal"/>
        <w:spacing w:lineRule="auto" w:line="276"/>
        <w:jc w:val="both"/>
        <w:rPr>
          <w:rFonts w:ascii="Arial" w:hAnsi="Arial" w:cs="Arial"/>
          <w:sz w:val="22"/>
          <w:szCs w:val="22"/>
        </w:rPr>
      </w:pPr>
      <w:r>
        <w:rPr>
          <w:rFonts w:cs="Arial" w:ascii="Arial" w:hAnsi="Arial"/>
          <w:sz w:val="22"/>
          <w:szCs w:val="22"/>
        </w:rPr>
        <w:t>Par ailleurs, les partenaires sociaux, reconduisent pour l’année 2026, les mesures prises par accord collectif NAO signé le 2 mars 2020</w:t>
      </w:r>
      <w:r>
        <w:rPr>
          <w:rFonts w:cs="Arial" w:ascii="Arial" w:hAnsi="Arial"/>
          <w:b/>
          <w:sz w:val="22"/>
          <w:szCs w:val="22"/>
        </w:rPr>
        <w:t xml:space="preserve">, </w:t>
      </w:r>
      <w:r>
        <w:rPr>
          <w:rFonts w:cs="Arial" w:ascii="Arial" w:hAnsi="Arial"/>
          <w:bCs/>
          <w:sz w:val="22"/>
          <w:szCs w:val="22"/>
        </w:rPr>
        <w:t>selon lesquelles</w:t>
      </w:r>
      <w:r>
        <w:rPr>
          <w:rFonts w:cs="Arial" w:ascii="Arial" w:hAnsi="Arial"/>
          <w:b/>
          <w:sz w:val="22"/>
          <w:szCs w:val="22"/>
        </w:rPr>
        <w:t xml:space="preserve"> </w:t>
      </w:r>
      <w:r>
        <w:rPr>
          <w:rFonts w:cs="Arial" w:ascii="Arial" w:hAnsi="Arial"/>
          <w:bCs/>
          <w:sz w:val="22"/>
          <w:szCs w:val="22"/>
        </w:rPr>
        <w:t>le bénéfice des deux dispositifs susvisés est étendu, dans les mêmes conditions, aux</w:t>
      </w:r>
      <w:r>
        <w:rPr>
          <w:rFonts w:cs="Arial" w:ascii="Arial" w:hAnsi="Arial"/>
          <w:sz w:val="22"/>
          <w:szCs w:val="22"/>
        </w:rPr>
        <w:t xml:space="preserve"> collaborateurs de la société </w:t>
      </w:r>
      <w:r>
        <w:rPr>
          <w:rFonts w:cs="Arial" w:ascii="Arial" w:hAnsi="Arial"/>
          <w:bCs/>
          <w:kern w:val="2"/>
          <w:sz w:val="22"/>
          <w:szCs w:val="22"/>
        </w:rPr>
        <w:t>GEODIS D&amp;E DAUPHINE ayant des adultes handicapés à charge et/ou des enfants handicapés à charge âgés de plus de 16 ans</w:t>
      </w:r>
      <w:r>
        <w:rPr>
          <w:rFonts w:cs="Arial" w:ascii="Arial" w:hAnsi="Arial"/>
          <w:sz w:val="22"/>
          <w:szCs w:val="22"/>
        </w:rPr>
        <w:t>.</w:t>
      </w:r>
    </w:p>
    <w:p>
      <w:pPr>
        <w:pStyle w:val="Normal"/>
        <w:spacing w:lineRule="auto" w:line="276"/>
        <w:jc w:val="both"/>
        <w:rPr>
          <w:rFonts w:ascii="Arial" w:hAnsi="Arial" w:cs="Arial"/>
          <w:sz w:val="22"/>
          <w:szCs w:val="22"/>
        </w:rPr>
      </w:pPr>
      <w:r>
        <w:rPr>
          <w:rFonts w:cs="Arial" w:ascii="Arial" w:hAnsi="Arial"/>
          <w:sz w:val="22"/>
          <w:szCs w:val="22"/>
        </w:rPr>
      </w:r>
    </w:p>
    <w:p>
      <w:pPr>
        <w:pStyle w:val="Normal"/>
        <w:spacing w:lineRule="auto" w:line="276"/>
        <w:jc w:val="both"/>
        <w:rPr>
          <w:rFonts w:ascii="Arial" w:hAnsi="Arial" w:cs="Arial"/>
          <w:sz w:val="22"/>
          <w:szCs w:val="22"/>
        </w:rPr>
      </w:pPr>
      <w:r>
        <w:rPr>
          <w:rFonts w:cs="Arial" w:ascii="Arial" w:hAnsi="Arial"/>
          <w:sz w:val="22"/>
          <w:szCs w:val="22"/>
        </w:rPr>
        <w:t>Pour pouvoir bénéficier de ces dispositifs, les collaborateurs devront fournir au Service des Ressources Humaines les documents justificatifs suivants :</w:t>
      </w:r>
    </w:p>
    <w:p>
      <w:pPr>
        <w:pStyle w:val="Normal"/>
        <w:numPr>
          <w:ilvl w:val="0"/>
          <w:numId w:val="3"/>
        </w:numPr>
        <w:spacing w:lineRule="auto" w:line="276"/>
        <w:jc w:val="both"/>
        <w:rPr>
          <w:rFonts w:ascii="Arial" w:hAnsi="Arial" w:cs="Arial"/>
          <w:sz w:val="22"/>
          <w:szCs w:val="22"/>
        </w:rPr>
      </w:pPr>
      <w:r>
        <w:rPr>
          <w:rFonts w:cs="Arial" w:ascii="Arial" w:hAnsi="Arial"/>
          <w:sz w:val="22"/>
          <w:szCs w:val="22"/>
        </w:rPr>
        <w:t>Justificatif de la situation de handicap de l’enfant âgé de plus de 16 ans ou de l’adulte,</w:t>
      </w:r>
    </w:p>
    <w:p>
      <w:pPr>
        <w:pStyle w:val="Normal"/>
        <w:numPr>
          <w:ilvl w:val="0"/>
          <w:numId w:val="3"/>
        </w:numPr>
        <w:spacing w:lineRule="auto" w:line="276"/>
        <w:jc w:val="both"/>
        <w:rPr>
          <w:rFonts w:ascii="Arial" w:hAnsi="Arial" w:cs="Arial"/>
          <w:sz w:val="22"/>
          <w:szCs w:val="22"/>
        </w:rPr>
      </w:pPr>
      <w:r>
        <w:rPr>
          <w:rFonts w:cs="Arial" w:ascii="Arial" w:hAnsi="Arial"/>
          <w:sz w:val="22"/>
          <w:szCs w:val="22"/>
        </w:rPr>
        <w:t>Justificatif permettant d’attester que la personne en situation de handicap est à la charge de son parent.</w:t>
      </w:r>
    </w:p>
    <w:p>
      <w:pPr>
        <w:pStyle w:val="Normal"/>
        <w:spacing w:lineRule="auto" w:line="276"/>
        <w:jc w:val="both"/>
        <w:rPr>
          <w:rFonts w:ascii="Arial" w:hAnsi="Arial" w:cs="Arial"/>
          <w:sz w:val="22"/>
          <w:szCs w:val="22"/>
        </w:rPr>
      </w:pPr>
      <w:r>
        <w:rPr>
          <w:rFonts w:cs="Arial" w:ascii="Arial" w:hAnsi="Arial"/>
          <w:sz w:val="22"/>
          <w:szCs w:val="22"/>
        </w:rPr>
      </w:r>
    </w:p>
    <w:p>
      <w:pPr>
        <w:pStyle w:val="Normal"/>
        <w:spacing w:lineRule="auto" w:line="276"/>
        <w:jc w:val="both"/>
        <w:rPr>
          <w:rFonts w:ascii="Arial" w:hAnsi="Arial" w:cs="Arial"/>
          <w:sz w:val="22"/>
          <w:szCs w:val="22"/>
        </w:rPr>
      </w:pPr>
      <w:r>
        <w:rPr>
          <w:rFonts w:cs="Arial" w:ascii="Arial" w:hAnsi="Arial"/>
          <w:sz w:val="22"/>
          <w:szCs w:val="22"/>
        </w:rPr>
        <w:t>A l’exception de l’âge de l’enfant, toutes les autres conditions et modalités à respecter pour pouvoir bénéficier des jours de congé exceptionnels en cas de maladie ou d’hospitalisation d’une personne à charge du collaborateur en situation de handicap sont strictement les mêmes que pour le bénéfice de ces congés pour les enfants âgés de moins de 16 ans.</w:t>
      </w:r>
    </w:p>
    <w:p>
      <w:pPr>
        <w:pStyle w:val="Normal"/>
        <w:spacing w:lineRule="auto" w:line="276"/>
        <w:jc w:val="both"/>
        <w:rPr>
          <w:rFonts w:ascii="Arial" w:hAnsi="Arial" w:cs="Arial"/>
          <w:sz w:val="22"/>
          <w:szCs w:val="22"/>
        </w:rPr>
      </w:pPr>
      <w:r>
        <w:rPr>
          <w:rFonts w:cs="Arial" w:ascii="Arial" w:hAnsi="Arial"/>
          <w:sz w:val="22"/>
          <w:szCs w:val="22"/>
        </w:rPr>
      </w:r>
    </w:p>
    <w:p>
      <w:pPr>
        <w:pStyle w:val="NoSpacing"/>
        <w:spacing w:lineRule="auto" w:line="276"/>
        <w:jc w:val="both"/>
        <w:rPr>
          <w:rFonts w:ascii="Arial" w:hAnsi="Arial" w:cs="Arial"/>
          <w:b/>
          <w:bCs/>
          <w:color w:val="0000FF"/>
          <w:u w:val="single"/>
        </w:rPr>
      </w:pPr>
      <w:r>
        <w:rPr>
          <w:rFonts w:cs="Arial" w:ascii="Arial" w:hAnsi="Arial"/>
          <w:b/>
          <w:bCs/>
          <w:color w:val="0000FF"/>
          <w:u w:val="single"/>
        </w:rPr>
        <w:t>3.9 GEPP</w:t>
      </w:r>
    </w:p>
    <w:p>
      <w:pPr>
        <w:pStyle w:val="Normal"/>
        <w:spacing w:lineRule="auto" w:line="276"/>
        <w:jc w:val="both"/>
        <w:rPr>
          <w:rFonts w:ascii="Arial" w:hAnsi="Arial" w:cs="Arial"/>
          <w:sz w:val="22"/>
          <w:szCs w:val="22"/>
        </w:rPr>
      </w:pPr>
      <w:r>
        <w:rPr>
          <w:rFonts w:cs="Arial" w:ascii="Arial" w:hAnsi="Arial"/>
          <w:sz w:val="22"/>
          <w:szCs w:val="22"/>
        </w:rPr>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t xml:space="preserve">La Direction rappelle que les partenaires sociaux de la société </w:t>
      </w:r>
      <w:r>
        <w:rPr>
          <w:rFonts w:cs="Arial" w:ascii="Arial" w:hAnsi="Arial"/>
          <w:bCs/>
          <w:kern w:val="2"/>
          <w:sz w:val="22"/>
          <w:szCs w:val="22"/>
        </w:rPr>
        <w:t xml:space="preserve">GEODIS D&amp;E DAUPHINE </w:t>
      </w:r>
      <w:r>
        <w:rPr>
          <w:rFonts w:cs="Arial" w:ascii="Arial" w:hAnsi="Arial"/>
          <w:sz w:val="22"/>
          <w:szCs w:val="22"/>
        </w:rPr>
        <w:t xml:space="preserve">ont délégué leur pouvoir de négociation en matière de gestion des emplois et des parcours professionnels dans le cadre d’un accord national collectif au sein du Groupe GEODIS dont fait partie la société. Il n’est pas prévu d’apporter de changements autres que ceux prévus par les négociateurs de Geodis. </w:t>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r>
    </w:p>
    <w:p>
      <w:pPr>
        <w:pStyle w:val="NormalWeb"/>
        <w:spacing w:lineRule="auto" w:line="276" w:beforeAutospacing="0" w:before="0" w:afterAutospacing="0" w:after="0"/>
        <w:jc w:val="both"/>
        <w:rPr>
          <w:rFonts w:ascii="Arial" w:hAnsi="Arial" w:cs="Arial"/>
          <w:sz w:val="22"/>
          <w:szCs w:val="22"/>
        </w:rPr>
      </w:pPr>
      <w:r>
        <w:rPr>
          <w:rFonts w:cs="Arial" w:ascii="Arial" w:hAnsi="Arial"/>
          <w:sz w:val="22"/>
          <w:szCs w:val="22"/>
        </w:rPr>
        <w:t>Il est également rappelé qu’un accord GEPP a été signé le 24 octobre 2022 et est pleinement applicable au sein de la société GEODIS D&amp;E DAUPHINE.</w:t>
      </w:r>
    </w:p>
    <w:p>
      <w:pPr>
        <w:pStyle w:val="Normal"/>
        <w:spacing w:lineRule="auto" w:line="276"/>
        <w:jc w:val="both"/>
        <w:rPr>
          <w:rFonts w:ascii="Arial" w:hAnsi="Arial" w:cs="Arial"/>
          <w:sz w:val="22"/>
          <w:szCs w:val="22"/>
        </w:rPr>
      </w:pPr>
      <w:r>
        <w:rPr>
          <w:rFonts w:cs="Arial" w:ascii="Arial" w:hAnsi="Arial"/>
          <w:sz w:val="22"/>
          <w:szCs w:val="22"/>
        </w:rPr>
      </w:r>
    </w:p>
    <w:p>
      <w:pPr>
        <w:pStyle w:val="NoSpacing"/>
        <w:spacing w:lineRule="auto" w:line="276"/>
        <w:jc w:val="both"/>
        <w:rPr>
          <w:rFonts w:ascii="Arial" w:hAnsi="Arial" w:cs="Arial"/>
          <w:b/>
          <w:bCs/>
          <w:color w:val="0000FF"/>
          <w:u w:val="single"/>
        </w:rPr>
      </w:pPr>
      <w:r>
        <w:rPr>
          <w:rFonts w:cs="Arial" w:ascii="Arial" w:hAnsi="Arial"/>
          <w:b/>
          <w:bCs/>
          <w:color w:val="0000FF"/>
          <w:u w:val="single"/>
        </w:rPr>
        <w:t>3.10 Durée effective et organisation du temps de travail</w:t>
      </w:r>
    </w:p>
    <w:p>
      <w:pPr>
        <w:pStyle w:val="NoSpacing"/>
        <w:spacing w:lineRule="auto" w:line="276"/>
        <w:jc w:val="both"/>
        <w:rPr>
          <w:rFonts w:ascii="Arial" w:hAnsi="Arial" w:cs="Arial"/>
          <w:b/>
          <w:bCs/>
          <w:color w:val="0000FF"/>
        </w:rPr>
      </w:pPr>
      <w:r>
        <w:rPr>
          <w:rFonts w:cs="Arial" w:ascii="Arial" w:hAnsi="Arial"/>
          <w:b/>
          <w:bCs/>
          <w:color w:val="0000FF"/>
        </w:rPr>
      </w:r>
    </w:p>
    <w:p>
      <w:pPr>
        <w:pStyle w:val="NoSpacing"/>
        <w:numPr>
          <w:ilvl w:val="1"/>
          <w:numId w:val="3"/>
        </w:numPr>
        <w:jc w:val="both"/>
        <w:rPr>
          <w:rFonts w:ascii="Arial" w:hAnsi="Arial" w:cs="Arial"/>
          <w:b/>
          <w:bCs/>
        </w:rPr>
      </w:pPr>
      <w:r>
        <w:rPr>
          <w:rFonts w:cs="Arial" w:ascii="Arial" w:hAnsi="Arial"/>
          <w:b/>
          <w:bCs/>
        </w:rPr>
        <w:t>Augmentation du contingent annuel d’heures supplémentaires</w:t>
      </w:r>
    </w:p>
    <w:p>
      <w:pPr>
        <w:pStyle w:val="NoSpacing"/>
        <w:jc w:val="both"/>
        <w:rPr>
          <w:rFonts w:ascii="Arial" w:hAnsi="Arial" w:cs="Arial"/>
          <w:b/>
          <w:bCs/>
          <w:color w:val="0000FF"/>
          <w:u w:val="single"/>
        </w:rPr>
      </w:pPr>
      <w:r>
        <w:rPr>
          <w:rFonts w:cs="Arial" w:ascii="Arial" w:hAnsi="Arial"/>
          <w:b/>
          <w:bCs/>
          <w:color w:val="0000FF"/>
          <w:u w:val="single"/>
        </w:rPr>
      </w:r>
    </w:p>
    <w:p>
      <w:pPr>
        <w:pStyle w:val="Normal"/>
        <w:shd w:val="clear" w:color="auto" w:fill="FDFDFD"/>
        <w:spacing w:before="0" w:afterAutospacing="1"/>
        <w:jc w:val="both"/>
        <w:rPr>
          <w:rFonts w:ascii="Arial" w:hAnsi="Arial" w:cs="Arial"/>
          <w:color w:val="212529"/>
          <w:sz w:val="22"/>
          <w:szCs w:val="18"/>
        </w:rPr>
      </w:pPr>
      <w:r>
        <w:rPr>
          <w:rFonts w:cs="Arial" w:ascii="Arial" w:hAnsi="Arial"/>
          <w:color w:val="212529"/>
          <w:sz w:val="22"/>
          <w:szCs w:val="18"/>
        </w:rPr>
        <w:t>Soucieux de permettre une meilleure adéquation entre, d’une part, les ressources humaines et, d’autre part, le caractère spécifique de l’activité de la Société, mais également de faciliter, pour ses salariés, l’accomplissement d’heures supplémentaires, les parties ont, par accord collectif NAO en date du 7 mars 2025, mis en place un dispositif visant à augmenter le contingent annuel conventionnel d’heures supplémentaires.</w:t>
      </w:r>
    </w:p>
    <w:p>
      <w:pPr>
        <w:pStyle w:val="Normal"/>
        <w:shd w:val="clear" w:color="auto" w:fill="FDFDFD"/>
        <w:spacing w:before="0" w:afterAutospacing="1"/>
        <w:jc w:val="both"/>
        <w:rPr>
          <w:rFonts w:ascii="Arial" w:hAnsi="Arial" w:cs="Arial"/>
          <w:color w:val="212529"/>
          <w:sz w:val="22"/>
          <w:szCs w:val="18"/>
        </w:rPr>
      </w:pPr>
      <w:r>
        <w:rPr>
          <w:rFonts w:cs="Arial" w:ascii="Arial" w:hAnsi="Arial"/>
          <w:color w:val="212529"/>
          <w:sz w:val="22"/>
          <w:szCs w:val="18"/>
        </w:rPr>
        <w:t>Après une année complète d’application, il est constaté que ce dispositif répond pleinement aux attentes et donne entière satisfaction. En conséquence, il est prévu de reconduire ce dispositif pour l’année 2026 selon les modalités ci-après définies :</w:t>
      </w:r>
    </w:p>
    <w:p>
      <w:pPr>
        <w:pStyle w:val="Normal"/>
        <w:shd w:val="clear" w:color="auto" w:fill="FDFDFD"/>
        <w:spacing w:before="0" w:afterAutospacing="1"/>
        <w:jc w:val="both"/>
        <w:rPr>
          <w:rFonts w:ascii="Arial" w:hAnsi="Arial" w:cs="Arial"/>
          <w:color w:val="212529"/>
          <w:sz w:val="22"/>
          <w:szCs w:val="18"/>
        </w:rPr>
      </w:pPr>
      <w:r>
        <w:rPr>
          <w:rFonts w:cs="Arial" w:ascii="Arial" w:hAnsi="Arial"/>
          <w:color w:val="212529"/>
          <w:sz w:val="22"/>
          <w:szCs w:val="18"/>
        </w:rPr>
      </w:r>
    </w:p>
    <w:p>
      <w:pPr>
        <w:pStyle w:val="Normal"/>
        <w:numPr>
          <w:ilvl w:val="0"/>
          <w:numId w:val="9"/>
        </w:numPr>
        <w:shd w:val="clear" w:color="auto" w:fill="FDFDFD"/>
        <w:spacing w:before="0" w:afterAutospacing="1"/>
        <w:jc w:val="both"/>
        <w:rPr>
          <w:rFonts w:ascii="Arial" w:hAnsi="Arial" w:cs="Arial"/>
          <w:color w:val="212529"/>
          <w:sz w:val="22"/>
          <w:szCs w:val="18"/>
        </w:rPr>
      </w:pPr>
      <w:r>
        <w:rPr>
          <w:rFonts w:cs="Arial" w:ascii="Arial" w:hAnsi="Arial"/>
          <w:color w:val="212529"/>
          <w:sz w:val="22"/>
          <w:szCs w:val="18"/>
        </w:rPr>
        <w:t xml:space="preserve">Champ d’application </w:t>
      </w:r>
    </w:p>
    <w:p>
      <w:pPr>
        <w:pStyle w:val="Normal"/>
        <w:shd w:val="clear" w:color="auto" w:fill="FDFDFD"/>
        <w:spacing w:before="0" w:afterAutospacing="1"/>
        <w:jc w:val="both"/>
        <w:rPr>
          <w:rFonts w:ascii="Arial" w:hAnsi="Arial" w:cs="Arial"/>
          <w:bCs/>
          <w:sz w:val="22"/>
          <w:szCs w:val="22"/>
        </w:rPr>
      </w:pPr>
      <w:r>
        <w:rPr>
          <w:rFonts w:cs="Arial" w:ascii="Arial" w:hAnsi="Arial"/>
          <w:color w:val="212529"/>
          <w:sz w:val="22"/>
          <w:szCs w:val="18"/>
        </w:rPr>
        <w:t xml:space="preserve">L’augmentation du contingent annuel des heures supplémentaires s’applique à l’ensemble du personnel </w:t>
      </w:r>
      <w:r>
        <w:rPr>
          <w:rFonts w:cs="Arial" w:ascii="Arial" w:hAnsi="Arial"/>
          <w:bCs/>
          <w:sz w:val="22"/>
          <w:szCs w:val="22"/>
        </w:rPr>
        <w:t>lié par un contrat de travail à la Société GEODIS D&amp;E Dauphiné occupé à temps complet.</w:t>
      </w:r>
    </w:p>
    <w:p>
      <w:pPr>
        <w:pStyle w:val="Normal"/>
        <w:shd w:val="clear" w:color="auto" w:fill="FDFDFD"/>
        <w:spacing w:before="0" w:afterAutospacing="1"/>
        <w:jc w:val="both"/>
        <w:rPr>
          <w:rFonts w:ascii="Arial" w:hAnsi="Arial" w:cs="Arial"/>
          <w:bCs/>
          <w:sz w:val="22"/>
          <w:szCs w:val="22"/>
        </w:rPr>
      </w:pPr>
      <w:r>
        <w:rPr>
          <w:rFonts w:cs="Arial" w:ascii="Arial" w:hAnsi="Arial"/>
          <w:bCs/>
          <w:sz w:val="22"/>
          <w:szCs w:val="22"/>
        </w:rPr>
        <w:t>Il exclut ainsi les salariés titulaires d’un contrat de travail à temps partiel, qui ne sont pas amenés à effectuer des heures supplémentaires stricto sensu.</w:t>
      </w:r>
    </w:p>
    <w:p>
      <w:pPr>
        <w:pStyle w:val="Normal"/>
        <w:shd w:val="clear" w:color="auto" w:fill="FDFDFD"/>
        <w:spacing w:before="0" w:afterAutospacing="1"/>
        <w:jc w:val="both"/>
        <w:rPr>
          <w:rFonts w:ascii="Arial" w:hAnsi="Arial" w:cs="Arial"/>
          <w:bCs/>
          <w:sz w:val="22"/>
          <w:szCs w:val="22"/>
        </w:rPr>
      </w:pPr>
      <w:r>
        <w:rPr>
          <w:rFonts w:cs="Arial" w:ascii="Arial" w:hAnsi="Arial"/>
          <w:bCs/>
          <w:sz w:val="22"/>
          <w:szCs w:val="22"/>
        </w:rPr>
      </w:r>
    </w:p>
    <w:p>
      <w:pPr>
        <w:pStyle w:val="Normal"/>
        <w:numPr>
          <w:ilvl w:val="0"/>
          <w:numId w:val="9"/>
        </w:numPr>
        <w:shd w:val="clear" w:color="auto" w:fill="FDFDFD"/>
        <w:spacing w:before="0" w:afterAutospacing="1"/>
        <w:jc w:val="both"/>
        <w:rPr>
          <w:rFonts w:ascii="Arial" w:hAnsi="Arial" w:cs="Arial"/>
          <w:bCs/>
          <w:sz w:val="22"/>
          <w:szCs w:val="22"/>
        </w:rPr>
      </w:pPr>
      <w:r>
        <w:rPr>
          <w:rFonts w:cs="Arial" w:ascii="Arial" w:hAnsi="Arial"/>
          <w:bCs/>
          <w:sz w:val="22"/>
          <w:szCs w:val="22"/>
        </w:rPr>
        <w:t>Détermination du contingent annuel d’heures supplémentaires</w:t>
      </w:r>
    </w:p>
    <w:p>
      <w:pPr>
        <w:pStyle w:val="Normal"/>
        <w:shd w:val="clear" w:color="auto" w:fill="FDFDFD"/>
        <w:jc w:val="both"/>
        <w:rPr>
          <w:rFonts w:ascii="Arial" w:hAnsi="Arial" w:cs="Arial"/>
          <w:bCs/>
          <w:sz w:val="22"/>
          <w:szCs w:val="22"/>
        </w:rPr>
      </w:pPr>
      <w:r>
        <w:rPr>
          <w:rFonts w:cs="Arial" w:ascii="Arial" w:hAnsi="Arial"/>
          <w:bCs/>
          <w:sz w:val="22"/>
          <w:szCs w:val="22"/>
        </w:rPr>
        <w:t xml:space="preserve">Par dérogation aux dispositions de l’article 12 de la Convention collective nationale des transports routiers et activités auxiliaires du transport </w:t>
      </w:r>
      <w:r>
        <w:rPr>
          <w:rFonts w:cs="Arial" w:ascii="Arial" w:hAnsi="Arial"/>
          <w:color w:val="212529"/>
          <w:sz w:val="22"/>
          <w:szCs w:val="22"/>
        </w:rPr>
        <w:t>et conformément aux dispositions de l’article L. 3121-33 du Code du Travail,</w:t>
      </w:r>
      <w:r>
        <w:rPr>
          <w:rFonts w:cs="Arial" w:ascii="Arial" w:hAnsi="Arial"/>
          <w:sz w:val="22"/>
          <w:szCs w:val="22"/>
        </w:rPr>
        <w:t xml:space="preserve"> </w:t>
      </w:r>
      <w:r>
        <w:rPr>
          <w:rFonts w:cs="Arial" w:ascii="Arial" w:hAnsi="Arial"/>
          <w:bCs/>
          <w:sz w:val="22"/>
          <w:szCs w:val="22"/>
        </w:rPr>
        <w:t xml:space="preserve">le contingent annuel d’heures supplémentaires est porté, par année civile, à : </w:t>
      </w:r>
    </w:p>
    <w:p>
      <w:pPr>
        <w:pStyle w:val="Normal"/>
        <w:numPr>
          <w:ilvl w:val="0"/>
          <w:numId w:val="10"/>
        </w:numPr>
        <w:shd w:val="clear" w:color="auto" w:fill="FDFDFD"/>
        <w:jc w:val="both"/>
        <w:rPr>
          <w:rFonts w:ascii="Arial" w:hAnsi="Arial" w:cs="Arial"/>
          <w:bCs/>
          <w:sz w:val="22"/>
          <w:szCs w:val="22"/>
        </w:rPr>
      </w:pPr>
      <w:r>
        <w:rPr>
          <w:rFonts w:cs="Arial" w:ascii="Arial" w:hAnsi="Arial"/>
          <w:bCs/>
          <w:sz w:val="22"/>
          <w:szCs w:val="22"/>
        </w:rPr>
        <w:t xml:space="preserve">250 heures pour la catégorie de personnel roulant ; </w:t>
      </w:r>
    </w:p>
    <w:p>
      <w:pPr>
        <w:pStyle w:val="Normal"/>
        <w:numPr>
          <w:ilvl w:val="0"/>
          <w:numId w:val="10"/>
        </w:numPr>
        <w:shd w:val="clear" w:color="auto" w:fill="FDFDFD"/>
        <w:jc w:val="both"/>
        <w:rPr>
          <w:rFonts w:ascii="Arial" w:hAnsi="Arial" w:cs="Arial"/>
          <w:bCs/>
          <w:sz w:val="22"/>
          <w:szCs w:val="22"/>
        </w:rPr>
      </w:pPr>
      <w:r>
        <w:rPr>
          <w:rFonts w:cs="Arial" w:ascii="Arial" w:hAnsi="Arial"/>
          <w:bCs/>
          <w:sz w:val="22"/>
          <w:szCs w:val="22"/>
        </w:rPr>
        <w:t>150 heures pour la catégorie de personnel sédentaire.</w:t>
      </w:r>
    </w:p>
    <w:p>
      <w:pPr>
        <w:pStyle w:val="Normal"/>
        <w:shd w:val="clear" w:color="auto" w:fill="FDFDFD"/>
        <w:jc w:val="both"/>
        <w:rPr>
          <w:rFonts w:ascii="Arial" w:hAnsi="Arial" w:cs="Arial"/>
          <w:bCs/>
          <w:sz w:val="22"/>
          <w:szCs w:val="22"/>
        </w:rPr>
      </w:pPr>
      <w:r>
        <w:rPr>
          <w:rFonts w:cs="Arial" w:ascii="Arial" w:hAnsi="Arial"/>
          <w:bCs/>
          <w:sz w:val="22"/>
          <w:szCs w:val="22"/>
        </w:rPr>
        <w:t>Par année civile, il convient de retenir la période s’écoulant entre le 1</w:t>
      </w:r>
      <w:r>
        <w:rPr>
          <w:rFonts w:cs="Arial" w:ascii="Arial" w:hAnsi="Arial"/>
          <w:bCs/>
          <w:sz w:val="22"/>
          <w:szCs w:val="22"/>
          <w:vertAlign w:val="superscript"/>
        </w:rPr>
        <w:t>er</w:t>
      </w:r>
      <w:r>
        <w:rPr>
          <w:rFonts w:cs="Arial" w:ascii="Arial" w:hAnsi="Arial"/>
          <w:bCs/>
          <w:sz w:val="22"/>
          <w:szCs w:val="22"/>
        </w:rPr>
        <w:t xml:space="preserve"> janvier et le 31 décembre inclus de l’année considérée N.</w:t>
      </w:r>
    </w:p>
    <w:p>
      <w:pPr>
        <w:pStyle w:val="Normal"/>
        <w:shd w:val="clear" w:color="auto" w:fill="FDFDFD"/>
        <w:jc w:val="both"/>
        <w:rPr>
          <w:rFonts w:ascii="Arial" w:hAnsi="Arial" w:cs="Arial"/>
          <w:bCs/>
          <w:sz w:val="22"/>
          <w:szCs w:val="22"/>
        </w:rPr>
      </w:pPr>
      <w:r>
        <w:rPr>
          <w:rFonts w:cs="Arial" w:ascii="Arial" w:hAnsi="Arial"/>
          <w:bCs/>
          <w:sz w:val="22"/>
          <w:szCs w:val="22"/>
        </w:rPr>
      </w:r>
    </w:p>
    <w:p>
      <w:pPr>
        <w:pStyle w:val="Normal"/>
        <w:shd w:val="clear" w:color="auto" w:fill="FDFDFD"/>
        <w:jc w:val="both"/>
        <w:rPr>
          <w:rFonts w:ascii="Arial" w:hAnsi="Arial" w:cs="Arial"/>
          <w:color w:val="212529"/>
          <w:sz w:val="22"/>
          <w:szCs w:val="22"/>
        </w:rPr>
      </w:pPr>
      <w:r>
        <w:rPr>
          <w:rFonts w:cs="Arial" w:ascii="Arial" w:hAnsi="Arial"/>
          <w:color w:val="212529"/>
          <w:sz w:val="22"/>
          <w:szCs w:val="22"/>
        </w:rPr>
        <w:t>Ce contingent annuel d’heures supplémentaires est de plein droit applicable à l’année civile au cours de laquelle le présent accord entre en vigueur, sans donner lieu à sa réduction </w:t>
      </w:r>
      <w:r>
        <w:rPr>
          <w:rFonts w:cs="Arial" w:ascii="Arial" w:hAnsi="Arial"/>
          <w:i/>
          <w:iCs/>
          <w:color w:val="212529"/>
          <w:sz w:val="22"/>
          <w:szCs w:val="22"/>
        </w:rPr>
        <w:t>prorata temporis</w:t>
      </w:r>
      <w:r>
        <w:rPr>
          <w:rFonts w:cs="Arial" w:ascii="Arial" w:hAnsi="Arial"/>
          <w:color w:val="212529"/>
          <w:sz w:val="22"/>
          <w:szCs w:val="22"/>
        </w:rPr>
        <w:t>.</w:t>
      </w:r>
    </w:p>
    <w:p>
      <w:pPr>
        <w:pStyle w:val="Normal"/>
        <w:shd w:val="clear" w:color="auto" w:fill="FDFDFD"/>
        <w:jc w:val="both"/>
        <w:rPr>
          <w:rFonts w:ascii="Arial" w:hAnsi="Arial" w:cs="Arial"/>
          <w:color w:val="212529"/>
          <w:sz w:val="22"/>
          <w:szCs w:val="22"/>
        </w:rPr>
      </w:pPr>
      <w:r>
        <w:rPr>
          <w:rFonts w:cs="Arial" w:ascii="Arial" w:hAnsi="Arial"/>
          <w:color w:val="212529"/>
          <w:sz w:val="22"/>
          <w:szCs w:val="22"/>
        </w:rPr>
      </w:r>
    </w:p>
    <w:p>
      <w:pPr>
        <w:pStyle w:val="Normal"/>
        <w:shd w:val="clear" w:color="auto" w:fill="FDFDFD"/>
        <w:jc w:val="both"/>
        <w:rPr>
          <w:rFonts w:ascii="Arial" w:hAnsi="Arial" w:cs="Arial"/>
          <w:color w:val="212529"/>
          <w:sz w:val="22"/>
          <w:szCs w:val="22"/>
        </w:rPr>
      </w:pPr>
      <w:r>
        <w:rPr>
          <w:rFonts w:cs="Arial" w:ascii="Arial" w:hAnsi="Arial"/>
          <w:color w:val="212529"/>
          <w:sz w:val="22"/>
          <w:szCs w:val="22"/>
        </w:rPr>
        <w:t>De la même manière, il s’applique intégralement aux salariés qui intègrent l’entreprise en cours d’année civile, sans donner lieu à sa réduction </w:t>
      </w:r>
      <w:r>
        <w:rPr>
          <w:rFonts w:cs="Arial" w:ascii="Arial" w:hAnsi="Arial"/>
          <w:i/>
          <w:iCs/>
          <w:color w:val="212529"/>
          <w:sz w:val="22"/>
          <w:szCs w:val="22"/>
        </w:rPr>
        <w:t>prorata temporis</w:t>
      </w:r>
      <w:r>
        <w:rPr>
          <w:rFonts w:cs="Arial" w:ascii="Arial" w:hAnsi="Arial"/>
          <w:color w:val="212529"/>
          <w:sz w:val="22"/>
          <w:szCs w:val="22"/>
        </w:rPr>
        <w:t>, de sorte que chaque nouvel embauché dispose, dès son entrée dans la société et quelle qu’en soit la date, d’un contingent annuel de 250 heures supplémentaires pour le personnel roulant ou 150 heures pour le personnel sédentaire.</w:t>
      </w:r>
    </w:p>
    <w:p>
      <w:pPr>
        <w:pStyle w:val="Normal"/>
        <w:shd w:val="clear" w:color="auto" w:fill="FDFDFD"/>
        <w:spacing w:before="0" w:afterAutospacing="1"/>
        <w:jc w:val="both"/>
        <w:rPr>
          <w:rFonts w:ascii="Arial" w:hAnsi="Arial" w:cs="Arial"/>
          <w:color w:val="212529"/>
          <w:sz w:val="22"/>
          <w:szCs w:val="22"/>
        </w:rPr>
      </w:pPr>
      <w:r>
        <w:rPr>
          <w:rFonts w:cs="Arial" w:ascii="Arial" w:hAnsi="Arial"/>
          <w:color w:val="212529"/>
          <w:sz w:val="22"/>
          <w:szCs w:val="22"/>
        </w:rPr>
        <w:t>Toutes les heures supplémentaires effectuées par le salarié et rémunérées comme telles s’imputent sur le contingent annuel ainsi défini, à l’exception de celles prévues au troisième alinéa de l’article L. 3121-30 du Code du Travail.</w:t>
      </w:r>
    </w:p>
    <w:p>
      <w:pPr>
        <w:pStyle w:val="Normal"/>
        <w:shd w:val="clear" w:color="auto" w:fill="FDFDFD"/>
        <w:spacing w:before="0" w:afterAutospacing="1"/>
        <w:jc w:val="both"/>
        <w:rPr>
          <w:rFonts w:ascii="Arial" w:hAnsi="Arial" w:cs="Arial"/>
          <w:color w:val="212529"/>
          <w:sz w:val="22"/>
          <w:szCs w:val="22"/>
        </w:rPr>
      </w:pPr>
      <w:r>
        <w:rPr>
          <w:rFonts w:cs="Arial" w:ascii="Arial" w:hAnsi="Arial"/>
          <w:color w:val="212529"/>
          <w:sz w:val="22"/>
          <w:szCs w:val="22"/>
        </w:rPr>
        <w:t>Le contingent annuel d’heures supplémentaires fait l’objet d’un décompte individuel en ce qu’il est propre à chacun des salariés concernés.</w:t>
      </w:r>
    </w:p>
    <w:p>
      <w:pPr>
        <w:pStyle w:val="Normal"/>
        <w:shd w:val="clear" w:color="auto" w:fill="FDFDFD"/>
        <w:spacing w:before="0" w:afterAutospacing="1"/>
        <w:jc w:val="both"/>
        <w:rPr>
          <w:rFonts w:ascii="Arial" w:hAnsi="Arial" w:cs="Arial"/>
          <w:sz w:val="22"/>
          <w:szCs w:val="22"/>
        </w:rPr>
      </w:pPr>
      <w:r>
        <w:rPr>
          <w:rFonts w:cs="Arial" w:ascii="Arial" w:hAnsi="Arial"/>
          <w:sz w:val="22"/>
          <w:szCs w:val="22"/>
        </w:rPr>
      </w:r>
    </w:p>
    <w:p>
      <w:pPr>
        <w:pStyle w:val="Normal"/>
        <w:numPr>
          <w:ilvl w:val="0"/>
          <w:numId w:val="9"/>
        </w:numPr>
        <w:shd w:val="clear" w:color="auto" w:fill="FDFDFD"/>
        <w:spacing w:before="0" w:afterAutospacing="1"/>
        <w:jc w:val="both"/>
        <w:rPr>
          <w:rFonts w:ascii="Arial" w:hAnsi="Arial" w:cs="Arial"/>
          <w:bCs/>
          <w:sz w:val="22"/>
          <w:szCs w:val="22"/>
        </w:rPr>
      </w:pPr>
      <w:r>
        <w:rPr>
          <w:rFonts w:cs="Arial" w:ascii="Arial" w:hAnsi="Arial"/>
          <w:bCs/>
          <w:sz w:val="22"/>
          <w:szCs w:val="22"/>
        </w:rPr>
        <w:t>Rémunération des heures supplémentaires effectuées à l’intérieur du contingent annuel</w:t>
      </w:r>
    </w:p>
    <w:p>
      <w:pPr>
        <w:pStyle w:val="Normal"/>
        <w:shd w:val="clear" w:color="auto" w:fill="FDFDFD"/>
        <w:spacing w:before="0" w:afterAutospacing="1"/>
        <w:jc w:val="both"/>
        <w:rPr>
          <w:rFonts w:ascii="Arial" w:hAnsi="Arial" w:cs="Arial"/>
          <w:bCs/>
          <w:sz w:val="22"/>
          <w:szCs w:val="22"/>
        </w:rPr>
      </w:pPr>
      <w:r>
        <w:rPr>
          <w:rFonts w:cs="Arial" w:ascii="Arial" w:hAnsi="Arial"/>
          <w:bCs/>
          <w:sz w:val="22"/>
          <w:szCs w:val="22"/>
        </w:rPr>
        <w:t>Les parties rappellent que les heures supplémentaires relèvent du pouvoir de direction et d’organisation de l’employeur. A ce titre, elles ne peuvent être effectuées que sur demande expresse de ce dernier.</w:t>
      </w:r>
    </w:p>
    <w:p>
      <w:pPr>
        <w:pStyle w:val="Normal"/>
        <w:shd w:val="clear" w:color="auto" w:fill="FDFDFD"/>
        <w:spacing w:before="0" w:afterAutospacing="1"/>
        <w:jc w:val="both"/>
        <w:rPr>
          <w:rFonts w:ascii="Arial" w:hAnsi="Arial" w:cs="Arial"/>
          <w:bCs/>
          <w:sz w:val="22"/>
          <w:szCs w:val="22"/>
        </w:rPr>
      </w:pPr>
      <w:r>
        <w:rPr>
          <w:rFonts w:cs="Arial" w:ascii="Arial" w:hAnsi="Arial"/>
          <w:bCs/>
          <w:sz w:val="22"/>
          <w:szCs w:val="22"/>
        </w:rPr>
      </w:r>
    </w:p>
    <w:p>
      <w:pPr>
        <w:pStyle w:val="Normal"/>
        <w:numPr>
          <w:ilvl w:val="0"/>
          <w:numId w:val="9"/>
        </w:numPr>
        <w:jc w:val="both"/>
        <w:rPr>
          <w:rFonts w:ascii="Arial" w:hAnsi="Arial" w:cs="Arial"/>
          <w:bCs/>
          <w:sz w:val="22"/>
          <w:szCs w:val="22"/>
        </w:rPr>
      </w:pPr>
      <w:r>
        <w:rPr>
          <w:rFonts w:cs="Arial" w:ascii="Arial" w:hAnsi="Arial"/>
          <w:bCs/>
          <w:sz w:val="22"/>
          <w:szCs w:val="22"/>
        </w:rPr>
        <w:t>Dépassement du contingent annuel d’heures supplémentaires</w:t>
      </w:r>
    </w:p>
    <w:p>
      <w:pPr>
        <w:pStyle w:val="Normal"/>
        <w:ind w:start="720"/>
        <w:jc w:val="both"/>
        <w:rPr>
          <w:rFonts w:ascii="Arial" w:hAnsi="Arial" w:cs="Arial"/>
          <w:bCs/>
          <w:sz w:val="22"/>
          <w:szCs w:val="22"/>
        </w:rPr>
      </w:pPr>
      <w:r>
        <w:rPr>
          <w:rFonts w:cs="Arial" w:ascii="Arial" w:hAnsi="Arial"/>
          <w:bCs/>
          <w:sz w:val="22"/>
          <w:szCs w:val="22"/>
        </w:rPr>
      </w:r>
    </w:p>
    <w:p>
      <w:pPr>
        <w:pStyle w:val="Normal"/>
        <w:shd w:val="clear" w:color="auto" w:fill="FDFDFD"/>
        <w:spacing w:before="0" w:afterAutospacing="1"/>
        <w:jc w:val="both"/>
        <w:rPr>
          <w:rFonts w:ascii="Arial" w:hAnsi="Arial" w:cs="Arial"/>
          <w:color w:val="212529"/>
          <w:sz w:val="22"/>
          <w:szCs w:val="18"/>
        </w:rPr>
      </w:pPr>
      <w:r>
        <w:rPr>
          <w:rFonts w:cs="Arial" w:ascii="Arial" w:hAnsi="Arial"/>
          <w:color w:val="212529"/>
          <w:sz w:val="22"/>
          <w:szCs w:val="18"/>
        </w:rPr>
        <w:t>En cas de nécessité de recourir à l’accomplissement d’heures supplémentaires au-delà du contingent annuel déterminé à l’article 2 ci-avant, l’employeur recueillera l’avis du Comité Social et Economique, puis en informera les salariés concernés.</w:t>
      </w:r>
    </w:p>
    <w:p>
      <w:pPr>
        <w:pStyle w:val="Normal"/>
        <w:shd w:val="clear" w:color="auto" w:fill="FDFDFD"/>
        <w:spacing w:before="0" w:afterAutospacing="1"/>
        <w:jc w:val="both"/>
        <w:rPr>
          <w:rFonts w:ascii="Arial" w:hAnsi="Arial" w:cs="Arial"/>
          <w:b/>
          <w:bCs/>
          <w:color w:val="212529"/>
          <w:sz w:val="22"/>
          <w:szCs w:val="22"/>
        </w:rPr>
      </w:pPr>
      <w:r>
        <w:rPr>
          <w:rFonts w:cs="Arial" w:ascii="Arial" w:hAnsi="Arial"/>
          <w:b/>
          <w:bCs/>
          <w:color w:val="212529"/>
          <w:sz w:val="22"/>
          <w:szCs w:val="22"/>
        </w:rPr>
      </w:r>
    </w:p>
    <w:p>
      <w:pPr>
        <w:pStyle w:val="NoSpacing"/>
        <w:numPr>
          <w:ilvl w:val="1"/>
          <w:numId w:val="3"/>
        </w:numPr>
        <w:suppressAutoHyphens w:val="false"/>
        <w:jc w:val="both"/>
        <w:rPr>
          <w:rFonts w:ascii="Arial" w:hAnsi="Arial" w:cs="Arial"/>
          <w:b/>
          <w:bCs/>
        </w:rPr>
      </w:pPr>
      <w:r>
        <w:rPr>
          <w:rFonts w:cs="Arial" w:ascii="Arial" w:hAnsi="Arial"/>
          <w:b/>
          <w:bCs/>
        </w:rPr>
        <w:t>Négociation d’un nouvel accord sur l’aménagement du temps de travail</w:t>
      </w:r>
    </w:p>
    <w:p>
      <w:pPr>
        <w:pStyle w:val="NoSpacing"/>
        <w:suppressAutoHyphens w:val="false"/>
        <w:ind w:start="1440"/>
        <w:jc w:val="both"/>
        <w:rPr>
          <w:rFonts w:ascii="Arial" w:hAnsi="Arial" w:cs="Arial"/>
        </w:rPr>
      </w:pPr>
      <w:r>
        <w:rPr>
          <w:rFonts w:cs="Arial" w:ascii="Arial" w:hAnsi="Arial"/>
        </w:rPr>
      </w:r>
    </w:p>
    <w:p>
      <w:pPr>
        <w:pStyle w:val="NoSpacing"/>
        <w:suppressAutoHyphens w:val="false"/>
        <w:jc w:val="both"/>
        <w:rPr>
          <w:rFonts w:ascii="Arial" w:hAnsi="Arial" w:cs="Arial"/>
        </w:rPr>
      </w:pPr>
      <w:r>
        <w:rPr>
          <w:rFonts w:cs="Arial" w:ascii="Arial" w:hAnsi="Arial"/>
        </w:rPr>
        <w:t>Lors des négociations annuelles obligatoires 2025, la Direction avait exprimé son intention d’engager, d’ici la fin de l’année 2025, des négociations en vue de conclure un accord portant sur l’aménagement du temps de travail. Toutefois, ces négociations n’ont pas pu être initiées dans le délai prévu. La société réaffirme néanmoins sa volonté d’ouvrir des discussions sur ces thématiques.</w:t>
      </w:r>
    </w:p>
    <w:p>
      <w:pPr>
        <w:pStyle w:val="Normal"/>
        <w:shd w:val="clear" w:color="auto" w:fill="FDFDFD"/>
        <w:spacing w:before="0" w:afterAutospacing="1"/>
        <w:jc w:val="both"/>
        <w:rPr>
          <w:rFonts w:ascii="Arial" w:hAnsi="Arial" w:cs="Arial"/>
          <w:color w:val="212529"/>
          <w:sz w:val="22"/>
          <w:szCs w:val="22"/>
        </w:rPr>
      </w:pPr>
      <w:r>
        <w:rPr>
          <w:rFonts w:cs="Arial" w:ascii="Arial" w:hAnsi="Arial"/>
          <w:color w:val="212529"/>
          <w:sz w:val="22"/>
          <w:szCs w:val="22"/>
        </w:rPr>
      </w:r>
    </w:p>
    <w:p>
      <w:pPr>
        <w:pStyle w:val="NoSpacing"/>
        <w:numPr>
          <w:ilvl w:val="1"/>
          <w:numId w:val="3"/>
        </w:numPr>
        <w:jc w:val="both"/>
        <w:rPr>
          <w:rFonts w:ascii="Arial" w:hAnsi="Arial" w:cs="Arial"/>
          <w:b/>
          <w:bCs/>
        </w:rPr>
      </w:pPr>
      <w:r>
        <w:rPr>
          <w:rFonts w:cs="Arial" w:ascii="Arial" w:hAnsi="Arial"/>
          <w:b/>
          <w:bCs/>
        </w:rPr>
        <w:t>Journée de solidarité</w:t>
      </w:r>
    </w:p>
    <w:p>
      <w:pPr>
        <w:pStyle w:val="NoSpacing"/>
        <w:ind w:start="1440"/>
        <w:jc w:val="both"/>
        <w:rPr>
          <w:rFonts w:ascii="Arial" w:hAnsi="Arial" w:cs="Arial"/>
          <w:b/>
          <w:bCs/>
        </w:rPr>
      </w:pPr>
      <w:r>
        <w:rPr>
          <w:rFonts w:cs="Arial" w:ascii="Arial" w:hAnsi="Arial"/>
          <w:b/>
          <w:bCs/>
        </w:rPr>
      </w:r>
    </w:p>
    <w:p>
      <w:pPr>
        <w:pStyle w:val="NoSpacing"/>
        <w:jc w:val="both"/>
        <w:rPr>
          <w:rFonts w:ascii="Arial" w:hAnsi="Arial" w:cs="Arial"/>
        </w:rPr>
      </w:pPr>
      <w:r>
        <w:rPr>
          <w:rFonts w:cs="Arial" w:ascii="Arial" w:hAnsi="Arial"/>
        </w:rPr>
        <w:t>La Direction rappelle que la journée de solidarité est d’origine légale et s’impose à tous. Dans ce cadre, chacun doit y contribuer selon les modalités applicables au sein de la société.</w:t>
      </w:r>
    </w:p>
    <w:p>
      <w:pPr>
        <w:pStyle w:val="Normal"/>
        <w:spacing w:lineRule="auto" w:line="276"/>
        <w:jc w:val="both"/>
        <w:rPr>
          <w:rFonts w:ascii="Arial" w:hAnsi="Arial" w:cs="Arial"/>
          <w:b/>
          <w:caps/>
          <w:sz w:val="22"/>
          <w:szCs w:val="22"/>
          <w:u w:val="single"/>
        </w:rPr>
      </w:pPr>
      <w:r>
        <w:rPr>
          <w:rFonts w:cs="Arial" w:ascii="Arial" w:hAnsi="Arial"/>
          <w:b/>
          <w:caps/>
          <w:sz w:val="22"/>
          <w:szCs w:val="22"/>
          <w:u w:val="single"/>
        </w:rPr>
      </w:r>
    </w:p>
    <w:p>
      <w:pPr>
        <w:pStyle w:val="NoSpacing"/>
        <w:spacing w:lineRule="auto" w:line="276"/>
        <w:jc w:val="both"/>
        <w:rPr>
          <w:rFonts w:ascii="Arial" w:hAnsi="Arial" w:cs="Arial"/>
          <w:b/>
          <w:bCs/>
          <w:color w:val="0000FF"/>
          <w:u w:val="single"/>
        </w:rPr>
      </w:pPr>
      <w:r>
        <w:rPr>
          <w:rFonts w:cs="Arial" w:ascii="Arial" w:hAnsi="Arial"/>
          <w:b/>
          <w:bCs/>
          <w:color w:val="0000FF"/>
          <w:u w:val="single"/>
        </w:rPr>
        <w:t>3.12 Médailles du travail et du transport</w:t>
      </w:r>
    </w:p>
    <w:p>
      <w:pPr>
        <w:pStyle w:val="NoSpacing"/>
        <w:spacing w:lineRule="auto" w:line="276"/>
        <w:jc w:val="both"/>
        <w:rPr>
          <w:rFonts w:ascii="Arial" w:hAnsi="Arial" w:cs="Arial"/>
          <w:b/>
          <w:bCs/>
          <w:color w:val="0000FF"/>
          <w:u w:val="single"/>
        </w:rPr>
      </w:pPr>
      <w:r>
        <w:rPr>
          <w:rFonts w:cs="Arial" w:ascii="Arial" w:hAnsi="Arial"/>
          <w:b/>
          <w:bCs/>
          <w:color w:val="0000FF"/>
          <w:u w:val="single"/>
        </w:rPr>
      </w:r>
    </w:p>
    <w:p>
      <w:pPr>
        <w:pStyle w:val="NoSpacing"/>
        <w:spacing w:lineRule="auto" w:line="276"/>
        <w:jc w:val="both"/>
        <w:rPr>
          <w:rFonts w:ascii="Arial" w:hAnsi="Arial" w:cs="Arial"/>
        </w:rPr>
      </w:pPr>
      <w:r>
        <w:rPr>
          <w:rFonts w:cs="Arial" w:ascii="Arial" w:hAnsi="Arial"/>
        </w:rPr>
        <w:t>Dans le cadre des négociations annuelles obligatoires, la Direction souhaite rappeler l’importance accordée à la reconnaissance de l’ancienneté, de l’engagement et du professionnalisme de ses collaborateurs. À ce titre, la Direction tient à apporter des précisions sur les dispositifs relatifs à la médaille du travail ainsi qu’à la médaille du transport. Ces distinctions permettent de valoriser l’investissement durable des salariés au sein de l’entreprise et plus généralement du secteur d’activité, conformément à la réglementation en vigueur et aux usages internes.</w:t>
      </w:r>
    </w:p>
    <w:p>
      <w:pPr>
        <w:pStyle w:val="NoSpacing"/>
        <w:spacing w:lineRule="auto" w:line="276"/>
        <w:jc w:val="both"/>
        <w:rPr>
          <w:rFonts w:ascii="Arial" w:hAnsi="Arial" w:cs="Arial"/>
        </w:rPr>
      </w:pPr>
      <w:r>
        <w:rPr>
          <w:rFonts w:cs="Arial" w:ascii="Arial" w:hAnsi="Arial"/>
        </w:rPr>
      </w:r>
    </w:p>
    <w:p>
      <w:pPr>
        <w:pStyle w:val="NoSpacing"/>
        <w:spacing w:lineRule="auto" w:line="276"/>
        <w:jc w:val="both"/>
        <w:rPr>
          <w:rFonts w:ascii="Arial" w:hAnsi="Arial" w:cs="Arial"/>
        </w:rPr>
      </w:pPr>
      <w:r>
        <w:rPr>
          <w:rFonts w:cs="Arial" w:ascii="Arial" w:hAnsi="Arial"/>
        </w:rPr>
        <w:t>Le présent article a pour objet de préciser les critères d’attribution et les modalités de versement des primes associées à ces distinctions.</w:t>
      </w:r>
    </w:p>
    <w:p>
      <w:pPr>
        <w:pStyle w:val="NoSpacing"/>
        <w:spacing w:lineRule="auto" w:line="276"/>
        <w:jc w:val="both"/>
        <w:rPr>
          <w:rFonts w:ascii="Arial" w:hAnsi="Arial" w:cs="Arial"/>
        </w:rPr>
      </w:pPr>
      <w:r>
        <w:rPr>
          <w:rFonts w:cs="Arial" w:ascii="Arial" w:hAnsi="Arial"/>
        </w:rPr>
      </w:r>
    </w:p>
    <w:p>
      <w:pPr>
        <w:pStyle w:val="NoSpacing"/>
        <w:numPr>
          <w:ilvl w:val="0"/>
          <w:numId w:val="11"/>
        </w:numPr>
        <w:spacing w:lineRule="auto" w:line="276"/>
        <w:jc w:val="both"/>
        <w:rPr>
          <w:rFonts w:ascii="Arial" w:hAnsi="Arial" w:cs="Arial"/>
        </w:rPr>
      </w:pPr>
      <w:r>
        <w:rPr>
          <w:rFonts w:cs="Arial" w:ascii="Arial" w:hAnsi="Arial"/>
        </w:rPr>
        <w:t>Critères d’attribution et montants des primes</w:t>
      </w:r>
    </w:p>
    <w:p>
      <w:pPr>
        <w:pStyle w:val="NoSpacing"/>
        <w:spacing w:lineRule="auto" w:line="276"/>
        <w:jc w:val="both"/>
        <w:rPr>
          <w:rFonts w:ascii="Arial" w:hAnsi="Arial" w:cs="Arial"/>
        </w:rPr>
      </w:pPr>
      <w:r>
        <w:rPr>
          <w:rFonts w:cs="Arial" w:ascii="Arial" w:hAnsi="Arial"/>
        </w:rPr>
      </w:r>
    </w:p>
    <w:tbl>
      <w:tblPr>
        <w:tblW w:w="8120" w:type="dxa"/>
        <w:jc w:val="start"/>
        <w:tblInd w:w="75" w:type="dxa"/>
        <w:tblLayout w:type="fixed"/>
        <w:tblCellMar>
          <w:top w:w="0" w:type="dxa"/>
          <w:start w:w="70" w:type="dxa"/>
          <w:bottom w:w="0" w:type="dxa"/>
          <w:end w:w="70" w:type="dxa"/>
        </w:tblCellMar>
        <w:tblLook w:firstRow="1" w:noVBand="1" w:lastRow="0" w:firstColumn="1" w:lastColumn="0" w:noHBand="0" w:val="04a0"/>
      </w:tblPr>
      <w:tblGrid>
        <w:gridCol w:w="3480"/>
        <w:gridCol w:w="2559"/>
        <w:gridCol w:w="2081"/>
      </w:tblGrid>
      <w:tr>
        <w:trPr>
          <w:trHeight w:val="360" w:hRule="atLeast"/>
        </w:trPr>
        <w:tc>
          <w:tcPr>
            <w:tcW w:w="3480" w:type="dxa"/>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overflowPunct w:val="false"/>
              <w:jc w:val="center"/>
              <w:textAlignment w:val="auto"/>
              <w:rPr>
                <w:rFonts w:ascii="Calibri" w:hAnsi="Calibri" w:cs="Calibri"/>
                <w:b/>
                <w:bCs/>
                <w:i/>
                <w:iCs/>
                <w:color w:val="76933C"/>
                <w:sz w:val="22"/>
                <w:szCs w:val="22"/>
              </w:rPr>
            </w:pPr>
            <w:r>
              <w:rPr>
                <w:rFonts w:cs="Calibri" w:ascii="Calibri" w:hAnsi="Calibri"/>
                <w:b/>
                <w:bCs/>
                <w:i/>
                <w:iCs/>
                <w:color w:val="76933C"/>
                <w:sz w:val="22"/>
                <w:szCs w:val="22"/>
              </w:rPr>
              <w:t> </w:t>
            </w:r>
          </w:p>
        </w:tc>
        <w:tc>
          <w:tcPr>
            <w:tcW w:w="2559" w:type="dxa"/>
            <w:tcBorders>
              <w:top w:val="single" w:sz="4" w:space="0" w:color="000000"/>
              <w:bottom w:val="single" w:sz="4" w:space="0" w:color="000000"/>
              <w:end w:val="single" w:sz="4" w:space="0" w:color="000000"/>
            </w:tcBorders>
            <w:shd w:color="auto" w:fill="auto" w:val="clear"/>
            <w:vAlign w:val="bottom"/>
          </w:tcPr>
          <w:p>
            <w:pPr>
              <w:pStyle w:val="Normal"/>
              <w:overflowPunct w:val="false"/>
              <w:jc w:val="center"/>
              <w:textAlignment w:val="auto"/>
              <w:rPr>
                <w:rFonts w:ascii="Calibri" w:hAnsi="Calibri" w:cs="Calibri"/>
                <w:color w:val="000000"/>
                <w:sz w:val="22"/>
                <w:szCs w:val="22"/>
              </w:rPr>
            </w:pPr>
            <w:r>
              <w:rPr>
                <w:rFonts w:cs="Calibri" w:ascii="Calibri" w:hAnsi="Calibri"/>
                <w:color w:val="000000"/>
                <w:sz w:val="22"/>
                <w:szCs w:val="22"/>
              </w:rPr>
              <w:t>Médaille du travail</w:t>
            </w:r>
          </w:p>
        </w:tc>
        <w:tc>
          <w:tcPr>
            <w:tcW w:w="2081" w:type="dxa"/>
            <w:tcBorders>
              <w:top w:val="single" w:sz="4" w:space="0" w:color="000000"/>
              <w:bottom w:val="single" w:sz="4" w:space="0" w:color="000000"/>
              <w:end w:val="single" w:sz="4" w:space="0" w:color="000000"/>
            </w:tcBorders>
            <w:shd w:color="auto" w:fill="auto" w:val="clear"/>
            <w:vAlign w:val="bottom"/>
          </w:tcPr>
          <w:p>
            <w:pPr>
              <w:pStyle w:val="Normal"/>
              <w:overflowPunct w:val="false"/>
              <w:jc w:val="center"/>
              <w:textAlignment w:val="auto"/>
              <w:rPr>
                <w:rFonts w:ascii="Calibri" w:hAnsi="Calibri" w:cs="Calibri"/>
                <w:color w:val="000000"/>
                <w:sz w:val="22"/>
                <w:szCs w:val="22"/>
              </w:rPr>
            </w:pPr>
            <w:r>
              <w:rPr>
                <w:rFonts w:cs="Calibri" w:ascii="Calibri" w:hAnsi="Calibri"/>
                <w:color w:val="000000"/>
                <w:sz w:val="22"/>
                <w:szCs w:val="22"/>
              </w:rPr>
              <w:t>Médaille du transport</w:t>
            </w:r>
          </w:p>
        </w:tc>
      </w:tr>
      <w:tr>
        <w:trPr>
          <w:trHeight w:val="360" w:hRule="atLeast"/>
        </w:trPr>
        <w:tc>
          <w:tcPr>
            <w:tcW w:w="348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overflowPunct w:val="false"/>
              <w:jc w:val="center"/>
              <w:textAlignment w:val="auto"/>
              <w:rPr>
                <w:rFonts w:ascii="Calibri" w:hAnsi="Calibri" w:cs="Calibri"/>
                <w:color w:val="000000"/>
                <w:sz w:val="22"/>
                <w:szCs w:val="22"/>
              </w:rPr>
            </w:pPr>
            <w:r>
              <w:rPr>
                <w:rFonts w:cs="Calibri" w:ascii="Calibri" w:hAnsi="Calibri"/>
                <w:color w:val="000000"/>
                <w:sz w:val="22"/>
                <w:szCs w:val="22"/>
              </w:rPr>
              <w:t>20 ans : Argent</w:t>
            </w:r>
          </w:p>
        </w:tc>
        <w:tc>
          <w:tcPr>
            <w:tcW w:w="2559" w:type="dxa"/>
            <w:tcBorders>
              <w:bottom w:val="single" w:sz="4" w:space="0" w:color="000000"/>
              <w:end w:val="single" w:sz="4" w:space="0" w:color="000000"/>
            </w:tcBorders>
            <w:shd w:color="auto" w:fill="auto" w:val="clear"/>
            <w:vAlign w:val="bottom"/>
          </w:tcPr>
          <w:p>
            <w:pPr>
              <w:pStyle w:val="Normal"/>
              <w:overflowPunct w:val="false"/>
              <w:jc w:val="center"/>
              <w:textAlignment w:val="auto"/>
              <w:rPr>
                <w:rFonts w:ascii="Calibri" w:hAnsi="Calibri" w:cs="Calibri"/>
                <w:color w:val="000000"/>
                <w:sz w:val="22"/>
                <w:szCs w:val="22"/>
              </w:rPr>
            </w:pPr>
            <w:r>
              <w:rPr>
                <w:rFonts w:cs="Calibri" w:ascii="Calibri" w:hAnsi="Calibri"/>
                <w:color w:val="000000"/>
                <w:sz w:val="22"/>
                <w:szCs w:val="22"/>
              </w:rPr>
              <w:t>457 €</w:t>
            </w:r>
          </w:p>
        </w:tc>
        <w:tc>
          <w:tcPr>
            <w:tcW w:w="2081" w:type="dxa"/>
            <w:tcBorders>
              <w:bottom w:val="single" w:sz="4" w:space="0" w:color="000000"/>
              <w:end w:val="single" w:sz="4" w:space="0" w:color="000000"/>
            </w:tcBorders>
            <w:shd w:color="auto" w:fill="auto" w:val="clear"/>
            <w:vAlign w:val="bottom"/>
          </w:tcPr>
          <w:p>
            <w:pPr>
              <w:pStyle w:val="Normal"/>
              <w:overflowPunct w:val="false"/>
              <w:jc w:val="center"/>
              <w:textAlignment w:val="auto"/>
              <w:rPr>
                <w:rFonts w:ascii="Calibri" w:hAnsi="Calibri" w:cs="Calibri"/>
                <w:color w:val="000000"/>
                <w:sz w:val="22"/>
                <w:szCs w:val="22"/>
              </w:rPr>
            </w:pPr>
            <w:r>
              <w:rPr>
                <w:rFonts w:cs="Calibri" w:ascii="Calibri" w:hAnsi="Calibri"/>
                <w:color w:val="000000"/>
                <w:sz w:val="22"/>
                <w:szCs w:val="22"/>
              </w:rPr>
              <w:t>457 € Roulant</w:t>
            </w:r>
          </w:p>
        </w:tc>
      </w:tr>
      <w:tr>
        <w:trPr>
          <w:trHeight w:val="360" w:hRule="atLeast"/>
        </w:trPr>
        <w:tc>
          <w:tcPr>
            <w:tcW w:w="348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overflowPunct w:val="false"/>
              <w:jc w:val="center"/>
              <w:textAlignment w:val="auto"/>
              <w:rPr>
                <w:rFonts w:ascii="Calibri" w:hAnsi="Calibri" w:cs="Calibri"/>
                <w:color w:val="000000"/>
                <w:sz w:val="22"/>
                <w:szCs w:val="22"/>
              </w:rPr>
            </w:pPr>
            <w:r>
              <w:rPr>
                <w:rFonts w:cs="Calibri" w:ascii="Calibri" w:hAnsi="Calibri"/>
                <w:color w:val="000000"/>
                <w:sz w:val="22"/>
                <w:szCs w:val="22"/>
              </w:rPr>
              <w:t>25 ans : Argent</w:t>
            </w:r>
          </w:p>
        </w:tc>
        <w:tc>
          <w:tcPr>
            <w:tcW w:w="2559" w:type="dxa"/>
            <w:tcBorders>
              <w:bottom w:val="single" w:sz="4" w:space="0" w:color="000000"/>
              <w:end w:val="single" w:sz="4" w:space="0" w:color="000000"/>
            </w:tcBorders>
            <w:shd w:color="auto" w:fill="auto" w:val="clear"/>
            <w:vAlign w:val="bottom"/>
          </w:tcPr>
          <w:p>
            <w:pPr>
              <w:pStyle w:val="Normal"/>
              <w:overflowPunct w:val="false"/>
              <w:jc w:val="center"/>
              <w:textAlignment w:val="auto"/>
              <w:rPr>
                <w:rFonts w:ascii="Calibri" w:hAnsi="Calibri" w:cs="Calibri"/>
                <w:color w:val="000000"/>
                <w:sz w:val="22"/>
                <w:szCs w:val="22"/>
              </w:rPr>
            </w:pPr>
            <w:r>
              <w:rPr>
                <w:rFonts w:cs="Calibri" w:ascii="Calibri" w:hAnsi="Calibri"/>
                <w:color w:val="000000"/>
                <w:sz w:val="22"/>
                <w:szCs w:val="22"/>
              </w:rPr>
              <w:t> </w:t>
            </w:r>
          </w:p>
        </w:tc>
        <w:tc>
          <w:tcPr>
            <w:tcW w:w="2081" w:type="dxa"/>
            <w:tcBorders>
              <w:bottom w:val="single" w:sz="4" w:space="0" w:color="000000"/>
              <w:end w:val="single" w:sz="4" w:space="0" w:color="000000"/>
            </w:tcBorders>
            <w:shd w:color="auto" w:fill="auto" w:val="clear"/>
            <w:vAlign w:val="bottom"/>
          </w:tcPr>
          <w:p>
            <w:pPr>
              <w:pStyle w:val="Normal"/>
              <w:overflowPunct w:val="false"/>
              <w:jc w:val="center"/>
              <w:textAlignment w:val="auto"/>
              <w:rPr>
                <w:rFonts w:ascii="Calibri" w:hAnsi="Calibri" w:cs="Calibri"/>
                <w:color w:val="000000"/>
                <w:sz w:val="22"/>
                <w:szCs w:val="22"/>
              </w:rPr>
            </w:pPr>
            <w:r>
              <w:rPr>
                <w:rFonts w:cs="Calibri" w:ascii="Calibri" w:hAnsi="Calibri"/>
                <w:color w:val="000000"/>
                <w:sz w:val="22"/>
                <w:szCs w:val="22"/>
              </w:rPr>
              <w:t>457 € Sédentaire</w:t>
            </w:r>
          </w:p>
        </w:tc>
      </w:tr>
      <w:tr>
        <w:trPr>
          <w:trHeight w:val="360" w:hRule="atLeast"/>
        </w:trPr>
        <w:tc>
          <w:tcPr>
            <w:tcW w:w="348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overflowPunct w:val="false"/>
              <w:jc w:val="center"/>
              <w:textAlignment w:val="auto"/>
              <w:rPr>
                <w:rFonts w:ascii="Calibri" w:hAnsi="Calibri" w:cs="Calibri"/>
                <w:color w:val="000000"/>
                <w:sz w:val="22"/>
                <w:szCs w:val="22"/>
              </w:rPr>
            </w:pPr>
            <w:r>
              <w:rPr>
                <w:rFonts w:cs="Calibri" w:ascii="Calibri" w:hAnsi="Calibri"/>
                <w:color w:val="000000"/>
                <w:sz w:val="22"/>
                <w:szCs w:val="22"/>
              </w:rPr>
              <w:t>30 ans : Vermeil</w:t>
            </w:r>
          </w:p>
        </w:tc>
        <w:tc>
          <w:tcPr>
            <w:tcW w:w="2559" w:type="dxa"/>
            <w:tcBorders>
              <w:bottom w:val="single" w:sz="4" w:space="0" w:color="000000"/>
              <w:end w:val="single" w:sz="4" w:space="0" w:color="000000"/>
            </w:tcBorders>
            <w:shd w:color="auto" w:fill="auto" w:val="clear"/>
            <w:vAlign w:val="bottom"/>
          </w:tcPr>
          <w:p>
            <w:pPr>
              <w:pStyle w:val="Normal"/>
              <w:overflowPunct w:val="false"/>
              <w:jc w:val="center"/>
              <w:textAlignment w:val="auto"/>
              <w:rPr>
                <w:rFonts w:ascii="Calibri" w:hAnsi="Calibri" w:cs="Calibri"/>
                <w:color w:val="000000"/>
                <w:sz w:val="22"/>
                <w:szCs w:val="22"/>
              </w:rPr>
            </w:pPr>
            <w:r>
              <w:rPr>
                <w:rFonts w:cs="Calibri" w:ascii="Calibri" w:hAnsi="Calibri"/>
                <w:color w:val="000000"/>
                <w:sz w:val="22"/>
                <w:szCs w:val="22"/>
              </w:rPr>
              <w:t>534 €</w:t>
            </w:r>
          </w:p>
        </w:tc>
        <w:tc>
          <w:tcPr>
            <w:tcW w:w="2081" w:type="dxa"/>
            <w:tcBorders>
              <w:bottom w:val="single" w:sz="4" w:space="0" w:color="000000"/>
              <w:end w:val="single" w:sz="4" w:space="0" w:color="000000"/>
            </w:tcBorders>
            <w:shd w:color="auto" w:fill="auto" w:val="clear"/>
            <w:vAlign w:val="bottom"/>
          </w:tcPr>
          <w:p>
            <w:pPr>
              <w:pStyle w:val="Normal"/>
              <w:overflowPunct w:val="false"/>
              <w:jc w:val="center"/>
              <w:textAlignment w:val="auto"/>
              <w:rPr>
                <w:rFonts w:ascii="Calibri" w:hAnsi="Calibri" w:cs="Calibri"/>
                <w:color w:val="000000"/>
                <w:sz w:val="22"/>
                <w:szCs w:val="22"/>
              </w:rPr>
            </w:pPr>
            <w:r>
              <w:rPr>
                <w:rFonts w:cs="Calibri" w:ascii="Calibri" w:hAnsi="Calibri"/>
                <w:color w:val="000000"/>
                <w:sz w:val="22"/>
                <w:szCs w:val="22"/>
              </w:rPr>
              <w:t>534€ Roulant</w:t>
            </w:r>
          </w:p>
        </w:tc>
      </w:tr>
      <w:tr>
        <w:trPr>
          <w:trHeight w:val="360" w:hRule="atLeast"/>
        </w:trPr>
        <w:tc>
          <w:tcPr>
            <w:tcW w:w="348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overflowPunct w:val="false"/>
              <w:jc w:val="center"/>
              <w:textAlignment w:val="auto"/>
              <w:rPr>
                <w:rFonts w:ascii="Calibri" w:hAnsi="Calibri" w:cs="Calibri"/>
                <w:color w:val="000000"/>
                <w:sz w:val="22"/>
                <w:szCs w:val="22"/>
              </w:rPr>
            </w:pPr>
            <w:r>
              <w:rPr>
                <w:rFonts w:cs="Calibri" w:ascii="Calibri" w:hAnsi="Calibri"/>
                <w:color w:val="000000"/>
                <w:sz w:val="22"/>
                <w:szCs w:val="22"/>
              </w:rPr>
              <w:t xml:space="preserve">35 ans : Or </w:t>
            </w:r>
          </w:p>
        </w:tc>
        <w:tc>
          <w:tcPr>
            <w:tcW w:w="2559" w:type="dxa"/>
            <w:tcBorders>
              <w:bottom w:val="single" w:sz="4" w:space="0" w:color="000000"/>
              <w:end w:val="single" w:sz="4" w:space="0" w:color="000000"/>
            </w:tcBorders>
            <w:shd w:color="auto" w:fill="auto" w:val="clear"/>
            <w:vAlign w:val="bottom"/>
          </w:tcPr>
          <w:p>
            <w:pPr>
              <w:pStyle w:val="Normal"/>
              <w:overflowPunct w:val="false"/>
              <w:jc w:val="center"/>
              <w:textAlignment w:val="auto"/>
              <w:rPr>
                <w:rFonts w:ascii="Calibri" w:hAnsi="Calibri" w:cs="Calibri"/>
                <w:color w:val="000000"/>
                <w:sz w:val="22"/>
                <w:szCs w:val="22"/>
              </w:rPr>
            </w:pPr>
            <w:r>
              <w:rPr>
                <w:rFonts w:cs="Calibri" w:ascii="Calibri" w:hAnsi="Calibri"/>
                <w:color w:val="000000"/>
                <w:sz w:val="22"/>
                <w:szCs w:val="22"/>
              </w:rPr>
              <w:t>610 €</w:t>
            </w:r>
          </w:p>
        </w:tc>
        <w:tc>
          <w:tcPr>
            <w:tcW w:w="2081" w:type="dxa"/>
            <w:tcBorders>
              <w:bottom w:val="single" w:sz="4" w:space="0" w:color="000000"/>
              <w:end w:val="single" w:sz="4" w:space="0" w:color="000000"/>
            </w:tcBorders>
            <w:shd w:color="auto" w:fill="auto" w:val="clear"/>
            <w:vAlign w:val="bottom"/>
          </w:tcPr>
          <w:p>
            <w:pPr>
              <w:pStyle w:val="Normal"/>
              <w:overflowPunct w:val="false"/>
              <w:jc w:val="center"/>
              <w:textAlignment w:val="auto"/>
              <w:rPr>
                <w:rFonts w:ascii="Calibri" w:hAnsi="Calibri" w:cs="Calibri"/>
                <w:color w:val="000000"/>
                <w:sz w:val="22"/>
                <w:szCs w:val="22"/>
              </w:rPr>
            </w:pPr>
            <w:r>
              <w:rPr>
                <w:rFonts w:cs="Calibri" w:ascii="Calibri" w:hAnsi="Calibri"/>
                <w:color w:val="000000"/>
                <w:sz w:val="22"/>
                <w:szCs w:val="22"/>
              </w:rPr>
              <w:t>534 € Sédentaire</w:t>
            </w:r>
          </w:p>
        </w:tc>
      </w:tr>
      <w:tr>
        <w:trPr>
          <w:trHeight w:val="360" w:hRule="atLeast"/>
        </w:trPr>
        <w:tc>
          <w:tcPr>
            <w:tcW w:w="3480" w:type="dxa"/>
            <w:tcBorders>
              <w:top w:val="single" w:sz="4" w:space="0" w:color="000000"/>
              <w:start w:val="single" w:sz="4" w:space="0" w:color="000000"/>
              <w:bottom w:val="single" w:sz="4" w:space="0" w:color="000000"/>
              <w:end w:val="single" w:sz="4" w:space="0" w:color="000000"/>
            </w:tcBorders>
            <w:shd w:color="auto" w:fill="auto" w:val="clear"/>
            <w:vAlign w:val="bottom"/>
          </w:tcPr>
          <w:p>
            <w:pPr>
              <w:pStyle w:val="Normal"/>
              <w:overflowPunct w:val="false"/>
              <w:jc w:val="center"/>
              <w:textAlignment w:val="auto"/>
              <w:rPr>
                <w:rFonts w:ascii="Calibri" w:hAnsi="Calibri" w:cs="Calibri"/>
                <w:color w:val="000000"/>
                <w:sz w:val="22"/>
                <w:szCs w:val="22"/>
              </w:rPr>
            </w:pPr>
            <w:r>
              <w:rPr>
                <w:rFonts w:cs="Calibri" w:ascii="Calibri" w:hAnsi="Calibri"/>
                <w:color w:val="000000"/>
                <w:sz w:val="22"/>
                <w:szCs w:val="22"/>
              </w:rPr>
              <w:t xml:space="preserve">40 ans : Grand Or </w:t>
            </w:r>
          </w:p>
        </w:tc>
        <w:tc>
          <w:tcPr>
            <w:tcW w:w="2559" w:type="dxa"/>
            <w:tcBorders>
              <w:bottom w:val="single" w:sz="4" w:space="0" w:color="000000"/>
              <w:end w:val="single" w:sz="4" w:space="0" w:color="000000"/>
            </w:tcBorders>
            <w:shd w:color="auto" w:fill="auto" w:val="clear"/>
            <w:vAlign w:val="bottom"/>
          </w:tcPr>
          <w:p>
            <w:pPr>
              <w:pStyle w:val="Normal"/>
              <w:overflowPunct w:val="false"/>
              <w:jc w:val="center"/>
              <w:textAlignment w:val="auto"/>
              <w:rPr>
                <w:rFonts w:ascii="Calibri" w:hAnsi="Calibri" w:cs="Calibri"/>
                <w:color w:val="000000"/>
                <w:sz w:val="22"/>
                <w:szCs w:val="22"/>
              </w:rPr>
            </w:pPr>
            <w:r>
              <w:rPr>
                <w:rFonts w:cs="Calibri" w:ascii="Calibri" w:hAnsi="Calibri"/>
                <w:color w:val="000000"/>
                <w:sz w:val="22"/>
                <w:szCs w:val="22"/>
              </w:rPr>
              <w:t>800 €</w:t>
            </w:r>
          </w:p>
        </w:tc>
        <w:tc>
          <w:tcPr>
            <w:tcW w:w="2081" w:type="dxa"/>
            <w:tcBorders>
              <w:bottom w:val="single" w:sz="4" w:space="0" w:color="000000"/>
              <w:end w:val="single" w:sz="4" w:space="0" w:color="000000"/>
            </w:tcBorders>
            <w:shd w:color="auto" w:fill="auto" w:val="clear"/>
            <w:vAlign w:val="bottom"/>
          </w:tcPr>
          <w:p>
            <w:pPr>
              <w:pStyle w:val="Normal"/>
              <w:overflowPunct w:val="false"/>
              <w:jc w:val="center"/>
              <w:textAlignment w:val="auto"/>
              <w:rPr>
                <w:rFonts w:ascii="Calibri" w:hAnsi="Calibri" w:cs="Calibri"/>
                <w:color w:val="000000"/>
                <w:sz w:val="22"/>
                <w:szCs w:val="22"/>
              </w:rPr>
            </w:pPr>
            <w:r>
              <w:rPr>
                <w:rFonts w:cs="Calibri" w:ascii="Calibri" w:hAnsi="Calibri"/>
                <w:color w:val="000000"/>
                <w:sz w:val="22"/>
                <w:szCs w:val="22"/>
              </w:rPr>
              <w:t> </w:t>
            </w:r>
          </w:p>
        </w:tc>
      </w:tr>
    </w:tbl>
    <w:p>
      <w:pPr>
        <w:pStyle w:val="NoSpacing"/>
        <w:spacing w:lineRule="auto" w:line="276"/>
        <w:jc w:val="both"/>
        <w:rPr>
          <w:rFonts w:ascii="Arial" w:hAnsi="Arial" w:cs="Arial"/>
        </w:rPr>
      </w:pPr>
      <w:r>
        <w:rPr>
          <w:rFonts w:cs="Arial" w:ascii="Arial" w:hAnsi="Arial"/>
        </w:rPr>
      </w:r>
    </w:p>
    <w:p>
      <w:pPr>
        <w:pStyle w:val="NoSpacing"/>
        <w:spacing w:lineRule="auto" w:line="276"/>
        <w:jc w:val="both"/>
        <w:rPr>
          <w:rFonts w:ascii="Arial" w:hAnsi="Arial" w:cs="Arial"/>
        </w:rPr>
      </w:pPr>
      <w:r>
        <w:rPr>
          <w:rFonts w:cs="Arial" w:ascii="Arial" w:hAnsi="Arial"/>
        </w:rPr>
        <w:t>Il est expressément rappelé que les médailles du travail et du transport ne se cumulent pas lorsque la condition d’ancienneté est identique.</w:t>
      </w:r>
    </w:p>
    <w:p>
      <w:pPr>
        <w:pStyle w:val="NoSpacing"/>
        <w:spacing w:lineRule="auto" w:line="276"/>
        <w:jc w:val="both"/>
        <w:rPr>
          <w:rFonts w:ascii="Arial" w:hAnsi="Arial" w:cs="Arial"/>
        </w:rPr>
      </w:pPr>
      <w:r>
        <w:rPr>
          <w:rFonts w:cs="Arial" w:ascii="Arial" w:hAnsi="Arial"/>
        </w:rPr>
      </w:r>
    </w:p>
    <w:p>
      <w:pPr>
        <w:pStyle w:val="NoSpacing"/>
        <w:numPr>
          <w:ilvl w:val="0"/>
          <w:numId w:val="11"/>
        </w:numPr>
        <w:spacing w:lineRule="auto" w:line="276"/>
        <w:jc w:val="both"/>
        <w:rPr>
          <w:rFonts w:ascii="Arial" w:hAnsi="Arial" w:cs="Arial"/>
        </w:rPr>
      </w:pPr>
      <w:r>
        <w:rPr>
          <w:rFonts w:cs="Arial" w:ascii="Arial" w:hAnsi="Arial"/>
        </w:rPr>
        <w:t>Modalités de versement de la prime</w:t>
      </w:r>
    </w:p>
    <w:p>
      <w:pPr>
        <w:pStyle w:val="NoSpacing"/>
        <w:spacing w:lineRule="auto" w:line="276"/>
        <w:ind w:start="720"/>
        <w:jc w:val="both"/>
        <w:rPr>
          <w:rFonts w:ascii="Arial" w:hAnsi="Arial" w:cs="Arial"/>
        </w:rPr>
      </w:pPr>
      <w:r>
        <w:rPr>
          <w:rFonts w:cs="Arial" w:ascii="Arial" w:hAnsi="Arial"/>
        </w:rPr>
      </w:r>
    </w:p>
    <w:p>
      <w:pPr>
        <w:pStyle w:val="NoSpacing"/>
        <w:spacing w:lineRule="auto" w:line="276"/>
        <w:jc w:val="both"/>
        <w:rPr>
          <w:rFonts w:ascii="Arial" w:hAnsi="Arial" w:cs="Arial"/>
        </w:rPr>
      </w:pPr>
      <w:r>
        <w:rPr>
          <w:rFonts w:cs="Arial" w:ascii="Arial" w:hAnsi="Arial"/>
        </w:rPr>
        <w:t>L’octroi de la prime correspondante est subordonné à la présence effective du salarié dans les effectifs de l’entreprise au moment de la demande auprès de l’employeur.</w:t>
      </w:r>
    </w:p>
    <w:p>
      <w:pPr>
        <w:pStyle w:val="NoSpacing"/>
        <w:spacing w:lineRule="auto" w:line="276"/>
        <w:jc w:val="both"/>
        <w:rPr>
          <w:rFonts w:ascii="Arial" w:hAnsi="Arial" w:cs="Arial"/>
        </w:rPr>
      </w:pPr>
      <w:r>
        <w:rPr>
          <w:rFonts w:cs="Arial" w:ascii="Arial" w:hAnsi="Arial"/>
        </w:rPr>
      </w:r>
    </w:p>
    <w:p>
      <w:pPr>
        <w:pStyle w:val="NoSpacing"/>
        <w:spacing w:lineRule="auto" w:line="276"/>
        <w:jc w:val="both"/>
        <w:rPr>
          <w:rFonts w:ascii="Arial" w:hAnsi="Arial" w:cs="Arial"/>
        </w:rPr>
      </w:pPr>
      <w:r>
        <w:rPr>
          <w:rFonts w:cs="Arial" w:ascii="Arial" w:hAnsi="Arial"/>
        </w:rPr>
        <w:t>La demande de versement de la prime doit être effectuée par le salarié, sur présentation du diplôme officiel, dans les six mois suivant l’attribution de la médaille et dans l’année au cours de laquelle la condition d’ancienneté requise est remplie.</w:t>
      </w:r>
    </w:p>
    <w:p>
      <w:pPr>
        <w:pStyle w:val="NoSpacing"/>
        <w:spacing w:lineRule="auto" w:line="276"/>
        <w:jc w:val="both"/>
        <w:rPr>
          <w:rFonts w:ascii="Arial" w:hAnsi="Arial" w:cs="Arial"/>
          <w:highlight w:val="yellow"/>
        </w:rPr>
      </w:pPr>
      <w:r>
        <w:rPr>
          <w:rFonts w:cs="Arial" w:ascii="Arial" w:hAnsi="Arial"/>
          <w:highlight w:val="yellow"/>
        </w:rPr>
      </w:r>
    </w:p>
    <w:p>
      <w:pPr>
        <w:pStyle w:val="NoSpacing"/>
        <w:spacing w:lineRule="auto" w:line="276"/>
        <w:jc w:val="both"/>
        <w:rPr>
          <w:rFonts w:ascii="Arial" w:hAnsi="Arial" w:cs="Arial"/>
        </w:rPr>
      </w:pPr>
      <w:r>
        <w:rPr>
          <w:rFonts w:cs="Arial" w:ascii="Arial" w:hAnsi="Arial"/>
        </w:rPr>
        <w:t>Il est précisé que la prime afférente à la médaille du travail ou du transport sera versée au prorata temporis de la présence effective du salarié au sein de la société durant la période d’ancienneté requise pour l’obtention de la médaille. Ainsi, toute période d’absence non assimilée à du temps de travail effectif au sens de la législation sera déduite du calcul de la prime.</w:t>
      </w:r>
    </w:p>
    <w:p>
      <w:pPr>
        <w:pStyle w:val="NoSpacing"/>
        <w:spacing w:lineRule="auto" w:line="276"/>
        <w:jc w:val="both"/>
        <w:rPr>
          <w:rFonts w:ascii="Arial" w:hAnsi="Arial" w:cs="Arial"/>
        </w:rPr>
      </w:pPr>
      <w:r>
        <w:rPr>
          <w:rFonts w:cs="Arial" w:ascii="Arial" w:hAnsi="Arial"/>
        </w:rPr>
      </w:r>
    </w:p>
    <w:p>
      <w:pPr>
        <w:pStyle w:val="NoSpacing"/>
        <w:spacing w:lineRule="auto" w:line="276"/>
        <w:jc w:val="both"/>
        <w:rPr>
          <w:rFonts w:ascii="Arial" w:hAnsi="Arial" w:cs="Arial"/>
        </w:rPr>
      </w:pPr>
      <w:r>
        <w:rPr>
          <w:rFonts w:cs="Arial" w:ascii="Arial" w:hAnsi="Arial"/>
        </w:rPr>
        <w:t>Le présent article annule et remplace toute disposition ou texte antérieur de l’entreprise relatif à l’attribution des médailles du travail et du transport, ainsi qu’aux modalités de versement des primes afférentes.</w:t>
      </w:r>
    </w:p>
    <w:p>
      <w:pPr>
        <w:pStyle w:val="Normal"/>
        <w:spacing w:lineRule="auto" w:line="276"/>
        <w:jc w:val="both"/>
        <w:rPr>
          <w:rFonts w:ascii="Arial" w:hAnsi="Arial" w:cs="Arial"/>
          <w:b/>
          <w:caps/>
          <w:sz w:val="22"/>
          <w:szCs w:val="22"/>
          <w:u w:val="single"/>
        </w:rPr>
      </w:pPr>
      <w:r>
        <w:rPr>
          <w:rFonts w:cs="Arial" w:ascii="Arial" w:hAnsi="Arial"/>
          <w:b/>
          <w:caps/>
          <w:sz w:val="22"/>
          <w:szCs w:val="22"/>
          <w:u w:val="single"/>
        </w:rPr>
      </w:r>
    </w:p>
    <w:p>
      <w:pPr>
        <w:pStyle w:val="Normal"/>
        <w:spacing w:lineRule="auto" w:line="276"/>
        <w:jc w:val="both"/>
        <w:rPr>
          <w:rFonts w:ascii="Arial" w:hAnsi="Arial" w:cs="Arial"/>
          <w:b/>
          <w:caps/>
          <w:sz w:val="22"/>
          <w:szCs w:val="22"/>
          <w:u w:val="single"/>
        </w:rPr>
      </w:pPr>
      <w:r>
        <w:rPr>
          <w:rFonts w:cs="Arial" w:ascii="Arial" w:hAnsi="Arial"/>
          <w:b/>
          <w:caps/>
          <w:sz w:val="22"/>
          <w:szCs w:val="22"/>
          <w:u w:val="single"/>
        </w:rPr>
        <w:t>Article 4 – durée ET APPLICATION DE L’ACCORD</w:t>
      </w:r>
    </w:p>
    <w:p>
      <w:pPr>
        <w:pStyle w:val="Normal"/>
        <w:spacing w:lineRule="auto" w:line="276"/>
        <w:jc w:val="both"/>
        <w:rPr>
          <w:rFonts w:ascii="Arial" w:hAnsi="Arial" w:cs="Arial"/>
          <w:sz w:val="22"/>
          <w:szCs w:val="22"/>
        </w:rPr>
      </w:pPr>
      <w:r>
        <w:rPr>
          <w:rFonts w:cs="Arial" w:ascii="Arial" w:hAnsi="Arial"/>
          <w:sz w:val="22"/>
          <w:szCs w:val="22"/>
        </w:rPr>
      </w:r>
    </w:p>
    <w:p>
      <w:pPr>
        <w:pStyle w:val="NoSpacing"/>
        <w:spacing w:lineRule="auto" w:line="276"/>
        <w:rPr>
          <w:rFonts w:ascii="Arial" w:hAnsi="Arial" w:cs="Arial"/>
        </w:rPr>
      </w:pPr>
      <w:r>
        <w:rPr>
          <w:rFonts w:cs="Arial" w:ascii="Arial" w:hAnsi="Arial"/>
        </w:rPr>
        <w:t>Les mesures prises dans le présent accord sont applicables à compter de la signature de l’accord pour une durée déterminée d’un an, où jusqu’à la conclusion du prochain accord NAO.</w:t>
      </w:r>
    </w:p>
    <w:p>
      <w:pPr>
        <w:pStyle w:val="Normal"/>
        <w:spacing w:lineRule="auto" w:line="276"/>
        <w:jc w:val="both"/>
        <w:rPr>
          <w:rFonts w:ascii="Arial" w:hAnsi="Arial" w:cs="Arial"/>
          <w:b/>
          <w:caps/>
          <w:sz w:val="22"/>
          <w:szCs w:val="22"/>
          <w:u w:val="single"/>
        </w:rPr>
      </w:pPr>
      <w:r>
        <w:rPr>
          <w:rFonts w:cs="Arial" w:ascii="Arial" w:hAnsi="Arial"/>
          <w:b/>
          <w:caps/>
          <w:sz w:val="22"/>
          <w:szCs w:val="22"/>
          <w:u w:val="single"/>
        </w:rPr>
      </w:r>
    </w:p>
    <w:p>
      <w:pPr>
        <w:pStyle w:val="Normal"/>
        <w:spacing w:lineRule="auto" w:line="276"/>
        <w:jc w:val="both"/>
        <w:rPr>
          <w:rFonts w:ascii="Arial" w:hAnsi="Arial" w:cs="Arial"/>
          <w:b/>
          <w:caps/>
          <w:sz w:val="22"/>
          <w:szCs w:val="22"/>
          <w:u w:val="single"/>
        </w:rPr>
      </w:pPr>
      <w:r>
        <w:rPr>
          <w:rFonts w:cs="Arial" w:ascii="Arial" w:hAnsi="Arial"/>
          <w:b/>
          <w:caps/>
          <w:sz w:val="22"/>
          <w:szCs w:val="22"/>
          <w:u w:val="single"/>
        </w:rPr>
        <w:t>Article 5 – PUBLICITE DE L’ACCORD</w:t>
      </w:r>
    </w:p>
    <w:p>
      <w:pPr>
        <w:pStyle w:val="Normal"/>
        <w:spacing w:lineRule="auto" w:line="276"/>
        <w:jc w:val="both"/>
        <w:rPr>
          <w:rFonts w:ascii="Arial" w:hAnsi="Arial" w:cs="Arial"/>
          <w:sz w:val="22"/>
          <w:szCs w:val="22"/>
        </w:rPr>
      </w:pPr>
      <w:r>
        <w:rPr>
          <w:rFonts w:cs="Arial" w:ascii="Arial" w:hAnsi="Arial"/>
          <w:sz w:val="22"/>
          <w:szCs w:val="22"/>
        </w:rPr>
      </w:r>
    </w:p>
    <w:p>
      <w:pPr>
        <w:pStyle w:val="Normal"/>
        <w:jc w:val="both"/>
        <w:rPr>
          <w:rFonts w:ascii="Arial" w:hAnsi="Arial" w:eastAsia="Calibri" w:cs="Arial"/>
          <w:sz w:val="22"/>
          <w:szCs w:val="22"/>
          <w:lang w:eastAsia="en-US"/>
        </w:rPr>
      </w:pPr>
      <w:r>
        <w:rPr>
          <w:rFonts w:eastAsia="Calibri" w:cs="Arial" w:ascii="Arial" w:hAnsi="Arial"/>
          <w:sz w:val="22"/>
          <w:szCs w:val="22"/>
          <w:lang w:eastAsia="en-US"/>
        </w:rPr>
        <w:t>En respect de l’article D. 2231-2 du Code du travail, le présent accord d'entreprise sera déposé :</w:t>
      </w:r>
    </w:p>
    <w:p>
      <w:pPr>
        <w:pStyle w:val="Normal"/>
        <w:jc w:val="both"/>
        <w:rPr>
          <w:rFonts w:ascii="Arial" w:hAnsi="Arial" w:eastAsia="Calibri" w:cs="Arial"/>
          <w:sz w:val="22"/>
          <w:szCs w:val="22"/>
          <w:lang w:eastAsia="en-US"/>
        </w:rPr>
      </w:pPr>
      <w:r>
        <w:rPr>
          <w:rFonts w:eastAsia="Calibri" w:cs="Arial" w:ascii="Arial" w:hAnsi="Arial"/>
          <w:sz w:val="22"/>
          <w:szCs w:val="22"/>
          <w:lang w:eastAsia="en-US"/>
        </w:rPr>
      </w:r>
    </w:p>
    <w:p>
      <w:pPr>
        <w:pStyle w:val="ListParagraph"/>
        <w:numPr>
          <w:ilvl w:val="0"/>
          <w:numId w:val="3"/>
        </w:numPr>
        <w:overflowPunct w:val="false"/>
        <w:spacing w:before="0" w:after="0"/>
        <w:ind w:hanging="360" w:start="720"/>
        <w:contextualSpacing/>
        <w:jc w:val="both"/>
        <w:textAlignment w:val="auto"/>
        <w:rPr>
          <w:rFonts w:ascii="Arial" w:hAnsi="Arial" w:eastAsia="Calibri" w:cs="Arial"/>
          <w:sz w:val="22"/>
          <w:szCs w:val="22"/>
          <w:lang w:eastAsia="en-US"/>
        </w:rPr>
      </w:pPr>
      <w:r>
        <w:rPr>
          <w:rFonts w:eastAsia="Calibri" w:cs="Arial" w:ascii="Arial" w:hAnsi="Arial"/>
          <w:sz w:val="22"/>
          <w:szCs w:val="22"/>
          <w:lang w:eastAsia="en-US"/>
        </w:rPr>
        <w:t>En un exemplaire, sous format électronique, sur la plateforme en ligne TéléAccords de la DREETS,</w:t>
      </w:r>
    </w:p>
    <w:p>
      <w:pPr>
        <w:pStyle w:val="ListParagraph"/>
        <w:numPr>
          <w:ilvl w:val="0"/>
          <w:numId w:val="3"/>
        </w:numPr>
        <w:overflowPunct w:val="false"/>
        <w:spacing w:before="0" w:after="0"/>
        <w:ind w:hanging="360" w:start="720"/>
        <w:contextualSpacing/>
        <w:jc w:val="both"/>
        <w:textAlignment w:val="auto"/>
        <w:rPr>
          <w:rFonts w:ascii="Arial" w:hAnsi="Arial" w:eastAsia="Calibri" w:cs="Arial"/>
          <w:sz w:val="22"/>
          <w:szCs w:val="22"/>
          <w:lang w:eastAsia="en-US"/>
        </w:rPr>
      </w:pPr>
      <w:r>
        <w:rPr>
          <w:rFonts w:eastAsia="Calibri" w:cs="Arial" w:ascii="Arial" w:hAnsi="Arial"/>
          <w:sz w:val="22"/>
          <w:szCs w:val="22"/>
          <w:lang w:eastAsia="en-US"/>
        </w:rPr>
        <w:t xml:space="preserve">En un exemplaire au secrétariat Greffe du Conseil de Prud’hommes de Lyon. </w:t>
      </w:r>
    </w:p>
    <w:p>
      <w:pPr>
        <w:pStyle w:val="Normal"/>
        <w:jc w:val="both"/>
        <w:rPr>
          <w:rFonts w:ascii="Arial" w:hAnsi="Arial" w:eastAsia="Calibri" w:cs="Arial"/>
          <w:sz w:val="22"/>
          <w:szCs w:val="22"/>
          <w:lang w:eastAsia="en-US"/>
        </w:rPr>
      </w:pPr>
      <w:r>
        <w:rPr>
          <w:rFonts w:eastAsia="Calibri" w:cs="Arial" w:ascii="Arial" w:hAnsi="Arial"/>
          <w:sz w:val="22"/>
          <w:szCs w:val="22"/>
          <w:lang w:eastAsia="en-US"/>
        </w:rPr>
      </w:r>
    </w:p>
    <w:p>
      <w:pPr>
        <w:pStyle w:val="Normal"/>
        <w:jc w:val="both"/>
        <w:rPr>
          <w:rFonts w:ascii="Arial" w:hAnsi="Arial" w:eastAsia="Calibri" w:cs="Arial"/>
          <w:sz w:val="22"/>
          <w:szCs w:val="22"/>
          <w:lang w:eastAsia="en-US"/>
        </w:rPr>
      </w:pPr>
      <w:r>
        <w:rPr>
          <w:rFonts w:eastAsia="Calibri" w:cs="Arial" w:ascii="Arial" w:hAnsi="Arial"/>
          <w:sz w:val="22"/>
          <w:szCs w:val="22"/>
          <w:lang w:eastAsia="en-US"/>
        </w:rPr>
        <w:t xml:space="preserve">En outre un exemplaire original sera établi pour chaque partie signataire.  </w:t>
      </w:r>
    </w:p>
    <w:p>
      <w:pPr>
        <w:pStyle w:val="Normal"/>
        <w:jc w:val="both"/>
        <w:rPr>
          <w:rFonts w:ascii="Arial" w:hAnsi="Arial" w:eastAsia="Calibri" w:cs="Arial"/>
          <w:sz w:val="22"/>
          <w:szCs w:val="22"/>
          <w:lang w:eastAsia="en-US"/>
        </w:rPr>
      </w:pPr>
      <w:r>
        <w:rPr>
          <w:rFonts w:eastAsia="Calibri" w:cs="Arial" w:ascii="Arial" w:hAnsi="Arial"/>
          <w:sz w:val="22"/>
          <w:szCs w:val="22"/>
          <w:lang w:eastAsia="en-US"/>
        </w:rPr>
      </w:r>
    </w:p>
    <w:p>
      <w:pPr>
        <w:pStyle w:val="Normal"/>
        <w:spacing w:lineRule="auto" w:line="276"/>
        <w:jc w:val="both"/>
        <w:rPr>
          <w:rFonts w:ascii="Arial" w:hAnsi="Arial" w:cs="Arial"/>
          <w:sz w:val="22"/>
          <w:szCs w:val="22"/>
        </w:rPr>
      </w:pPr>
      <w:r>
        <w:rPr>
          <w:rFonts w:cs="Arial" w:ascii="Arial" w:hAnsi="Arial"/>
          <w:sz w:val="22"/>
          <w:szCs w:val="22"/>
        </w:rPr>
      </w:r>
    </w:p>
    <w:p>
      <w:pPr>
        <w:pStyle w:val="Normal"/>
        <w:spacing w:lineRule="auto" w:line="276"/>
        <w:jc w:val="both"/>
        <w:rPr>
          <w:rFonts w:ascii="Arial" w:hAnsi="Arial" w:cs="Arial"/>
          <w:sz w:val="22"/>
          <w:szCs w:val="22"/>
        </w:rPr>
      </w:pPr>
      <w:r>
        <w:rPr>
          <w:rFonts w:cs="Arial" w:ascii="Arial" w:hAnsi="Arial"/>
          <w:sz w:val="22"/>
          <w:szCs w:val="22"/>
        </w:rPr>
        <w:t>Fait à CORBAS, le 11 mars 2026</w:t>
      </w:r>
    </w:p>
    <w:p>
      <w:pPr>
        <w:pStyle w:val="Normal"/>
        <w:spacing w:lineRule="auto" w:line="276"/>
        <w:jc w:val="both"/>
        <w:rPr>
          <w:rFonts w:ascii="Arial" w:hAnsi="Arial" w:cs="Arial"/>
          <w:sz w:val="22"/>
          <w:szCs w:val="22"/>
        </w:rPr>
      </w:pPr>
      <w:r>
        <w:rPr>
          <w:rFonts w:cs="Arial" w:ascii="Arial" w:hAnsi="Arial"/>
          <w:sz w:val="22"/>
          <w:szCs w:val="22"/>
        </w:rPr>
      </w:r>
    </w:p>
    <w:p>
      <w:pPr>
        <w:pStyle w:val="Normal"/>
        <w:spacing w:lineRule="auto" w:line="276"/>
        <w:jc w:val="both"/>
        <w:rPr>
          <w:rFonts w:ascii="Arial" w:hAnsi="Arial" w:cs="Arial"/>
          <w:sz w:val="22"/>
          <w:szCs w:val="22"/>
        </w:rPr>
      </w:pPr>
      <w:r>
        <w:rPr>
          <w:rFonts w:cs="Arial" w:ascii="Arial" w:hAnsi="Arial"/>
          <w:sz w:val="22"/>
          <w:szCs w:val="22"/>
        </w:rPr>
      </w:r>
    </w:p>
    <w:p>
      <w:pPr>
        <w:pStyle w:val="Normal"/>
        <w:spacing w:lineRule="auto" w:line="276"/>
        <w:rPr>
          <w:rFonts w:ascii="Arial" w:hAnsi="Arial" w:cs="Arial"/>
          <w:sz w:val="22"/>
          <w:szCs w:val="22"/>
        </w:rPr>
      </w:pPr>
      <w:r>
        <w:rPr>
          <w:rFonts w:cs="Arial" w:ascii="Arial" w:hAnsi="Arial"/>
          <w:sz w:val="22"/>
          <w:szCs w:val="22"/>
        </w:rPr>
        <w:t>Pour la Direction :</w:t>
        <w:tab/>
        <w:tab/>
        <w:tab/>
        <w:tab/>
        <w:tab/>
        <w:tab/>
      </w:r>
    </w:p>
    <w:p>
      <w:pPr>
        <w:pStyle w:val="Normal"/>
        <w:spacing w:lineRule="auto" w:line="276"/>
        <w:rPr>
          <w:rFonts w:ascii="Arial" w:hAnsi="Arial" w:cs="Arial"/>
          <w:sz w:val="22"/>
          <w:szCs w:val="22"/>
        </w:rPr>
      </w:pPr>
      <w:r>
        <w:rPr>
          <w:rFonts w:cs="Arial" w:ascii="Arial" w:hAnsi="Arial"/>
          <w:sz w:val="22"/>
          <w:szCs w:val="22"/>
        </w:rPr>
        <w:t>Madame XXX</w:t>
      </w:r>
    </w:p>
    <w:p>
      <w:pPr>
        <w:pStyle w:val="Normal"/>
        <w:spacing w:lineRule="auto" w:line="276"/>
        <w:rPr>
          <w:rFonts w:ascii="Arial" w:hAnsi="Arial" w:cs="Arial"/>
          <w:sz w:val="22"/>
          <w:szCs w:val="22"/>
        </w:rPr>
      </w:pPr>
      <w:r>
        <w:rPr>
          <w:rFonts w:cs="Arial" w:ascii="Arial" w:hAnsi="Arial"/>
          <w:sz w:val="22"/>
          <w:szCs w:val="22"/>
        </w:rPr>
      </w:r>
    </w:p>
    <w:p>
      <w:pPr>
        <w:pStyle w:val="Normal"/>
        <w:spacing w:lineRule="auto" w:line="276"/>
        <w:rPr>
          <w:rFonts w:ascii="Arial" w:hAnsi="Arial" w:cs="Arial"/>
          <w:sz w:val="22"/>
          <w:szCs w:val="22"/>
        </w:rPr>
      </w:pPr>
      <w:r>
        <w:rPr>
          <w:rFonts w:cs="Arial" w:ascii="Arial" w:hAnsi="Arial"/>
          <w:sz w:val="22"/>
          <w:szCs w:val="22"/>
        </w:rPr>
      </w:r>
    </w:p>
    <w:p>
      <w:pPr>
        <w:pStyle w:val="Normal"/>
        <w:spacing w:lineRule="auto" w:line="276"/>
        <w:rPr>
          <w:rFonts w:ascii="Arial" w:hAnsi="Arial" w:cs="Arial"/>
          <w:sz w:val="22"/>
          <w:szCs w:val="22"/>
        </w:rPr>
      </w:pPr>
      <w:r>
        <w:rPr>
          <w:rFonts w:cs="Arial" w:ascii="Arial" w:hAnsi="Arial"/>
          <w:sz w:val="22"/>
          <w:szCs w:val="22"/>
        </w:rPr>
      </w:r>
    </w:p>
    <w:p>
      <w:pPr>
        <w:pStyle w:val="Normal"/>
        <w:spacing w:lineRule="auto" w:line="276"/>
        <w:rPr>
          <w:rFonts w:ascii="Arial" w:hAnsi="Arial" w:cs="Arial"/>
          <w:sz w:val="22"/>
          <w:szCs w:val="22"/>
        </w:rPr>
      </w:pPr>
      <w:r>
        <w:rPr>
          <w:rFonts w:cs="Arial" w:ascii="Arial" w:hAnsi="Arial"/>
          <w:sz w:val="22"/>
          <w:szCs w:val="22"/>
        </w:rPr>
        <w:t>Pour les organisations syndicales :</w:t>
      </w:r>
    </w:p>
    <w:p>
      <w:pPr>
        <w:pStyle w:val="Normal"/>
        <w:spacing w:lineRule="auto" w:line="276"/>
        <w:rPr>
          <w:rFonts w:ascii="Arial" w:hAnsi="Arial" w:cs="Arial"/>
          <w:sz w:val="22"/>
          <w:szCs w:val="22"/>
        </w:rPr>
      </w:pPr>
      <w:r>
        <w:rPr>
          <w:rFonts w:cs="Arial" w:ascii="Arial" w:hAnsi="Arial"/>
          <w:sz w:val="22"/>
          <w:szCs w:val="22"/>
        </w:rPr>
        <w:t>CFTC- Monsieur XXX</w:t>
      </w:r>
    </w:p>
    <w:p>
      <w:pPr>
        <w:pStyle w:val="Normal"/>
        <w:spacing w:lineRule="auto" w:line="276"/>
        <w:rPr>
          <w:rFonts w:ascii="Arial" w:hAnsi="Arial" w:cs="Arial"/>
          <w:sz w:val="22"/>
          <w:szCs w:val="22"/>
        </w:rPr>
      </w:pPr>
      <w:r>
        <w:rPr>
          <w:rFonts w:cs="Arial" w:ascii="Arial" w:hAnsi="Arial"/>
          <w:sz w:val="22"/>
          <w:szCs w:val="22"/>
        </w:rPr>
      </w:r>
    </w:p>
    <w:p>
      <w:pPr>
        <w:pStyle w:val="Normal"/>
        <w:spacing w:lineRule="auto" w:line="276"/>
        <w:rPr>
          <w:rFonts w:ascii="Arial" w:hAnsi="Arial" w:cs="Arial"/>
          <w:sz w:val="22"/>
          <w:szCs w:val="22"/>
        </w:rPr>
      </w:pPr>
      <w:r>
        <w:rPr>
          <w:rFonts w:cs="Arial" w:ascii="Arial" w:hAnsi="Arial"/>
          <w:sz w:val="22"/>
          <w:szCs w:val="22"/>
        </w:rPr>
        <w:t>CFDT- Monsieur XXX</w:t>
      </w:r>
    </w:p>
    <w:p>
      <w:pPr>
        <w:pStyle w:val="Normal"/>
        <w:spacing w:lineRule="auto" w:line="276"/>
        <w:rPr>
          <w:rFonts w:ascii="Arial" w:hAnsi="Arial" w:cs="Arial"/>
          <w:sz w:val="22"/>
          <w:szCs w:val="22"/>
        </w:rPr>
      </w:pPr>
      <w:r>
        <w:rPr>
          <w:rFonts w:cs="Arial" w:ascii="Arial" w:hAnsi="Arial"/>
          <w:sz w:val="22"/>
          <w:szCs w:val="22"/>
        </w:rPr>
      </w:r>
    </w:p>
    <w:p>
      <w:pPr>
        <w:pStyle w:val="Normal"/>
        <w:spacing w:lineRule="auto" w:line="276"/>
        <w:rPr>
          <w:rFonts w:ascii="Arial" w:hAnsi="Arial" w:cs="Arial"/>
          <w:sz w:val="22"/>
          <w:szCs w:val="22"/>
        </w:rPr>
      </w:pPr>
      <w:r>
        <w:rPr>
          <w:rFonts w:cs="Arial" w:ascii="Arial" w:hAnsi="Arial"/>
          <w:sz w:val="22"/>
          <w:szCs w:val="22"/>
        </w:rPr>
        <w:t>CGT - Madame XXX</w:t>
      </w:r>
      <w:r>
        <w:rPr>
          <w:rFonts w:cs="Arial" w:ascii="Arial" w:hAnsi="Arial"/>
          <w:sz w:val="22"/>
          <w:szCs w:val="22"/>
        </w:rPr>
        <w:tab/>
      </w:r>
    </w:p>
    <w:p>
      <w:pPr>
        <w:pStyle w:val="Normal"/>
        <w:spacing w:lineRule="auto" w:line="276"/>
        <w:rPr>
          <w:rFonts w:ascii="Arial" w:hAnsi="Arial" w:cs="Arial"/>
          <w:sz w:val="22"/>
          <w:szCs w:val="22"/>
        </w:rPr>
      </w:pPr>
      <w:r>
        <w:rPr>
          <w:rFonts w:cs="Arial" w:ascii="Arial" w:hAnsi="Arial"/>
          <w:sz w:val="22"/>
          <w:szCs w:val="22"/>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134" w:right="1134" w:gutter="0" w:header="720" w:top="1134" w:footer="72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Times New Roman">
    <w:charset w:val="01"/>
    <w:family w:val="roman"/>
    <w:pitch w:val="default"/>
  </w:font>
  <w:font w:name="Footlight MT Light">
    <w:charset w:val="01"/>
    <w:family w:val="roman"/>
    <w:pitch w:val="default"/>
  </w:font>
  <w:font w:name="Calibri Light">
    <w:charset w:val="01"/>
    <w:family w:val="swiss"/>
    <w:pitch w:val="default"/>
  </w:font>
  <w:font w:name="Marianne">
    <w:charset w:val="01"/>
    <w:family w:val="auto"/>
    <w:pitch w:val="default"/>
  </w:font>
  <w:font w:name="Tahoma">
    <w:charset w:val="01"/>
    <w:family w:val="swiss"/>
    <w:pitch w:val="default"/>
  </w:font>
  <w:font w:name="Calibri">
    <w:charset w:val="01"/>
    <w:family w:val="swiss"/>
    <w:pitch w:val="default"/>
  </w:font>
  <w:font w:name="Arial">
    <w:charset w:val="01"/>
    <w:family w:val="swiss"/>
    <w:pitch w:val="default"/>
  </w:font>
  <w:font w:name="Wingdings">
    <w:charset w:val="02"/>
    <w:family w:val="auto"/>
    <w:pitch w:val="variable"/>
  </w:font>
  <w:font w:name="Courier New">
    <w:charset w:val="01"/>
    <w:family w:val="modern"/>
    <w:pitch w:val="fixed"/>
  </w:font>
  <w:font w:name="Calibr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end="360"/>
      <w:rPr/>
    </w:pPr>
    <w:r>
      <w:rPr/>
    </w:r>
    <w:r>
      <mc:AlternateContent>
        <mc:Choice Requires="wps">
          <w:drawing>
            <wp:anchor behindDoc="0" distT="0" distB="0" distL="0" distR="0" simplePos="0" locked="0" layoutInCell="1" allowOverlap="1" relativeHeight="0">
              <wp:simplePos x="0" y="0"/>
              <wp:positionH relativeFrom="margin">
                <wp:align>right</wp:align>
              </wp:positionH>
              <wp:positionV relativeFrom="paragraph">
                <wp:posOffset>635</wp:posOffset>
              </wp:positionV>
              <wp:extent cx="14605" cy="14605"/>
              <wp:effectExtent l="0" t="0" r="0" b="0"/>
              <wp:wrapSquare wrapText="bothSides"/>
              <wp:docPr id="4" name="Cadre1"/>
              <a:graphic xmlns:a="http://schemas.openxmlformats.org/drawingml/2006/main">
                <a:graphicData uri="http://schemas.microsoft.com/office/word/2010/wordprocessingShape">
                  <wps:wsp>
                    <wps:cNvSpPr txBox="1"/>
                    <wps:spPr>
                      <a:xfrm>
                        <a:off x="0" y="0"/>
                        <a:ext cx="14605" cy="14605"/>
                      </a:xfrm>
                      <a:prstGeom prst="rect"/>
                      <a:solidFill>
                        <a:srgbClr val="FFFFFF">
                          <a:alpha val="0"/>
                        </a:srgbClr>
                      </a:solidFill>
                    </wps:spPr>
                    <wps:txbx>
                      <w:txbx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anchor="t" lIns="0" tIns="0" rIns="0" bIns="0">
                      <a:spAutoFit/>
                    </wps:bodyPr>
                  </wps:wsp>
                </a:graphicData>
              </a:graphic>
            </wp:anchor>
          </w:drawing>
        </mc:Choice>
        <mc:Fallback>
          <w:pict>
            <v:rect fillcolor="#FFFFFF" style="position:absolute;rotation:-0;width:1.15pt;height:1.15pt;mso-wrap-distance-left:0pt;mso-wrap-distance-right:0pt;mso-wrap-distance-top:0pt;mso-wrap-distance-bottom:0pt;margin-top:0.05pt;mso-position-vertical-relative:text;margin-left:0pt;mso-position-horizontal:right;mso-position-horizontal-relative:margin">
              <v:fill opacity="0f"/>
              <v:textbox inset="0in,0in,0in,0in">
                <w:txbx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end"/>
      <w:rPr/>
    </w:pPr>
    <w:r>
      <w:rPr>
        <w:rFonts w:cs="Arial" w:ascii="Arial" w:hAnsi="Arial"/>
        <w:sz w:val="20"/>
      </w:rPr>
      <w:t xml:space="preserve">Page </w:t>
    </w:r>
    <w:r>
      <w:rPr>
        <w:rFonts w:cs="Arial" w:ascii="Arial" w:hAnsi="Arial"/>
        <w:b/>
        <w:bCs/>
        <w:sz w:val="20"/>
        <w:szCs w:val="24"/>
      </w:rPr>
      <w:fldChar w:fldCharType="begin"/>
    </w:r>
    <w:r>
      <w:rPr>
        <w:rFonts w:cs="Arial" w:ascii="Arial" w:hAnsi="Arial"/>
        <w:b/>
        <w:bCs/>
        <w:sz w:val="20"/>
        <w:szCs w:val="24"/>
      </w:rPr>
      <w:instrText xml:space="preserve"> PAGE </w:instrText>
    </w:r>
    <w:r>
      <w:rPr>
        <w:rFonts w:cs="Arial" w:ascii="Arial" w:hAnsi="Arial"/>
        <w:b/>
        <w:bCs/>
        <w:sz w:val="20"/>
        <w:szCs w:val="24"/>
      </w:rPr>
      <w:fldChar w:fldCharType="separate"/>
    </w:r>
    <w:r>
      <w:rPr>
        <w:rFonts w:cs="Arial" w:ascii="Arial" w:hAnsi="Arial"/>
        <w:b/>
        <w:bCs/>
        <w:sz w:val="20"/>
        <w:szCs w:val="24"/>
      </w:rPr>
      <w:t>17</w:t>
    </w:r>
    <w:r>
      <w:rPr>
        <w:rFonts w:cs="Arial" w:ascii="Arial" w:hAnsi="Arial"/>
        <w:b/>
        <w:bCs/>
        <w:sz w:val="20"/>
        <w:szCs w:val="24"/>
      </w:rPr>
      <w:fldChar w:fldCharType="end"/>
    </w:r>
    <w:r>
      <w:rPr>
        <w:rFonts w:cs="Arial" w:ascii="Arial" w:hAnsi="Arial"/>
        <w:sz w:val="20"/>
      </w:rPr>
      <w:t xml:space="preserve"> sur </w:t>
    </w:r>
    <w:r>
      <w:rPr>
        <w:rFonts w:cs="Arial" w:ascii="Arial" w:hAnsi="Arial"/>
        <w:b/>
        <w:bCs/>
        <w:sz w:val="20"/>
        <w:szCs w:val="24"/>
      </w:rPr>
      <w:fldChar w:fldCharType="begin"/>
    </w:r>
    <w:r>
      <w:rPr>
        <w:rFonts w:cs="Arial" w:ascii="Arial" w:hAnsi="Arial"/>
        <w:b/>
        <w:bCs/>
        <w:sz w:val="20"/>
        <w:szCs w:val="24"/>
      </w:rPr>
      <w:instrText xml:space="preserve"> NUMPAGES </w:instrText>
    </w:r>
    <w:r>
      <w:rPr>
        <w:rFonts w:cs="Arial" w:ascii="Arial" w:hAnsi="Arial"/>
        <w:b/>
        <w:bCs/>
        <w:sz w:val="20"/>
        <w:szCs w:val="24"/>
      </w:rPr>
      <w:fldChar w:fldCharType="separate"/>
    </w:r>
    <w:r>
      <w:rPr>
        <w:rFonts w:cs="Arial" w:ascii="Arial" w:hAnsi="Arial"/>
        <w:b/>
        <w:bCs/>
        <w:sz w:val="20"/>
        <w:szCs w:val="24"/>
      </w:rPr>
      <w:t>17</w:t>
    </w:r>
    <w:r>
      <w:rPr>
        <w:rFonts w:cs="Arial" w:ascii="Arial" w:hAnsi="Arial"/>
        <w:b/>
        <w:bCs/>
        <w:sz w:val="20"/>
        <w:szCs w:val="24"/>
      </w:rPr>
      <w:fldChar w:fldCharType="end"/>
    </w:r>
  </w:p>
  <w:p>
    <w:pPr>
      <w:pStyle w:val="Footer"/>
      <w:ind w:end="36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end"/>
      <w:rPr/>
    </w:pPr>
    <w:r>
      <w:rPr>
        <w:rFonts w:cs="Arial" w:ascii="Arial" w:hAnsi="Arial"/>
        <w:sz w:val="20"/>
      </w:rPr>
      <w:t xml:space="preserve">Page </w:t>
    </w:r>
    <w:r>
      <w:rPr>
        <w:rFonts w:cs="Arial" w:ascii="Arial" w:hAnsi="Arial"/>
        <w:b/>
        <w:bCs/>
        <w:sz w:val="20"/>
        <w:szCs w:val="24"/>
      </w:rPr>
      <w:fldChar w:fldCharType="begin"/>
    </w:r>
    <w:r>
      <w:rPr>
        <w:rFonts w:cs="Arial" w:ascii="Arial" w:hAnsi="Arial"/>
        <w:b/>
        <w:bCs/>
        <w:sz w:val="20"/>
        <w:szCs w:val="24"/>
      </w:rPr>
      <w:instrText xml:space="preserve"> PAGE </w:instrText>
    </w:r>
    <w:r>
      <w:rPr>
        <w:rFonts w:cs="Arial" w:ascii="Arial" w:hAnsi="Arial"/>
        <w:b/>
        <w:bCs/>
        <w:sz w:val="20"/>
        <w:szCs w:val="24"/>
      </w:rPr>
      <w:fldChar w:fldCharType="separate"/>
    </w:r>
    <w:r>
      <w:rPr>
        <w:rFonts w:cs="Arial" w:ascii="Arial" w:hAnsi="Arial"/>
        <w:b/>
        <w:bCs/>
        <w:sz w:val="20"/>
        <w:szCs w:val="24"/>
      </w:rPr>
      <w:t>17</w:t>
    </w:r>
    <w:r>
      <w:rPr>
        <w:rFonts w:cs="Arial" w:ascii="Arial" w:hAnsi="Arial"/>
        <w:b/>
        <w:bCs/>
        <w:sz w:val="20"/>
        <w:szCs w:val="24"/>
      </w:rPr>
      <w:fldChar w:fldCharType="end"/>
    </w:r>
    <w:r>
      <w:rPr>
        <w:rFonts w:cs="Arial" w:ascii="Arial" w:hAnsi="Arial"/>
        <w:sz w:val="20"/>
      </w:rPr>
      <w:t xml:space="preserve"> sur </w:t>
    </w:r>
    <w:r>
      <w:rPr>
        <w:rFonts w:cs="Arial" w:ascii="Arial" w:hAnsi="Arial"/>
        <w:b/>
        <w:bCs/>
        <w:sz w:val="20"/>
        <w:szCs w:val="24"/>
      </w:rPr>
      <w:fldChar w:fldCharType="begin"/>
    </w:r>
    <w:r>
      <w:rPr>
        <w:rFonts w:cs="Arial" w:ascii="Arial" w:hAnsi="Arial"/>
        <w:b/>
        <w:bCs/>
        <w:sz w:val="20"/>
        <w:szCs w:val="24"/>
      </w:rPr>
      <w:instrText xml:space="preserve"> NUMPAGES </w:instrText>
    </w:r>
    <w:r>
      <w:rPr>
        <w:rFonts w:cs="Arial" w:ascii="Arial" w:hAnsi="Arial"/>
        <w:b/>
        <w:bCs/>
        <w:sz w:val="20"/>
        <w:szCs w:val="24"/>
      </w:rPr>
      <w:fldChar w:fldCharType="separate"/>
    </w:r>
    <w:r>
      <w:rPr>
        <w:rFonts w:cs="Arial" w:ascii="Arial" w:hAnsi="Arial"/>
        <w:b/>
        <w:bCs/>
        <w:sz w:val="20"/>
        <w:szCs w:val="24"/>
      </w:rPr>
      <w:t>17</w:t>
    </w:r>
    <w:r>
      <w:rPr>
        <w:rFonts w:cs="Arial" w:ascii="Arial" w:hAnsi="Arial"/>
        <w:b/>
        <w:bCs/>
        <w:sz w:val="20"/>
        <w:szCs w:val="24"/>
      </w:rPr>
      <w:fldChar w:fldCharType="end"/>
    </w:r>
  </w:p>
  <w:p>
    <w:pPr>
      <w:pStyle w:val="Footer"/>
      <w:ind w:end="36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0" allowOverlap="1" relativeHeight="19">
          <wp:simplePos x="0" y="0"/>
          <wp:positionH relativeFrom="page">
            <wp:posOffset>3024505</wp:posOffset>
          </wp:positionH>
          <wp:positionV relativeFrom="page">
            <wp:posOffset>398780</wp:posOffset>
          </wp:positionV>
          <wp:extent cx="1579880" cy="1379855"/>
          <wp:effectExtent l="0" t="0" r="0" b="0"/>
          <wp:wrapNone/>
          <wp:docPr id="2" name="Image3" descr="Description : logo_td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 descr="Description : logo_tdl.png"/>
                  <pic:cNvPicPr>
                    <a:picLocks noChangeAspect="1" noChangeArrowheads="1"/>
                  </pic:cNvPicPr>
                </pic:nvPicPr>
                <pic:blipFill>
                  <a:blip r:embed="rId1"/>
                  <a:stretch>
                    <a:fillRect/>
                  </a:stretch>
                </pic:blipFill>
                <pic:spPr bwMode="auto">
                  <a:xfrm>
                    <a:off x="0" y="0"/>
                    <a:ext cx="1579880" cy="1379855"/>
                  </a:xfrm>
                  <a:prstGeom prst="rect">
                    <a:avLst/>
                  </a:prstGeom>
                  <a:noFill/>
                </pic:spPr>
              </pic:pic>
            </a:graphicData>
          </a:graphic>
        </wp:anchor>
      </w:drawing>
    </w:r>
  </w:p>
  <w:p>
    <w:pPr>
      <w:pStyle w:val="Header"/>
      <w:rPr/>
    </w:pPr>
    <w:r>
      <w:rPr/>
    </w:r>
  </w:p>
  <w:p>
    <w:pPr>
      <w:pStyle w:val="Header"/>
      <w:rPr/>
    </w:pPr>
    <w:r>
      <w:rPr/>
    </w:r>
  </w:p>
  <w:p>
    <w:pPr>
      <w:pStyle w:val="Header"/>
      <w:rPr/>
    </w:pPr>
    <w:r>
      <w:rPr/>
    </w:r>
  </w:p>
  <w:p>
    <w:pPr>
      <w:pStyle w:val="Header"/>
      <w:rPr/>
    </w:pPr>
    <w:r>
      <w:rPr/>
    </w:r>
  </w:p>
  <w:p>
    <w:pPr>
      <w:pStyle w:val="Header"/>
      <w:rPr/>
    </w:pPr>
    <w:r>
      <w:rPr/>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0" allowOverlap="1" relativeHeight="19">
          <wp:simplePos x="0" y="0"/>
          <wp:positionH relativeFrom="page">
            <wp:posOffset>3024505</wp:posOffset>
          </wp:positionH>
          <wp:positionV relativeFrom="page">
            <wp:posOffset>398780</wp:posOffset>
          </wp:positionV>
          <wp:extent cx="1579880" cy="1379855"/>
          <wp:effectExtent l="0" t="0" r="0" b="0"/>
          <wp:wrapNone/>
          <wp:docPr id="3" name="Image3" descr="Description : logo_td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 descr="Description : logo_tdl.png"/>
                  <pic:cNvPicPr>
                    <a:picLocks noChangeAspect="1" noChangeArrowheads="1"/>
                  </pic:cNvPicPr>
                </pic:nvPicPr>
                <pic:blipFill>
                  <a:blip r:embed="rId1"/>
                  <a:stretch>
                    <a:fillRect/>
                  </a:stretch>
                </pic:blipFill>
                <pic:spPr bwMode="auto">
                  <a:xfrm>
                    <a:off x="0" y="0"/>
                    <a:ext cx="1579880" cy="1379855"/>
                  </a:xfrm>
                  <a:prstGeom prst="rect">
                    <a:avLst/>
                  </a:prstGeom>
                  <a:noFill/>
                </pic:spPr>
              </pic:pic>
            </a:graphicData>
          </a:graphic>
        </wp:anchor>
      </w:drawing>
    </w:r>
  </w:p>
  <w:p>
    <w:pPr>
      <w:pStyle w:val="Header"/>
      <w:rPr/>
    </w:pPr>
    <w:r>
      <w:rPr/>
    </w:r>
  </w:p>
  <w:p>
    <w:pPr>
      <w:pStyle w:val="Header"/>
      <w:rPr/>
    </w:pPr>
    <w:r>
      <w:rPr/>
    </w:r>
  </w:p>
  <w:p>
    <w:pPr>
      <w:pStyle w:val="Header"/>
      <w:rPr/>
    </w:pPr>
    <w:r>
      <w:rPr/>
    </w:r>
  </w:p>
  <w:p>
    <w:pPr>
      <w:pStyle w:val="Header"/>
      <w:rPr/>
    </w:pPr>
    <w:r>
      <w:rPr/>
    </w:r>
  </w:p>
  <w:p>
    <w:pPr>
      <w:pStyle w:val="Header"/>
      <w:rPr/>
    </w:pPr>
    <w:r>
      <w:rPr/>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2"/>
      <w:numFmt w:val="bullet"/>
      <w:lvlText w:val=""/>
      <w:lvlJc w:val="start"/>
      <w:pPr>
        <w:tabs>
          <w:tab w:val="num" w:pos="0"/>
        </w:tabs>
        <w:ind w:start="420" w:hanging="360"/>
      </w:pPr>
      <w:rPr>
        <w:rFonts w:ascii="Wingdings" w:hAnsi="Wingdings" w:cs="Wingdings" w:hint="default"/>
      </w:rPr>
    </w:lvl>
    <w:lvl w:ilvl="1">
      <w:start w:val="1"/>
      <w:numFmt w:val="bullet"/>
      <w:lvlText w:val="o"/>
      <w:lvlJc w:val="start"/>
      <w:pPr>
        <w:tabs>
          <w:tab w:val="num" w:pos="0"/>
        </w:tabs>
        <w:ind w:start="1140" w:hanging="360"/>
      </w:pPr>
      <w:rPr>
        <w:rFonts w:ascii="Courier New" w:hAnsi="Courier New" w:cs="Courier New" w:hint="default"/>
      </w:rPr>
    </w:lvl>
    <w:lvl w:ilvl="2">
      <w:start w:val="1"/>
      <w:numFmt w:val="bullet"/>
      <w:lvlText w:val=""/>
      <w:lvlJc w:val="start"/>
      <w:pPr>
        <w:tabs>
          <w:tab w:val="num" w:pos="0"/>
        </w:tabs>
        <w:ind w:start="1860" w:hanging="360"/>
      </w:pPr>
      <w:rPr>
        <w:rFonts w:ascii="Wingdings" w:hAnsi="Wingdings" w:cs="Wingdings" w:hint="default"/>
      </w:rPr>
    </w:lvl>
    <w:lvl w:ilvl="3">
      <w:start w:val="1"/>
      <w:numFmt w:val="bullet"/>
      <w:lvlText w:val=""/>
      <w:lvlJc w:val="start"/>
      <w:pPr>
        <w:tabs>
          <w:tab w:val="num" w:pos="0"/>
        </w:tabs>
        <w:ind w:start="2580" w:hanging="360"/>
      </w:pPr>
      <w:rPr>
        <w:rFonts w:ascii="Symbol" w:hAnsi="Symbol" w:cs="Symbol" w:hint="default"/>
      </w:rPr>
    </w:lvl>
    <w:lvl w:ilvl="4">
      <w:start w:val="1"/>
      <w:numFmt w:val="bullet"/>
      <w:lvlText w:val="o"/>
      <w:lvlJc w:val="start"/>
      <w:pPr>
        <w:tabs>
          <w:tab w:val="num" w:pos="0"/>
        </w:tabs>
        <w:ind w:start="3300" w:hanging="360"/>
      </w:pPr>
      <w:rPr>
        <w:rFonts w:ascii="Courier New" w:hAnsi="Courier New" w:cs="Courier New" w:hint="default"/>
      </w:rPr>
    </w:lvl>
    <w:lvl w:ilvl="5">
      <w:start w:val="1"/>
      <w:numFmt w:val="bullet"/>
      <w:lvlText w:val=""/>
      <w:lvlJc w:val="start"/>
      <w:pPr>
        <w:tabs>
          <w:tab w:val="num" w:pos="0"/>
        </w:tabs>
        <w:ind w:start="4020" w:hanging="360"/>
      </w:pPr>
      <w:rPr>
        <w:rFonts w:ascii="Wingdings" w:hAnsi="Wingdings" w:cs="Wingdings" w:hint="default"/>
      </w:rPr>
    </w:lvl>
    <w:lvl w:ilvl="6">
      <w:start w:val="1"/>
      <w:numFmt w:val="bullet"/>
      <w:lvlText w:val=""/>
      <w:lvlJc w:val="start"/>
      <w:pPr>
        <w:tabs>
          <w:tab w:val="num" w:pos="0"/>
        </w:tabs>
        <w:ind w:start="4740" w:hanging="360"/>
      </w:pPr>
      <w:rPr>
        <w:rFonts w:ascii="Symbol" w:hAnsi="Symbol" w:cs="Symbol" w:hint="default"/>
      </w:rPr>
    </w:lvl>
    <w:lvl w:ilvl="7">
      <w:start w:val="1"/>
      <w:numFmt w:val="bullet"/>
      <w:lvlText w:val="o"/>
      <w:lvlJc w:val="start"/>
      <w:pPr>
        <w:tabs>
          <w:tab w:val="num" w:pos="0"/>
        </w:tabs>
        <w:ind w:start="5460" w:hanging="360"/>
      </w:pPr>
      <w:rPr>
        <w:rFonts w:ascii="Courier New" w:hAnsi="Courier New" w:cs="Courier New" w:hint="default"/>
      </w:rPr>
    </w:lvl>
    <w:lvl w:ilvl="8">
      <w:start w:val="1"/>
      <w:numFmt w:val="bullet"/>
      <w:lvlText w:val=""/>
      <w:lvlJc w:val="start"/>
      <w:pPr>
        <w:tabs>
          <w:tab w:val="num" w:pos="0"/>
        </w:tabs>
        <w:ind w:start="6180" w:hanging="360"/>
      </w:pPr>
      <w:rPr>
        <w:rFonts w:ascii="Wingdings" w:hAnsi="Wingdings" w:cs="Wingdings" w:hint="default"/>
      </w:rPr>
    </w:lvl>
  </w:abstractNum>
  <w:abstractNum w:abstractNumId="2">
    <w:lvl w:ilvl="0">
      <w:start w:val="3"/>
      <w:numFmt w:val="bullet"/>
      <w:lvlText w:val="-"/>
      <w:lvlJc w:val="start"/>
      <w:pPr>
        <w:tabs>
          <w:tab w:val="num" w:pos="0"/>
        </w:tabs>
        <w:ind w:start="0" w:hanging="0"/>
      </w:pPr>
      <w:rPr>
        <w:rFonts w:ascii="Calibri" w:hAnsi="Calibri" w:cs="Calibri"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3">
    <w:lvl w:ilvl="0">
      <w:start w:val="1"/>
      <w:numFmt w:val="bullet"/>
      <w:lvlText w:val="-"/>
      <w:lvlJc w:val="start"/>
      <w:pPr>
        <w:tabs>
          <w:tab w:val="num" w:pos="0"/>
        </w:tabs>
        <w:ind w:start="0" w:hanging="0"/>
      </w:pPr>
      <w:rPr>
        <w:rFonts w:ascii="Calibri" w:hAnsi="Calibri" w:cs="Calibri"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
    <w:lvl w:ilvl="0">
      <w:start w:val="1"/>
      <w:numFmt w:val="bullet"/>
      <w:lvlText w:val=""/>
      <w:lvlJc w:val="start"/>
      <w:pPr>
        <w:tabs>
          <w:tab w:val="num" w:pos="0"/>
        </w:tabs>
        <w:ind w:start="720" w:hanging="360"/>
      </w:pPr>
      <w:rPr>
        <w:rFonts w:ascii="Wingdings" w:hAnsi="Wingdings" w:cs="Wingdings"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5">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6">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7">
    <w:lvl w:ilvl="0">
      <w:start w:val="1"/>
      <w:numFmt w:val="decimal"/>
      <w:lvlText w:val="%1."/>
      <w:lvlJc w:val="start"/>
      <w:pPr>
        <w:tabs>
          <w:tab w:val="num" w:pos="0"/>
        </w:tabs>
        <w:ind w:start="720" w:hanging="360"/>
      </w:pPr>
      <w:rPr/>
    </w:lvl>
    <w:lvl w:ilvl="1">
      <w:start w:val="4"/>
      <w:numFmt w:val="decimal"/>
      <w:isLgl/>
      <w:lvlText w:val="%1.%2"/>
      <w:lvlJc w:val="start"/>
      <w:pPr>
        <w:tabs>
          <w:tab w:val="num" w:pos="0"/>
        </w:tabs>
        <w:ind w:start="720" w:hanging="360"/>
      </w:pPr>
      <w:rPr/>
    </w:lvl>
    <w:lvl w:ilvl="2">
      <w:start w:val="1"/>
      <w:numFmt w:val="decimal"/>
      <w:isLgl/>
      <w:lvlText w:val="%1.%2.%3"/>
      <w:lvlJc w:val="start"/>
      <w:pPr>
        <w:tabs>
          <w:tab w:val="num" w:pos="0"/>
        </w:tabs>
        <w:ind w:start="1080" w:hanging="720"/>
      </w:pPr>
      <w:rPr/>
    </w:lvl>
    <w:lvl w:ilvl="3">
      <w:start w:val="1"/>
      <w:numFmt w:val="decimal"/>
      <w:isLgl/>
      <w:lvlText w:val="%1.%2.%3.%4"/>
      <w:lvlJc w:val="start"/>
      <w:pPr>
        <w:tabs>
          <w:tab w:val="num" w:pos="0"/>
        </w:tabs>
        <w:ind w:start="1080" w:hanging="720"/>
      </w:pPr>
      <w:rPr/>
    </w:lvl>
    <w:lvl w:ilvl="4">
      <w:start w:val="1"/>
      <w:numFmt w:val="decimal"/>
      <w:isLgl/>
      <w:lvlText w:val="%1.%2.%3.%4.%5"/>
      <w:lvlJc w:val="start"/>
      <w:pPr>
        <w:tabs>
          <w:tab w:val="num" w:pos="0"/>
        </w:tabs>
        <w:ind w:start="1440" w:hanging="1080"/>
      </w:pPr>
      <w:rPr/>
    </w:lvl>
    <w:lvl w:ilvl="5">
      <w:start w:val="1"/>
      <w:numFmt w:val="decimal"/>
      <w:isLgl/>
      <w:lvlText w:val="%1.%2.%3.%4.%5.%6"/>
      <w:lvlJc w:val="start"/>
      <w:pPr>
        <w:tabs>
          <w:tab w:val="num" w:pos="0"/>
        </w:tabs>
        <w:ind w:start="1440" w:hanging="1080"/>
      </w:pPr>
      <w:rPr/>
    </w:lvl>
    <w:lvl w:ilvl="6">
      <w:start w:val="1"/>
      <w:numFmt w:val="decimal"/>
      <w:isLgl/>
      <w:lvlText w:val="%1.%2.%3.%4.%5.%6.%7"/>
      <w:lvlJc w:val="start"/>
      <w:pPr>
        <w:tabs>
          <w:tab w:val="num" w:pos="0"/>
        </w:tabs>
        <w:ind w:start="1800" w:hanging="1440"/>
      </w:pPr>
      <w:rPr/>
    </w:lvl>
    <w:lvl w:ilvl="7">
      <w:start w:val="1"/>
      <w:numFmt w:val="decimal"/>
      <w:isLgl/>
      <w:lvlText w:val="%1.%2.%3.%4.%5.%6.%7.%8"/>
      <w:lvlJc w:val="start"/>
      <w:pPr>
        <w:tabs>
          <w:tab w:val="num" w:pos="0"/>
        </w:tabs>
        <w:ind w:start="1800" w:hanging="1440"/>
      </w:pPr>
      <w:rPr/>
    </w:lvl>
    <w:lvl w:ilvl="8">
      <w:start w:val="1"/>
      <w:numFmt w:val="decimal"/>
      <w:isLgl/>
      <w:lvlText w:val="%1.%2.%3.%4.%5.%6.%7.%8.%9"/>
      <w:lvlJc w:val="start"/>
      <w:pPr>
        <w:tabs>
          <w:tab w:val="num" w:pos="0"/>
        </w:tabs>
        <w:ind w:start="2160" w:hanging="1800"/>
      </w:pPr>
      <w:rPr/>
    </w:lvl>
  </w:abstractNum>
  <w:abstractNum w:abstractNumId="8">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9">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0">
    <w:lvl w:ilvl="0">
      <w:start w:val="1"/>
      <w:numFmt w:val="bullet"/>
      <w:lvlText w:val="-"/>
      <w:lvlJc w:val="start"/>
      <w:pPr>
        <w:tabs>
          <w:tab w:val="num" w:pos="0"/>
        </w:tabs>
        <w:ind w:start="0" w:hanging="0"/>
      </w:pPr>
      <w:rPr>
        <w:rFonts w:ascii="Calibri" w:hAnsi="Calibri" w:cs="Calibri"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1">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00"/>
  <w:displayBackgroundShape/>
  <w:embedSystemFonts/>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overflowPunct w:val="true"/>
      <w:bidi w:val="0"/>
      <w:spacing w:before="0" w:after="0"/>
      <w:jc w:val="start"/>
      <w:textAlignment w:val="baseline"/>
    </w:pPr>
    <w:rPr>
      <w:rFonts w:ascii="Footlight MT Light" w:hAnsi="Footlight MT Light" w:eastAsia="Times New Roman" w:cs="Times New Roman"/>
      <w:color w:val="auto"/>
      <w:kern w:val="0"/>
      <w:sz w:val="24"/>
      <w:szCs w:val="20"/>
      <w:lang w:val="fr-FR" w:eastAsia="fr-FR" w:bidi="ar-SA"/>
    </w:rPr>
  </w:style>
  <w:style w:type="paragraph" w:styleId="Heading1">
    <w:name w:val="heading 1"/>
    <w:basedOn w:val="Normal"/>
    <w:next w:val="Normal"/>
    <w:link w:val="Titre1Car"/>
    <w:uiPriority w:val="9"/>
    <w:qFormat/>
    <w:rsid w:val="00bd6a2b"/>
    <w:pPr>
      <w:keepNext w:val="true"/>
      <w:keepLines/>
      <w:overflowPunct w:val="false"/>
      <w:spacing w:lineRule="auto" w:line="259" w:before="240" w:after="0"/>
      <w:textAlignment w:val="auto"/>
      <w:outlineLvl w:val="0"/>
    </w:pPr>
    <w:rPr>
      <w:rFonts w:ascii="Calibri Light" w:hAnsi="Calibri Light"/>
      <w:color w:val="2F5496"/>
      <w:sz w:val="32"/>
      <w:szCs w:val="32"/>
      <w:lang w:eastAsia="en-US"/>
    </w:rPr>
  </w:style>
  <w:style w:type="character" w:styleId="DefaultParagraphFont" w:default="1">
    <w:name w:val="Default Paragraph Font"/>
    <w:semiHidden/>
    <w:qFormat/>
    <w:rPr/>
  </w:style>
  <w:style w:type="character" w:styleId="PageNumber">
    <w:name w:val="page number"/>
    <w:basedOn w:val="DefaultParagraphFont"/>
    <w:rsid w:val="00b65f98"/>
    <w:rPr/>
  </w:style>
  <w:style w:type="character" w:styleId="PieddepageCar" w:customStyle="1">
    <w:name w:val="Pied de page Car"/>
    <w:uiPriority w:val="99"/>
    <w:qFormat/>
    <w:rsid w:val="00120b67"/>
    <w:rPr>
      <w:rFonts w:ascii="Footlight MT Light" w:hAnsi="Footlight MT Light"/>
      <w:sz w:val="24"/>
    </w:rPr>
  </w:style>
  <w:style w:type="character" w:styleId="CommentReference">
    <w:name w:val="annotation reference"/>
    <w:qFormat/>
    <w:rsid w:val="004a1f71"/>
    <w:rPr>
      <w:sz w:val="16"/>
      <w:szCs w:val="16"/>
    </w:rPr>
  </w:style>
  <w:style w:type="character" w:styleId="CommentaireCar" w:customStyle="1">
    <w:name w:val="Commentaire Car"/>
    <w:qFormat/>
    <w:rsid w:val="004a1f71"/>
    <w:rPr>
      <w:rFonts w:ascii="Footlight MT Light" w:hAnsi="Footlight MT Light"/>
    </w:rPr>
  </w:style>
  <w:style w:type="character" w:styleId="ObjetducommentaireCar" w:customStyle="1">
    <w:name w:val="Objet du commentaire Car"/>
    <w:link w:val="annotationsubject"/>
    <w:qFormat/>
    <w:rsid w:val="004a1f71"/>
    <w:rPr>
      <w:rFonts w:ascii="Footlight MT Light" w:hAnsi="Footlight MT Light"/>
      <w:b/>
      <w:bCs/>
    </w:rPr>
  </w:style>
  <w:style w:type="character" w:styleId="Titre1Car" w:customStyle="1">
    <w:name w:val="Titre 1 Car"/>
    <w:uiPriority w:val="9"/>
    <w:qFormat/>
    <w:rsid w:val="00bd6a2b"/>
    <w:rPr>
      <w:rFonts w:ascii="Calibri Light" w:hAnsi="Calibri Light"/>
      <w:color w:val="2F5496"/>
      <w:sz w:val="32"/>
      <w:szCs w:val="32"/>
      <w:lang w:eastAsia="en-US"/>
    </w:rPr>
  </w:style>
  <w:style w:type="character" w:styleId="Strong">
    <w:name w:val="Strong"/>
    <w:uiPriority w:val="22"/>
    <w:qFormat/>
    <w:rsid w:val="00bd6a2b"/>
    <w:rPr>
      <w:b/>
      <w:bCs/>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arianne" w:hAnsi="Marianne" w:cs="Arial"/>
    </w:rPr>
  </w:style>
  <w:style w:type="paragraph" w:styleId="Caption">
    <w:name w:val="caption"/>
    <w:basedOn w:val="Normal"/>
    <w:qFormat/>
    <w:pPr>
      <w:suppressLineNumbers/>
      <w:spacing w:before="120" w:after="120"/>
    </w:pPr>
    <w:rPr>
      <w:rFonts w:ascii="Marianne" w:hAnsi="Marianne" w:cs="Arial"/>
      <w:i/>
      <w:iCs/>
      <w:sz w:val="24"/>
      <w:szCs w:val="24"/>
    </w:rPr>
  </w:style>
  <w:style w:type="paragraph" w:styleId="Index">
    <w:name w:val="Index"/>
    <w:basedOn w:val="Normal"/>
    <w:qFormat/>
    <w:pPr>
      <w:suppressLineNumbers/>
    </w:pPr>
    <w:rPr>
      <w:rFonts w:ascii="Marianne" w:hAnsi="Marianne" w:cs="Arial"/>
    </w:rPr>
  </w:style>
  <w:style w:type="paragraph" w:styleId="En-tteetpieddepage">
    <w:name w:val="En-tête et pied de page"/>
    <w:basedOn w:val="Normal"/>
    <w:qFormat/>
    <w:pPr/>
    <w:rPr/>
  </w:style>
  <w:style w:type="paragraph" w:styleId="Header">
    <w:name w:val="header"/>
    <w:basedOn w:val="Normal"/>
    <w:rsid w:val="00b65f98"/>
    <w:pPr>
      <w:tabs>
        <w:tab w:val="clear" w:pos="708"/>
        <w:tab w:val="center" w:pos="4536" w:leader="none"/>
        <w:tab w:val="right" w:pos="9072" w:leader="none"/>
      </w:tabs>
    </w:pPr>
    <w:rPr/>
  </w:style>
  <w:style w:type="paragraph" w:styleId="Footer">
    <w:name w:val="footer"/>
    <w:basedOn w:val="Normal"/>
    <w:link w:val="PieddepageCar"/>
    <w:uiPriority w:val="99"/>
    <w:rsid w:val="00b65f98"/>
    <w:pPr>
      <w:tabs>
        <w:tab w:val="clear" w:pos="708"/>
        <w:tab w:val="center" w:pos="4536" w:leader="none"/>
        <w:tab w:val="right" w:pos="9072" w:leader="none"/>
      </w:tabs>
    </w:pPr>
    <w:rPr/>
  </w:style>
  <w:style w:type="paragraph" w:styleId="BalloonText">
    <w:name w:val="Balloon Text"/>
    <w:basedOn w:val="Normal"/>
    <w:semiHidden/>
    <w:qFormat/>
    <w:rsid w:val="00b65f98"/>
    <w:pPr/>
    <w:rPr>
      <w:rFonts w:ascii="Tahoma" w:hAnsi="Tahoma" w:cs="Tahoma"/>
      <w:sz w:val="16"/>
      <w:szCs w:val="16"/>
    </w:rPr>
  </w:style>
  <w:style w:type="paragraph" w:styleId="NormalWeb">
    <w:name w:val="Normal (Web)"/>
    <w:basedOn w:val="Normal"/>
    <w:uiPriority w:val="99"/>
    <w:unhideWhenUsed/>
    <w:qFormat/>
    <w:rsid w:val="00b942cc"/>
    <w:pPr>
      <w:overflowPunct w:val="false"/>
      <w:spacing w:beforeAutospacing="1" w:afterAutospacing="1"/>
      <w:textAlignment w:val="auto"/>
    </w:pPr>
    <w:rPr>
      <w:rFonts w:ascii="Times New Roman" w:hAnsi="Times New Roman"/>
      <w:szCs w:val="24"/>
    </w:rPr>
  </w:style>
  <w:style w:type="paragraph" w:styleId="ListParagraph">
    <w:name w:val="List Paragraph"/>
    <w:basedOn w:val="Normal"/>
    <w:uiPriority w:val="34"/>
    <w:qFormat/>
    <w:rsid w:val="00293d14"/>
    <w:pPr>
      <w:ind w:start="708"/>
    </w:pPr>
    <w:rPr/>
  </w:style>
  <w:style w:type="paragraph" w:styleId="NoSpacing">
    <w:name w:val="No Spacing"/>
    <w:uiPriority w:val="1"/>
    <w:qFormat/>
    <w:rsid w:val="00c97b60"/>
    <w:pPr>
      <w:widowControl/>
      <w:suppressAutoHyphens w:val="true"/>
      <w:bidi w:val="0"/>
      <w:spacing w:before="0" w:after="0"/>
      <w:jc w:val="start"/>
    </w:pPr>
    <w:rPr>
      <w:rFonts w:ascii="Calibri" w:hAnsi="Calibri" w:eastAsia="Calibri" w:cs="Times New Roman"/>
      <w:color w:val="auto"/>
      <w:kern w:val="0"/>
      <w:sz w:val="22"/>
      <w:szCs w:val="22"/>
      <w:lang w:eastAsia="en-US" w:val="fr-FR" w:bidi="ar-SA"/>
    </w:rPr>
  </w:style>
  <w:style w:type="paragraph" w:styleId="CommentText">
    <w:name w:val="annotation text"/>
    <w:basedOn w:val="Normal"/>
    <w:link w:val="CommentaireCar"/>
    <w:rsid w:val="004a1f71"/>
    <w:pPr/>
    <w:rPr>
      <w:sz w:val="20"/>
    </w:rPr>
  </w:style>
  <w:style w:type="paragraph" w:styleId="annotationsubject">
    <w:name w:val="annotation subject"/>
    <w:basedOn w:val="CommentText"/>
    <w:next w:val="CommentText"/>
    <w:link w:val="ObjetducommentaireCar"/>
    <w:qFormat/>
    <w:rsid w:val="004a1f71"/>
    <w:pPr/>
    <w:rPr>
      <w:b/>
      <w:bCs/>
    </w:rPr>
  </w:style>
  <w:style w:type="paragraph" w:styleId="Revision">
    <w:name w:val="Revision"/>
    <w:uiPriority w:val="99"/>
    <w:semiHidden/>
    <w:qFormat/>
    <w:rsid w:val="00e37187"/>
    <w:pPr>
      <w:widowControl/>
      <w:bidi w:val="0"/>
      <w:spacing w:before="0" w:after="0"/>
      <w:jc w:val="start"/>
    </w:pPr>
    <w:rPr>
      <w:rFonts w:ascii="Footlight MT Light" w:hAnsi="Footlight MT Light" w:eastAsia="Times New Roman" w:cs="Times New Roman"/>
      <w:color w:val="auto"/>
      <w:kern w:val="0"/>
      <w:sz w:val="24"/>
      <w:szCs w:val="20"/>
      <w:lang w:val="fr-FR" w:eastAsia="fr-FR" w:bidi="ar-SA"/>
    </w:rPr>
  </w:style>
  <w:style w:type="paragraph" w:styleId="Contenudecadre">
    <w:name w:val="Contenu de cadre"/>
    <w:basedOn w:val="Normal"/>
    <w:qFormat/>
    <w:pPr/>
    <w:rPr/>
  </w:style>
  <w:style w:type="numbering" w:styleId="Pasdeliste" w:default="1">
    <w:name w:val="Pas de liste"/>
    <w:semiHidden/>
    <w:qFormat/>
  </w:style>
  <w:style w:type="table" w:default="1" w:styleId="TableauNormal">
    <w:name w:val="Normal Table"/>
    <w:semiHidden/>
    <w:tblPr>
      <w:tblCellMar>
        <w:top w:w="0" w:type="dxa"/>
        <w:left w:w="108" w:type="dxa"/>
        <w:bottom w:w="0" w:type="dxa"/>
        <w:right w:w="108" w:type="dxa"/>
      </w:tblCellMar>
    </w:tblPr>
  </w:style>
  <w:style w:type="table" w:styleId="Grilledutableau">
    <w:name w:val="Table Grid"/>
    <w:basedOn w:val="TableauNormal"/>
    <w:uiPriority w:val="59"/>
    <w:rsid w:val="00c06803"/>
    <w:rPr>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word/_rels/header3.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E3F95-0ADD-4646-A67A-A69BFF13D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17</Pages>
  <Words>5029</Words>
  <Characters>26726</Characters>
  <CharactersWithSpaces>31504</CharactersWithSpaces>
  <Paragraphs>259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ACCORD</dc:title>
</cp:coreProperties>
</file>

<file path=docProps/custom.xml><?xml version="1.0" encoding="utf-8"?>
<Properties xmlns="http://schemas.openxmlformats.org/officeDocument/2006/custom-properties" xmlns:vt="http://schemas.openxmlformats.org/officeDocument/2006/docPropsVTypes"/>
</file>