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Aptos" w:hAnsi="Aptos" w:eastAsia="Calibri" w:cs="Arial"/>
          <w:b/>
          <w:bCs/>
          <w:sz w:val="36"/>
          <w:szCs w:val="36"/>
          <w:lang w:eastAsia="en-US"/>
        </w:rPr>
      </w:pPr>
      <w:r>
        <w:rPr>
          <w:rFonts w:eastAsia="Calibri" w:cs="Arial" w:ascii="Aptos" w:hAnsi="Aptos"/>
          <w:b/>
          <w:bCs/>
          <w:sz w:val="36"/>
          <w:szCs w:val="36"/>
          <w:lang w:eastAsia="en-US"/>
        </w:rPr>
        <w:t>Procès-verbal d’accord sur les</w:t>
      </w:r>
    </w:p>
    <w:p>
      <w:pPr>
        <w:pStyle w:val="Normal"/>
        <w:spacing w:lineRule="auto" w:line="276"/>
        <w:jc w:val="center"/>
        <w:rPr>
          <w:rFonts w:ascii="Aptos" w:hAnsi="Aptos" w:eastAsia="Calibri" w:cs="Arial"/>
          <w:b/>
          <w:bCs/>
          <w:sz w:val="36"/>
          <w:szCs w:val="36"/>
          <w:lang w:eastAsia="en-US"/>
        </w:rPr>
      </w:pPr>
      <w:r>
        <w:rPr>
          <w:rFonts w:eastAsia="Calibri" w:cs="Arial" w:ascii="Aptos" w:hAnsi="Aptos"/>
          <w:b/>
          <w:bCs/>
          <w:sz w:val="36"/>
          <w:szCs w:val="36"/>
          <w:lang w:eastAsia="en-US"/>
        </w:rPr>
        <w:t>Négociations Annuelles Obligatoires</w:t>
      </w:r>
    </w:p>
    <w:p>
      <w:pPr>
        <w:pStyle w:val="Normal"/>
        <w:spacing w:lineRule="auto" w:line="276" w:before="0" w:after="200"/>
        <w:jc w:val="center"/>
        <w:rPr>
          <w:rFonts w:ascii="Aptos" w:hAnsi="Aptos" w:eastAsia="Calibri" w:cs="Arial"/>
          <w:b/>
          <w:bCs/>
          <w:sz w:val="36"/>
          <w:szCs w:val="36"/>
          <w:lang w:eastAsia="en-US"/>
        </w:rPr>
      </w:pPr>
      <w:r>
        <w:rPr>
          <w:rFonts w:eastAsia="Calibri" w:cs="Arial" w:ascii="Aptos" w:hAnsi="Aptos"/>
          <w:b/>
          <w:bCs/>
          <w:sz w:val="36"/>
          <w:szCs w:val="36"/>
          <w:lang w:eastAsia="en-US"/>
        </w:rPr>
        <w:t>2026</w:t>
      </w:r>
    </w:p>
    <w:p>
      <w:pPr>
        <w:pStyle w:val="BodyText"/>
        <w:spacing w:before="0" w:after="0"/>
        <w:ind w:end="-2"/>
        <w:jc w:val="both"/>
        <w:rPr>
          <w:rFonts w:ascii="Aptos" w:hAnsi="Aptos"/>
          <w:sz w:val="16"/>
          <w:szCs w:val="16"/>
        </w:rPr>
      </w:pPr>
      <w:r>
        <w:rPr>
          <w:rFonts w:ascii="Aptos" w:hAnsi="Aptos"/>
          <w:sz w:val="16"/>
          <w:szCs w:val="16"/>
        </w:rPr>
      </w:r>
    </w:p>
    <w:p>
      <w:pPr>
        <w:pStyle w:val="Normal"/>
        <w:jc w:val="both"/>
        <w:rPr>
          <w:rFonts w:ascii="Aptos" w:hAnsi="Aptos" w:cs="Arial"/>
          <w:color w:val="000000"/>
          <w:kern w:val="2"/>
          <w:sz w:val="24"/>
          <w:szCs w:val="28"/>
        </w:rPr>
      </w:pPr>
      <w:r>
        <w:rPr>
          <w:rFonts w:cs="Arial" w:ascii="Aptos" w:hAnsi="Aptos"/>
          <w:color w:val="000000"/>
          <w:kern w:val="2"/>
          <w:sz w:val="24"/>
          <w:szCs w:val="28"/>
        </w:rPr>
      </w:r>
    </w:p>
    <w:p>
      <w:pPr>
        <w:pStyle w:val="Normal"/>
        <w:jc w:val="both"/>
        <w:rPr>
          <w:rFonts w:ascii="Aptos" w:hAnsi="Aptos" w:cs="Arial"/>
          <w:color w:val="000000"/>
          <w:kern w:val="2"/>
          <w:sz w:val="24"/>
        </w:rPr>
      </w:pPr>
      <w:r>
        <w:rPr>
          <w:rFonts w:cs="Arial" w:ascii="Aptos" w:hAnsi="Aptos"/>
          <w:color w:val="000000"/>
          <w:kern w:val="2"/>
          <w:sz w:val="24"/>
        </w:rPr>
      </w:r>
    </w:p>
    <w:p>
      <w:pPr>
        <w:pStyle w:val="Normal"/>
        <w:jc w:val="both"/>
        <w:rPr>
          <w:rFonts w:ascii="Aptos" w:hAnsi="Aptos" w:cs="Arial"/>
          <w:color w:themeColor="text1" w:val="000000"/>
          <w:sz w:val="24"/>
        </w:rPr>
      </w:pPr>
      <w:r>
        <w:rPr>
          <w:rFonts w:cs="Arial" w:ascii="Aptos" w:hAnsi="Aptos"/>
          <w:color w:val="000000"/>
          <w:kern w:val="2"/>
          <w:sz w:val="24"/>
        </w:rPr>
        <w:t>Entre les soussignés :</w:t>
      </w:r>
    </w:p>
    <w:p>
      <w:pPr>
        <w:pStyle w:val="Normal"/>
        <w:jc w:val="both"/>
        <w:rPr>
          <w:rFonts w:ascii="Aptos" w:hAnsi="Aptos" w:cs="Arial"/>
          <w:color w:val="000000"/>
          <w:kern w:val="2"/>
          <w:sz w:val="24"/>
        </w:rPr>
      </w:pPr>
      <w:r>
        <w:rPr>
          <w:rFonts w:cs="Arial" w:ascii="Aptos" w:hAnsi="Aptos"/>
          <w:color w:val="000000"/>
          <w:kern w:val="2"/>
          <w:sz w:val="24"/>
        </w:rPr>
      </w:r>
    </w:p>
    <w:p>
      <w:pPr>
        <w:pStyle w:val="Normal"/>
        <w:jc w:val="both"/>
        <w:rPr>
          <w:rFonts w:ascii="Aptos" w:hAnsi="Aptos" w:cs="Arial"/>
          <w:color w:themeColor="text1" w:val="000000"/>
          <w:sz w:val="24"/>
        </w:rPr>
      </w:pPr>
      <w:r>
        <w:rPr>
          <w:rFonts w:cs="Arial" w:ascii="Aptos" w:hAnsi="Aptos"/>
          <w:color w:val="000000"/>
          <w:kern w:val="2"/>
          <w:sz w:val="24"/>
        </w:rPr>
        <w:t xml:space="preserve">L’association Atmo Auvergne-Rhône-Alpes, association Loi de 1901 enregistrée en Préfecture du Rhône le 25/11/2011 sous le n°W691073445, domiciliée au 3, allée des Sorbiers à BRON (69 500), et représentée par </w:t>
      </w:r>
      <w:r>
        <w:rPr/>
        <w:t>XXXX</w:t>
      </w:r>
      <w:r>
        <w:rPr>
          <w:rFonts w:cs="Arial" w:ascii="Aptos" w:hAnsi="Aptos"/>
          <w:color w:val="000000"/>
          <w:kern w:val="2"/>
          <w:sz w:val="24"/>
        </w:rPr>
        <w:t xml:space="preserve">, agissant en qualité de </w:t>
      </w:r>
      <w:bookmarkStart w:id="0" w:name="_Hlk22812484"/>
      <w:r>
        <w:rPr>
          <w:rFonts w:cs="Arial" w:ascii="Aptos" w:hAnsi="Aptos"/>
          <w:color w:val="000000"/>
          <w:kern w:val="2"/>
          <w:sz w:val="24"/>
        </w:rPr>
        <w:t>Directrice Générale</w:t>
      </w:r>
      <w:bookmarkEnd w:id="0"/>
      <w:r>
        <w:rPr>
          <w:rFonts w:cs="Arial" w:ascii="Aptos" w:hAnsi="Aptos"/>
          <w:color w:val="000000"/>
          <w:kern w:val="2"/>
          <w:sz w:val="24"/>
        </w:rPr>
        <w:t>, ci-après dénommée « l’association »,</w:t>
      </w:r>
    </w:p>
    <w:p>
      <w:pPr>
        <w:pStyle w:val="Normal"/>
        <w:rPr>
          <w:rFonts w:ascii="Aptos" w:hAnsi="Aptos" w:cs="Arial"/>
          <w:color w:val="000000"/>
          <w:kern w:val="2"/>
          <w:sz w:val="24"/>
        </w:rPr>
      </w:pPr>
      <w:r>
        <w:rPr>
          <w:rFonts w:cs="Arial" w:ascii="Aptos" w:hAnsi="Aptos"/>
          <w:color w:val="000000"/>
          <w:kern w:val="2"/>
          <w:sz w:val="24"/>
        </w:rPr>
      </w:r>
    </w:p>
    <w:p>
      <w:pPr>
        <w:pStyle w:val="Normal"/>
        <w:rPr>
          <w:rFonts w:ascii="Aptos" w:hAnsi="Aptos" w:cs="Arial"/>
          <w:color w:themeColor="text1" w:val="000000"/>
          <w:sz w:val="24"/>
        </w:rPr>
      </w:pPr>
      <w:r>
        <w:rPr>
          <w:rFonts w:cs="Arial" w:ascii="Aptos" w:hAnsi="Aptos"/>
          <w:color w:val="000000"/>
          <w:kern w:val="2"/>
          <w:sz w:val="24"/>
        </w:rPr>
        <w:t xml:space="preserve">d’une part, </w:t>
      </w:r>
    </w:p>
    <w:p>
      <w:pPr>
        <w:pStyle w:val="Normal"/>
        <w:rPr>
          <w:rFonts w:ascii="Aptos" w:hAnsi="Aptos" w:cs="Arial"/>
          <w:color w:val="000000"/>
          <w:kern w:val="2"/>
          <w:sz w:val="24"/>
        </w:rPr>
      </w:pPr>
      <w:r>
        <w:rPr>
          <w:rFonts w:cs="Arial" w:ascii="Aptos" w:hAnsi="Aptos"/>
          <w:color w:val="000000"/>
          <w:kern w:val="2"/>
          <w:sz w:val="24"/>
        </w:rPr>
      </w:r>
    </w:p>
    <w:p>
      <w:pPr>
        <w:pStyle w:val="Normal"/>
        <w:rPr>
          <w:rFonts w:ascii="Aptos" w:hAnsi="Aptos" w:cs="Arial"/>
          <w:color w:themeColor="text1" w:val="000000"/>
          <w:sz w:val="24"/>
        </w:rPr>
      </w:pPr>
      <w:r>
        <w:rPr>
          <w:rFonts w:cs="Arial" w:ascii="Aptos" w:hAnsi="Aptos"/>
          <w:color w:val="000000"/>
          <w:kern w:val="2"/>
          <w:sz w:val="24"/>
        </w:rPr>
        <w:t xml:space="preserve">Et </w:t>
      </w:r>
    </w:p>
    <w:p>
      <w:pPr>
        <w:pStyle w:val="Normal"/>
        <w:rPr>
          <w:rFonts w:ascii="Aptos" w:hAnsi="Aptos" w:cs="Arial"/>
          <w:color w:val="000000"/>
          <w:kern w:val="2"/>
          <w:sz w:val="24"/>
        </w:rPr>
      </w:pPr>
      <w:r>
        <w:rPr>
          <w:rFonts w:cs="Arial" w:ascii="Aptos" w:hAnsi="Aptos"/>
          <w:color w:val="000000"/>
          <w:kern w:val="2"/>
          <w:sz w:val="24"/>
        </w:rPr>
      </w:r>
    </w:p>
    <w:p>
      <w:pPr>
        <w:pStyle w:val="BodyText"/>
        <w:spacing w:before="0" w:after="0"/>
        <w:ind w:end="-2"/>
        <w:jc w:val="both"/>
        <w:rPr>
          <w:rFonts w:ascii="Aptos" w:hAnsi="Aptos" w:cs="Arial"/>
          <w:color w:val="000000"/>
          <w:kern w:val="2"/>
          <w:sz w:val="24"/>
        </w:rPr>
      </w:pPr>
      <w:r>
        <w:rPr>
          <w:rFonts w:cs="Arial" w:ascii="Aptos" w:hAnsi="Aptos"/>
          <w:color w:val="000000"/>
          <w:kern w:val="2"/>
          <w:sz w:val="24"/>
        </w:rPr>
        <w:t>L’organisation syndicale représentative suivante :</w:t>
      </w:r>
    </w:p>
    <w:p>
      <w:pPr>
        <w:pStyle w:val="BodyText"/>
        <w:spacing w:before="0" w:after="0"/>
        <w:ind w:end="-2"/>
        <w:jc w:val="both"/>
        <w:rPr>
          <w:rFonts w:ascii="Aptos" w:hAnsi="Aptos" w:cs="Arial"/>
          <w:color w:val="000000"/>
          <w:kern w:val="2"/>
          <w:sz w:val="24"/>
        </w:rPr>
      </w:pPr>
      <w:r>
        <w:rPr>
          <w:rFonts w:cs="Arial" w:ascii="Aptos" w:hAnsi="Aptos"/>
          <w:color w:val="000000"/>
          <w:kern w:val="2"/>
          <w:sz w:val="24"/>
        </w:rPr>
      </w:r>
    </w:p>
    <w:p>
      <w:pPr>
        <w:pStyle w:val="BodyText"/>
        <w:spacing w:before="0" w:after="0"/>
        <w:ind w:end="-2"/>
        <w:jc w:val="both"/>
        <w:rPr>
          <w:rFonts w:ascii="Aptos" w:hAnsi="Aptos" w:cs="Arial"/>
          <w:sz w:val="24"/>
        </w:rPr>
      </w:pPr>
      <w:r>
        <w:rPr>
          <w:rFonts w:cs="Arial" w:ascii="Aptos" w:hAnsi="Aptos"/>
          <w:color w:val="000000"/>
          <w:kern w:val="2"/>
          <w:sz w:val="24"/>
        </w:rPr>
        <w:t xml:space="preserve">La Fédération de l’Equipement, de l’Environnement, des Transports et des Services FORCE OUVRIÈRE (FEETS-FO) représentée par son Délégué syndical, </w:t>
      </w:r>
      <w:r>
        <w:rPr/>
        <w:t>XXXX,</w:t>
      </w:r>
    </w:p>
    <w:p>
      <w:pPr>
        <w:pStyle w:val="Normal"/>
        <w:tabs>
          <w:tab w:val="clear" w:pos="708"/>
          <w:tab w:val="left" w:pos="420" w:leader="none"/>
          <w:tab w:val="left" w:pos="3165" w:leader="none"/>
        </w:tabs>
        <w:jc w:val="both"/>
        <w:rPr>
          <w:rFonts w:ascii="Aptos" w:hAnsi="Aptos" w:cs="Arial"/>
          <w:color w:val="000000"/>
          <w:kern w:val="2"/>
          <w:sz w:val="24"/>
        </w:rPr>
      </w:pPr>
      <w:r>
        <w:rPr>
          <w:rFonts w:cs="Arial" w:ascii="Aptos" w:hAnsi="Aptos"/>
          <w:color w:val="000000"/>
          <w:kern w:val="2"/>
          <w:sz w:val="24"/>
        </w:rPr>
      </w:r>
    </w:p>
    <w:p>
      <w:pPr>
        <w:pStyle w:val="Normal"/>
        <w:tabs>
          <w:tab w:val="clear" w:pos="708"/>
          <w:tab w:val="left" w:pos="420" w:leader="none"/>
          <w:tab w:val="left" w:pos="3165" w:leader="none"/>
        </w:tabs>
        <w:jc w:val="both"/>
        <w:rPr>
          <w:rFonts w:ascii="Aptos" w:hAnsi="Aptos" w:cs="Arial"/>
          <w:color w:val="000000"/>
          <w:kern w:val="2"/>
          <w:sz w:val="24"/>
        </w:rPr>
      </w:pPr>
      <w:r>
        <w:rPr>
          <w:rFonts w:cs="Arial" w:ascii="Aptos" w:hAnsi="Aptos"/>
          <w:color w:val="000000"/>
          <w:kern w:val="2"/>
          <w:sz w:val="24"/>
        </w:rPr>
      </w:r>
    </w:p>
    <w:p>
      <w:pPr>
        <w:pStyle w:val="Normal"/>
        <w:tabs>
          <w:tab w:val="clear" w:pos="708"/>
          <w:tab w:val="left" w:pos="420" w:leader="none"/>
          <w:tab w:val="left" w:pos="3165" w:leader="none"/>
        </w:tabs>
        <w:jc w:val="both"/>
        <w:rPr>
          <w:rFonts w:ascii="Aptos" w:hAnsi="Aptos" w:cs="Arial"/>
          <w:color w:themeColor="text1" w:val="000000"/>
          <w:sz w:val="24"/>
        </w:rPr>
      </w:pPr>
      <w:r>
        <w:rPr>
          <w:rFonts w:cs="Arial" w:ascii="Aptos" w:hAnsi="Aptos"/>
          <w:color w:val="000000"/>
          <w:kern w:val="2"/>
          <w:sz w:val="24"/>
        </w:rPr>
        <w:t>d’autre part,</w:t>
      </w:r>
    </w:p>
    <w:p>
      <w:pPr>
        <w:pStyle w:val="Normal"/>
        <w:rPr>
          <w:rFonts w:ascii="Aptos" w:hAnsi="Aptos" w:cs="Arial"/>
          <w:kern w:val="2"/>
          <w:sz w:val="24"/>
        </w:rPr>
      </w:pPr>
      <w:r>
        <w:rPr>
          <w:rFonts w:cs="Arial" w:ascii="Aptos" w:hAnsi="Aptos"/>
          <w:kern w:val="2"/>
          <w:sz w:val="24"/>
        </w:rPr>
      </w:r>
    </w:p>
    <w:p>
      <w:pPr>
        <w:pStyle w:val="Normal"/>
        <w:jc w:val="both"/>
        <w:rPr>
          <w:rFonts w:ascii="Aptos" w:hAnsi="Aptos" w:cs="Arial"/>
          <w:kern w:val="2"/>
          <w:sz w:val="24"/>
        </w:rPr>
      </w:pPr>
      <w:r>
        <w:rPr>
          <w:rFonts w:cs="Arial" w:ascii="Aptos" w:hAnsi="Aptos"/>
          <w:kern w:val="2"/>
          <w:sz w:val="24"/>
        </w:rPr>
      </w:r>
    </w:p>
    <w:p>
      <w:pPr>
        <w:pStyle w:val="Normal"/>
        <w:rPr>
          <w:rFonts w:ascii="Aptos" w:hAnsi="Aptos" w:cs="Arial"/>
          <w:b/>
          <w:bCs/>
          <w:sz w:val="24"/>
          <w:u w:val="single"/>
        </w:rPr>
      </w:pPr>
      <w:r>
        <w:rPr>
          <w:rFonts w:cs="Arial" w:ascii="Aptos" w:hAnsi="Aptos"/>
          <w:b/>
          <w:bCs/>
          <w:kern w:val="2"/>
          <w:sz w:val="24"/>
          <w:u w:val="single"/>
        </w:rPr>
        <w:t>I) PRÉAMBULE</w:t>
      </w:r>
    </w:p>
    <w:p>
      <w:pPr>
        <w:pStyle w:val="Normal"/>
        <w:rPr>
          <w:rFonts w:ascii="Aptos" w:hAnsi="Aptos" w:cs="Arial"/>
          <w:kern w:val="2"/>
          <w:sz w:val="24"/>
        </w:rPr>
      </w:pPr>
      <w:r>
        <w:rPr>
          <w:rFonts w:cs="Arial" w:ascii="Aptos" w:hAnsi="Aptos"/>
          <w:kern w:val="2"/>
          <w:sz w:val="24"/>
        </w:rPr>
      </w:r>
    </w:p>
    <w:p>
      <w:pPr>
        <w:pStyle w:val="Normal"/>
        <w:jc w:val="both"/>
        <w:rPr>
          <w:rFonts w:ascii="Aptos" w:hAnsi="Aptos" w:cs="Arial"/>
          <w:sz w:val="24"/>
        </w:rPr>
      </w:pPr>
      <w:r>
        <w:rPr>
          <w:rFonts w:cs="Arial" w:ascii="Aptos" w:hAnsi="Aptos"/>
          <w:sz w:val="24"/>
        </w:rPr>
        <w:t xml:space="preserve">Conformément aux dispositions légales, la Direction a engagé la Négociation Annuelle Obligatoire en invitant le Délégué Syndical, assisté de trois représentants du personnel. Trois réunions de négociation ont eu lieu : les 16 janvier, 27 février et 13 mars 2026. </w:t>
      </w:r>
    </w:p>
    <w:p>
      <w:pPr>
        <w:pStyle w:val="Normal"/>
        <w:jc w:val="both"/>
        <w:rPr>
          <w:rFonts w:ascii="Aptos" w:hAnsi="Aptos" w:cs="Arial"/>
          <w:sz w:val="24"/>
        </w:rPr>
      </w:pPr>
      <w:r>
        <w:rPr>
          <w:rFonts w:cs="Arial" w:ascii="Aptos" w:hAnsi="Aptos"/>
          <w:sz w:val="24"/>
        </w:rPr>
      </w:r>
    </w:p>
    <w:p>
      <w:pPr>
        <w:pStyle w:val="Normal"/>
        <w:jc w:val="both"/>
        <w:rPr>
          <w:rFonts w:ascii="Aptos" w:hAnsi="Aptos" w:cs="Arial"/>
          <w:sz w:val="24"/>
          <w:lang w:eastAsia="en-US"/>
        </w:rPr>
      </w:pPr>
      <w:r>
        <w:rPr>
          <w:rFonts w:cs="Arial" w:ascii="Aptos" w:hAnsi="Aptos"/>
          <w:sz w:val="24"/>
        </w:rPr>
        <w:t xml:space="preserve">Les informations relatives aux effectifs, à la rémunération, à l’organisation du temps de travail, à la formation, au handicap, au télétravail, à l’épargne salariale </w:t>
      </w:r>
      <w:bookmarkStart w:id="1" w:name="_Hlk487205191"/>
      <w:r>
        <w:rPr>
          <w:rFonts w:cs="Arial" w:ascii="Aptos" w:hAnsi="Aptos"/>
          <w:sz w:val="24"/>
        </w:rPr>
        <w:t>sont contenues dans la BDESE établie, et accessibles aux élus.</w:t>
      </w:r>
    </w:p>
    <w:p>
      <w:pPr>
        <w:pStyle w:val="Normal"/>
        <w:jc w:val="both"/>
        <w:rPr>
          <w:rFonts w:ascii="Aptos" w:hAnsi="Aptos" w:cs="Arial"/>
          <w:sz w:val="24"/>
          <w:lang w:eastAsia="en-US"/>
        </w:rPr>
      </w:pPr>
      <w:r>
        <w:rPr>
          <w:rFonts w:cs="Arial" w:ascii="Aptos" w:hAnsi="Aptos"/>
          <w:sz w:val="24"/>
          <w:lang w:eastAsia="en-US"/>
        </w:rPr>
      </w:r>
    </w:p>
    <w:p>
      <w:pPr>
        <w:pStyle w:val="Normal"/>
        <w:jc w:val="both"/>
        <w:rPr>
          <w:rFonts w:ascii="Aptos" w:hAnsi="Aptos" w:cs="Arial"/>
          <w:b/>
          <w:sz w:val="24"/>
          <w:u w:val="single"/>
          <w:lang w:eastAsia="en-US"/>
        </w:rPr>
      </w:pPr>
      <w:r>
        <w:rPr>
          <w:rFonts w:cs="Arial" w:ascii="Aptos" w:hAnsi="Aptos"/>
          <w:b/>
          <w:sz w:val="24"/>
          <w:u w:val="single"/>
          <w:lang w:eastAsia="en-US"/>
        </w:rPr>
        <w:t>II) RÉUNIONS DE NÉGOCIATION</w:t>
      </w:r>
    </w:p>
    <w:p>
      <w:pPr>
        <w:pStyle w:val="Normal"/>
        <w:jc w:val="both"/>
        <w:rPr>
          <w:rFonts w:ascii="Aptos" w:hAnsi="Aptos" w:cs="Arial"/>
          <w:sz w:val="24"/>
          <w:lang w:eastAsia="en-US"/>
        </w:rPr>
      </w:pPr>
      <w:r>
        <w:rPr>
          <w:rFonts w:cs="Arial" w:ascii="Aptos" w:hAnsi="Aptos"/>
          <w:sz w:val="24"/>
          <w:lang w:eastAsia="en-US"/>
        </w:rPr>
      </w:r>
    </w:p>
    <w:p>
      <w:pPr>
        <w:pStyle w:val="Normal"/>
        <w:jc w:val="both"/>
        <w:rPr>
          <w:rFonts w:ascii="Aptos" w:hAnsi="Aptos" w:cs="Arial"/>
          <w:sz w:val="24"/>
          <w:lang w:eastAsia="en-US"/>
        </w:rPr>
      </w:pPr>
      <w:r>
        <w:rPr>
          <w:rFonts w:cs="Arial" w:ascii="Aptos" w:hAnsi="Aptos"/>
          <w:sz w:val="24"/>
          <w:lang w:eastAsia="en-US"/>
        </w:rPr>
        <w:t>La réunion du 16 janvier 2026 est un échange entre la Direction et les représentants du personnel sur le champ d’action de la négociation annuelle.</w:t>
      </w:r>
    </w:p>
    <w:p>
      <w:pPr>
        <w:pStyle w:val="Normal"/>
        <w:jc w:val="both"/>
        <w:rPr>
          <w:rFonts w:ascii="Aptos" w:hAnsi="Aptos" w:cs="Arial"/>
          <w:sz w:val="24"/>
          <w:lang w:eastAsia="en-US"/>
        </w:rPr>
      </w:pPr>
      <w:r>
        <w:rPr>
          <w:rFonts w:cs="Arial" w:ascii="Aptos" w:hAnsi="Aptos"/>
          <w:sz w:val="24"/>
          <w:lang w:eastAsia="en-US"/>
        </w:rPr>
      </w:r>
    </w:p>
    <w:p>
      <w:pPr>
        <w:pStyle w:val="Normal"/>
        <w:jc w:val="both"/>
        <w:rPr>
          <w:rFonts w:ascii="Aptos" w:hAnsi="Aptos" w:cs="Arial"/>
          <w:sz w:val="24"/>
          <w:lang w:eastAsia="en-US"/>
        </w:rPr>
      </w:pPr>
      <w:r>
        <w:rPr>
          <w:rFonts w:cs="Arial" w:ascii="Aptos" w:hAnsi="Aptos"/>
          <w:sz w:val="24"/>
          <w:lang w:eastAsia="en-US"/>
        </w:rPr>
        <w:t xml:space="preserve">Lors des réunions de négociation, le Syndicat FEETS-FO a rappelé le contexte inflationniste dans lequel se déroulent les négociations NAO au sein d’Atmo depuis plusieurs années. </w:t>
      </w:r>
    </w:p>
    <w:p>
      <w:pPr>
        <w:pStyle w:val="Normal"/>
        <w:jc w:val="both"/>
        <w:rPr>
          <w:rFonts w:ascii="Aptos" w:hAnsi="Aptos" w:cs="Arial"/>
          <w:sz w:val="24"/>
          <w:lang w:eastAsia="en-US"/>
        </w:rPr>
      </w:pPr>
      <w:r>
        <w:rPr>
          <w:rFonts w:cs="Arial" w:ascii="Aptos" w:hAnsi="Aptos"/>
          <w:sz w:val="24"/>
          <w:lang w:eastAsia="en-US"/>
        </w:rPr>
      </w:r>
    </w:p>
    <w:p>
      <w:pPr>
        <w:pStyle w:val="Normal"/>
        <w:jc w:val="both"/>
        <w:rPr>
          <w:rFonts w:ascii="Aptos" w:hAnsi="Aptos" w:cs="Arial"/>
          <w:sz w:val="24"/>
          <w:lang w:eastAsia="en-US"/>
        </w:rPr>
      </w:pPr>
      <w:r>
        <w:rPr>
          <w:rFonts w:cs="Arial" w:ascii="Aptos" w:hAnsi="Aptos"/>
          <w:sz w:val="24"/>
          <w:lang w:eastAsia="en-US"/>
        </w:rPr>
        <w:t>Les revendications portées par les représentants des salariés dans le cadre des NAO 2026 sont donc majoritairement axées sur la thématique de la rémunération. Les demandes portent sur une revalorisation générale des salaires équivalente à 4%.</w:t>
      </w:r>
    </w:p>
    <w:p>
      <w:pPr>
        <w:pStyle w:val="Normal"/>
        <w:jc w:val="both"/>
        <w:rPr>
          <w:rFonts w:ascii="Aptos" w:hAnsi="Aptos" w:eastAsia="Calibri" w:cs="Arial"/>
          <w:sz w:val="24"/>
          <w:lang w:eastAsia="en-US"/>
        </w:rPr>
      </w:pPr>
      <w:r>
        <w:rPr>
          <w:rFonts w:eastAsia="Calibri" w:cs="Arial" w:ascii="Aptos" w:hAnsi="Aptos"/>
          <w:sz w:val="24"/>
          <w:lang w:eastAsia="en-US"/>
        </w:rPr>
      </w:r>
    </w:p>
    <w:p>
      <w:pPr>
        <w:pStyle w:val="Normal"/>
        <w:jc w:val="both"/>
        <w:rPr>
          <w:rFonts w:ascii="Aptos" w:hAnsi="Aptos" w:eastAsia="Calibri" w:cs="Arial"/>
          <w:sz w:val="24"/>
          <w:lang w:eastAsia="en-US"/>
        </w:rPr>
      </w:pPr>
      <w:r>
        <w:rPr>
          <w:rFonts w:eastAsia="Calibri" w:cs="Arial" w:ascii="Aptos" w:hAnsi="Aptos"/>
          <w:sz w:val="24"/>
          <w:lang w:eastAsia="en-US"/>
        </w:rPr>
        <w:t>La Direction a pris note des revendications des représentants du personnel.</w:t>
      </w:r>
    </w:p>
    <w:p>
      <w:pPr>
        <w:pStyle w:val="Normal"/>
        <w:jc w:val="both"/>
        <w:rPr>
          <w:rFonts w:ascii="Aptos" w:hAnsi="Aptos" w:eastAsia="Calibri" w:cs="Arial"/>
          <w:sz w:val="24"/>
          <w:lang w:eastAsia="en-US"/>
        </w:rPr>
      </w:pPr>
      <w:r>
        <w:rPr>
          <w:rFonts w:eastAsia="Calibri" w:cs="Arial" w:ascii="Aptos" w:hAnsi="Aptos"/>
          <w:sz w:val="24"/>
          <w:lang w:eastAsia="en-US"/>
        </w:rPr>
      </w:r>
    </w:p>
    <w:p>
      <w:pPr>
        <w:pStyle w:val="Normal"/>
        <w:jc w:val="both"/>
        <w:rPr>
          <w:rFonts w:ascii="Aptos" w:hAnsi="Aptos" w:eastAsia="Calibri" w:cs="Arial"/>
          <w:sz w:val="24"/>
          <w:lang w:eastAsia="en-US"/>
        </w:rPr>
      </w:pPr>
      <w:r>
        <w:rPr>
          <w:rFonts w:eastAsia="Calibri" w:cs="Arial" w:ascii="Aptos" w:hAnsi="Aptos"/>
          <w:sz w:val="24"/>
          <w:lang w:eastAsia="en-US"/>
        </w:rPr>
        <w:t xml:space="preserve">Au-delà du contexte inflationniste qui connaît tout de même un ralentissement à 0,8% en 2025 selon la série INSEE n°001759970 suivie par l’association, elle précise que les négociations annuelles 2026 se déroulent dans un contexte budgétaire interne marqué par un rétablissement de la situation financière de l’association. La réduction des dépenses externes de fonctionnement de 8% soit 250K€, et les efforts des salariés sur la consommation de leurs RTT/jours de repos/congés payés ont permis un retour à un quasi-équilibre sur l’exercice comptable 2025 et les perspectives 2026 sont plutôt rassurantes. </w:t>
      </w:r>
    </w:p>
    <w:p>
      <w:pPr>
        <w:pStyle w:val="Normal"/>
        <w:jc w:val="both"/>
        <w:rPr>
          <w:rFonts w:ascii="Aptos" w:hAnsi="Aptos" w:eastAsia="Calibri" w:cs="Arial"/>
          <w:sz w:val="24"/>
          <w:lang w:eastAsia="en-US"/>
        </w:rPr>
      </w:pPr>
      <w:r>
        <w:rPr>
          <w:rFonts w:eastAsia="Calibri" w:cs="Arial" w:ascii="Aptos" w:hAnsi="Aptos"/>
          <w:sz w:val="24"/>
          <w:lang w:eastAsia="en-US"/>
        </w:rPr>
      </w:r>
    </w:p>
    <w:p>
      <w:pPr>
        <w:pStyle w:val="Normal"/>
        <w:jc w:val="both"/>
        <w:rPr>
          <w:rFonts w:ascii="Aptos" w:hAnsi="Aptos" w:eastAsia="Calibri" w:cs="Arial"/>
          <w:sz w:val="24"/>
          <w:lang w:eastAsia="en-US"/>
        </w:rPr>
      </w:pPr>
      <w:r>
        <w:rPr>
          <w:rFonts w:eastAsia="Calibri" w:cs="Arial" w:ascii="Aptos" w:hAnsi="Aptos"/>
          <w:sz w:val="24"/>
          <w:lang w:eastAsia="en-US"/>
        </w:rPr>
        <w:t xml:space="preserve">Des incertitudes pèsent néanmoins sur l’année 2027 au vu des élections municipales, de la réduction de la TGAP et des subventions issues des collectivités. </w:t>
      </w:r>
    </w:p>
    <w:p>
      <w:pPr>
        <w:pStyle w:val="Normal"/>
        <w:jc w:val="both"/>
        <w:rPr>
          <w:rFonts w:ascii="Aptos" w:hAnsi="Aptos" w:eastAsia="Calibri" w:cs="Arial"/>
          <w:iCs/>
          <w:sz w:val="24"/>
          <w:lang w:eastAsia="en-US"/>
        </w:rPr>
      </w:pPr>
      <w:r>
        <w:rPr>
          <w:rFonts w:eastAsia="Calibri" w:cs="Arial" w:ascii="Aptos" w:hAnsi="Aptos"/>
          <w:iCs/>
          <w:sz w:val="24"/>
          <w:lang w:eastAsia="en-US"/>
        </w:rPr>
      </w:r>
    </w:p>
    <w:p>
      <w:pPr>
        <w:pStyle w:val="Normal"/>
        <w:jc w:val="both"/>
        <w:rPr>
          <w:rFonts w:ascii="Aptos" w:hAnsi="Aptos" w:eastAsia="Calibri" w:cs="Arial"/>
          <w:sz w:val="24"/>
          <w:lang w:eastAsia="en-US"/>
        </w:rPr>
      </w:pPr>
      <w:r>
        <w:rPr>
          <w:rFonts w:eastAsia="Calibri" w:cs="Arial" w:ascii="Aptos" w:hAnsi="Aptos"/>
          <w:iCs/>
          <w:sz w:val="24"/>
          <w:lang w:eastAsia="en-US"/>
        </w:rPr>
        <w:t>Aussi, après étude des revendications des représentants élus, la Direction propose d</w:t>
      </w:r>
      <w:r>
        <w:rPr>
          <w:rFonts w:eastAsia="Calibri" w:cs="Arial" w:ascii="Aptos" w:hAnsi="Aptos"/>
          <w:sz w:val="24"/>
          <w:lang w:eastAsia="en-US"/>
        </w:rPr>
        <w:t>’accorder au 1</w:t>
      </w:r>
      <w:r>
        <w:rPr>
          <w:rFonts w:eastAsia="Calibri" w:cs="Arial" w:ascii="Aptos" w:hAnsi="Aptos"/>
          <w:sz w:val="24"/>
          <w:vertAlign w:val="superscript"/>
          <w:lang w:eastAsia="en-US"/>
        </w:rPr>
        <w:t>er</w:t>
      </w:r>
      <w:r>
        <w:rPr>
          <w:rFonts w:eastAsia="Calibri" w:cs="Arial" w:ascii="Aptos" w:hAnsi="Aptos"/>
          <w:sz w:val="24"/>
          <w:lang w:eastAsia="en-US"/>
        </w:rPr>
        <w:t xml:space="preserve"> mars 2026 une augmentation générale de la masse salariale aux salariés ayant au moins 6 mois d’ancienneté dans l’association au 28 février 2026. </w:t>
      </w:r>
    </w:p>
    <w:p>
      <w:pPr>
        <w:pStyle w:val="Normal"/>
        <w:jc w:val="both"/>
        <w:rPr>
          <w:rFonts w:ascii="Aptos" w:hAnsi="Aptos" w:eastAsia="Calibri" w:cs="Arial"/>
          <w:sz w:val="24"/>
          <w:lang w:eastAsia="en-US"/>
        </w:rPr>
      </w:pPr>
      <w:r>
        <w:rPr>
          <w:rFonts w:eastAsia="Calibri" w:cs="Arial" w:ascii="Aptos" w:hAnsi="Aptos"/>
          <w:iCs/>
          <w:sz w:val="24"/>
          <w:lang w:eastAsia="en-US"/>
        </w:rPr>
        <w:t xml:space="preserve">Cette revalorisation porterait sur : </w:t>
      </w:r>
    </w:p>
    <w:p>
      <w:pPr>
        <w:pStyle w:val="ListParagraph"/>
        <w:numPr>
          <w:ilvl w:val="1"/>
          <w:numId w:val="3"/>
        </w:numPr>
        <w:jc w:val="both"/>
        <w:rPr>
          <w:rFonts w:ascii="Aptos" w:hAnsi="Aptos" w:eastAsia="Calibri" w:cs="Arial"/>
          <w:sz w:val="24"/>
          <w:lang w:eastAsia="en-US"/>
        </w:rPr>
      </w:pPr>
      <w:r>
        <w:rPr>
          <w:rFonts w:eastAsia="Calibri" w:cs="Arial" w:ascii="Aptos" w:hAnsi="Aptos"/>
          <w:sz w:val="24"/>
          <w:lang w:eastAsia="en-US"/>
        </w:rPr>
        <w:t xml:space="preserve">le salaire de base des salariés au 28/02/2026, </w:t>
      </w:r>
    </w:p>
    <w:p>
      <w:pPr>
        <w:pStyle w:val="ListParagraph"/>
        <w:numPr>
          <w:ilvl w:val="1"/>
          <w:numId w:val="3"/>
        </w:numPr>
        <w:jc w:val="both"/>
        <w:rPr>
          <w:rFonts w:ascii="Aptos" w:hAnsi="Aptos" w:eastAsia="Calibri" w:cs="Arial"/>
          <w:sz w:val="24"/>
          <w:lang w:eastAsia="en-US"/>
        </w:rPr>
      </w:pPr>
      <w:r>
        <w:rPr>
          <w:rFonts w:eastAsia="Calibri" w:cs="Arial" w:ascii="Aptos" w:hAnsi="Aptos"/>
          <w:sz w:val="24"/>
          <w:lang w:eastAsia="en-US"/>
        </w:rPr>
        <w:t>et les primes d’astreintes comme prévu par les dispositions de l’accord collectif du 1</w:t>
      </w:r>
      <w:r>
        <w:rPr>
          <w:rFonts w:eastAsia="Calibri" w:cs="Arial" w:ascii="Aptos" w:hAnsi="Aptos"/>
          <w:sz w:val="24"/>
          <w:vertAlign w:val="superscript"/>
          <w:lang w:eastAsia="en-US"/>
        </w:rPr>
        <w:t>er</w:t>
      </w:r>
      <w:r>
        <w:rPr>
          <w:rFonts w:eastAsia="Calibri" w:cs="Arial" w:ascii="Aptos" w:hAnsi="Aptos"/>
          <w:sz w:val="24"/>
          <w:lang w:eastAsia="en-US"/>
        </w:rPr>
        <w:t xml:space="preserve"> janvier 2026.</w:t>
      </w:r>
    </w:p>
    <w:p>
      <w:pPr>
        <w:pStyle w:val="ListParagraph"/>
        <w:ind w:start="1440"/>
        <w:jc w:val="both"/>
        <w:rPr>
          <w:rFonts w:ascii="Aptos" w:hAnsi="Aptos" w:eastAsia="Calibri" w:cs="Arial"/>
          <w:sz w:val="24"/>
          <w:lang w:eastAsia="en-US"/>
        </w:rPr>
      </w:pPr>
      <w:r>
        <w:rPr>
          <w:rFonts w:eastAsia="Calibri" w:cs="Arial" w:ascii="Aptos" w:hAnsi="Aptos"/>
          <w:sz w:val="24"/>
          <w:lang w:eastAsia="en-US"/>
        </w:rPr>
      </w:r>
    </w:p>
    <w:p>
      <w:pPr>
        <w:pStyle w:val="Normal"/>
        <w:jc w:val="both"/>
        <w:rPr>
          <w:rFonts w:ascii="Aptos" w:hAnsi="Aptos" w:eastAsia="Calibri" w:cs="Arial"/>
          <w:iCs/>
          <w:sz w:val="24"/>
          <w:lang w:eastAsia="en-US"/>
        </w:rPr>
      </w:pPr>
      <w:r>
        <w:rPr>
          <w:rFonts w:eastAsia="Calibri" w:cs="Arial" w:ascii="Aptos" w:hAnsi="Aptos"/>
          <w:iCs/>
          <w:sz w:val="24"/>
          <w:lang w:eastAsia="en-US"/>
        </w:rPr>
        <w:t xml:space="preserve">La Direction rappelle qu’elle attribue également un budget de 1,5% de la masse salariale pour les augmentations et primes individuelles, attribuées par les managers selon la performance du salarié, et par le Codir RH en fonction des critères d’égalité Hommes/Femmes et de tensions sur le marché de l’emploi. </w:t>
      </w:r>
    </w:p>
    <w:p>
      <w:pPr>
        <w:pStyle w:val="Normal"/>
        <w:jc w:val="both"/>
        <w:rPr>
          <w:rFonts w:ascii="Aptos" w:hAnsi="Aptos" w:eastAsia="Calibri" w:cs="Arial"/>
          <w:iCs/>
          <w:sz w:val="24"/>
          <w:lang w:eastAsia="en-US"/>
        </w:rPr>
      </w:pPr>
      <w:r>
        <w:rPr>
          <w:rFonts w:eastAsia="Calibri" w:cs="Arial" w:ascii="Aptos" w:hAnsi="Aptos"/>
          <w:iCs/>
          <w:sz w:val="24"/>
          <w:lang w:eastAsia="en-US"/>
        </w:rPr>
      </w:r>
    </w:p>
    <w:p>
      <w:pPr>
        <w:pStyle w:val="Normal"/>
        <w:jc w:val="both"/>
        <w:rPr>
          <w:rFonts w:ascii="Aptos" w:hAnsi="Aptos" w:eastAsia="Calibri" w:cs="Arial"/>
          <w:iCs/>
          <w:sz w:val="24"/>
          <w:lang w:eastAsia="en-US"/>
        </w:rPr>
      </w:pPr>
      <w:r>
        <w:rPr>
          <w:rFonts w:eastAsia="Calibri" w:cs="Arial" w:ascii="Aptos" w:hAnsi="Aptos"/>
          <w:iCs/>
          <w:sz w:val="24"/>
          <w:lang w:eastAsia="en-US"/>
        </w:rPr>
        <w:t xml:space="preserve">Elle indique également que les budgets d’augmentation salariale des autres AASQA sont très inférieurs à ce que propose Atmo AuRA. </w:t>
      </w:r>
    </w:p>
    <w:p>
      <w:pPr>
        <w:pStyle w:val="Normal"/>
        <w:jc w:val="both"/>
        <w:rPr>
          <w:rFonts w:ascii="Aptos" w:hAnsi="Aptos" w:eastAsia="Calibri" w:cs="Arial"/>
          <w:iCs/>
          <w:sz w:val="24"/>
          <w:lang w:eastAsia="en-US"/>
        </w:rPr>
      </w:pPr>
      <w:r>
        <w:rPr>
          <w:rFonts w:eastAsia="Calibri" w:cs="Arial" w:ascii="Aptos" w:hAnsi="Aptos"/>
          <w:iCs/>
          <w:sz w:val="24"/>
          <w:lang w:eastAsia="en-US"/>
        </w:rPr>
      </w:r>
    </w:p>
    <w:p>
      <w:pPr>
        <w:pStyle w:val="Normal"/>
        <w:jc w:val="both"/>
        <w:rPr>
          <w:rFonts w:ascii="Aptos" w:hAnsi="Aptos" w:eastAsia="Calibri" w:cs="Arial"/>
          <w:iCs/>
          <w:sz w:val="24"/>
          <w:lang w:eastAsia="en-US"/>
        </w:rPr>
      </w:pPr>
      <w:r>
        <w:rPr>
          <w:rFonts w:eastAsia="Calibri" w:cs="Arial" w:ascii="Aptos" w:hAnsi="Aptos"/>
          <w:iCs/>
          <w:sz w:val="24"/>
          <w:lang w:eastAsia="en-US"/>
        </w:rPr>
        <w:t xml:space="preserve">Elle propose par conséquent une augmentation collective de 1,5% de la masse salariale. </w:t>
      </w:r>
    </w:p>
    <w:p>
      <w:pPr>
        <w:pStyle w:val="Normal"/>
        <w:jc w:val="both"/>
        <w:rPr>
          <w:rFonts w:ascii="Aptos" w:hAnsi="Aptos" w:eastAsia="Calibri" w:cs="Arial"/>
          <w:iCs/>
          <w:sz w:val="24"/>
          <w:lang w:eastAsia="en-US"/>
        </w:rPr>
      </w:pPr>
      <w:r>
        <w:rPr>
          <w:rFonts w:eastAsia="Calibri" w:cs="Arial" w:ascii="Aptos" w:hAnsi="Aptos"/>
          <w:iCs/>
          <w:sz w:val="24"/>
          <w:lang w:eastAsia="en-US"/>
        </w:rPr>
        <w:t xml:space="preserve"> </w:t>
      </w:r>
    </w:p>
    <w:p>
      <w:pPr>
        <w:pStyle w:val="ListParagraph"/>
        <w:ind w:start="0"/>
        <w:jc w:val="both"/>
        <w:rPr>
          <w:rFonts w:ascii="Aptos" w:hAnsi="Aptos" w:cs="Arial"/>
          <w:sz w:val="24"/>
        </w:rPr>
      </w:pPr>
      <w:r>
        <w:rPr>
          <w:rFonts w:cs="Arial" w:ascii="Aptos" w:hAnsi="Aptos"/>
          <w:sz w:val="24"/>
        </w:rPr>
        <w:t>Les représentants du personnel informent qu’ils ont pris note de cette proposition et regrettent qu’elle soit très éloignée de la demande qu’ils ont formulée. Ils demandent l’utilisation de l’enveloppe budgétaire avec l’application d’un talon forfaitaire, permettant de réaliser une mesure égalitaire, et favorisant les salaires les moins élevés.</w:t>
      </w:r>
    </w:p>
    <w:p>
      <w:pPr>
        <w:pStyle w:val="ListParagraph"/>
        <w:ind w:start="0"/>
        <w:jc w:val="both"/>
        <w:rPr>
          <w:rFonts w:ascii="Aptos" w:hAnsi="Aptos" w:cs="Arial"/>
          <w:sz w:val="24"/>
        </w:rPr>
      </w:pPr>
      <w:r>
        <w:rPr>
          <w:rFonts w:cs="Arial" w:ascii="Aptos" w:hAnsi="Aptos"/>
          <w:sz w:val="24"/>
        </w:rPr>
      </w:r>
    </w:p>
    <w:p>
      <w:pPr>
        <w:pStyle w:val="ListParagraph"/>
        <w:ind w:start="0"/>
        <w:jc w:val="both"/>
        <w:rPr>
          <w:rFonts w:ascii="Aptos" w:hAnsi="Aptos" w:cs="Arial"/>
          <w:sz w:val="24"/>
        </w:rPr>
      </w:pPr>
      <w:r>
        <w:rPr>
          <w:rFonts w:cs="Arial" w:ascii="Aptos" w:hAnsi="Aptos"/>
          <w:sz w:val="24"/>
        </w:rPr>
        <w:t>La Direction rappelle qu’elle a déjà procédé à une mesure strictement égalitaire en 2025 pour aider les bas salaires dans la période inflationniste, mais que cette mesure est également inéquitable pour les collaborateurs dont la rémunération est supérieure au salaire moyen. Elle ne souhaite donc pas renouveler cette mesure en 2026.</w:t>
      </w:r>
    </w:p>
    <w:p>
      <w:pPr>
        <w:pStyle w:val="ListParagraph"/>
        <w:ind w:start="0"/>
        <w:jc w:val="both"/>
        <w:rPr>
          <w:rFonts w:ascii="Aptos" w:hAnsi="Aptos" w:cs="Arial"/>
          <w:sz w:val="24"/>
        </w:rPr>
      </w:pPr>
      <w:r>
        <w:rPr>
          <w:rFonts w:cs="Arial" w:ascii="Aptos" w:hAnsi="Aptos"/>
          <w:sz w:val="24"/>
        </w:rPr>
      </w:r>
    </w:p>
    <w:p>
      <w:pPr>
        <w:pStyle w:val="ListParagraph"/>
        <w:ind w:start="0"/>
        <w:jc w:val="both"/>
        <w:rPr>
          <w:rFonts w:ascii="Aptos" w:hAnsi="Aptos" w:cs="Arial"/>
          <w:sz w:val="24"/>
        </w:rPr>
      </w:pPr>
      <w:r>
        <w:rPr>
          <w:rFonts w:cs="Arial" w:ascii="Aptos" w:hAnsi="Aptos"/>
          <w:sz w:val="24"/>
        </w:rPr>
        <w:t>Afin d’augmenter le pouvoir d’achat des salariés, la Direction propose :</w:t>
      </w:r>
    </w:p>
    <w:p>
      <w:pPr>
        <w:pStyle w:val="ListParagraph"/>
        <w:ind w:start="0"/>
        <w:jc w:val="both"/>
        <w:rPr>
          <w:rFonts w:ascii="Aptos" w:hAnsi="Aptos" w:cs="Arial"/>
          <w:sz w:val="24"/>
        </w:rPr>
      </w:pPr>
      <w:r>
        <w:rPr>
          <w:rFonts w:cs="Arial" w:ascii="Aptos" w:hAnsi="Aptos"/>
          <w:sz w:val="24"/>
        </w:rPr>
      </w:r>
    </w:p>
    <w:p>
      <w:pPr>
        <w:pStyle w:val="ListParagraph"/>
        <w:numPr>
          <w:ilvl w:val="0"/>
          <w:numId w:val="4"/>
        </w:numPr>
        <w:jc w:val="both"/>
        <w:rPr>
          <w:rFonts w:ascii="Aptos" w:hAnsi="Aptos" w:cs="Arial"/>
          <w:sz w:val="24"/>
        </w:rPr>
      </w:pPr>
      <w:r>
        <w:rPr>
          <w:rFonts w:cs="Arial" w:ascii="Aptos" w:hAnsi="Aptos"/>
          <w:sz w:val="24"/>
        </w:rPr>
        <w:t>Deux options :</w:t>
      </w:r>
    </w:p>
    <w:p>
      <w:pPr>
        <w:pStyle w:val="ListParagraph"/>
        <w:jc w:val="both"/>
        <w:rPr>
          <w:rFonts w:ascii="Aptos" w:hAnsi="Aptos" w:cs="Arial"/>
          <w:sz w:val="24"/>
        </w:rPr>
      </w:pPr>
      <w:r>
        <w:rPr>
          <w:rFonts w:cs="Arial" w:ascii="Aptos" w:hAnsi="Aptos"/>
          <w:sz w:val="24"/>
        </w:rPr>
        <w:t>1/ une première option : une augmentation de 1,5% de la masse salariale.</w:t>
      </w:r>
    </w:p>
    <w:p>
      <w:pPr>
        <w:pStyle w:val="ListParagraph"/>
        <w:jc w:val="both"/>
        <w:rPr>
          <w:rFonts w:ascii="Aptos" w:hAnsi="Aptos" w:cs="Arial"/>
          <w:sz w:val="24"/>
        </w:rPr>
      </w:pPr>
      <w:r>
        <w:rPr>
          <w:rFonts w:cs="Arial" w:ascii="Aptos" w:hAnsi="Aptos"/>
          <w:sz w:val="24"/>
        </w:rPr>
        <w:t>2/ une 2</w:t>
      </w:r>
      <w:r>
        <w:rPr>
          <w:rFonts w:cs="Arial" w:ascii="Aptos" w:hAnsi="Aptos"/>
          <w:sz w:val="24"/>
          <w:vertAlign w:val="superscript"/>
        </w:rPr>
        <w:t>nde</w:t>
      </w:r>
      <w:r>
        <w:rPr>
          <w:rFonts w:cs="Arial" w:ascii="Aptos" w:hAnsi="Aptos"/>
          <w:sz w:val="24"/>
        </w:rPr>
        <w:t xml:space="preserve"> option : </w:t>
      </w:r>
    </w:p>
    <w:p>
      <w:pPr>
        <w:pStyle w:val="ListParagraph"/>
        <w:numPr>
          <w:ilvl w:val="0"/>
          <w:numId w:val="5"/>
        </w:numPr>
        <w:jc w:val="both"/>
        <w:rPr>
          <w:rFonts w:ascii="Aptos" w:hAnsi="Aptos" w:cs="Arial"/>
          <w:sz w:val="24"/>
        </w:rPr>
      </w:pPr>
      <w:r>
        <w:rPr>
          <w:rFonts w:cs="Arial" w:ascii="Aptos" w:hAnsi="Aptos"/>
          <w:sz w:val="24"/>
        </w:rPr>
        <w:t>une augmentation de la valeur faciale des tickets restaurant de 9,5€ à 10€, et une augmentation de la participation employeur de 55 à 60%, à compter des tickets restaurant commandés au titre des droits du mois de mars,</w:t>
      </w:r>
    </w:p>
    <w:p>
      <w:pPr>
        <w:pStyle w:val="ListParagraph"/>
        <w:numPr>
          <w:ilvl w:val="1"/>
          <w:numId w:val="4"/>
        </w:numPr>
        <w:jc w:val="both"/>
        <w:rPr>
          <w:rFonts w:ascii="Aptos" w:hAnsi="Aptos" w:cs="Arial"/>
          <w:sz w:val="24"/>
        </w:rPr>
      </w:pPr>
      <w:r>
        <w:rPr>
          <w:rFonts w:cs="Arial" w:ascii="Aptos" w:hAnsi="Aptos"/>
          <w:sz w:val="24"/>
        </w:rPr>
        <w:t xml:space="preserve">une augmentation de 1,2% de la masse salariale, </w:t>
      </w:r>
    </w:p>
    <w:p>
      <w:pPr>
        <w:pStyle w:val="ListParagraph"/>
        <w:numPr>
          <w:ilvl w:val="1"/>
          <w:numId w:val="4"/>
        </w:numPr>
        <w:jc w:val="both"/>
        <w:rPr>
          <w:rFonts w:ascii="Aptos" w:hAnsi="Aptos" w:cs="Arial"/>
          <w:sz w:val="24"/>
        </w:rPr>
      </w:pPr>
      <w:r>
        <w:rPr>
          <w:rFonts w:cs="Arial" w:ascii="Aptos" w:hAnsi="Aptos"/>
          <w:sz w:val="24"/>
        </w:rPr>
        <w:t>L'ensemble des mesures représente une augmentation de la masse salariale de 1.5% (idem option 1).</w:t>
      </w:r>
    </w:p>
    <w:p>
      <w:pPr>
        <w:pStyle w:val="ListParagraph"/>
        <w:ind w:start="0"/>
        <w:jc w:val="both"/>
        <w:rPr>
          <w:rFonts w:ascii="Aptos" w:hAnsi="Aptos" w:cs="Arial"/>
          <w:sz w:val="24"/>
        </w:rPr>
      </w:pPr>
      <w:r>
        <w:rPr>
          <w:rFonts w:cs="Arial" w:ascii="Aptos" w:hAnsi="Aptos"/>
          <w:sz w:val="24"/>
        </w:rPr>
      </w:r>
    </w:p>
    <w:p>
      <w:pPr>
        <w:pStyle w:val="ListParagraph"/>
        <w:ind w:start="0"/>
        <w:jc w:val="both"/>
        <w:rPr>
          <w:rFonts w:ascii="Aptos" w:hAnsi="Aptos" w:cs="Arial"/>
          <w:sz w:val="24"/>
        </w:rPr>
      </w:pPr>
      <w:r>
        <w:rPr>
          <w:rFonts w:cs="Arial" w:ascii="Aptos" w:hAnsi="Aptos"/>
          <w:sz w:val="24"/>
        </w:rPr>
        <w:t>Les représentants du personnel informent qu’ils vont sonder les salariés sur cette proposition et feront un retour à la prochaine réunion. La Direction prend acte de la décision des représentants des salariés.</w:t>
      </w:r>
    </w:p>
    <w:p>
      <w:pPr>
        <w:pStyle w:val="ListParagraph"/>
        <w:ind w:start="0"/>
        <w:jc w:val="both"/>
        <w:rPr>
          <w:rFonts w:ascii="Aptos" w:hAnsi="Aptos" w:cs="Arial"/>
          <w:sz w:val="24"/>
        </w:rPr>
      </w:pPr>
      <w:r>
        <w:rPr>
          <w:rFonts w:cs="Arial" w:ascii="Aptos" w:hAnsi="Aptos"/>
          <w:sz w:val="24"/>
        </w:rPr>
      </w:r>
    </w:p>
    <w:p>
      <w:pPr>
        <w:pStyle w:val="ListParagraph"/>
        <w:ind w:start="0"/>
        <w:jc w:val="both"/>
        <w:rPr>
          <w:rFonts w:ascii="Aptos" w:hAnsi="Aptos" w:cs="Arial"/>
          <w:sz w:val="24"/>
        </w:rPr>
      </w:pPr>
      <w:r>
        <w:rPr>
          <w:rFonts w:cs="Arial" w:ascii="Aptos" w:hAnsi="Aptos"/>
          <w:sz w:val="24"/>
        </w:rPr>
        <w:t>Lors de la réunion du 13 mars, les élus informent que, suite au sondage adressé aux salariés, 54% des salariés ayant répondu au sondage ont rendu un avis favorable à la 2</w:t>
      </w:r>
      <w:r>
        <w:rPr>
          <w:rFonts w:cs="Arial" w:ascii="Aptos" w:hAnsi="Aptos"/>
          <w:sz w:val="24"/>
          <w:vertAlign w:val="superscript"/>
        </w:rPr>
        <w:t>nde</w:t>
      </w:r>
      <w:r>
        <w:rPr>
          <w:rFonts w:cs="Arial" w:ascii="Aptos" w:hAnsi="Aptos"/>
          <w:sz w:val="24"/>
        </w:rPr>
        <w:t xml:space="preserve"> option proposée par la Direction.</w:t>
      </w:r>
    </w:p>
    <w:p>
      <w:pPr>
        <w:pStyle w:val="Normal"/>
        <w:jc w:val="both"/>
        <w:rPr>
          <w:rFonts w:ascii="Aptos" w:hAnsi="Aptos" w:eastAsia="Calibri" w:cs="Arial"/>
          <w:iCs/>
          <w:sz w:val="24"/>
          <w:lang w:eastAsia="en-US"/>
        </w:rPr>
      </w:pPr>
      <w:r>
        <w:rPr>
          <w:rFonts w:eastAsia="Calibri" w:cs="Arial" w:ascii="Aptos" w:hAnsi="Aptos"/>
          <w:iCs/>
          <w:sz w:val="24"/>
          <w:lang w:eastAsia="en-US"/>
        </w:rPr>
      </w:r>
    </w:p>
    <w:p>
      <w:pPr>
        <w:pStyle w:val="ListParagraph"/>
        <w:ind w:start="0"/>
        <w:jc w:val="both"/>
        <w:rPr>
          <w:rFonts w:ascii="Aptos" w:hAnsi="Aptos" w:cs="Arial"/>
          <w:sz w:val="24"/>
        </w:rPr>
      </w:pPr>
      <w:r>
        <w:rPr>
          <w:rFonts w:cs="Arial" w:ascii="Aptos" w:hAnsi="Aptos"/>
          <w:sz w:val="24"/>
        </w:rPr>
        <w:t xml:space="preserve">Les élus indiquent qu’ils vont donc suivre l’avis des salariés et sont par conséquent disposés à signer le présent procès-verbal. </w:t>
      </w:r>
    </w:p>
    <w:p>
      <w:pPr>
        <w:pStyle w:val="ListParagraph"/>
        <w:ind w:start="0"/>
        <w:jc w:val="both"/>
        <w:rPr>
          <w:rFonts w:ascii="Aptos" w:hAnsi="Aptos" w:cs="Arial"/>
          <w:sz w:val="24"/>
        </w:rPr>
      </w:pPr>
      <w:r>
        <w:rPr>
          <w:rFonts w:cs="Arial" w:ascii="Aptos" w:hAnsi="Aptos"/>
          <w:sz w:val="24"/>
        </w:rPr>
      </w:r>
    </w:p>
    <w:p>
      <w:pPr>
        <w:pStyle w:val="ListParagraph"/>
        <w:ind w:start="0"/>
        <w:jc w:val="both"/>
        <w:rPr>
          <w:rFonts w:ascii="Aptos" w:hAnsi="Aptos" w:cs="Arial"/>
          <w:sz w:val="24"/>
        </w:rPr>
      </w:pPr>
      <w:r>
        <w:rPr>
          <w:rFonts w:cs="Arial" w:ascii="Aptos" w:hAnsi="Aptos"/>
          <w:sz w:val="24"/>
        </w:rPr>
      </w:r>
    </w:p>
    <w:p>
      <w:pPr>
        <w:pStyle w:val="Normal"/>
        <w:rPr>
          <w:rFonts w:ascii="Aptos" w:hAnsi="Aptos" w:cs="Arial"/>
          <w:b/>
          <w:bCs/>
          <w:sz w:val="24"/>
          <w:u w:val="single"/>
        </w:rPr>
      </w:pPr>
      <w:r>
        <w:rPr>
          <w:rFonts w:cs="Arial" w:ascii="Aptos" w:hAnsi="Aptos"/>
          <w:b/>
          <w:bCs/>
          <w:kern w:val="2"/>
          <w:sz w:val="24"/>
          <w:u w:val="single"/>
        </w:rPr>
        <w:t>III) DURÉE DE L’ACCORD</w:t>
      </w:r>
    </w:p>
    <w:p>
      <w:pPr>
        <w:pStyle w:val="Normal"/>
        <w:keepNext w:val="true"/>
        <w:numPr>
          <w:ilvl w:val="0"/>
          <w:numId w:val="0"/>
        </w:numPr>
        <w:jc w:val="both"/>
        <w:outlineLvl w:val="1"/>
        <w:rPr>
          <w:rFonts w:ascii="Aptos" w:hAnsi="Aptos" w:cs="Arial"/>
          <w:b/>
          <w:sz w:val="24"/>
          <w:u w:val="single"/>
          <w:lang w:eastAsia="en-US"/>
        </w:rPr>
      </w:pPr>
      <w:r>
        <w:rPr>
          <w:rFonts w:cs="Arial" w:ascii="Aptos" w:hAnsi="Aptos"/>
          <w:b/>
          <w:sz w:val="24"/>
          <w:u w:val="single"/>
          <w:lang w:eastAsia="en-US"/>
        </w:rPr>
      </w:r>
    </w:p>
    <w:p>
      <w:pPr>
        <w:pStyle w:val="Normal"/>
        <w:jc w:val="both"/>
        <w:rPr>
          <w:rFonts w:ascii="Aptos" w:hAnsi="Aptos" w:cs="Arial"/>
          <w:sz w:val="24"/>
          <w:lang w:eastAsia="en-US"/>
        </w:rPr>
      </w:pPr>
      <w:r>
        <w:rPr>
          <w:rFonts w:cs="Arial" w:ascii="Aptos" w:hAnsi="Aptos"/>
          <w:sz w:val="24"/>
          <w:lang w:eastAsia="en-US"/>
        </w:rPr>
        <w:t>Le présent accord prend effet à compter de sa signature, jusqu’à la prochaine négociation annuelle.</w:t>
      </w:r>
    </w:p>
    <w:p>
      <w:pPr>
        <w:pStyle w:val="Normal"/>
        <w:jc w:val="both"/>
        <w:rPr>
          <w:rFonts w:ascii="Aptos" w:hAnsi="Aptos" w:cs="Arial"/>
          <w:sz w:val="24"/>
          <w:lang w:eastAsia="en-US"/>
        </w:rPr>
      </w:pPr>
      <w:r>
        <w:rPr>
          <w:rFonts w:cs="Arial" w:ascii="Aptos" w:hAnsi="Aptos"/>
          <w:sz w:val="24"/>
          <w:lang w:eastAsia="en-US"/>
        </w:rPr>
      </w:r>
    </w:p>
    <w:p>
      <w:pPr>
        <w:pStyle w:val="Normal"/>
        <w:jc w:val="both"/>
        <w:rPr>
          <w:rFonts w:ascii="Aptos" w:hAnsi="Aptos" w:cs="Arial"/>
          <w:b/>
          <w:bCs/>
          <w:sz w:val="24"/>
          <w:lang w:eastAsia="en-US"/>
        </w:rPr>
      </w:pPr>
      <w:r>
        <w:rPr>
          <w:rFonts w:cs="Arial" w:ascii="Aptos" w:hAnsi="Aptos"/>
          <w:sz w:val="24"/>
          <w:lang w:eastAsia="en-US"/>
        </w:rPr>
        <w:t>Il pourra être dénoncé par l’ensemble des Parties signataires. Cette décision sera notifiée par lettre recommandée avec accusé de réception adressée à la DDETS du Rhône.</w:t>
      </w:r>
      <w:bookmarkEnd w:id="1"/>
    </w:p>
    <w:p>
      <w:pPr>
        <w:pStyle w:val="Normal"/>
        <w:rPr>
          <w:rFonts w:ascii="Aptos" w:hAnsi="Aptos" w:cs="Arial"/>
          <w:color w:val="000000"/>
          <w:kern w:val="2"/>
          <w:sz w:val="24"/>
        </w:rPr>
      </w:pPr>
      <w:r>
        <w:rPr>
          <w:rFonts w:cs="Arial" w:ascii="Aptos" w:hAnsi="Aptos"/>
          <w:color w:val="000000"/>
          <w:kern w:val="2"/>
          <w:sz w:val="24"/>
        </w:rPr>
      </w:r>
      <w:r>
        <w:br w:type="page"/>
      </w:r>
    </w:p>
    <w:p>
      <w:pPr>
        <w:pStyle w:val="Normal"/>
        <w:spacing w:before="0" w:after="0"/>
        <w:jc w:val="both"/>
        <w:rPr>
          <w:rFonts w:ascii="Aptos" w:hAnsi="Aptos" w:cs="Arial"/>
          <w:color w:val="000000"/>
          <w:kern w:val="2"/>
          <w:sz w:val="24"/>
        </w:rPr>
      </w:pPr>
      <w:r>
        <w:rPr>
          <w:rFonts w:cs="Arial" w:ascii="Aptos" w:hAnsi="Aptos"/>
          <w:color w:val="000000"/>
          <w:kern w:val="2"/>
          <w:sz w:val="24"/>
        </w:rPr>
      </w:r>
    </w:p>
    <w:p>
      <w:pPr>
        <w:pStyle w:val="Normal"/>
        <w:keepNext w:val="true"/>
        <w:spacing w:before="240" w:after="0"/>
        <w:rPr>
          <w:rFonts w:ascii="Aptos" w:hAnsi="Aptos" w:cs="Arial"/>
          <w:b/>
          <w:bCs/>
          <w:sz w:val="24"/>
          <w:u w:val="single"/>
          <w:lang w:eastAsia="en-US"/>
        </w:rPr>
      </w:pPr>
      <w:r>
        <w:rPr>
          <w:rFonts w:cs="Arial" w:ascii="Aptos" w:hAnsi="Aptos"/>
          <w:b/>
          <w:bCs/>
          <w:kern w:val="2"/>
          <w:sz w:val="24"/>
          <w:u w:val="single"/>
          <w:lang w:eastAsia="en-US"/>
        </w:rPr>
        <w:t>IV) FORMALITÉS DE DEPOT</w:t>
      </w:r>
    </w:p>
    <w:p>
      <w:pPr>
        <w:pStyle w:val="Normal"/>
        <w:spacing w:lineRule="atLeast" w:line="280"/>
        <w:jc w:val="both"/>
        <w:rPr>
          <w:rFonts w:ascii="Aptos" w:hAnsi="Aptos" w:cs="Arial"/>
          <w:sz w:val="24"/>
          <w:lang w:eastAsia="en-US"/>
        </w:rPr>
      </w:pPr>
      <w:r>
        <w:rPr>
          <w:rFonts w:cs="Arial" w:ascii="Aptos" w:hAnsi="Aptos"/>
          <w:sz w:val="24"/>
          <w:lang w:eastAsia="en-US"/>
        </w:rPr>
      </w:r>
    </w:p>
    <w:p>
      <w:pPr>
        <w:pStyle w:val="Normal"/>
        <w:spacing w:lineRule="atLeast" w:line="280"/>
        <w:jc w:val="both"/>
        <w:rPr>
          <w:rFonts w:ascii="Aptos" w:hAnsi="Aptos" w:cs="Arial"/>
          <w:sz w:val="24"/>
          <w:lang w:eastAsia="en-US"/>
        </w:rPr>
      </w:pPr>
      <w:r>
        <w:rPr>
          <w:rFonts w:cs="Arial" w:ascii="Aptos" w:hAnsi="Aptos"/>
          <w:sz w:val="24"/>
          <w:lang w:eastAsia="en-US"/>
        </w:rPr>
        <w:t>Le présent procès-verbal de d’accord sera déposé par voie dématérialisée sur la plateforme de téléprocédure du Ministère du travail (</w:t>
      </w:r>
      <w:r>
        <w:rPr>
          <w:rFonts w:cs="Arial" w:ascii="Aptos" w:hAnsi="Aptos"/>
          <w:i/>
          <w:sz w:val="24"/>
          <w:lang w:eastAsia="en-US"/>
        </w:rPr>
        <w:t>Téléaccords</w:t>
      </w:r>
      <w:r>
        <w:rPr>
          <w:rFonts w:cs="Arial" w:ascii="Aptos" w:hAnsi="Aptos"/>
          <w:sz w:val="24"/>
          <w:lang w:eastAsia="en-US"/>
        </w:rPr>
        <w:t>), ainsi qu’au secrétariat du Greffe du Conseil des Prud’hommes du lieu de sa conclusion.</w:t>
      </w:r>
    </w:p>
    <w:p>
      <w:pPr>
        <w:pStyle w:val="Normal"/>
        <w:spacing w:lineRule="atLeast" w:line="280"/>
        <w:jc w:val="both"/>
        <w:rPr>
          <w:rFonts w:ascii="Aptos" w:hAnsi="Aptos" w:cs="Arial"/>
          <w:sz w:val="24"/>
          <w:lang w:eastAsia="en-US"/>
        </w:rPr>
      </w:pPr>
      <w:r>
        <w:rPr>
          <w:rFonts w:cs="Arial" w:ascii="Aptos" w:hAnsi="Aptos"/>
          <w:sz w:val="24"/>
          <w:lang w:eastAsia="en-US"/>
        </w:rPr>
      </w:r>
    </w:p>
    <w:p>
      <w:pPr>
        <w:pStyle w:val="Normal"/>
        <w:spacing w:lineRule="atLeast" w:line="280"/>
        <w:jc w:val="both"/>
        <w:rPr>
          <w:rFonts w:ascii="Aptos" w:hAnsi="Aptos" w:cs="Arial"/>
          <w:sz w:val="24"/>
        </w:rPr>
      </w:pPr>
      <w:r>
        <w:rPr>
          <w:rFonts w:cs="Arial" w:ascii="Aptos" w:hAnsi="Aptos"/>
          <w:sz w:val="24"/>
        </w:rPr>
        <w:t>En outre, un exemplaire original sera remis à l’entreprise et à l’organisation syndicale représentative dans l’entreprise.</w:t>
      </w:r>
    </w:p>
    <w:p>
      <w:pPr>
        <w:pStyle w:val="Normal"/>
        <w:spacing w:lineRule="atLeast" w:line="280"/>
        <w:jc w:val="both"/>
        <w:rPr>
          <w:rFonts w:ascii="Aptos" w:hAnsi="Aptos" w:cs="Arial"/>
          <w:sz w:val="24"/>
        </w:rPr>
      </w:pPr>
      <w:r>
        <w:rPr>
          <w:rFonts w:cs="Arial" w:ascii="Aptos" w:hAnsi="Aptos"/>
          <w:sz w:val="24"/>
        </w:rPr>
      </w:r>
    </w:p>
    <w:p>
      <w:pPr>
        <w:pStyle w:val="Normal"/>
        <w:rPr>
          <w:rFonts w:ascii="Aptos" w:hAnsi="Aptos" w:cs="Arial"/>
          <w:sz w:val="24"/>
          <w:lang w:eastAsia="en-US"/>
        </w:rPr>
      </w:pPr>
      <w:r>
        <w:rPr>
          <w:rFonts w:cs="Arial" w:ascii="Aptos" w:hAnsi="Aptos"/>
          <w:sz w:val="24"/>
          <w:lang w:eastAsia="en-US"/>
        </w:rPr>
      </w:r>
    </w:p>
    <w:p>
      <w:pPr>
        <w:pStyle w:val="Normal"/>
        <w:rPr>
          <w:rFonts w:ascii="Aptos" w:hAnsi="Aptos" w:cs="Arial"/>
          <w:sz w:val="24"/>
          <w:lang w:eastAsia="en-US"/>
        </w:rPr>
      </w:pPr>
      <w:r>
        <w:rPr>
          <w:rFonts w:cs="Arial" w:ascii="Aptos" w:hAnsi="Aptos"/>
          <w:sz w:val="24"/>
          <w:lang w:eastAsia="en-US"/>
        </w:rPr>
      </w:r>
    </w:p>
    <w:p>
      <w:pPr>
        <w:pStyle w:val="Normal"/>
        <w:rPr>
          <w:rFonts w:ascii="Aptos" w:hAnsi="Aptos" w:cs="Arial"/>
          <w:sz w:val="24"/>
          <w:lang w:eastAsia="en-US"/>
        </w:rPr>
      </w:pPr>
      <w:r>
        <w:rPr>
          <w:rFonts w:cs="Arial" w:ascii="Aptos" w:hAnsi="Aptos"/>
          <w:sz w:val="24"/>
          <w:lang w:eastAsia="en-US"/>
        </w:rPr>
      </w:r>
    </w:p>
    <w:p>
      <w:pPr>
        <w:pStyle w:val="Normal"/>
        <w:tabs>
          <w:tab w:val="clear" w:pos="708"/>
          <w:tab w:val="left" w:pos="5245" w:leader="none"/>
        </w:tabs>
        <w:ind w:start="5245"/>
        <w:jc w:val="both"/>
        <w:rPr>
          <w:rFonts w:ascii="Aptos" w:hAnsi="Aptos" w:cs="Arial"/>
          <w:sz w:val="24"/>
          <w:lang w:eastAsia="en-US"/>
        </w:rPr>
      </w:pPr>
      <w:r>
        <w:rPr>
          <w:rFonts w:cs="Arial" w:ascii="Aptos" w:hAnsi="Aptos"/>
          <w:sz w:val="24"/>
          <w:lang w:eastAsia="en-US"/>
        </w:rPr>
        <w:t>Fait à Bron, le 23 mars 2026.</w:t>
      </w:r>
    </w:p>
    <w:p>
      <w:pPr>
        <w:pStyle w:val="Normal"/>
        <w:tabs>
          <w:tab w:val="clear" w:pos="708"/>
          <w:tab w:val="left" w:pos="0" w:leader="none"/>
        </w:tabs>
        <w:ind w:hanging="709" w:start="5954"/>
        <w:jc w:val="both"/>
        <w:rPr>
          <w:rFonts w:ascii="Aptos" w:hAnsi="Aptos" w:cs="Arial"/>
          <w:sz w:val="24"/>
          <w:lang w:eastAsia="en-US"/>
        </w:rPr>
      </w:pPr>
      <w:r>
        <w:rPr>
          <w:rFonts w:cs="Arial" w:ascii="Aptos" w:hAnsi="Aptos"/>
          <w:sz w:val="24"/>
          <w:lang w:eastAsia="en-US"/>
        </w:rPr>
        <w:t>En trois exemplaires originaux.</w:t>
      </w:r>
    </w:p>
    <w:p>
      <w:pPr>
        <w:pStyle w:val="Normal"/>
        <w:tabs>
          <w:tab w:val="clear" w:pos="708"/>
          <w:tab w:val="left" w:pos="4423" w:leader="none"/>
        </w:tabs>
        <w:jc w:val="both"/>
        <w:rPr>
          <w:rFonts w:ascii="Aptos" w:hAnsi="Aptos" w:cs="Arial"/>
          <w:sz w:val="24"/>
        </w:rPr>
      </w:pPr>
      <w:r>
        <w:rPr>
          <w:rFonts w:cs="Arial" w:ascii="Aptos" w:hAnsi="Aptos"/>
          <w:sz w:val="24"/>
        </w:rPr>
      </w:r>
    </w:p>
    <w:p>
      <w:pPr>
        <w:pStyle w:val="Normal"/>
        <w:tabs>
          <w:tab w:val="clear" w:pos="708"/>
          <w:tab w:val="left" w:pos="4423" w:leader="none"/>
        </w:tabs>
        <w:jc w:val="both"/>
        <w:rPr>
          <w:rFonts w:ascii="Aptos" w:hAnsi="Aptos" w:cs="Arial"/>
          <w:sz w:val="24"/>
        </w:rPr>
      </w:pPr>
      <w:r>
        <w:rPr>
          <w:rFonts w:cs="Arial" w:ascii="Aptos" w:hAnsi="Aptos"/>
          <w:sz w:val="24"/>
        </w:rPr>
      </w:r>
    </w:p>
    <w:p>
      <w:pPr>
        <w:pStyle w:val="Normal"/>
        <w:tabs>
          <w:tab w:val="clear" w:pos="708"/>
          <w:tab w:val="left" w:pos="4423" w:leader="none"/>
        </w:tabs>
        <w:jc w:val="both"/>
        <w:rPr>
          <w:rFonts w:ascii="Aptos" w:hAnsi="Aptos" w:cs="Arial"/>
          <w:sz w:val="24"/>
        </w:rPr>
      </w:pPr>
      <w:r>
        <w:rPr>
          <w:rFonts w:cs="Arial" w:ascii="Aptos" w:hAnsi="Aptos"/>
          <w:sz w:val="24"/>
        </w:rPr>
      </w:r>
    </w:p>
    <w:p>
      <w:pPr>
        <w:pStyle w:val="Normal"/>
        <w:tabs>
          <w:tab w:val="clear" w:pos="708"/>
          <w:tab w:val="left" w:pos="4423" w:leader="none"/>
        </w:tabs>
        <w:jc w:val="both"/>
        <w:rPr>
          <w:rFonts w:ascii="Aptos" w:hAnsi="Aptos" w:cs="Arial"/>
          <w:sz w:val="24"/>
        </w:rPr>
      </w:pPr>
      <w:r>
        <w:rPr>
          <w:rFonts w:cs="Arial" w:ascii="Aptos" w:hAnsi="Aptos"/>
          <w:sz w:val="24"/>
        </w:rPr>
      </w:r>
    </w:p>
    <w:tbl>
      <w:tblPr>
        <w:tblStyle w:val="Grilledutableau"/>
        <w:tblW w:w="9060" w:type="dxa"/>
        <w:jc w:val="center"/>
        <w:tblInd w:w="0" w:type="dxa"/>
        <w:tblLayout w:type="fixed"/>
        <w:tblCellMar>
          <w:top w:w="0" w:type="dxa"/>
          <w:start w:w="108" w:type="dxa"/>
          <w:bottom w:w="0" w:type="dxa"/>
          <w:end w:w="108" w:type="dxa"/>
        </w:tblCellMar>
        <w:tblLook w:firstRow="1" w:noVBand="1" w:lastRow="0" w:firstColumn="1" w:lastColumn="0" w:noHBand="0" w:val="04a0"/>
      </w:tblPr>
      <w:tblGrid>
        <w:gridCol w:w="4530"/>
        <w:gridCol w:w="4530"/>
      </w:tblGrid>
      <w:tr>
        <w:trPr/>
        <w:tc>
          <w:tcPr>
            <w:tcW w:w="4530" w:type="dxa"/>
            <w:tcBorders>
              <w:top w:val="nil"/>
              <w:start w:val="nil"/>
              <w:bottom w:val="nil"/>
              <w:end w:val="nil"/>
            </w:tcBorders>
            <w:vAlign w:val="center"/>
          </w:tcPr>
          <w:p>
            <w:pPr>
              <w:pStyle w:val="Normal"/>
              <w:widowControl/>
              <w:tabs>
                <w:tab w:val="clear" w:pos="708"/>
                <w:tab w:val="left" w:pos="4423" w:leader="none"/>
              </w:tabs>
              <w:spacing w:before="0" w:after="0"/>
              <w:jc w:val="center"/>
              <w:rPr>
                <w:rFonts w:ascii="Aptos" w:hAnsi="Aptos" w:cs="Arial"/>
                <w:b/>
                <w:bCs/>
                <w:i/>
                <w:iCs/>
                <w:sz w:val="24"/>
              </w:rPr>
            </w:pPr>
            <w:r>
              <w:rPr>
                <w:rFonts w:eastAsia="Times New Roman" w:cs="Arial" w:ascii="Aptos" w:hAnsi="Aptos"/>
                <w:b/>
                <w:bCs/>
                <w:i/>
                <w:iCs/>
                <w:kern w:val="0"/>
                <w:sz w:val="24"/>
                <w:lang w:val="fr-FR" w:eastAsia="fr-FR" w:bidi="ar-SA"/>
              </w:rPr>
              <w:t xml:space="preserve">La Directrice Générale </w:t>
            </w:r>
          </w:p>
          <w:p>
            <w:pPr>
              <w:pStyle w:val="Normal"/>
              <w:widowControl/>
              <w:tabs>
                <w:tab w:val="clear" w:pos="708"/>
                <w:tab w:val="left" w:pos="4423" w:leader="none"/>
              </w:tabs>
              <w:spacing w:before="0" w:after="0"/>
              <w:jc w:val="center"/>
              <w:rPr>
                <w:rFonts w:ascii="Aptos" w:hAnsi="Aptos" w:cs="Arial"/>
                <w:b/>
                <w:bCs/>
                <w:i/>
                <w:iCs/>
                <w:sz w:val="24"/>
              </w:rPr>
            </w:pPr>
            <w:r>
              <w:rPr>
                <w:rFonts w:eastAsia="Times New Roman" w:cs="Arial" w:ascii="Aptos" w:hAnsi="Aptos"/>
                <w:b/>
                <w:bCs/>
                <w:i/>
                <w:iCs/>
                <w:kern w:val="0"/>
                <w:sz w:val="24"/>
                <w:lang w:val="fr-FR" w:eastAsia="fr-FR" w:bidi="ar-SA"/>
              </w:rPr>
            </w:r>
          </w:p>
          <w:p>
            <w:pPr>
              <w:pStyle w:val="Normal"/>
              <w:widowControl/>
              <w:tabs>
                <w:tab w:val="clear" w:pos="708"/>
                <w:tab w:val="left" w:pos="4423" w:leader="none"/>
              </w:tabs>
              <w:spacing w:before="0" w:after="0"/>
              <w:jc w:val="center"/>
              <w:rPr>
                <w:rFonts w:ascii="Aptos" w:hAnsi="Aptos" w:cs="Arial"/>
                <w:b/>
                <w:bCs/>
                <w:i/>
                <w:iCs/>
                <w:sz w:val="24"/>
              </w:rPr>
            </w:pPr>
            <w:r>
              <w:rPr>
                <w:rFonts w:eastAsia="Times New Roman" w:cs="Arial" w:ascii="Aptos" w:hAnsi="Aptos"/>
                <w:b/>
                <w:bCs/>
                <w:i/>
                <w:iCs/>
                <w:kern w:val="0"/>
                <w:sz w:val="24"/>
                <w:lang w:val="fr-FR" w:eastAsia="fr-FR" w:bidi="ar-SA"/>
              </w:rPr>
            </w:r>
          </w:p>
          <w:p>
            <w:pPr>
              <w:pStyle w:val="Normal"/>
              <w:widowControl/>
              <w:tabs>
                <w:tab w:val="clear" w:pos="708"/>
                <w:tab w:val="left" w:pos="4423" w:leader="none"/>
              </w:tabs>
              <w:spacing w:before="0" w:after="0"/>
              <w:jc w:val="center"/>
              <w:rPr>
                <w:rFonts w:ascii="Aptos" w:hAnsi="Aptos" w:cs="Arial"/>
                <w:b/>
                <w:bCs/>
                <w:i/>
                <w:iCs/>
                <w:sz w:val="24"/>
              </w:rPr>
            </w:pPr>
            <w:r>
              <w:rPr>
                <w:rFonts w:eastAsia="Times New Roman" w:cs="Arial" w:ascii="Aptos" w:hAnsi="Aptos"/>
                <w:b/>
                <w:bCs/>
                <w:i/>
                <w:iCs/>
                <w:kern w:val="0"/>
                <w:sz w:val="24"/>
                <w:lang w:val="fr-FR" w:eastAsia="fr-FR" w:bidi="ar-SA"/>
              </w:rPr>
            </w:r>
          </w:p>
          <w:p>
            <w:pPr>
              <w:pStyle w:val="Normal"/>
              <w:widowControl/>
              <w:tabs>
                <w:tab w:val="clear" w:pos="708"/>
                <w:tab w:val="left" w:pos="4423" w:leader="none"/>
              </w:tabs>
              <w:spacing w:before="0" w:after="0"/>
              <w:jc w:val="center"/>
              <w:rPr>
                <w:rFonts w:ascii="Aptos" w:hAnsi="Aptos" w:cs="Arial"/>
                <w:b/>
                <w:bCs/>
                <w:i/>
                <w:iCs/>
                <w:sz w:val="24"/>
              </w:rPr>
            </w:pPr>
            <w:r>
              <w:rPr>
                <w:rFonts w:eastAsia="Times New Roman" w:cs="Arial" w:ascii="Aptos" w:hAnsi="Aptos"/>
                <w:b/>
                <w:bCs/>
                <w:i/>
                <w:iCs/>
                <w:kern w:val="0"/>
                <w:sz w:val="24"/>
                <w:lang w:val="fr-FR" w:eastAsia="fr-FR" w:bidi="ar-SA"/>
              </w:rPr>
            </w:r>
          </w:p>
          <w:p>
            <w:pPr>
              <w:pStyle w:val="Normal"/>
              <w:widowControl/>
              <w:tabs>
                <w:tab w:val="clear" w:pos="708"/>
                <w:tab w:val="left" w:pos="4423" w:leader="none"/>
              </w:tabs>
              <w:spacing w:before="0" w:after="0"/>
              <w:jc w:val="center"/>
              <w:rPr>
                <w:rFonts w:ascii="Aptos" w:hAnsi="Aptos" w:cs="Arial"/>
                <w:b/>
                <w:bCs/>
                <w:i/>
                <w:iCs/>
                <w:sz w:val="24"/>
              </w:rPr>
            </w:pPr>
            <w:r>
              <w:rPr>
                <w:rFonts w:eastAsia="Times New Roman" w:cs="Arial" w:ascii="Aptos" w:hAnsi="Aptos"/>
                <w:b/>
                <w:bCs/>
                <w:i/>
                <w:iCs/>
                <w:kern w:val="0"/>
                <w:sz w:val="24"/>
                <w:lang w:val="fr-FR" w:eastAsia="fr-FR" w:bidi="ar-SA"/>
              </w:rPr>
            </w:r>
          </w:p>
          <w:p>
            <w:pPr>
              <w:pStyle w:val="Normal"/>
              <w:rPr>
                <w:lang w:val="fr-FR" w:eastAsia="fr-FR" w:bidi="ar-SA"/>
              </w:rPr>
            </w:pPr>
            <w:r>
              <w:rPr>
                <w:lang w:val="fr-FR" w:eastAsia="fr-FR" w:bidi="ar-SA"/>
              </w:rPr>
              <w:t>XXXX</w:t>
            </w:r>
          </w:p>
        </w:tc>
        <w:tc>
          <w:tcPr>
            <w:tcW w:w="4530" w:type="dxa"/>
            <w:tcBorders>
              <w:top w:val="nil"/>
              <w:start w:val="nil"/>
              <w:bottom w:val="nil"/>
              <w:end w:val="nil"/>
            </w:tcBorders>
            <w:vAlign w:val="center"/>
          </w:tcPr>
          <w:p>
            <w:pPr>
              <w:pStyle w:val="Normal"/>
              <w:widowControl/>
              <w:tabs>
                <w:tab w:val="clear" w:pos="708"/>
                <w:tab w:val="left" w:pos="4423" w:leader="none"/>
              </w:tabs>
              <w:spacing w:before="0" w:after="0"/>
              <w:jc w:val="center"/>
              <w:rPr>
                <w:rFonts w:ascii="Aptos" w:hAnsi="Aptos" w:cs="Arial"/>
                <w:b/>
                <w:bCs/>
                <w:i/>
                <w:iCs/>
                <w:sz w:val="24"/>
              </w:rPr>
            </w:pPr>
            <w:r>
              <w:rPr>
                <w:rFonts w:eastAsia="Times New Roman" w:cs="Arial" w:ascii="Aptos" w:hAnsi="Aptos"/>
                <w:b/>
                <w:bCs/>
                <w:i/>
                <w:iCs/>
                <w:kern w:val="0"/>
                <w:sz w:val="24"/>
                <w:lang w:val="fr-FR" w:eastAsia="fr-FR" w:bidi="ar-SA"/>
              </w:rPr>
              <w:t>Le Délégué syndical</w:t>
            </w:r>
          </w:p>
          <w:p>
            <w:pPr>
              <w:pStyle w:val="Normal"/>
              <w:widowControl/>
              <w:tabs>
                <w:tab w:val="clear" w:pos="708"/>
                <w:tab w:val="left" w:pos="4423" w:leader="none"/>
              </w:tabs>
              <w:spacing w:before="0" w:after="0"/>
              <w:jc w:val="center"/>
              <w:rPr>
                <w:rFonts w:ascii="Aptos" w:hAnsi="Aptos" w:cs="Arial"/>
                <w:b/>
                <w:bCs/>
                <w:i/>
                <w:iCs/>
                <w:sz w:val="24"/>
              </w:rPr>
            </w:pPr>
            <w:r>
              <w:rPr>
                <w:rFonts w:eastAsia="Times New Roman" w:cs="Arial" w:ascii="Aptos" w:hAnsi="Aptos"/>
                <w:b/>
                <w:bCs/>
                <w:i/>
                <w:iCs/>
                <w:kern w:val="0"/>
                <w:sz w:val="24"/>
                <w:lang w:val="fr-FR" w:eastAsia="fr-FR" w:bidi="ar-SA"/>
              </w:rPr>
            </w:r>
          </w:p>
          <w:p>
            <w:pPr>
              <w:pStyle w:val="Normal"/>
              <w:widowControl/>
              <w:tabs>
                <w:tab w:val="clear" w:pos="708"/>
                <w:tab w:val="left" w:pos="4423" w:leader="none"/>
              </w:tabs>
              <w:spacing w:before="0" w:after="0"/>
              <w:jc w:val="center"/>
              <w:rPr>
                <w:rFonts w:ascii="Aptos" w:hAnsi="Aptos" w:cs="Arial"/>
                <w:b/>
                <w:bCs/>
                <w:i/>
                <w:iCs/>
                <w:sz w:val="24"/>
              </w:rPr>
            </w:pPr>
            <w:r>
              <w:rPr>
                <w:rFonts w:eastAsia="Times New Roman" w:cs="Arial" w:ascii="Aptos" w:hAnsi="Aptos"/>
                <w:b/>
                <w:bCs/>
                <w:i/>
                <w:iCs/>
                <w:kern w:val="0"/>
                <w:sz w:val="24"/>
                <w:lang w:val="fr-FR" w:eastAsia="fr-FR" w:bidi="ar-SA"/>
              </w:rPr>
            </w:r>
          </w:p>
          <w:p>
            <w:pPr>
              <w:pStyle w:val="Normal"/>
              <w:widowControl/>
              <w:tabs>
                <w:tab w:val="clear" w:pos="708"/>
                <w:tab w:val="left" w:pos="4423" w:leader="none"/>
              </w:tabs>
              <w:spacing w:before="0" w:after="0"/>
              <w:jc w:val="center"/>
              <w:rPr>
                <w:rFonts w:ascii="Aptos" w:hAnsi="Aptos" w:cs="Arial"/>
                <w:b/>
                <w:bCs/>
                <w:i/>
                <w:iCs/>
                <w:sz w:val="24"/>
              </w:rPr>
            </w:pPr>
            <w:r>
              <w:rPr>
                <w:rFonts w:eastAsia="Times New Roman" w:cs="Arial" w:ascii="Aptos" w:hAnsi="Aptos"/>
                <w:b/>
                <w:bCs/>
                <w:i/>
                <w:iCs/>
                <w:kern w:val="0"/>
                <w:sz w:val="24"/>
                <w:lang w:val="fr-FR" w:eastAsia="fr-FR" w:bidi="ar-SA"/>
              </w:rPr>
            </w:r>
          </w:p>
          <w:p>
            <w:pPr>
              <w:pStyle w:val="Normal"/>
              <w:widowControl/>
              <w:tabs>
                <w:tab w:val="clear" w:pos="708"/>
                <w:tab w:val="left" w:pos="4423" w:leader="none"/>
              </w:tabs>
              <w:spacing w:before="0" w:after="0"/>
              <w:jc w:val="center"/>
              <w:rPr>
                <w:rFonts w:ascii="Aptos" w:hAnsi="Aptos" w:cs="Arial"/>
                <w:b/>
                <w:bCs/>
                <w:i/>
                <w:iCs/>
                <w:sz w:val="24"/>
              </w:rPr>
            </w:pPr>
            <w:r>
              <w:rPr>
                <w:rFonts w:eastAsia="Times New Roman" w:cs="Arial" w:ascii="Aptos" w:hAnsi="Aptos"/>
                <w:b/>
                <w:bCs/>
                <w:i/>
                <w:iCs/>
                <w:kern w:val="0"/>
                <w:sz w:val="24"/>
                <w:lang w:val="fr-FR" w:eastAsia="fr-FR" w:bidi="ar-SA"/>
              </w:rPr>
            </w:r>
          </w:p>
          <w:p>
            <w:pPr>
              <w:pStyle w:val="Normal"/>
              <w:widowControl/>
              <w:tabs>
                <w:tab w:val="clear" w:pos="708"/>
                <w:tab w:val="left" w:pos="4423" w:leader="none"/>
              </w:tabs>
              <w:spacing w:before="0" w:after="0"/>
              <w:jc w:val="center"/>
              <w:rPr>
                <w:rFonts w:ascii="Aptos" w:hAnsi="Aptos" w:cs="Arial"/>
                <w:b/>
                <w:bCs/>
                <w:i/>
                <w:iCs/>
                <w:sz w:val="24"/>
              </w:rPr>
            </w:pPr>
            <w:r>
              <w:rPr>
                <w:rFonts w:eastAsia="Times New Roman" w:cs="Arial" w:ascii="Aptos" w:hAnsi="Aptos"/>
                <w:b/>
                <w:bCs/>
                <w:i/>
                <w:iCs/>
                <w:kern w:val="0"/>
                <w:sz w:val="24"/>
                <w:lang w:val="fr-FR" w:eastAsia="fr-FR" w:bidi="ar-SA"/>
              </w:rPr>
            </w:r>
          </w:p>
          <w:p>
            <w:pPr>
              <w:pStyle w:val="Normal"/>
              <w:rPr>
                <w:lang w:val="fr-FR" w:eastAsia="fr-FR" w:bidi="ar-SA"/>
              </w:rPr>
            </w:pPr>
            <w:r>
              <w:rPr>
                <w:lang w:val="fr-FR" w:eastAsia="fr-FR" w:bidi="ar-SA"/>
              </w:rPr>
              <w:t>XXXX</w:t>
            </w:r>
          </w:p>
        </w:tc>
      </w:tr>
    </w:tbl>
    <w:p>
      <w:pPr>
        <w:pStyle w:val="Normal"/>
        <w:tabs>
          <w:tab w:val="clear" w:pos="708"/>
          <w:tab w:val="left" w:pos="4423" w:leader="none"/>
        </w:tabs>
        <w:jc w:val="both"/>
        <w:rPr>
          <w:rFonts w:ascii="Aptos" w:hAnsi="Aptos" w:cs="Arial"/>
          <w:sz w:val="24"/>
        </w:rPr>
      </w:pPr>
      <w:r>
        <w:rPr>
          <w:rFonts w:cs="Arial" w:ascii="Aptos" w:hAnsi="Aptos"/>
          <w:sz w:val="24"/>
        </w:rPr>
      </w:r>
    </w:p>
    <w:p>
      <w:pPr>
        <w:pStyle w:val="Normal"/>
        <w:tabs>
          <w:tab w:val="clear" w:pos="708"/>
          <w:tab w:val="left" w:pos="4423" w:leader="none"/>
        </w:tabs>
        <w:jc w:val="both"/>
        <w:rPr>
          <w:rFonts w:ascii="Aptos" w:hAnsi="Aptos" w:cs="Arial"/>
          <w:sz w:val="24"/>
        </w:rPr>
      </w:pPr>
      <w:r>
        <w:rPr>
          <w:rFonts w:cs="Arial" w:ascii="Aptos" w:hAnsi="Aptos"/>
          <w:sz w:val="24"/>
        </w:rPr>
      </w:r>
    </w:p>
    <w:p>
      <w:pPr>
        <w:pStyle w:val="Normal"/>
        <w:tabs>
          <w:tab w:val="clear" w:pos="708"/>
          <w:tab w:val="left" w:pos="4423" w:leader="none"/>
        </w:tabs>
        <w:jc w:val="both"/>
        <w:rPr>
          <w:rFonts w:ascii="Aptos" w:hAnsi="Aptos" w:cs="Arial"/>
          <w:sz w:val="24"/>
        </w:rPr>
      </w:pPr>
      <w:r>
        <w:rPr>
          <w:rFonts w:cs="Arial" w:ascii="Aptos" w:hAnsi="Aptos"/>
          <w:sz w:val="24"/>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8" w:right="1418" w:gutter="0" w:header="567" w:top="1418" w:footer="284" w:bottom="1276"/>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Times New Roman">
    <w:charset w:val="01"/>
    <w:family w:val="roman"/>
    <w:pitch w:val="default"/>
  </w:font>
  <w:font w:name="Garamond">
    <w:charset w:val="01"/>
    <w:family w:val="roman"/>
    <w:pitch w:val="default"/>
  </w:font>
  <w:font w:name="Arial">
    <w:charset w:val="01"/>
    <w:family w:val="swiss"/>
    <w:pitch w:val="default"/>
  </w:font>
  <w:font w:name="Marianne">
    <w:charset w:val="01"/>
    <w:family w:val="auto"/>
    <w:pitch w:val="default"/>
  </w:font>
  <w:font w:name="Tahoma">
    <w:charset w:val="01"/>
    <w:family w:val="swiss"/>
    <w:pitch w:val="default"/>
  </w:font>
  <w:font w:name="Aptos">
    <w:charset w:val="01"/>
    <w:family w:val="swiss"/>
    <w:pitch w:val="default"/>
  </w:font>
  <w:font w:name="Courier New">
    <w:charset w:val="01"/>
    <w:family w:val="modern"/>
    <w:pitch w:val="fixed"/>
  </w:font>
  <w:font w:name="Wingdings">
    <w:charset w:val="02"/>
    <w:family w:val="auto"/>
    <w:pitch w:val="variable"/>
  </w:font>
  <w:font w:name="Apto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2065113"/>
    </w:sdtPr>
    <w:sdtContent>
      <w:p>
        <w:pPr>
          <w:pStyle w:val="Footer"/>
          <w:jc w:val="end"/>
          <w:rPr>
            <w:rFonts w:ascii="Arial" w:hAnsi="Arial" w:cs="Arial"/>
          </w:rPr>
        </w:pP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4</w:t>
        </w:r>
        <w:r>
          <w:rPr>
            <w:rFonts w:cs="Arial" w:ascii="Arial" w:hAnsi="Arial"/>
          </w:rPr>
          <w:fldChar w:fldCharType="end"/>
        </w:r>
        <w:r>
          <w:rPr>
            <w:rFonts w:cs="Arial" w:ascii="Arial" w:hAnsi="Arial"/>
          </w:rPr>
          <w:t>/4</w:t>
        </w:r>
      </w:p>
    </w:sdtContent>
  </w:sdt>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2065113"/>
    </w:sdtPr>
    <w:sdtContent>
      <w:p>
        <w:pPr>
          <w:pStyle w:val="Footer"/>
          <w:jc w:val="end"/>
          <w:rPr>
            <w:rFonts w:ascii="Arial" w:hAnsi="Arial" w:cs="Arial"/>
          </w:rPr>
        </w:pP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4</w:t>
        </w:r>
        <w:r>
          <w:rPr>
            <w:rFonts w:cs="Arial" w:ascii="Arial" w:hAnsi="Arial"/>
          </w:rPr>
          <w:fldChar w:fldCharType="end"/>
        </w:r>
        <w:r>
          <w:rPr>
            <w:rFonts w:cs="Arial" w:ascii="Arial" w:hAnsi="Arial"/>
          </w:rPr>
          <w:t>/4</w:t>
        </w:r>
      </w:p>
    </w:sdtContent>
  </w:sdt>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shape_0" adj="10800" fillcolor="silver" stroked="f" o:allowincell="f" style="position:absolute;margin-left:0pt;margin-top:-0.1pt;width:456.75pt;height:182.65pt;mso-wrap-style:none;v-text-anchor:middle;rotation:315;mso-position-horizontal:center;mso-position-horizontal-relative:margin;mso-position-vertical:center;mso-position-vertical-relative:margin" wp14:anchorId="46B54950" type="_x0000_t136">
          <v:path textpathok="t"/>
          <v:textpath on="t" fitshape="t" string="Projet" style="font-family:&quot;Arial&quot;;font-size:8pt" trim="t"/>
          <v:fill o:detectmouseclick="t" type="solid" color2="#3f3f3f"/>
          <v:stroke color="#3465a4" joinstyle="round" endcap="flat"/>
          <w10:wrap type="none"/>
        </v:shape>
      </w:pic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right" w:pos="9070" w:leader="none"/>
      </w:tabs>
      <w:ind w:start="-900"/>
      <w:rPr/>
    </w:pPr>
    <w:r>
      <w:rPr/>
      <w:drawing>
        <wp:inline distT="0" distB="0" distL="0" distR="0">
          <wp:extent cx="1769110" cy="98107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
                  <a:stretch>
                    <a:fillRect/>
                  </a:stretch>
                </pic:blipFill>
                <pic:spPr bwMode="auto">
                  <a:xfrm>
                    <a:off x="0" y="0"/>
                    <a:ext cx="1769110" cy="981075"/>
                  </a:xfrm>
                  <a:prstGeom prst="rect">
                    <a:avLst/>
                  </a:prstGeom>
                  <a:noFill/>
                </pic:spPr>
              </pic:pic>
            </a:graphicData>
          </a:graphic>
        </wp:inline>
      </w:drawing>
    </w:r>
  </w:p>
  <w:p>
    <w:pPr>
      <w:pStyle w:val="Normal"/>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right" w:pos="9070" w:leader="none"/>
      </w:tabs>
      <w:ind w:start="-900"/>
      <w:rPr/>
    </w:pPr>
    <w:r>
      <w:rPr/>
      <w:drawing>
        <wp:inline distT="0" distB="0" distL="0" distR="0">
          <wp:extent cx="1769110" cy="981075"/>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1"/>
                  <a:stretch>
                    <a:fillRect/>
                  </a:stretch>
                </pic:blipFill>
                <pic:spPr bwMode="auto">
                  <a:xfrm>
                    <a:off x="0" y="0"/>
                    <a:ext cx="1769110" cy="981075"/>
                  </a:xfrm>
                  <a:prstGeom prst="rect">
                    <a:avLst/>
                  </a:prstGeom>
                  <a:noFill/>
                </pic:spPr>
              </pic:pic>
            </a:graphicData>
          </a:graphic>
        </wp:inline>
      </w:drawing>
    </w:r>
  </w:p>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pStyle w:val="Heading1"/>
      <w:lvlText w:val="%1"/>
      <w:lvlJc w:val="start"/>
      <w:pPr>
        <w:tabs>
          <w:tab w:val="num" w:pos="432"/>
        </w:tabs>
        <w:ind w:start="432" w:hanging="432"/>
      </w:pPr>
      <w:rPr/>
    </w:lvl>
    <w:lvl w:ilvl="1">
      <w:start w:val="1"/>
      <w:numFmt w:val="decimal"/>
      <w:pStyle w:val="Heading2"/>
      <w:lvlText w:val="%1.%2"/>
      <w:lvlJc w:val="start"/>
      <w:pPr>
        <w:tabs>
          <w:tab w:val="num" w:pos="576"/>
        </w:tabs>
        <w:ind w:start="576" w:hanging="576"/>
      </w:pPr>
      <w:rPr/>
    </w:lvl>
    <w:lvl w:ilvl="2">
      <w:start w:val="1"/>
      <w:numFmt w:val="decimal"/>
      <w:pStyle w:val="Heading3"/>
      <w:lvlText w:val="%1.%2.%3"/>
      <w:lvlJc w:val="start"/>
      <w:pPr>
        <w:tabs>
          <w:tab w:val="num" w:pos="720"/>
        </w:tabs>
        <w:ind w:start="720" w:hanging="720"/>
      </w:pPr>
      <w:rPr/>
    </w:lvl>
    <w:lvl w:ilvl="3">
      <w:start w:val="1"/>
      <w:numFmt w:val="decimal"/>
      <w:lvlText w:val="%1.%2.%3.%4"/>
      <w:lvlJc w:val="start"/>
      <w:pPr>
        <w:tabs>
          <w:tab w:val="num" w:pos="864"/>
        </w:tabs>
        <w:ind w:start="864" w:hanging="864"/>
      </w:pPr>
      <w:rPr/>
    </w:lvl>
    <w:lvl w:ilvl="4">
      <w:start w:val="1"/>
      <w:numFmt w:val="decimal"/>
      <w:pStyle w:val="Heading5"/>
      <w:lvlText w:val="%1.%2.%3.%4.%5"/>
      <w:lvlJc w:val="start"/>
      <w:pPr>
        <w:tabs>
          <w:tab w:val="num" w:pos="1008"/>
        </w:tabs>
        <w:ind w:start="1008" w:hanging="1008"/>
      </w:pPr>
      <w:rPr/>
    </w:lvl>
    <w:lvl w:ilvl="5">
      <w:start w:val="1"/>
      <w:numFmt w:val="decimal"/>
      <w:pStyle w:val="Heading6"/>
      <w:lvlText w:val="%1.%2.%3.%4.%5.%6"/>
      <w:lvlJc w:val="start"/>
      <w:pPr>
        <w:tabs>
          <w:tab w:val="num" w:pos="1152"/>
        </w:tabs>
        <w:ind w:start="1152" w:hanging="1152"/>
      </w:pPr>
      <w:rPr/>
    </w:lvl>
    <w:lvl w:ilvl="6">
      <w:start w:val="1"/>
      <w:numFmt w:val="decimal"/>
      <w:pStyle w:val="Heading7"/>
      <w:lvlText w:val="%1.%2.%3.%4.%5.%6.%7"/>
      <w:lvlJc w:val="start"/>
      <w:pPr>
        <w:tabs>
          <w:tab w:val="num" w:pos="1296"/>
        </w:tabs>
        <w:ind w:start="1296" w:hanging="1296"/>
      </w:pPr>
      <w:rPr/>
    </w:lvl>
    <w:lvl w:ilvl="7">
      <w:start w:val="1"/>
      <w:numFmt w:val="decimal"/>
      <w:pStyle w:val="Heading8"/>
      <w:lvlText w:val="%1.%2.%3.%4.%5.%6.%7.%8"/>
      <w:lvlJc w:val="start"/>
      <w:pPr>
        <w:tabs>
          <w:tab w:val="num" w:pos="1440"/>
        </w:tabs>
        <w:ind w:start="1440" w:hanging="1440"/>
      </w:pPr>
      <w:rPr/>
    </w:lvl>
    <w:lvl w:ilvl="8">
      <w:start w:val="1"/>
      <w:numFmt w:val="decimal"/>
      <w:pStyle w:val="Heading9"/>
      <w:lvlText w:val="%1.%2.%3.%4.%5.%6.%7.%8.%9"/>
      <w:lvlJc w:val="start"/>
      <w:pPr>
        <w:tabs>
          <w:tab w:val="num" w:pos="1584"/>
        </w:tabs>
        <w:ind w:start="1584" w:hanging="1584"/>
      </w:pPr>
      <w:rPr/>
    </w:lvl>
  </w:abstractNum>
  <w:abstractNum w:abstractNumId="2">
    <w:lvl w:ilvl="0">
      <w:start w:val="1"/>
      <w:numFmt w:val="bullet"/>
      <w:lvlText w:val=""/>
      <w:lvlJc w:val="start"/>
      <w:pPr>
        <w:tabs>
          <w:tab w:val="num" w:pos="360"/>
        </w:tabs>
        <w:ind w:start="360" w:hanging="360"/>
      </w:pPr>
      <w:rPr>
        <w:rFonts w:ascii="Symbol" w:hAnsi="Symbol" w:cs="Symbol" w:hint="default"/>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3">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2"/>
      <w:numFmt w:val="bullet"/>
      <w:lvlText w:val="-"/>
      <w:lvlJc w:val="start"/>
      <w:pPr>
        <w:tabs>
          <w:tab w:val="num" w:pos="0"/>
        </w:tabs>
        <w:ind w:start="720" w:hanging="360"/>
      </w:pPr>
      <w:rPr>
        <w:rFonts w:ascii="Aptos" w:hAnsi="Aptos" w:cs="Aptos"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bullet"/>
      <w:lvlText w:val="o"/>
      <w:lvlJc w:val="start"/>
      <w:pPr>
        <w:tabs>
          <w:tab w:val="num" w:pos="0"/>
        </w:tabs>
        <w:ind w:start="1440" w:hanging="360"/>
      </w:pPr>
      <w:rPr>
        <w:rFonts w:ascii="Courier New" w:hAnsi="Courier New" w:cs="Courier New" w:hint="default"/>
      </w:rPr>
    </w:lvl>
    <w:lvl w:ilvl="1">
      <w:start w:val="1"/>
      <w:numFmt w:val="bullet"/>
      <w:lvlText w:val="o"/>
      <w:lvlJc w:val="start"/>
      <w:pPr>
        <w:tabs>
          <w:tab w:val="num" w:pos="0"/>
        </w:tabs>
        <w:ind w:start="2160" w:hanging="360"/>
      </w:pPr>
      <w:rPr>
        <w:rFonts w:ascii="Courier New" w:hAnsi="Courier New" w:cs="Courier New" w:hint="default"/>
      </w:rPr>
    </w:lvl>
    <w:lvl w:ilvl="2">
      <w:start w:val="1"/>
      <w:numFmt w:val="bullet"/>
      <w:lvlText w:val=""/>
      <w:lvlJc w:val="start"/>
      <w:pPr>
        <w:tabs>
          <w:tab w:val="num" w:pos="0"/>
        </w:tabs>
        <w:ind w:start="2880" w:hanging="360"/>
      </w:pPr>
      <w:rPr>
        <w:rFonts w:ascii="Wingdings" w:hAnsi="Wingdings" w:cs="Wingdings" w:hint="default"/>
      </w:rPr>
    </w:lvl>
    <w:lvl w:ilvl="3">
      <w:start w:val="1"/>
      <w:numFmt w:val="bullet"/>
      <w:lvlText w:val=""/>
      <w:lvlJc w:val="start"/>
      <w:pPr>
        <w:tabs>
          <w:tab w:val="num" w:pos="0"/>
        </w:tabs>
        <w:ind w:start="3600" w:hanging="360"/>
      </w:pPr>
      <w:rPr>
        <w:rFonts w:ascii="Symbol" w:hAnsi="Symbol" w:cs="Symbol" w:hint="default"/>
      </w:rPr>
    </w:lvl>
    <w:lvl w:ilvl="4">
      <w:start w:val="1"/>
      <w:numFmt w:val="bullet"/>
      <w:lvlText w:val="o"/>
      <w:lvlJc w:val="start"/>
      <w:pPr>
        <w:tabs>
          <w:tab w:val="num" w:pos="0"/>
        </w:tabs>
        <w:ind w:start="4320" w:hanging="360"/>
      </w:pPr>
      <w:rPr>
        <w:rFonts w:ascii="Courier New" w:hAnsi="Courier New" w:cs="Courier New" w:hint="default"/>
      </w:rPr>
    </w:lvl>
    <w:lvl w:ilvl="5">
      <w:start w:val="1"/>
      <w:numFmt w:val="bullet"/>
      <w:lvlText w:val=""/>
      <w:lvlJc w:val="start"/>
      <w:pPr>
        <w:tabs>
          <w:tab w:val="num" w:pos="0"/>
        </w:tabs>
        <w:ind w:start="5040" w:hanging="360"/>
      </w:pPr>
      <w:rPr>
        <w:rFonts w:ascii="Wingdings" w:hAnsi="Wingdings" w:cs="Wingdings" w:hint="default"/>
      </w:rPr>
    </w:lvl>
    <w:lvl w:ilvl="6">
      <w:start w:val="1"/>
      <w:numFmt w:val="bullet"/>
      <w:lvlText w:val=""/>
      <w:lvlJc w:val="start"/>
      <w:pPr>
        <w:tabs>
          <w:tab w:val="num" w:pos="0"/>
        </w:tabs>
        <w:ind w:start="5760" w:hanging="360"/>
      </w:pPr>
      <w:rPr>
        <w:rFonts w:ascii="Symbol" w:hAnsi="Symbol" w:cs="Symbol" w:hint="default"/>
      </w:rPr>
    </w:lvl>
    <w:lvl w:ilvl="7">
      <w:start w:val="1"/>
      <w:numFmt w:val="bullet"/>
      <w:lvlText w:val="o"/>
      <w:lvlJc w:val="start"/>
      <w:pPr>
        <w:tabs>
          <w:tab w:val="num" w:pos="0"/>
        </w:tabs>
        <w:ind w:start="6480" w:hanging="360"/>
      </w:pPr>
      <w:rPr>
        <w:rFonts w:ascii="Courier New" w:hAnsi="Courier New" w:cs="Courier New" w:hint="default"/>
      </w:rPr>
    </w:lvl>
    <w:lvl w:ilvl="8">
      <w:start w:val="1"/>
      <w:numFmt w:val="bullet"/>
      <w:lvlText w:val=""/>
      <w:lvlJc w:val="start"/>
      <w:pPr>
        <w:tabs>
          <w:tab w:val="num" w:pos="0"/>
        </w:tabs>
        <w:ind w:start="720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60"/>
  <w:embedSystemFonts/>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50a18"/>
    <w:pPr>
      <w:widowControl/>
      <w:bidi w:val="0"/>
      <w:spacing w:before="0" w:after="0"/>
      <w:jc w:val="start"/>
    </w:pPr>
    <w:rPr>
      <w:rFonts w:ascii="Garamond" w:hAnsi="Garamond" w:eastAsia="Times New Roman" w:cs="Times New Roman"/>
      <w:color w:val="auto"/>
      <w:kern w:val="0"/>
      <w:sz w:val="20"/>
      <w:szCs w:val="24"/>
      <w:lang w:val="fr-FR" w:eastAsia="fr-FR" w:bidi="ar-SA"/>
    </w:rPr>
  </w:style>
  <w:style w:type="paragraph" w:styleId="Heading1">
    <w:name w:val="heading 1"/>
    <w:basedOn w:val="Normal"/>
    <w:next w:val="Normal"/>
    <w:qFormat/>
    <w:rsid w:val="00850a18"/>
    <w:pPr>
      <w:keepNext w:val="true"/>
      <w:numPr>
        <w:ilvl w:val="0"/>
        <w:numId w:val="1"/>
      </w:numPr>
      <w:spacing w:before="240" w:after="60"/>
      <w:outlineLvl w:val="0"/>
    </w:pPr>
    <w:rPr>
      <w:rFonts w:cs="Arial"/>
      <w:b/>
      <w:bCs/>
      <w:kern w:val="2"/>
      <w:sz w:val="24"/>
      <w:szCs w:val="32"/>
    </w:rPr>
  </w:style>
  <w:style w:type="paragraph" w:styleId="Heading2">
    <w:name w:val="heading 2"/>
    <w:basedOn w:val="Normal"/>
    <w:next w:val="Normal"/>
    <w:qFormat/>
    <w:rsid w:val="00850a18"/>
    <w:pPr>
      <w:keepNext w:val="true"/>
      <w:numPr>
        <w:ilvl w:val="1"/>
        <w:numId w:val="1"/>
      </w:numPr>
      <w:spacing w:before="120" w:after="60"/>
      <w:outlineLvl w:val="1"/>
    </w:pPr>
    <w:rPr>
      <w:rFonts w:cs="Arial"/>
      <w:b/>
      <w:bCs/>
      <w:sz w:val="22"/>
      <w:szCs w:val="28"/>
    </w:rPr>
  </w:style>
  <w:style w:type="paragraph" w:styleId="Heading3">
    <w:name w:val="heading 3"/>
    <w:basedOn w:val="Normal"/>
    <w:next w:val="Normal"/>
    <w:qFormat/>
    <w:rsid w:val="00850a18"/>
    <w:pPr>
      <w:keepNext w:val="true"/>
      <w:numPr>
        <w:ilvl w:val="2"/>
        <w:numId w:val="1"/>
      </w:numPr>
      <w:spacing w:before="0" w:after="60"/>
      <w:outlineLvl w:val="2"/>
    </w:pPr>
    <w:rPr>
      <w:rFonts w:cs="Arial"/>
      <w:b/>
      <w:bCs/>
      <w:szCs w:val="26"/>
      <w:u w:val="single"/>
    </w:rPr>
  </w:style>
  <w:style w:type="paragraph" w:styleId="Heading5">
    <w:name w:val="heading 5"/>
    <w:basedOn w:val="Normal"/>
    <w:next w:val="Normal"/>
    <w:qFormat/>
    <w:rsid w:val="00850a18"/>
    <w:pPr>
      <w:numPr>
        <w:ilvl w:val="4"/>
        <w:numId w:val="1"/>
      </w:numPr>
      <w:spacing w:before="240" w:after="60"/>
      <w:outlineLvl w:val="4"/>
    </w:pPr>
    <w:rPr>
      <w:b/>
      <w:bCs/>
      <w:i/>
      <w:iCs/>
      <w:sz w:val="26"/>
      <w:szCs w:val="26"/>
    </w:rPr>
  </w:style>
  <w:style w:type="paragraph" w:styleId="Heading6">
    <w:name w:val="heading 6"/>
    <w:basedOn w:val="Normal"/>
    <w:next w:val="Normal"/>
    <w:qFormat/>
    <w:rsid w:val="00850a18"/>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850a18"/>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850a18"/>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850a18"/>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qFormat/>
    <w:rPr/>
  </w:style>
  <w:style w:type="character" w:styleId="Hyperlink">
    <w:name w:val="Hyperlink"/>
    <w:basedOn w:val="DefaultParagraphFont"/>
    <w:rsid w:val="001879f2"/>
    <w:rPr>
      <w:color w:val="0000FF"/>
      <w:u w:val="single"/>
    </w:rPr>
  </w:style>
  <w:style w:type="character" w:styleId="Caractresdenotedebasdepage">
    <w:name w:val="Caractères de note de bas de page"/>
    <w:basedOn w:val="DefaultParagraphFont"/>
    <w:semiHidden/>
    <w:qFormat/>
    <w:rsid w:val="008f3600"/>
    <w:rPr>
      <w:vertAlign w:val="superscript"/>
    </w:rPr>
  </w:style>
  <w:style w:type="character" w:styleId="FootnoteReference">
    <w:name w:val="footnote reference"/>
    <w:rPr>
      <w:vertAlign w:val="superscript"/>
    </w:rPr>
  </w:style>
  <w:style w:type="character" w:styleId="PieddepageCar" w:customStyle="1">
    <w:name w:val="Pied de page Car"/>
    <w:basedOn w:val="DefaultParagraphFont"/>
    <w:uiPriority w:val="99"/>
    <w:qFormat/>
    <w:rsid w:val="009f281c"/>
    <w:rPr>
      <w:rFonts w:ascii="Garamond" w:hAnsi="Garamond"/>
      <w:szCs w:val="24"/>
    </w:rPr>
  </w:style>
  <w:style w:type="character" w:styleId="CommentReference">
    <w:name w:val="annotation reference"/>
    <w:basedOn w:val="DefaultParagraphFont"/>
    <w:semiHidden/>
    <w:unhideWhenUsed/>
    <w:qFormat/>
    <w:rsid w:val="00e252f9"/>
    <w:rPr>
      <w:sz w:val="16"/>
      <w:szCs w:val="16"/>
    </w:rPr>
  </w:style>
  <w:style w:type="character" w:styleId="CommentaireCar" w:customStyle="1">
    <w:name w:val="Commentaire Car"/>
    <w:basedOn w:val="DefaultParagraphFont"/>
    <w:qFormat/>
    <w:rsid w:val="00e252f9"/>
    <w:rPr>
      <w:rFonts w:ascii="Garamond" w:hAnsi="Garamond"/>
    </w:rPr>
  </w:style>
  <w:style w:type="character" w:styleId="ObjetducommentaireCar" w:customStyle="1">
    <w:name w:val="Objet du commentaire Car"/>
    <w:basedOn w:val="CommentaireCar"/>
    <w:link w:val="annotationsubject"/>
    <w:semiHidden/>
    <w:qFormat/>
    <w:rsid w:val="00e252f9"/>
    <w:rPr>
      <w:rFonts w:ascii="Garamond" w:hAnsi="Garamond"/>
      <w:b/>
      <w:bCs/>
    </w:rPr>
  </w:style>
  <w:style w:type="character" w:styleId="numrationCar" w:customStyle="1">
    <w:name w:val="énumération Car"/>
    <w:basedOn w:val="DefaultParagraphFont"/>
    <w:link w:val="numration"/>
    <w:qFormat/>
    <w:rsid w:val="00db4a14"/>
    <w:rPr>
      <w:rFonts w:ascii="Arial" w:hAnsi="Arial" w:cs="Arial"/>
      <w:b/>
      <w:sz w:val="24"/>
      <w:szCs w:val="24"/>
      <w:u w:val="single"/>
      <w:lang w:eastAsia="en-US"/>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rsid w:val="00850a18"/>
    <w:pPr>
      <w:spacing w:before="0" w:after="120"/>
      <w:ind w:end="-830"/>
    </w:pPr>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En-tteetpieddepage">
    <w:name w:val="En-tête et pied de page"/>
    <w:basedOn w:val="Normal"/>
    <w:qFormat/>
    <w:pPr/>
    <w:rPr/>
  </w:style>
  <w:style w:type="paragraph" w:styleId="Header">
    <w:name w:val="header"/>
    <w:basedOn w:val="Normal"/>
    <w:rsid w:val="00850a18"/>
    <w:pPr>
      <w:tabs>
        <w:tab w:val="clear" w:pos="708"/>
        <w:tab w:val="center" w:pos="4536" w:leader="none"/>
        <w:tab w:val="right" w:pos="9072" w:leader="none"/>
      </w:tabs>
    </w:pPr>
    <w:rPr/>
  </w:style>
  <w:style w:type="paragraph" w:styleId="Footer">
    <w:name w:val="footer"/>
    <w:basedOn w:val="Normal"/>
    <w:link w:val="PieddepageCar"/>
    <w:uiPriority w:val="99"/>
    <w:rsid w:val="00850a18"/>
    <w:pPr>
      <w:tabs>
        <w:tab w:val="clear" w:pos="708"/>
        <w:tab w:val="center" w:pos="4536" w:leader="none"/>
        <w:tab w:val="right" w:pos="9072" w:leader="none"/>
      </w:tabs>
    </w:pPr>
    <w:rPr/>
  </w:style>
  <w:style w:type="paragraph" w:styleId="Adresse" w:customStyle="1">
    <w:name w:val="Adresse"/>
    <w:basedOn w:val="Normal"/>
    <w:qFormat/>
    <w:rsid w:val="00850a18"/>
    <w:pPr>
      <w:ind w:start="6300"/>
    </w:pPr>
    <w:rPr>
      <w:rFonts w:cs="Arial"/>
      <w:sz w:val="22"/>
    </w:rPr>
  </w:style>
  <w:style w:type="paragraph" w:styleId="En-tterfrence" w:customStyle="1">
    <w:name w:val="En-tête référence"/>
    <w:basedOn w:val="Normal"/>
    <w:qFormat/>
    <w:rsid w:val="00850a18"/>
    <w:pPr>
      <w:tabs>
        <w:tab w:val="clear" w:pos="708"/>
        <w:tab w:val="center" w:pos="4536" w:leader="none"/>
        <w:tab w:val="right" w:pos="9072" w:leader="none"/>
      </w:tabs>
      <w:ind w:start="-720"/>
    </w:pPr>
    <w:rPr>
      <w:rFonts w:ascii="Arial" w:hAnsi="Arial" w:cs="Arial"/>
      <w:i/>
      <w:iCs/>
      <w:sz w:val="16"/>
    </w:rPr>
  </w:style>
  <w:style w:type="paragraph" w:styleId="En-tte1" w:customStyle="1">
    <w:name w:val="En-tête 1"/>
    <w:basedOn w:val="Normal"/>
    <w:qFormat/>
    <w:rsid w:val="00850a18"/>
    <w:pPr>
      <w:tabs>
        <w:tab w:val="clear" w:pos="708"/>
        <w:tab w:val="center" w:pos="4536" w:leader="none"/>
        <w:tab w:val="right" w:pos="9072" w:leader="none"/>
      </w:tabs>
      <w:ind w:start="-720"/>
    </w:pPr>
    <w:rPr/>
  </w:style>
  <w:style w:type="paragraph" w:styleId="Objet" w:customStyle="1">
    <w:name w:val="Objet"/>
    <w:basedOn w:val="En-tte1"/>
    <w:qFormat/>
    <w:rsid w:val="00850a18"/>
    <w:pPr>
      <w:tabs>
        <w:tab w:val="clear" w:pos="4536"/>
        <w:tab w:val="clear" w:pos="9072"/>
      </w:tabs>
    </w:pPr>
    <w:rPr>
      <w:b/>
      <w:bCs/>
    </w:rPr>
  </w:style>
  <w:style w:type="paragraph" w:styleId="Signature">
    <w:name w:val="Signature"/>
    <w:basedOn w:val="Normal"/>
    <w:rsid w:val="00850a18"/>
    <w:pPr>
      <w:spacing w:before="0" w:after="120"/>
      <w:ind w:start="6299"/>
    </w:pPr>
    <w:rPr>
      <w:b/>
      <w:bCs/>
      <w:sz w:val="24"/>
    </w:rPr>
  </w:style>
  <w:style w:type="paragraph" w:styleId="ListBullet">
    <w:name w:val="List Bullet"/>
    <w:basedOn w:val="Normal"/>
    <w:autoRedefine/>
    <w:rsid w:val="00850a18"/>
    <w:pPr>
      <w:numPr>
        <w:ilvl w:val="0"/>
        <w:numId w:val="2"/>
      </w:numPr>
      <w:tabs>
        <w:tab w:val="clear" w:pos="708"/>
        <w:tab w:val="left" w:pos="540" w:leader="none"/>
      </w:tabs>
      <w:ind w:hanging="180"/>
    </w:pPr>
    <w:rPr/>
  </w:style>
  <w:style w:type="paragraph" w:styleId="BalloonText">
    <w:name w:val="Balloon Text"/>
    <w:basedOn w:val="Normal"/>
    <w:semiHidden/>
    <w:qFormat/>
    <w:rsid w:val="00ee478d"/>
    <w:pPr/>
    <w:rPr>
      <w:rFonts w:ascii="Tahoma" w:hAnsi="Tahoma" w:cs="Tahoma"/>
      <w:sz w:val="16"/>
      <w:szCs w:val="16"/>
    </w:rPr>
  </w:style>
  <w:style w:type="paragraph" w:styleId="FootnoteText">
    <w:name w:val="footnote text"/>
    <w:basedOn w:val="Normal"/>
    <w:semiHidden/>
    <w:rsid w:val="008f3600"/>
    <w:pPr/>
    <w:rPr>
      <w:szCs w:val="20"/>
    </w:rPr>
  </w:style>
  <w:style w:type="paragraph" w:styleId="ListParagraph">
    <w:name w:val="List Paragraph"/>
    <w:basedOn w:val="Normal"/>
    <w:uiPriority w:val="34"/>
    <w:qFormat/>
    <w:rsid w:val="00102155"/>
    <w:pPr>
      <w:spacing w:before="0" w:after="0"/>
      <w:ind w:start="720"/>
      <w:contextualSpacing/>
    </w:pPr>
    <w:rPr/>
  </w:style>
  <w:style w:type="paragraph" w:styleId="CommentText">
    <w:name w:val="annotation text"/>
    <w:basedOn w:val="Normal"/>
    <w:link w:val="CommentaireCar"/>
    <w:unhideWhenUsed/>
    <w:rsid w:val="00e252f9"/>
    <w:pPr/>
    <w:rPr>
      <w:szCs w:val="20"/>
    </w:rPr>
  </w:style>
  <w:style w:type="paragraph" w:styleId="annotationsubject">
    <w:name w:val="annotation subject"/>
    <w:basedOn w:val="CommentText"/>
    <w:next w:val="CommentText"/>
    <w:link w:val="ObjetducommentaireCar"/>
    <w:semiHidden/>
    <w:unhideWhenUsed/>
    <w:qFormat/>
    <w:rsid w:val="00e252f9"/>
    <w:pPr/>
    <w:rPr>
      <w:b/>
      <w:bCs/>
    </w:rPr>
  </w:style>
  <w:style w:type="paragraph" w:styleId="numration" w:customStyle="1">
    <w:name w:val="énumération"/>
    <w:basedOn w:val="Normal"/>
    <w:link w:val="numrationCar"/>
    <w:qFormat/>
    <w:rsid w:val="00db4a14"/>
    <w:pPr>
      <w:spacing w:before="0" w:after="240"/>
      <w:jc w:val="both"/>
    </w:pPr>
    <w:rPr>
      <w:rFonts w:ascii="Arial" w:hAnsi="Arial" w:cs="Arial"/>
      <w:b/>
      <w:sz w:val="24"/>
      <w:u w:val="single"/>
      <w:lang w:eastAsia="en-US"/>
    </w:rPr>
  </w:style>
  <w:style w:type="paragraph" w:styleId="Revision">
    <w:name w:val="Revision"/>
    <w:uiPriority w:val="99"/>
    <w:semiHidden/>
    <w:qFormat/>
    <w:rsid w:val="009935cf"/>
    <w:pPr>
      <w:widowControl/>
      <w:bidi w:val="0"/>
      <w:spacing w:before="0" w:after="0"/>
      <w:jc w:val="start"/>
    </w:pPr>
    <w:rPr>
      <w:rFonts w:ascii="Garamond" w:hAnsi="Garamond" w:eastAsia="Times New Roman" w:cs="Times New Roman"/>
      <w:color w:val="auto"/>
      <w:kern w:val="0"/>
      <w:sz w:val="20"/>
      <w:szCs w:val="24"/>
      <w:lang w:val="fr-FR" w:eastAsia="fr-FR" w:bidi="ar-SA"/>
    </w:rPr>
  </w:style>
  <w:style w:type="paragraph" w:styleId="Contenudecadre">
    <w:name w:val="Contenu de cadre"/>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rsid w:val="006568c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Relationship Id="rId16" Type="http://schemas.openxmlformats.org/officeDocument/2006/relationships/customXml" Target="../customXml/item5.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documentManagement>
    <TaxCatchAll xmlns="8a4782b7-bde7-4a7c-8a93-4f69a6cb6f64">
      <Value>28</Value>
    </TaxCatchAll>
    <n0d6a96c5e5549e494d765a3b1f4aae1 xmlns="8a4782b7-bde7-4a7c-8a93-4f69a6cb6f64">
      <Terms xmlns="http://schemas.microsoft.com/office/infopath/2007/PartnerControls">
        <TermInfo>
          <TermName>2</TermName>
          <TermId>d808bada-4a18-43c8-8cdf-d96d99da90d9</TermId>
        </TermInfo>
      </Terms>
    </n0d6a96c5e5549e494d765a3b1f4aae1>
    <Dossier_x0020_RP xmlns="8a4782b7-bde7-4a7c-8a93-4f69a6cb6f64" xsi:nil="true"/>
    <Date_x0020_RP xmlns="8a4782b7-bde7-4a7c-8a93-4f69a6cb6f64">2026-03-12T23:00:00+00:00</Date_x0020_RP>
    <Actif xmlns="8a4782b7-bde7-4a7c-8a93-4f69a6cb6f64">true</Actif>
    <Type_x0020_de_x0020_document_x0020_représentant_x0020_du_x0020_personnel xmlns="8a4782b7-bde7-4a7c-8a93-4f69a6cb6f64">Négociations</Type_x0020_de_x0020_document_x0020_représentant_x0020_du_x0020_personnel>
    <Sous-dossier_x0020_RP xmlns="8a4782b7-bde7-4a7c-8a93-4f69a6cb6f64" xsi:nil="true"/>
    <Annee xmlns="8a4782b7-bde7-4a7c-8a93-4f69a6cb6f64">2026</Anne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_Représentant_Personnel" ma:contentTypeID="0x010100EA11703A69EE80469AB420012E1A907500A8DAA2A33CE93C48A04287C42F188D03" ma:contentTypeVersion="15" ma:contentTypeDescription="Crée un document." ma:contentTypeScope="" ma:versionID="3c29eabc5770384fbe1e55838cca24d4">
  <xsd:schema xmlns:xsd="http://www.w3.org/2001/XMLSchema" xmlns:xs="http://www.w3.org/2001/XMLSchema" xmlns:p="http://schemas.microsoft.com/office/2006/metadata/properties" xmlns:ns2="8a4782b7-bde7-4a7c-8a93-4f69a6cb6f64" targetNamespace="http://schemas.microsoft.com/office/2006/metadata/properties" ma:root="true" ma:fieldsID="55fadb2df152e520b5536e74cd948fd0" ns2:_="">
    <xsd:import namespace="8a4782b7-bde7-4a7c-8a93-4f69a6cb6f64"/>
    <xsd:element name="properties">
      <xsd:complexType>
        <xsd:sequence>
          <xsd:element name="documentManagement">
            <xsd:complexType>
              <xsd:all>
                <xsd:element ref="ns2:Type_x0020_de_x0020_document_x0020_représentant_x0020_du_x0020_personnel"/>
                <xsd:element ref="ns2:Annee"/>
                <xsd:element ref="ns2:n0d6a96c5e5549e494d765a3b1f4aae1" minOccurs="0"/>
                <xsd:element ref="ns2:TaxCatchAll" minOccurs="0"/>
                <xsd:element ref="ns2:TaxCatchAllLabel" minOccurs="0"/>
                <xsd:element ref="ns2:Actif" minOccurs="0"/>
                <xsd:element ref="ns2:Dossier_x0020_RP" minOccurs="0"/>
                <xsd:element ref="ns2:Sous-dossier_x0020_RP" minOccurs="0"/>
                <xsd:element ref="ns2:Date_x0020_R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4782b7-bde7-4a7c-8a93-4f69a6cb6f64" elementFormDefault="qualified">
    <xsd:import namespace="http://schemas.microsoft.com/office/2006/documentManagement/types"/>
    <xsd:import namespace="http://schemas.microsoft.com/office/infopath/2007/PartnerControls"/>
    <xsd:element name="Type_x0020_de_x0020_document_x0020_représentant_x0020_du_x0020_personnel" ma:index="8" ma:displayName="Type de document représentant du personnel" ma:description="" ma:format="Dropdown" ma:internalName="Type_x0020_de_x0020_document_x0020_repr_x00e9_sentant_x0020_du_x0020_personnel" ma:readOnly="false">
      <xsd:simpleType>
        <xsd:restriction base="dms:Choice">
          <xsd:enumeration value="CHSCT"/>
          <xsd:enumeration value="CE/DP"/>
          <xsd:enumeration value="Nouvelle DUP"/>
          <xsd:enumeration value="Négociations"/>
        </xsd:restriction>
      </xsd:simpleType>
    </xsd:element>
    <xsd:element name="Annee" ma:index="9" ma:displayName="Annee" ma:decimals="0" ma:description="" ma:indexed="true" ma:internalName="Annee" ma:readOnly="false" ma:percentage="FALSE">
      <xsd:simpleType>
        <xsd:restriction base="dms:Number">
          <xsd:maxInclusive value="2100"/>
          <xsd:minInclusive value="1980"/>
        </xsd:restriction>
      </xsd:simpleType>
    </xsd:element>
    <xsd:element name="n0d6a96c5e5549e494d765a3b1f4aae1" ma:index="10" nillable="true" ma:taxonomy="true" ma:internalName="n0d6a96c5e5549e494d765a3b1f4aae1" ma:taxonomyFieldName="Dur_x00e9_e_x0020_de_x0020_vie" ma:displayName="Durée de vie" ma:default="28;#2|d808bada-4a18-43c8-8cdf-d96d99da90d9" ma:fieldId="{70d6a96c-5e55-49e4-94d7-65a3b1f4aae1}" ma:sspId="9af8521f-7821-4865-8827-693309a7cf68" ma:termSetId="e45fe053-b476-4d79-928c-81bb2797e42d" ma:anchorId="00000000-0000-0000-0000-000000000000" ma:open="false" ma:isKeyword="false">
      <xsd:complexType>
        <xsd:sequence>
          <xsd:element ref="pc:Terms" minOccurs="0" maxOccurs="1"/>
        </xsd:sequence>
      </xsd:complexType>
    </xsd:element>
    <xsd:element name="TaxCatchAll" ma:index="11" nillable="true" ma:displayName="Taxonomy Catch All Column" ma:description="" ma:hidden="true" ma:list="{7eb14442-9f4c-48e9-ad3c-77ab5c5a3a49}" ma:internalName="TaxCatchAll" ma:showField="CatchAllData" ma:web="8a4782b7-bde7-4a7c-8a93-4f69a6cb6f64">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7eb14442-9f4c-48e9-ad3c-77ab5c5a3a49}" ma:internalName="TaxCatchAllLabel" ma:readOnly="true" ma:showField="CatchAllDataLabel" ma:web="8a4782b7-bde7-4a7c-8a93-4f69a6cb6f64">
      <xsd:complexType>
        <xsd:complexContent>
          <xsd:extension base="dms:MultiChoiceLookup">
            <xsd:sequence>
              <xsd:element name="Value" type="dms:Lookup" maxOccurs="unbounded" minOccurs="0" nillable="true"/>
            </xsd:sequence>
          </xsd:extension>
        </xsd:complexContent>
      </xsd:complexType>
    </xsd:element>
    <xsd:element name="Actif" ma:index="15" nillable="true" ma:displayName="Visible" ma:default="1" ma:description="Par défaut oui, le choix du non permet d'archiver le document afin qu'il ne soit plus visible" ma:indexed="true" ma:internalName="Actif">
      <xsd:simpleType>
        <xsd:restriction base="dms:Boolean"/>
      </xsd:simpleType>
    </xsd:element>
    <xsd:element name="Dossier_x0020_RP" ma:index="16" nillable="true" ma:displayName="Dossier RP" ma:format="Dropdown" ma:internalName="Dossier_x0020_RP">
      <xsd:simpleType>
        <xsd:restriction base="dms:Choice">
          <xsd:enumeration value="Réunions"/>
          <xsd:enumeration value="Temps de travail"/>
        </xsd:restriction>
      </xsd:simpleType>
    </xsd:element>
    <xsd:element name="Sous-dossier_x0020_RP" ma:index="17" nillable="true" ma:displayName="Sous-dossier RP" ma:internalName="Sous_x002d_dossier_x0020_RP">
      <xsd:simpleType>
        <xsd:restriction base="dms:Text">
          <xsd:maxLength value="255"/>
        </xsd:restriction>
      </xsd:simpleType>
    </xsd:element>
    <xsd:element name="Date_x0020_RP" ma:index="18" nillable="true" ma:displayName="Date RP" ma:format="DateOnly" ma:internalName="Date_x0020_RP">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14"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F17A6E-BDF0-4E64-AA79-011A4F458DA9}">
  <ds:schemaRefs>
    <ds:schemaRef ds:uri="http://schemas.microsoft.com/office/2006/metadata/properties"/>
    <ds:schemaRef ds:uri="8a4782b7-bde7-4a7c-8a93-4f69a6cb6f64"/>
    <ds:schemaRef ds:uri="http://schemas.microsoft.com/office/infopath/2007/PartnerControls"/>
  </ds:schemaRefs>
</ds:datastoreItem>
</file>

<file path=customXml/itemProps2.xml><?xml version="1.0" encoding="utf-8"?>
<ds:datastoreItem xmlns:ds="http://schemas.openxmlformats.org/officeDocument/2006/customXml" ds:itemID="{1A325BA8-87D8-4CA8-B18B-7F33330C2D4B}">
  <ds:schemaRefs>
    <ds:schemaRef ds:uri="http://schemas.openxmlformats.org/officeDocument/2006/bibliography"/>
  </ds:schemaRefs>
</ds:datastoreItem>
</file>

<file path=customXml/itemProps3.xml><?xml version="1.0" encoding="utf-8"?>
<ds:datastoreItem xmlns:ds="http://schemas.openxmlformats.org/officeDocument/2006/customXml" ds:itemID="{E6AB6A97-0552-4934-A84E-AF61EC2F18A5}">
  <ds:schemaRefs>
    <ds:schemaRef ds:uri="http://schemas.microsoft.com/office/2006/metadata/longProperties"/>
  </ds:schemaRefs>
</ds:datastoreItem>
</file>

<file path=customXml/itemProps4.xml><?xml version="1.0" encoding="utf-8"?>
<ds:datastoreItem xmlns:ds="http://schemas.openxmlformats.org/officeDocument/2006/customXml" ds:itemID="{741A5858-967D-4A99-BEFF-28A8FAE9DA00}">
  <ds:schemaRefs>
    <ds:schemaRef ds:uri="http://schemas.microsoft.com/sharepoint/v3/contenttype/forms"/>
  </ds:schemaRefs>
</ds:datastoreItem>
</file>

<file path=customXml/itemProps5.xml><?xml version="1.0" encoding="utf-8"?>
<ds:datastoreItem xmlns:ds="http://schemas.openxmlformats.org/officeDocument/2006/customXml" ds:itemID="{C2AACA18-3807-4B4F-A631-9BDAD29D1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4782b7-bde7-4a7c-8a93-4f69a6cb6f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4</Pages>
  <Words>930</Words>
  <Characters>5175</Characters>
  <CharactersWithSpaces>6064</CharactersWithSpaces>
  <Paragraphs>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Accord NAO 2026</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ASQA/CT">
    <vt:lpwstr/>
  </property>
  <property fmtid="{D5CDD505-2E9C-101B-9397-08002B2CF9AE}" pid="3" name="AASQA_x005F_x002F_CT">
    <vt:lpwstr/>
  </property>
  <property fmtid="{D5CDD505-2E9C-101B-9397-08002B2CF9AE}" pid="4" name="Approval Level">
    <vt:lpwstr/>
  </property>
  <property fmtid="{D5CDD505-2E9C-101B-9397-08002B2CF9AE}" pid="5" name="Assigned To">
    <vt:lpwstr/>
  </property>
  <property fmtid="{D5CDD505-2E9C-101B-9397-08002B2CF9AE}" pid="6" name="Categories">
    <vt:lpwstr/>
  </property>
  <property fmtid="{D5CDD505-2E9C-101B-9397-08002B2CF9AE}" pid="7" name="ContentType">
    <vt:lpwstr>Document</vt:lpwstr>
  </property>
  <property fmtid="{D5CDD505-2E9C-101B-9397-08002B2CF9AE}" pid="8" name="ContentTypeId">
    <vt:lpwstr>0x010100EA11703A69EE80469AB420012E1A907500A8DAA2A33CE93C48A04287C42F188D03</vt:lpwstr>
  </property>
  <property fmtid="{D5CDD505-2E9C-101B-9397-08002B2CF9AE}" pid="9" name="Dur_x005F_x00e9_e_x0020_de_x0020_vie">
    <vt:lpwstr>28;#2|d808bada-4a18-43c8-8cdf-d96d99da90d9</vt:lpwstr>
  </property>
  <property fmtid="{D5CDD505-2E9C-101B-9397-08002B2CF9AE}" pid="10" name="Durée de vie">
    <vt:lpwstr>28;#2|d808bada-4a18-43c8-8cdf-d96d99da90d9</vt:lpwstr>
  </property>
  <property fmtid="{D5CDD505-2E9C-101B-9397-08002B2CF9AE}" pid="11" name="Keywords">
    <vt:lpwstr/>
  </property>
  <property fmtid="{D5CDD505-2E9C-101B-9397-08002B2CF9AE}" pid="12" name="Service en copie">
    <vt:lpwstr/>
  </property>
  <property fmtid="{D5CDD505-2E9C-101B-9397-08002B2CF9AE}" pid="13" name="Service_x0020_en_x0020_copie">
    <vt:lpwstr/>
  </property>
  <property fmtid="{D5CDD505-2E9C-101B-9397-08002B2CF9AE}" pid="14" name="Services">
    <vt:lpwstr/>
  </property>
  <property fmtid="{D5CDD505-2E9C-101B-9397-08002B2CF9AE}" pid="15" name="SharedWithUsers">
    <vt:lpwstr>80;#GARCEAU-ALLIER Claudine;#50;#FAYOLLE Laurent;#63;#BOUCHENNA Foued;#15;#VIDAUD Romain;#89;#PETRONE David;#86;#BOUGOURZI Ilhème</vt:lpwstr>
  </property>
  <property fmtid="{D5CDD505-2E9C-101B-9397-08002B2CF9AE}" pid="16" name="Subject">
    <vt:lpwstr/>
  </property>
  <property fmtid="{D5CDD505-2E9C-101B-9397-08002B2CF9AE}" pid="17" name="_Author">
    <vt:lpwstr>socquet</vt:lpwstr>
  </property>
  <property fmtid="{D5CDD505-2E9C-101B-9397-08002B2CF9AE}" pid="18" name="_Category">
    <vt:lpwstr/>
  </property>
  <property fmtid="{D5CDD505-2E9C-101B-9397-08002B2CF9AE}" pid="19" name="_Comments">
    <vt:lpwstr/>
  </property>
  <property fmtid="{D5CDD505-2E9C-101B-9397-08002B2CF9AE}" pid="20" name="b04f318be09247fc8568a332342b7a41">
    <vt:lpwstr/>
  </property>
  <property fmtid="{D5CDD505-2E9C-101B-9397-08002B2CF9AE}" pid="21" name="dcbf12164b4e4f3ba9524b93e8b10333">
    <vt:lpwstr/>
  </property>
  <property fmtid="{D5CDD505-2E9C-101B-9397-08002B2CF9AE}" pid="22" name="p0f7faba8e37443f9f1e48c36616e74b">
    <vt:lpwstr/>
  </property>
</Properties>
</file>