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header2.xml" ContentType="application/vnd.openxmlformats-officedocument.wordprocessingml.header+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jc w:val="both"/>
        <w:rPr>
          <w:rFonts w:cs="Calibri" w:cstheme="minorHAnsi"/>
          <w:sz w:val="20"/>
          <w:szCs w:val="28"/>
        </w:rPr>
      </w:pPr>
      <w:r>
        <w:rPr>
          <w:rFonts w:cs="Calibri" w:cstheme="minorHAnsi"/>
          <w:sz w:val="20"/>
          <w:szCs w:val="28"/>
        </w:rPr>
      </w:r>
    </w:p>
    <w:p>
      <w:pPr>
        <w:pStyle w:val="Normal"/>
        <w:pBdr>
          <w:top w:val="single" w:sz="18" w:space="0" w:color="ED7D31" w:themeColor="accent2"/>
          <w:left w:val="single" w:sz="18" w:space="4" w:color="ED7D31" w:themeColor="accent2"/>
          <w:bottom w:val="single" w:sz="18" w:space="1" w:color="ED7D31" w:themeColor="accent2"/>
          <w:right w:val="single" w:sz="18" w:space="4" w:color="ED7D31" w:themeColor="accent2"/>
        </w:pBdr>
        <w:jc w:val="center"/>
        <w:rPr>
          <w:rFonts w:cs="Calibri" w:cstheme="minorHAnsi"/>
          <w:b/>
          <w:sz w:val="28"/>
          <w:szCs w:val="20"/>
        </w:rPr>
      </w:pPr>
      <w:r>
        <w:rPr>
          <w:rFonts w:cs="Calibri" w:cstheme="minorHAnsi"/>
          <w:b/>
          <w:sz w:val="28"/>
          <w:szCs w:val="20"/>
        </w:rPr>
        <w:t>2026-02 ACCORD RELATIF A LA PRIME DE PARTAGE DE LA VALEUR</w:t>
      </w:r>
    </w:p>
    <w:p>
      <w:pPr>
        <w:pStyle w:val="Normal"/>
        <w:spacing w:lineRule="auto" w:line="240"/>
        <w:jc w:val="both"/>
        <w:rPr>
          <w:rFonts w:cs="Calibri" w:cstheme="minorHAnsi"/>
          <w:b/>
          <w:i/>
          <w:sz w:val="20"/>
          <w:szCs w:val="28"/>
        </w:rPr>
      </w:pPr>
      <w:r>
        <w:rPr>
          <w:rFonts w:cs="Calibri" w:cstheme="minorHAnsi"/>
          <w:b/>
          <w:i/>
          <w:sz w:val="20"/>
          <w:szCs w:val="28"/>
        </w:rPr>
      </w:r>
    </w:p>
    <w:p>
      <w:pPr>
        <w:pStyle w:val="Normal"/>
        <w:spacing w:lineRule="auto" w:line="240"/>
        <w:jc w:val="both"/>
        <w:rPr>
          <w:rFonts w:cs="Calibri" w:cstheme="minorHAnsi"/>
          <w:b/>
          <w:i/>
          <w:sz w:val="20"/>
          <w:szCs w:val="28"/>
        </w:rPr>
      </w:pPr>
      <w:r>
        <w:rPr>
          <w:rFonts w:cs="Calibri" w:cstheme="minorHAnsi"/>
          <w:b/>
          <w:i/>
          <w:sz w:val="20"/>
          <w:szCs w:val="28"/>
        </w:rPr>
        <w:t>Bordeaux, le 27 mars 2026</w:t>
      </w:r>
    </w:p>
    <w:p>
      <w:pPr>
        <w:pStyle w:val="Normal"/>
        <w:spacing w:before="0" w:after="0"/>
        <w:jc w:val="both"/>
        <w:rPr>
          <w:rFonts w:cs="Calibri" w:cstheme="minorHAnsi"/>
          <w:b/>
          <w:szCs w:val="20"/>
        </w:rPr>
      </w:pPr>
      <w:r>
        <w:rPr>
          <w:rFonts w:cs="Calibri" w:cstheme="minorHAnsi"/>
          <w:b/>
          <w:szCs w:val="20"/>
        </w:rPr>
        <w:t>Entre :</w:t>
      </w:r>
    </w:p>
    <w:p>
      <w:pPr>
        <w:pStyle w:val="Normal"/>
        <w:spacing w:lineRule="auto" w:line="240" w:before="0" w:after="0"/>
        <w:jc w:val="both"/>
        <w:rPr>
          <w:rFonts w:cs="Calibri" w:cstheme="minorHAnsi"/>
          <w:sz w:val="20"/>
          <w:szCs w:val="20"/>
        </w:rPr>
      </w:pPr>
      <w:r>
        <w:rPr>
          <w:rFonts w:cs="Calibri" w:cstheme="minorHAnsi"/>
          <w:b/>
          <w:sz w:val="20"/>
          <w:szCs w:val="20"/>
        </w:rPr>
        <w:t>L’INSTITUT BERGONIE</w:t>
      </w:r>
      <w:r>
        <w:rPr>
          <w:rFonts w:cs="Calibri" w:cstheme="minorHAnsi"/>
          <w:sz w:val="20"/>
          <w:szCs w:val="20"/>
        </w:rPr>
        <w:t>, Centre Régional de Lutte contre le Cancer de Bordeaux et du Sud-Ouest 229, Cours de l’Argonne, 33 076 BORDEAUX cedex</w:t>
      </w:r>
    </w:p>
    <w:p>
      <w:pPr>
        <w:pStyle w:val="Normal"/>
        <w:spacing w:lineRule="auto" w:line="240" w:before="0" w:after="0"/>
        <w:jc w:val="both"/>
        <w:rPr>
          <w:rFonts w:cs="Calibri" w:cstheme="minorHAnsi"/>
          <w:sz w:val="20"/>
          <w:szCs w:val="20"/>
        </w:rPr>
      </w:pPr>
      <w:r>
        <w:rPr>
          <w:rFonts w:cs="Calibri" w:cstheme="minorHAnsi"/>
          <w:sz w:val="20"/>
          <w:szCs w:val="20"/>
        </w:rPr>
      </w:r>
    </w:p>
    <w:p>
      <w:pPr>
        <w:pStyle w:val="Normal"/>
        <w:spacing w:lineRule="auto" w:line="240" w:before="0" w:after="0"/>
        <w:jc w:val="both"/>
        <w:rPr>
          <w:rFonts w:cs="Calibri" w:cstheme="minorHAnsi"/>
          <w:sz w:val="20"/>
          <w:szCs w:val="20"/>
        </w:rPr>
      </w:pPr>
      <w:r>
        <w:rPr>
          <w:rFonts w:cs="Calibri" w:cstheme="minorHAnsi"/>
          <w:sz w:val="20"/>
          <w:szCs w:val="20"/>
        </w:rPr>
        <w:t>Représenté par son Directeur Général, Mr le Professeur XXXX, et par délégation, sa Directrice Générale Adjointe, Madame XXXX</w:t>
      </w:r>
    </w:p>
    <w:p>
      <w:pPr>
        <w:pStyle w:val="Normal"/>
        <w:spacing w:before="0" w:after="0"/>
        <w:jc w:val="both"/>
        <w:rPr>
          <w:rFonts w:cs="Calibri" w:cstheme="minorHAnsi"/>
          <w:b/>
          <w:sz w:val="20"/>
          <w:szCs w:val="20"/>
        </w:rPr>
      </w:pPr>
      <w:r>
        <w:rPr>
          <w:rFonts w:cs="Calibri" w:cstheme="minorHAnsi"/>
          <w:b/>
          <w:sz w:val="20"/>
          <w:szCs w:val="20"/>
        </w:rPr>
      </w:r>
    </w:p>
    <w:p>
      <w:pPr>
        <w:pStyle w:val="Normal"/>
        <w:spacing w:before="0" w:after="0"/>
        <w:jc w:val="both"/>
        <w:rPr>
          <w:rFonts w:cs="Calibri" w:cstheme="minorHAnsi"/>
          <w:b/>
          <w:szCs w:val="20"/>
        </w:rPr>
      </w:pPr>
      <w:r>
        <w:rPr>
          <w:rFonts w:cs="Calibri" w:cstheme="minorHAnsi"/>
          <w:b/>
          <w:szCs w:val="20"/>
        </w:rPr>
        <w:t>Et</w:t>
      </w:r>
    </w:p>
    <w:p>
      <w:pPr>
        <w:pStyle w:val="Normal"/>
        <w:spacing w:before="0" w:after="0"/>
        <w:jc w:val="both"/>
        <w:rPr>
          <w:rFonts w:cs="Calibri" w:cstheme="minorHAnsi"/>
          <w:b/>
          <w:szCs w:val="20"/>
        </w:rPr>
      </w:pPr>
      <w:r>
        <w:rPr>
          <w:rFonts w:cs="Calibri" w:cstheme="minorHAnsi"/>
          <w:b/>
          <w:szCs w:val="20"/>
        </w:rPr>
        <w:tab/>
      </w:r>
    </w:p>
    <w:p>
      <w:pPr>
        <w:pStyle w:val="Normal"/>
        <w:spacing w:before="0" w:after="0"/>
        <w:jc w:val="both"/>
        <w:rPr>
          <w:rFonts w:cs="Calibri" w:cstheme="minorHAnsi"/>
          <w:sz w:val="20"/>
          <w:szCs w:val="20"/>
        </w:rPr>
      </w:pPr>
      <w:r>
        <w:rPr>
          <w:rFonts w:cs="Calibri" w:cstheme="minorHAnsi"/>
          <w:sz w:val="20"/>
          <w:szCs w:val="20"/>
        </w:rPr>
        <w:t xml:space="preserve">Pour les organisations syndicales représentatives : </w:t>
      </w:r>
    </w:p>
    <w:p>
      <w:pPr>
        <w:pStyle w:val="Normal"/>
        <w:tabs>
          <w:tab w:val="clear" w:pos="708"/>
          <w:tab w:val="left" w:pos="5296" w:leader="none"/>
        </w:tabs>
        <w:spacing w:before="0" w:after="0"/>
        <w:jc w:val="both"/>
        <w:rPr>
          <w:rFonts w:cs="Calibri" w:cstheme="minorHAnsi"/>
          <w:sz w:val="20"/>
          <w:szCs w:val="20"/>
        </w:rPr>
      </w:pPr>
      <w:r>
        <w:rPr>
          <w:rFonts w:cs="Calibri" w:cstheme="minorHAnsi"/>
          <w:b/>
          <w:sz w:val="20"/>
          <w:szCs w:val="20"/>
        </w:rPr>
        <w:t>L’organisation syndicale FO,</w:t>
      </w:r>
      <w:r>
        <w:rPr>
          <w:rFonts w:cs="Calibri" w:cstheme="minorHAnsi"/>
          <w:sz w:val="20"/>
          <w:szCs w:val="20"/>
        </w:rPr>
        <w:t xml:space="preserve"> </w:t>
        <w:tab/>
      </w:r>
    </w:p>
    <w:p>
      <w:pPr>
        <w:pStyle w:val="Normal"/>
        <w:spacing w:before="0" w:after="0"/>
        <w:jc w:val="both"/>
        <w:rPr>
          <w:rFonts w:cs="Calibri" w:cstheme="minorHAnsi"/>
          <w:sz w:val="20"/>
          <w:szCs w:val="20"/>
        </w:rPr>
      </w:pPr>
      <w:r>
        <w:rPr>
          <w:rFonts w:cs="Calibri" w:cstheme="minorHAnsi"/>
          <w:sz w:val="20"/>
          <w:szCs w:val="20"/>
        </w:rPr>
        <w:t xml:space="preserve">Représentée par Monsieur XXXX, Monsieur XXXX ou Monsieur XXXX en qualité de délégués syndicaux. </w:t>
      </w:r>
    </w:p>
    <w:p>
      <w:pPr>
        <w:pStyle w:val="Normal"/>
        <w:spacing w:before="0" w:after="0"/>
        <w:jc w:val="both"/>
        <w:rPr>
          <w:rFonts w:cs="Calibri" w:cstheme="minorHAnsi"/>
          <w:sz w:val="20"/>
          <w:szCs w:val="20"/>
        </w:rPr>
      </w:pPr>
      <w:r>
        <w:rPr>
          <w:rFonts w:cs="Calibri" w:cstheme="minorHAnsi"/>
          <w:b/>
          <w:sz w:val="20"/>
          <w:szCs w:val="20"/>
        </w:rPr>
        <w:t>L’organisation syndicale CGT</w:t>
      </w:r>
      <w:r>
        <w:rPr>
          <w:rFonts w:cs="Calibri" w:cstheme="minorHAnsi"/>
          <w:sz w:val="20"/>
          <w:szCs w:val="20"/>
        </w:rPr>
        <w:t xml:space="preserve">, </w:t>
      </w:r>
    </w:p>
    <w:p>
      <w:pPr>
        <w:pStyle w:val="Normal"/>
        <w:spacing w:before="0" w:after="0"/>
        <w:jc w:val="both"/>
        <w:rPr>
          <w:rFonts w:cs="Calibri" w:cstheme="minorHAnsi"/>
          <w:sz w:val="20"/>
          <w:szCs w:val="20"/>
        </w:rPr>
      </w:pPr>
      <w:r>
        <w:rPr>
          <w:rFonts w:cs="Calibri" w:cstheme="minorHAnsi"/>
          <w:sz w:val="20"/>
          <w:szCs w:val="20"/>
        </w:rPr>
        <w:t>Représentée par Monsieur XXXX, Madame XXXX ou Monsieur XXXX, en qualité de délégués syndicaux.</w:t>
      </w:r>
    </w:p>
    <w:p>
      <w:pPr>
        <w:pStyle w:val="Normal"/>
        <w:spacing w:before="0" w:after="0"/>
        <w:jc w:val="both"/>
        <w:rPr>
          <w:rFonts w:cs="Calibri" w:cstheme="minorHAnsi"/>
          <w:b/>
          <w:sz w:val="20"/>
          <w:szCs w:val="20"/>
        </w:rPr>
      </w:pPr>
      <w:r>
        <w:rPr>
          <w:rFonts w:cs="Calibri" w:cstheme="minorHAnsi"/>
          <w:b/>
          <w:sz w:val="20"/>
          <w:szCs w:val="20"/>
        </w:rPr>
        <w:t xml:space="preserve">L’organisation syndicale CFE-CGC, </w:t>
      </w:r>
    </w:p>
    <w:p>
      <w:pPr>
        <w:pStyle w:val="Normal"/>
        <w:spacing w:before="0" w:after="0"/>
        <w:jc w:val="both"/>
        <w:rPr>
          <w:rFonts w:cs="Calibri" w:cstheme="minorHAnsi"/>
          <w:sz w:val="20"/>
          <w:szCs w:val="20"/>
        </w:rPr>
      </w:pPr>
      <w:r>
        <w:rPr>
          <w:rFonts w:cs="Calibri" w:cstheme="minorHAnsi"/>
          <w:sz w:val="20"/>
          <w:szCs w:val="20"/>
        </w:rPr>
        <w:t xml:space="preserve">Représentée par Monsieur XXXX en qualité de délégué syndical. </w:t>
      </w:r>
    </w:p>
    <w:p>
      <w:pPr>
        <w:pStyle w:val="Normal"/>
        <w:tabs>
          <w:tab w:val="clear" w:pos="708"/>
          <w:tab w:val="left" w:pos="5653" w:leader="none"/>
        </w:tabs>
        <w:spacing w:lineRule="auto" w:line="240"/>
        <w:jc w:val="both"/>
        <w:rPr>
          <w:b/>
          <w:sz w:val="24"/>
          <w:szCs w:val="24"/>
        </w:rPr>
      </w:pPr>
      <w:r>
        <w:rPr>
          <w:b/>
          <w:sz w:val="24"/>
          <w:szCs w:val="24"/>
        </w:rPr>
      </w:r>
    </w:p>
    <w:p>
      <w:pPr>
        <w:pStyle w:val="Normal"/>
        <w:tabs>
          <w:tab w:val="clear" w:pos="708"/>
          <w:tab w:val="left" w:pos="5653" w:leader="none"/>
        </w:tabs>
        <w:spacing w:lineRule="auto" w:line="240"/>
        <w:jc w:val="both"/>
        <w:rPr>
          <w:b/>
          <w:sz w:val="20"/>
          <w:szCs w:val="24"/>
        </w:rPr>
      </w:pPr>
      <w:r>
        <w:rPr>
          <w:b/>
          <w:sz w:val="20"/>
          <w:szCs w:val="24"/>
        </w:rPr>
        <w:t xml:space="preserve">Il a été convenu ce qui suit : </w:t>
      </w:r>
    </w:p>
    <w:p>
      <w:pPr>
        <w:pStyle w:val="Normal"/>
        <w:tabs>
          <w:tab w:val="clear" w:pos="708"/>
          <w:tab w:val="left" w:pos="5653" w:leader="none"/>
        </w:tabs>
        <w:spacing w:lineRule="auto" w:line="240"/>
        <w:jc w:val="center"/>
        <w:rPr>
          <w:b/>
          <w:sz w:val="20"/>
          <w:szCs w:val="24"/>
        </w:rPr>
      </w:pPr>
      <w:r>
        <w:rPr>
          <w:rFonts w:cs="Calibri" w:cstheme="minorHAnsi"/>
          <w:b/>
          <w:sz w:val="24"/>
          <w:szCs w:val="20"/>
        </w:rPr>
        <w:t>PREAMBULE</w:t>
      </w:r>
    </w:p>
    <w:p>
      <w:pPr>
        <w:pStyle w:val="NoSpacing"/>
        <w:jc w:val="both"/>
        <w:rPr>
          <w:bCs/>
          <w:i/>
        </w:rPr>
      </w:pPr>
      <w:r>
        <w:rPr>
          <w:bCs/>
          <w:i/>
        </w:rPr>
      </w:r>
    </w:p>
    <w:p>
      <w:pPr>
        <w:pStyle w:val="NoSpacing"/>
        <w:jc w:val="both"/>
        <w:rPr>
          <w:rFonts w:ascii="Calibri" w:hAnsi="Calibri" w:cs="Calibri" w:asciiTheme="minorHAnsi" w:cstheme="minorHAnsi" w:hAnsiTheme="minorHAnsi"/>
          <w:bCs/>
          <w:iCs/>
          <w:sz w:val="20"/>
        </w:rPr>
      </w:pPr>
      <w:r>
        <w:rPr>
          <w:rFonts w:cs="Calibri" w:ascii="Calibri" w:hAnsi="Calibri" w:asciiTheme="minorHAnsi" w:cstheme="minorHAnsi" w:hAnsiTheme="minorHAnsi"/>
          <w:sz w:val="20"/>
        </w:rPr>
        <w:t xml:space="preserve">Par le présent accord, les parties entendent utiliser la faculté offerte par la Loi n° 2022-1158 du 16 août 2022 portant mesures d'urgence pour la protection du pouvoir d'achat, pour attribuer une prime de partage de la valeur, dite « PPV », destinée </w:t>
      </w:r>
      <w:r>
        <w:rPr>
          <w:rFonts w:cs="Calibri" w:ascii="Calibri" w:hAnsi="Calibri" w:asciiTheme="minorHAnsi" w:cstheme="minorHAnsi" w:hAnsiTheme="minorHAnsi"/>
          <w:bCs/>
          <w:iCs/>
          <w:sz w:val="20"/>
        </w:rPr>
        <w:t>à reconnaître la contribution collective des salariés aux résultats de l’Institut Bergonié ainsi qu’à soutenir leur pouvoir d’achat.</w:t>
      </w:r>
    </w:p>
    <w:p>
      <w:pPr>
        <w:pStyle w:val="NoSpacing"/>
        <w:jc w:val="both"/>
        <w:rPr>
          <w:rFonts w:ascii="Calibri" w:hAnsi="Calibri" w:cs="Calibri" w:asciiTheme="minorHAnsi" w:cstheme="minorHAnsi" w:hAnsiTheme="minorHAnsi"/>
          <w:bCs/>
          <w:iCs/>
          <w:sz w:val="20"/>
        </w:rPr>
      </w:pPr>
      <w:r>
        <w:rPr>
          <w:rFonts w:cs="Calibri" w:cstheme="minorHAnsi" w:ascii="Calibri" w:hAnsi="Calibri"/>
          <w:bCs/>
          <w:iCs/>
          <w:sz w:val="20"/>
        </w:rPr>
      </w:r>
    </w:p>
    <w:p>
      <w:pPr>
        <w:pStyle w:val="Normal"/>
        <w:spacing w:lineRule="auto" w:line="240"/>
        <w:jc w:val="both"/>
        <w:rPr>
          <w:rFonts w:cs="Calibri" w:cstheme="minorHAnsi"/>
          <w:b/>
          <w:sz w:val="20"/>
          <w:szCs w:val="20"/>
        </w:rPr>
      </w:pPr>
      <w:r>
        <w:rPr>
          <w:rFonts w:cs="Calibri" w:cstheme="minorHAnsi"/>
          <w:b/>
          <w:sz w:val="20"/>
          <w:szCs w:val="20"/>
        </w:rPr>
        <w:t xml:space="preserve">ARTICLE 1 – CADRE JURIDIQUE </w:t>
      </w:r>
    </w:p>
    <w:p>
      <w:pPr>
        <w:pStyle w:val="Normal"/>
        <w:shd w:val="clear" w:color="auto" w:fill="FFFFFF"/>
        <w:spacing w:lineRule="auto" w:line="240" w:beforeAutospacing="1" w:afterAutospacing="1"/>
        <w:jc w:val="both"/>
        <w:rPr>
          <w:rFonts w:eastAsia="Times New Roman" w:cs="Calibri" w:cstheme="minorHAnsi"/>
          <w:bCs/>
          <w:iCs/>
          <w:sz w:val="20"/>
          <w:szCs w:val="24"/>
          <w:lang w:eastAsia="fr-FR"/>
        </w:rPr>
      </w:pPr>
      <w:r>
        <w:rPr>
          <w:rFonts w:eastAsia="Times New Roman" w:cs="Calibri" w:cstheme="minorHAnsi"/>
          <w:bCs/>
          <w:iCs/>
          <w:sz w:val="20"/>
          <w:szCs w:val="24"/>
          <w:lang w:eastAsia="fr-FR"/>
        </w:rPr>
        <w:t xml:space="preserve">Le présent accord est pris en application de l’article 1 de la </w:t>
      </w:r>
      <w:hyperlink r:id="rId2" w:tgtFrame="_blank">
        <w:r>
          <w:rPr>
            <w:rStyle w:val="Style9"/>
            <w:rFonts w:eastAsia="Times New Roman" w:cs="Calibri" w:cstheme="minorHAnsi"/>
            <w:bCs/>
            <w:iCs/>
            <w:sz w:val="20"/>
            <w:szCs w:val="24"/>
            <w:lang w:eastAsia="fr-FR"/>
          </w:rPr>
          <w:t>Loi n° 2022-1158 du 16 août 2022</w:t>
        </w:r>
      </w:hyperlink>
      <w:r>
        <w:rPr>
          <w:rFonts w:eastAsia="Times New Roman" w:cs="Calibri" w:cstheme="minorHAnsi"/>
          <w:bCs/>
          <w:iCs/>
          <w:sz w:val="20"/>
          <w:szCs w:val="24"/>
          <w:lang w:eastAsia="fr-FR"/>
        </w:rPr>
        <w:t> portant mesures d’urgence pour la protection du pouvoir d’achat.</w:t>
      </w:r>
    </w:p>
    <w:p>
      <w:pPr>
        <w:pStyle w:val="Normal"/>
        <w:spacing w:lineRule="auto" w:line="240"/>
        <w:jc w:val="both"/>
        <w:rPr>
          <w:rFonts w:cs="Calibri" w:cstheme="minorHAnsi"/>
          <w:b/>
          <w:sz w:val="20"/>
          <w:szCs w:val="20"/>
        </w:rPr>
      </w:pPr>
      <w:r>
        <w:rPr>
          <w:rFonts w:cs="Calibri" w:cstheme="minorHAnsi"/>
          <w:b/>
          <w:sz w:val="20"/>
          <w:szCs w:val="20"/>
        </w:rPr>
        <w:t>ARTICLE 2 – BENEFICIAIRES</w:t>
      </w:r>
    </w:p>
    <w:p>
      <w:pPr>
        <w:pStyle w:val="NoSpacing"/>
        <w:jc w:val="both"/>
        <w:rPr>
          <w:rFonts w:ascii="Calibri" w:hAnsi="Calibri" w:cs="Calibri" w:asciiTheme="minorHAnsi" w:cstheme="minorHAnsi" w:hAnsiTheme="minorHAnsi"/>
          <w:bCs/>
          <w:sz w:val="20"/>
          <w:szCs w:val="20"/>
        </w:rPr>
      </w:pPr>
      <w:r>
        <w:rPr>
          <w:rFonts w:cs="Calibri" w:ascii="Calibri" w:hAnsi="Calibri" w:asciiTheme="minorHAnsi" w:cstheme="minorHAnsi" w:hAnsiTheme="minorHAnsi"/>
          <w:bCs/>
          <w:sz w:val="20"/>
          <w:szCs w:val="20"/>
        </w:rPr>
        <w:t>Sont bénéficiaires de la présente prime les salariés</w:t>
      </w:r>
      <w:r>
        <w:rPr>
          <w:rFonts w:cs="Calibri" w:ascii="Calibri" w:hAnsi="Calibri" w:asciiTheme="minorHAnsi" w:cstheme="minorHAnsi" w:hAnsiTheme="minorHAnsi"/>
          <w:sz w:val="20"/>
          <w:szCs w:val="20"/>
        </w:rPr>
        <w:t> titulaires d’un contrat de travail (</w:t>
      </w:r>
      <w:r>
        <w:rPr>
          <w:rFonts w:cs="Calibri" w:ascii="Calibri" w:hAnsi="Calibri" w:asciiTheme="minorHAnsi" w:cstheme="minorHAnsi" w:hAnsiTheme="minorHAnsi"/>
          <w:i/>
          <w:sz w:val="20"/>
          <w:szCs w:val="20"/>
        </w:rPr>
        <w:t>CDI, CDD, apprentis et contrats de professionnalisation</w:t>
      </w:r>
      <w:r>
        <w:rPr>
          <w:rFonts w:cs="Calibri" w:ascii="Calibri" w:hAnsi="Calibri" w:asciiTheme="minorHAnsi" w:cstheme="minorHAnsi" w:hAnsiTheme="minorHAnsi"/>
          <w:sz w:val="20"/>
          <w:szCs w:val="20"/>
        </w:rPr>
        <w:t xml:space="preserve">) </w:t>
      </w:r>
      <w:r>
        <w:rPr>
          <w:rFonts w:cs="Calibri" w:ascii="Calibri" w:hAnsi="Calibri" w:asciiTheme="minorHAnsi" w:cstheme="minorHAnsi" w:hAnsiTheme="minorHAnsi"/>
          <w:bCs/>
          <w:sz w:val="20"/>
          <w:szCs w:val="20"/>
        </w:rPr>
        <w:t>à la date</w:t>
      </w:r>
      <w:r>
        <w:rPr>
          <w:rFonts w:cs="Calibri" w:ascii="Calibri" w:hAnsi="Calibri" w:asciiTheme="minorHAnsi" w:cstheme="minorHAnsi" w:hAnsiTheme="minorHAnsi"/>
          <w:iCs/>
          <w:sz w:val="20"/>
          <w:szCs w:val="20"/>
        </w:rPr>
        <w:t xml:space="preserve"> </w:t>
      </w:r>
      <w:r>
        <w:rPr>
          <w:rFonts w:cs="Calibri" w:ascii="Calibri" w:hAnsi="Calibri" w:asciiTheme="minorHAnsi" w:cstheme="minorHAnsi" w:hAnsiTheme="minorHAnsi"/>
          <w:sz w:val="20"/>
          <w:szCs w:val="20"/>
        </w:rPr>
        <w:t>de son </w:t>
      </w:r>
      <w:r>
        <w:rPr>
          <w:rFonts w:cs="Calibri" w:ascii="Calibri" w:hAnsi="Calibri" w:asciiTheme="minorHAnsi" w:cstheme="minorHAnsi" w:hAnsiTheme="minorHAnsi"/>
          <w:bCs/>
          <w:sz w:val="20"/>
          <w:szCs w:val="20"/>
        </w:rPr>
        <w:t>versement.</w:t>
      </w:r>
    </w:p>
    <w:p>
      <w:pPr>
        <w:pStyle w:val="NoSpacing"/>
        <w:jc w:val="both"/>
        <w:rPr>
          <w:rFonts w:ascii="Calibri" w:hAnsi="Calibri" w:cs="Calibri" w:asciiTheme="minorHAnsi" w:cstheme="minorHAnsi" w:hAnsiTheme="minorHAnsi"/>
          <w:bCs/>
          <w:sz w:val="20"/>
          <w:szCs w:val="20"/>
        </w:rPr>
      </w:pPr>
      <w:r>
        <w:rPr>
          <w:rFonts w:cs="Calibri" w:cstheme="minorHAnsi" w:ascii="Calibri" w:hAnsi="Calibri"/>
          <w:bCs/>
          <w:sz w:val="20"/>
          <w:szCs w:val="20"/>
        </w:rPr>
      </w:r>
    </w:p>
    <w:p>
      <w:pPr>
        <w:pStyle w:val="NoSpacing"/>
        <w:jc w:val="both"/>
        <w:rPr>
          <w:rFonts w:ascii="Calibri" w:hAnsi="Calibri" w:cs="Calibri" w:asciiTheme="minorHAnsi" w:cstheme="minorHAnsi" w:hAnsiTheme="minorHAnsi"/>
          <w:bCs/>
          <w:sz w:val="20"/>
          <w:szCs w:val="20"/>
        </w:rPr>
      </w:pPr>
      <w:r>
        <w:rPr>
          <w:rFonts w:cs="Calibri" w:cstheme="minorHAnsi" w:ascii="Calibri" w:hAnsi="Calibri"/>
          <w:bCs/>
          <w:sz w:val="20"/>
          <w:szCs w:val="20"/>
        </w:rPr>
      </w:r>
    </w:p>
    <w:p>
      <w:pPr>
        <w:pStyle w:val="NoSpacing"/>
        <w:jc w:val="both"/>
        <w:rPr>
          <w:rFonts w:ascii="Calibri" w:hAnsi="Calibri" w:cs="Calibri" w:asciiTheme="minorHAnsi" w:cstheme="minorHAnsi" w:hAnsiTheme="minorHAnsi"/>
          <w:bCs/>
          <w:sz w:val="20"/>
          <w:szCs w:val="20"/>
        </w:rPr>
      </w:pPr>
      <w:r>
        <w:rPr>
          <w:rFonts w:cs="Calibri" w:cstheme="minorHAnsi" w:ascii="Calibri" w:hAnsi="Calibri"/>
          <w:bCs/>
          <w:sz w:val="20"/>
          <w:szCs w:val="20"/>
        </w:rPr>
      </w:r>
    </w:p>
    <w:p>
      <w:pPr>
        <w:pStyle w:val="NoSpacing"/>
        <w:jc w:val="both"/>
        <w:rPr>
          <w:rFonts w:ascii="Calibri" w:hAnsi="Calibri" w:cs="Calibri" w:asciiTheme="minorHAnsi" w:cstheme="minorHAnsi" w:hAnsiTheme="minorHAnsi"/>
          <w:bCs/>
          <w:sz w:val="20"/>
          <w:szCs w:val="20"/>
        </w:rPr>
      </w:pPr>
      <w:r>
        <w:rPr>
          <w:rFonts w:cs="Calibri" w:cstheme="minorHAnsi" w:ascii="Calibri" w:hAnsi="Calibri"/>
          <w:bCs/>
          <w:sz w:val="20"/>
          <w:szCs w:val="20"/>
        </w:rPr>
      </w:r>
    </w:p>
    <w:p>
      <w:pPr>
        <w:pStyle w:val="NoSpacing"/>
        <w:jc w:val="both"/>
        <w:rPr>
          <w:rFonts w:ascii="Calibri" w:hAnsi="Calibri" w:cs="Calibri" w:asciiTheme="minorHAnsi" w:cstheme="minorHAnsi" w:hAnsiTheme="minorHAnsi"/>
          <w:bCs/>
          <w:sz w:val="20"/>
          <w:szCs w:val="20"/>
        </w:rPr>
      </w:pPr>
      <w:r>
        <w:rPr>
          <w:rFonts w:cs="Calibri" w:cstheme="minorHAnsi" w:ascii="Calibri" w:hAnsi="Calibri"/>
          <w:bCs/>
          <w:sz w:val="20"/>
          <w:szCs w:val="20"/>
        </w:rPr>
      </w:r>
    </w:p>
    <w:p>
      <w:pPr>
        <w:pStyle w:val="NoSpacing"/>
        <w:jc w:val="both"/>
        <w:rPr>
          <w:rFonts w:ascii="Calibri" w:hAnsi="Calibri" w:cs="Calibri" w:asciiTheme="minorHAnsi" w:cstheme="minorHAnsi" w:hAnsiTheme="minorHAnsi"/>
          <w:bCs/>
          <w:sz w:val="20"/>
          <w:szCs w:val="20"/>
        </w:rPr>
      </w:pPr>
      <w:r>
        <w:rPr>
          <w:rFonts w:cs="Calibri" w:cstheme="minorHAnsi" w:ascii="Calibri" w:hAnsi="Calibri"/>
          <w:bCs/>
          <w:sz w:val="20"/>
          <w:szCs w:val="20"/>
        </w:rPr>
      </w:r>
    </w:p>
    <w:p>
      <w:pPr>
        <w:pStyle w:val="NoSpacing"/>
        <w:jc w:val="both"/>
        <w:rPr>
          <w:rFonts w:ascii="Calibri" w:hAnsi="Calibri" w:cs="Calibri" w:asciiTheme="minorHAnsi" w:cstheme="minorHAnsi" w:hAnsiTheme="minorHAnsi"/>
          <w:bCs/>
          <w:sz w:val="20"/>
          <w:szCs w:val="20"/>
        </w:rPr>
      </w:pPr>
      <w:r>
        <w:rPr>
          <w:rFonts w:cs="Calibri" w:cstheme="minorHAnsi" w:ascii="Calibri" w:hAnsi="Calibri"/>
          <w:bCs/>
          <w:sz w:val="20"/>
          <w:szCs w:val="20"/>
        </w:rPr>
      </w:r>
    </w:p>
    <w:p>
      <w:pPr>
        <w:pStyle w:val="NoSpacing"/>
        <w:jc w:val="both"/>
        <w:rPr>
          <w:rFonts w:ascii="Calibri" w:hAnsi="Calibri" w:cs="Calibri" w:asciiTheme="minorHAnsi" w:cstheme="minorHAnsi" w:hAnsiTheme="minorHAnsi"/>
          <w:bCs/>
          <w:sz w:val="20"/>
          <w:szCs w:val="20"/>
        </w:rPr>
      </w:pPr>
      <w:r>
        <w:rPr>
          <w:rFonts w:cs="Calibri" w:cstheme="minorHAnsi" w:ascii="Calibri" w:hAnsi="Calibri"/>
          <w:bCs/>
          <w:sz w:val="20"/>
          <w:szCs w:val="20"/>
        </w:rPr>
      </w:r>
    </w:p>
    <w:p>
      <w:pPr>
        <w:pStyle w:val="NoSpacing"/>
        <w:jc w:val="both"/>
        <w:rPr>
          <w:rFonts w:ascii="Calibri" w:hAnsi="Calibri" w:cs="Calibri" w:asciiTheme="minorHAnsi" w:cstheme="minorHAnsi" w:hAnsiTheme="minorHAnsi"/>
          <w:bCs/>
          <w:sz w:val="20"/>
          <w:szCs w:val="20"/>
        </w:rPr>
      </w:pPr>
      <w:r>
        <w:rPr>
          <w:rFonts w:cs="Calibri" w:cstheme="minorHAnsi" w:ascii="Calibri" w:hAnsi="Calibri"/>
          <w:bCs/>
          <w:sz w:val="20"/>
          <w:szCs w:val="20"/>
        </w:rPr>
      </w:r>
    </w:p>
    <w:p>
      <w:pPr>
        <w:pStyle w:val="NoSpacing"/>
        <w:jc w:val="both"/>
        <w:rPr>
          <w:rFonts w:ascii="Calibri" w:hAnsi="Calibri" w:cs="Calibri" w:asciiTheme="minorHAnsi" w:cstheme="minorHAnsi" w:hAnsiTheme="minorHAnsi"/>
          <w:sz w:val="20"/>
          <w:szCs w:val="20"/>
        </w:rPr>
      </w:pPr>
      <w:r>
        <w:rPr>
          <w:rFonts w:cs="Calibri" w:cstheme="minorHAnsi" w:ascii="Calibri" w:hAnsi="Calibri"/>
          <w:sz w:val="20"/>
          <w:szCs w:val="20"/>
        </w:rPr>
      </w:r>
    </w:p>
    <w:p>
      <w:pPr>
        <w:pStyle w:val="Normal"/>
        <w:spacing w:lineRule="auto" w:line="240"/>
        <w:jc w:val="both"/>
        <w:rPr>
          <w:rFonts w:cs="Calibri" w:cstheme="minorHAnsi"/>
          <w:b/>
          <w:sz w:val="20"/>
          <w:szCs w:val="20"/>
        </w:rPr>
      </w:pPr>
      <w:r>
        <w:rPr>
          <w:rFonts w:cs="Calibri" w:cstheme="minorHAnsi"/>
          <w:b/>
          <w:sz w:val="20"/>
          <w:szCs w:val="20"/>
        </w:rPr>
        <w:t>ARTICLE 3 – MONTANT DE LA PPV</w:t>
      </w:r>
    </w:p>
    <w:p>
      <w:pPr>
        <w:pStyle w:val="Normal"/>
        <w:spacing w:lineRule="auto" w:line="240"/>
        <w:jc w:val="both"/>
        <w:rPr>
          <w:rFonts w:cs="Calibri" w:cstheme="minorHAnsi"/>
          <w:sz w:val="20"/>
          <w:szCs w:val="20"/>
        </w:rPr>
      </w:pPr>
      <w:r>
        <w:rPr>
          <w:rFonts w:cs="Calibri" w:cstheme="minorHAnsi"/>
          <w:sz w:val="20"/>
          <w:szCs w:val="20"/>
        </w:rPr>
        <w:t xml:space="preserve">Le montant de la prime est modulé en fonction de : </w:t>
      </w:r>
    </w:p>
    <w:p>
      <w:pPr>
        <w:pStyle w:val="ListParagraph"/>
        <w:numPr>
          <w:ilvl w:val="0"/>
          <w:numId w:val="1"/>
        </w:numPr>
        <w:spacing w:lineRule="auto" w:line="240"/>
        <w:jc w:val="both"/>
        <w:rPr>
          <w:rFonts w:cs="Calibri" w:cstheme="minorHAnsi"/>
          <w:b/>
          <w:sz w:val="20"/>
          <w:szCs w:val="20"/>
        </w:rPr>
      </w:pPr>
      <w:r>
        <w:rPr>
          <w:rFonts w:cs="Calibri" w:cstheme="minorHAnsi"/>
          <w:b/>
          <w:sz w:val="20"/>
          <w:szCs w:val="20"/>
        </w:rPr>
        <w:t>La quotité de temps de travail inscrite au contrat de travail au cours des 12 mois précédant la date de versement de la prime ;</w:t>
      </w:r>
    </w:p>
    <w:p>
      <w:pPr>
        <w:pStyle w:val="ListParagraph"/>
        <w:spacing w:lineRule="auto" w:line="240"/>
        <w:jc w:val="both"/>
        <w:rPr>
          <w:rFonts w:cs="Calibri" w:cstheme="minorHAnsi"/>
          <w:sz w:val="20"/>
          <w:szCs w:val="20"/>
        </w:rPr>
      </w:pPr>
      <w:r>
        <w:rPr>
          <w:rFonts w:cs="Calibri" w:cstheme="minorHAnsi"/>
          <w:sz w:val="20"/>
          <w:szCs w:val="20"/>
        </w:rPr>
      </w:r>
    </w:p>
    <w:p>
      <w:pPr>
        <w:pStyle w:val="ListParagraph"/>
        <w:numPr>
          <w:ilvl w:val="0"/>
          <w:numId w:val="1"/>
        </w:numPr>
        <w:spacing w:lineRule="auto" w:line="240"/>
        <w:jc w:val="both"/>
        <w:rPr>
          <w:rFonts w:cs="Calibri" w:cstheme="minorHAnsi"/>
          <w:b/>
          <w:sz w:val="20"/>
          <w:szCs w:val="20"/>
        </w:rPr>
      </w:pPr>
      <w:r>
        <w:rPr>
          <w:rFonts w:cs="Calibri" w:cstheme="minorHAnsi"/>
          <w:b/>
          <w:sz w:val="20"/>
          <w:szCs w:val="20"/>
        </w:rPr>
        <w:t>La durée de présence effective au cours des 12 mois précédant la date de versement de la prime ;</w:t>
      </w:r>
    </w:p>
    <w:p>
      <w:pPr>
        <w:pStyle w:val="NoSpacing"/>
        <w:jc w:val="both"/>
        <w:rPr>
          <w:rFonts w:ascii="Calibri" w:hAnsi="Calibri" w:eastAsia="Calibri" w:cs="Calibri" w:asciiTheme="minorHAnsi" w:cstheme="minorHAnsi" w:eastAsiaTheme="minorHAnsi" w:hAnsiTheme="minorHAnsi"/>
          <w:sz w:val="20"/>
          <w:szCs w:val="20"/>
          <w:lang w:eastAsia="en-US"/>
        </w:rPr>
      </w:pPr>
      <w:r>
        <w:rPr>
          <w:rFonts w:eastAsia="Calibri" w:cs="Calibri" w:ascii="Calibri" w:hAnsi="Calibri" w:asciiTheme="minorHAnsi" w:cstheme="minorHAnsi" w:eastAsiaTheme="minorHAnsi" w:hAnsiTheme="minorHAnsi"/>
          <w:sz w:val="20"/>
          <w:szCs w:val="20"/>
          <w:lang w:eastAsia="en-US"/>
        </w:rPr>
        <w:t>Sont considérés comme temps de présence, au sens du présent article :</w:t>
      </w:r>
    </w:p>
    <w:p>
      <w:pPr>
        <w:pStyle w:val="NoSpacing"/>
        <w:numPr>
          <w:ilvl w:val="0"/>
          <w:numId w:val="2"/>
        </w:numPr>
        <w:jc w:val="both"/>
        <w:rPr>
          <w:rFonts w:ascii="Calibri" w:hAnsi="Calibri" w:eastAsia="Calibri" w:cs="Calibri" w:asciiTheme="minorHAnsi" w:cstheme="minorHAnsi" w:eastAsiaTheme="minorHAnsi" w:hAnsiTheme="minorHAnsi"/>
          <w:sz w:val="20"/>
          <w:szCs w:val="20"/>
          <w:lang w:eastAsia="en-US"/>
        </w:rPr>
      </w:pPr>
      <w:r>
        <w:rPr>
          <w:rFonts w:eastAsia="Calibri" w:cs="Calibri" w:ascii="Calibri" w:hAnsi="Calibri" w:asciiTheme="minorHAnsi" w:cstheme="minorHAnsi" w:eastAsiaTheme="minorHAnsi" w:hAnsiTheme="minorHAnsi"/>
          <w:sz w:val="20"/>
          <w:szCs w:val="20"/>
          <w:lang w:eastAsia="en-US"/>
        </w:rPr>
        <w:t>Les jours de congés payés ;</w:t>
      </w:r>
    </w:p>
    <w:p>
      <w:pPr>
        <w:pStyle w:val="NoSpacing"/>
        <w:numPr>
          <w:ilvl w:val="0"/>
          <w:numId w:val="2"/>
        </w:numPr>
        <w:jc w:val="both"/>
        <w:rPr>
          <w:rFonts w:ascii="Calibri" w:hAnsi="Calibri" w:eastAsia="Calibri" w:cs="Calibri" w:asciiTheme="minorHAnsi" w:cstheme="minorHAnsi" w:eastAsiaTheme="minorHAnsi" w:hAnsiTheme="minorHAnsi"/>
          <w:sz w:val="20"/>
          <w:szCs w:val="20"/>
          <w:lang w:eastAsia="en-US"/>
        </w:rPr>
      </w:pPr>
      <w:r>
        <w:rPr>
          <w:rFonts w:eastAsia="Calibri" w:cs="Calibri" w:ascii="Calibri" w:hAnsi="Calibri" w:asciiTheme="minorHAnsi" w:cstheme="minorHAnsi" w:eastAsiaTheme="minorHAnsi" w:hAnsiTheme="minorHAnsi"/>
          <w:sz w:val="20"/>
          <w:szCs w:val="20"/>
          <w:lang w:eastAsia="en-US"/>
        </w:rPr>
        <w:t>Les congés légaux et conventionnels pour évènements familiaux ;</w:t>
      </w:r>
    </w:p>
    <w:p>
      <w:pPr>
        <w:pStyle w:val="NoSpacing"/>
        <w:numPr>
          <w:ilvl w:val="0"/>
          <w:numId w:val="2"/>
        </w:numPr>
        <w:jc w:val="both"/>
        <w:rPr>
          <w:rFonts w:ascii="Calibri" w:hAnsi="Calibri" w:eastAsia="Calibri" w:cs="Calibri" w:asciiTheme="minorHAnsi" w:cstheme="minorHAnsi" w:eastAsiaTheme="minorHAnsi" w:hAnsiTheme="minorHAnsi"/>
          <w:sz w:val="20"/>
          <w:szCs w:val="20"/>
          <w:lang w:eastAsia="en-US"/>
        </w:rPr>
      </w:pPr>
      <w:r>
        <w:rPr>
          <w:rFonts w:eastAsia="Calibri" w:cs="Calibri" w:ascii="Calibri" w:hAnsi="Calibri" w:asciiTheme="minorHAnsi" w:cstheme="minorHAnsi" w:eastAsiaTheme="minorHAnsi" w:hAnsiTheme="minorHAnsi"/>
          <w:sz w:val="20"/>
          <w:szCs w:val="20"/>
          <w:lang w:eastAsia="en-US"/>
        </w:rPr>
        <w:t>Les congés pour formation professionnelle suivie dans le cadre du plan de formation de l’Institut ;</w:t>
      </w:r>
    </w:p>
    <w:p>
      <w:pPr>
        <w:pStyle w:val="NoSpacing"/>
        <w:numPr>
          <w:ilvl w:val="0"/>
          <w:numId w:val="2"/>
        </w:numPr>
        <w:jc w:val="both"/>
        <w:rPr>
          <w:rFonts w:ascii="Calibri" w:hAnsi="Calibri" w:eastAsia="Calibri" w:cs="Calibri" w:asciiTheme="minorHAnsi" w:cstheme="minorHAnsi" w:eastAsiaTheme="minorHAnsi" w:hAnsiTheme="minorHAnsi"/>
          <w:sz w:val="20"/>
          <w:szCs w:val="20"/>
          <w:lang w:eastAsia="en-US"/>
        </w:rPr>
      </w:pPr>
      <w:r>
        <w:rPr>
          <w:rFonts w:eastAsia="Calibri" w:cs="Calibri" w:ascii="Calibri" w:hAnsi="Calibri" w:asciiTheme="minorHAnsi" w:cstheme="minorHAnsi" w:eastAsiaTheme="minorHAnsi" w:hAnsiTheme="minorHAnsi"/>
          <w:sz w:val="20"/>
          <w:szCs w:val="20"/>
          <w:lang w:eastAsia="en-US"/>
        </w:rPr>
        <w:t>Les congés légaux de maternité, paternité, d’adoption ;</w:t>
      </w:r>
    </w:p>
    <w:p>
      <w:pPr>
        <w:pStyle w:val="NoSpacing"/>
        <w:numPr>
          <w:ilvl w:val="0"/>
          <w:numId w:val="2"/>
        </w:numPr>
        <w:jc w:val="both"/>
        <w:rPr>
          <w:rFonts w:ascii="Calibri" w:hAnsi="Calibri" w:eastAsia="Calibri" w:cs="Calibri" w:asciiTheme="minorHAnsi" w:cstheme="minorHAnsi" w:eastAsiaTheme="minorHAnsi" w:hAnsiTheme="minorHAnsi"/>
          <w:sz w:val="20"/>
          <w:szCs w:val="20"/>
          <w:lang w:eastAsia="en-US"/>
        </w:rPr>
      </w:pPr>
      <w:r>
        <w:rPr>
          <w:rFonts w:eastAsia="Calibri" w:cs="Calibri" w:ascii="Calibri" w:hAnsi="Calibri" w:asciiTheme="minorHAnsi" w:cstheme="minorHAnsi" w:eastAsiaTheme="minorHAnsi" w:hAnsiTheme="minorHAnsi"/>
          <w:sz w:val="20"/>
          <w:szCs w:val="20"/>
          <w:lang w:eastAsia="en-US"/>
        </w:rPr>
        <w:t>Les périodes de suspension de contrat pour accident du travail ou maladie professionnelle ;</w:t>
      </w:r>
    </w:p>
    <w:p>
      <w:pPr>
        <w:pStyle w:val="NoSpacing"/>
        <w:numPr>
          <w:ilvl w:val="0"/>
          <w:numId w:val="2"/>
        </w:numPr>
        <w:jc w:val="both"/>
        <w:rPr>
          <w:rFonts w:ascii="Calibri" w:hAnsi="Calibri" w:eastAsia="Calibri" w:cs="Calibri" w:asciiTheme="minorHAnsi" w:cstheme="minorHAnsi" w:eastAsiaTheme="minorHAnsi" w:hAnsiTheme="minorHAnsi"/>
          <w:sz w:val="20"/>
          <w:szCs w:val="20"/>
          <w:lang w:eastAsia="en-US"/>
        </w:rPr>
      </w:pPr>
      <w:r>
        <w:rPr>
          <w:rFonts w:eastAsia="Calibri" w:cs="Calibri" w:ascii="Calibri" w:hAnsi="Calibri" w:asciiTheme="minorHAnsi" w:cstheme="minorHAnsi" w:eastAsiaTheme="minorHAnsi" w:hAnsiTheme="minorHAnsi"/>
          <w:sz w:val="20"/>
          <w:szCs w:val="20"/>
          <w:lang w:eastAsia="en-US"/>
        </w:rPr>
        <w:t xml:space="preserve">Les périodes de suspension de contrat pour maladie indemnisées par l’Institut Bergonié (hors prévoyance), y compris les périodes de mise en quarantaine au sens du 3° du I de l’article L.3131-15 du code de la santé publique ; </w:t>
      </w:r>
    </w:p>
    <w:p>
      <w:pPr>
        <w:pStyle w:val="NoSpacing"/>
        <w:numPr>
          <w:ilvl w:val="0"/>
          <w:numId w:val="2"/>
        </w:numPr>
        <w:jc w:val="both"/>
        <w:rPr>
          <w:rFonts w:ascii="Calibri" w:hAnsi="Calibri" w:eastAsia="Calibri" w:cs="Calibri" w:asciiTheme="minorHAnsi" w:cstheme="minorHAnsi" w:eastAsiaTheme="minorHAnsi" w:hAnsiTheme="minorHAnsi"/>
          <w:sz w:val="20"/>
          <w:szCs w:val="20"/>
          <w:lang w:eastAsia="en-US"/>
        </w:rPr>
      </w:pPr>
      <w:r>
        <w:rPr>
          <w:rFonts w:eastAsia="Calibri" w:cs="Calibri" w:ascii="Calibri" w:hAnsi="Calibri" w:asciiTheme="minorHAnsi" w:cstheme="minorHAnsi" w:eastAsiaTheme="minorHAnsi" w:hAnsiTheme="minorHAnsi"/>
          <w:sz w:val="20"/>
          <w:szCs w:val="20"/>
          <w:lang w:eastAsia="en-US"/>
        </w:rPr>
        <w:t>Les congés accordés dans le cadre des dispositions prévues par l’accord égalité entre les hommes et les femmes ;</w:t>
      </w:r>
    </w:p>
    <w:p>
      <w:pPr>
        <w:pStyle w:val="NoSpacing"/>
        <w:numPr>
          <w:ilvl w:val="0"/>
          <w:numId w:val="2"/>
        </w:numPr>
        <w:jc w:val="both"/>
        <w:rPr>
          <w:rFonts w:ascii="Calibri" w:hAnsi="Calibri" w:eastAsia="Calibri" w:cs="Calibri" w:asciiTheme="minorHAnsi" w:cstheme="minorHAnsi" w:eastAsiaTheme="minorHAnsi" w:hAnsiTheme="minorHAnsi"/>
          <w:sz w:val="20"/>
          <w:szCs w:val="20"/>
          <w:lang w:eastAsia="en-US"/>
        </w:rPr>
      </w:pPr>
      <w:r>
        <w:rPr>
          <w:rFonts w:eastAsia="Calibri" w:cs="Calibri" w:ascii="Calibri" w:hAnsi="Calibri" w:asciiTheme="minorHAnsi" w:cstheme="minorHAnsi" w:eastAsiaTheme="minorHAnsi" w:hAnsiTheme="minorHAnsi"/>
          <w:sz w:val="20"/>
          <w:szCs w:val="20"/>
          <w:lang w:eastAsia="en-US"/>
        </w:rPr>
        <w:t xml:space="preserve">Les heures de délégation dans l’exercice de mandats de représentation du personnel, </w:t>
      </w:r>
    </w:p>
    <w:p>
      <w:pPr>
        <w:pStyle w:val="NoSpacing"/>
        <w:numPr>
          <w:ilvl w:val="0"/>
          <w:numId w:val="2"/>
        </w:numPr>
        <w:jc w:val="both"/>
        <w:rPr>
          <w:rFonts w:ascii="Calibri" w:hAnsi="Calibri" w:eastAsia="Calibri" w:cs="Calibri" w:asciiTheme="minorHAnsi" w:cstheme="minorHAnsi" w:eastAsiaTheme="minorHAnsi" w:hAnsiTheme="minorHAnsi"/>
          <w:sz w:val="20"/>
          <w:szCs w:val="20"/>
          <w:lang w:eastAsia="en-US"/>
        </w:rPr>
      </w:pPr>
      <w:r>
        <w:rPr>
          <w:rFonts w:eastAsia="Calibri" w:cs="Calibri" w:ascii="Calibri" w:hAnsi="Calibri" w:asciiTheme="minorHAnsi" w:cstheme="minorHAnsi" w:eastAsiaTheme="minorHAnsi" w:hAnsiTheme="minorHAnsi"/>
          <w:sz w:val="20"/>
          <w:szCs w:val="20"/>
          <w:lang w:eastAsia="en-US"/>
        </w:rPr>
        <w:t xml:space="preserve">Les heures chômées en cas d’activité partielle, </w:t>
      </w:r>
    </w:p>
    <w:p>
      <w:pPr>
        <w:pStyle w:val="NoSpacing"/>
        <w:jc w:val="both"/>
        <w:rPr>
          <w:rFonts w:ascii="Calibri" w:hAnsi="Calibri" w:eastAsia="Calibri" w:cs="Calibri" w:asciiTheme="minorHAnsi" w:cstheme="minorHAnsi" w:eastAsiaTheme="minorHAnsi" w:hAnsiTheme="minorHAnsi"/>
          <w:sz w:val="20"/>
          <w:szCs w:val="20"/>
          <w:lang w:eastAsia="en-US"/>
        </w:rPr>
      </w:pPr>
      <w:r>
        <w:rPr>
          <w:rFonts w:eastAsia="Calibri" w:cs="Calibri" w:cstheme="minorHAnsi" w:eastAsiaTheme="minorHAnsi" w:ascii="Calibri" w:hAnsi="Calibri"/>
          <w:sz w:val="20"/>
          <w:szCs w:val="20"/>
          <w:lang w:eastAsia="en-US"/>
        </w:rPr>
      </w:r>
    </w:p>
    <w:p>
      <w:pPr>
        <w:pStyle w:val="ListParagraph"/>
        <w:numPr>
          <w:ilvl w:val="0"/>
          <w:numId w:val="3"/>
        </w:numPr>
        <w:spacing w:lineRule="auto" w:line="240"/>
        <w:jc w:val="both"/>
        <w:rPr>
          <w:rFonts w:cs="Calibri" w:cstheme="minorHAnsi"/>
          <w:b/>
          <w:sz w:val="20"/>
          <w:szCs w:val="20"/>
        </w:rPr>
      </w:pPr>
      <w:r>
        <w:rPr>
          <w:rFonts w:cs="Calibri" w:cstheme="minorHAnsi"/>
          <w:b/>
          <w:sz w:val="20"/>
          <w:szCs w:val="20"/>
        </w:rPr>
        <w:t>Le niveau de classification de l’emploi prévu par la Convention Collective Nationale des CLCC auquel le salarié est rattaché à la date de versement de la prime.</w:t>
      </w:r>
    </w:p>
    <w:p>
      <w:pPr>
        <w:pStyle w:val="ElAppp"/>
        <w:spacing w:before="75" w:after="75"/>
        <w:ind w:start="15" w:end="15"/>
        <w:rPr>
          <w:rFonts w:ascii="Calibri" w:hAnsi="Calibri" w:eastAsia="Calibri" w:cs="Calibri" w:asciiTheme="minorHAnsi" w:cstheme="minorHAnsi" w:eastAsiaTheme="minorHAnsi" w:hAnsiTheme="minorHAnsi"/>
          <w:sz w:val="20"/>
          <w:szCs w:val="20"/>
          <w:lang w:eastAsia="en-US"/>
        </w:rPr>
      </w:pPr>
      <w:r>
        <w:rPr>
          <w:rFonts w:eastAsia="Calibri" w:cs="Calibri" w:ascii="Calibri" w:hAnsi="Calibri" w:asciiTheme="minorHAnsi" w:cstheme="minorHAnsi" w:eastAsiaTheme="minorHAnsi" w:hAnsiTheme="minorHAnsi"/>
          <w:sz w:val="20"/>
          <w:szCs w:val="20"/>
          <w:lang w:eastAsia="en-US"/>
        </w:rPr>
        <w:t>Le montant est fixé à :</w:t>
      </w:r>
    </w:p>
    <w:p>
      <w:pPr>
        <w:pStyle w:val="Normal"/>
        <w:rPr>
          <w:rFonts w:cs="Calibri" w:cstheme="minorHAnsi"/>
          <w:sz w:val="20"/>
          <w:szCs w:val="20"/>
        </w:rPr>
      </w:pPr>
      <w:r>
        <w:rPr>
          <w:rFonts w:cs="Calibri" w:cstheme="minorHAnsi"/>
          <w:sz w:val="20"/>
          <w:szCs w:val="20"/>
        </w:rPr>
        <w:t>-  200 € bruts pour les salariés des groupes A à D inclus ;</w:t>
      </w:r>
    </w:p>
    <w:p>
      <w:pPr>
        <w:pStyle w:val="Normal"/>
        <w:rPr>
          <w:rFonts w:cs="Calibri" w:cstheme="minorHAnsi"/>
          <w:sz w:val="20"/>
          <w:szCs w:val="20"/>
        </w:rPr>
      </w:pPr>
      <w:r>
        <w:rPr>
          <w:rFonts w:cs="Calibri" w:cstheme="minorHAnsi"/>
          <w:sz w:val="20"/>
          <w:szCs w:val="20"/>
        </w:rPr>
        <w:t>-  150 € bruts pour les salariés des groupes E à H inclus ;</w:t>
      </w:r>
    </w:p>
    <w:p>
      <w:pPr>
        <w:pStyle w:val="Normal"/>
        <w:rPr>
          <w:rFonts w:cs="Calibri" w:cstheme="minorHAnsi"/>
          <w:sz w:val="20"/>
          <w:szCs w:val="20"/>
        </w:rPr>
      </w:pPr>
      <w:r>
        <w:rPr>
          <w:rFonts w:cs="Calibri" w:cstheme="minorHAnsi"/>
          <w:sz w:val="20"/>
          <w:szCs w:val="20"/>
        </w:rPr>
        <w:t>-  100 € bruts pour les salariés des groupes I à N et praticiens.</w:t>
      </w:r>
    </w:p>
    <w:p>
      <w:pPr>
        <w:pStyle w:val="Normal"/>
        <w:spacing w:lineRule="auto" w:line="240"/>
        <w:jc w:val="both"/>
        <w:rPr>
          <w:rFonts w:cs="Calibri" w:cstheme="minorHAnsi"/>
          <w:b/>
          <w:sz w:val="20"/>
          <w:szCs w:val="20"/>
        </w:rPr>
      </w:pPr>
      <w:r>
        <w:rPr>
          <w:rFonts w:cs="Calibri" w:cstheme="minorHAnsi"/>
          <w:b/>
          <w:sz w:val="20"/>
          <w:szCs w:val="20"/>
        </w:rPr>
        <w:t xml:space="preserve">ARTICLE 4 – MODALITE ET DATE DE VERSEMENT </w:t>
      </w:r>
    </w:p>
    <w:p>
      <w:pPr>
        <w:pStyle w:val="Normal"/>
        <w:spacing w:lineRule="auto" w:line="240"/>
        <w:jc w:val="both"/>
        <w:rPr>
          <w:rFonts w:cs="Calibri" w:cstheme="minorHAnsi"/>
          <w:sz w:val="20"/>
          <w:szCs w:val="20"/>
        </w:rPr>
      </w:pPr>
      <w:r>
        <w:rPr>
          <w:rFonts w:cs="Calibri" w:cstheme="minorHAnsi"/>
          <w:sz w:val="20"/>
          <w:szCs w:val="20"/>
        </w:rPr>
        <w:t>La prime de partage de la valeur est versée en une seule fois sur la paie du mois de mai 2026.</w:t>
      </w:r>
    </w:p>
    <w:p>
      <w:pPr>
        <w:pStyle w:val="Normal"/>
        <w:spacing w:lineRule="auto" w:line="240"/>
        <w:jc w:val="both"/>
        <w:rPr>
          <w:rFonts w:cs="Calibri" w:cstheme="minorHAnsi"/>
          <w:sz w:val="20"/>
          <w:szCs w:val="20"/>
        </w:rPr>
      </w:pPr>
      <w:r>
        <w:rPr>
          <w:rFonts w:cs="Calibri" w:cstheme="minorHAnsi"/>
          <w:sz w:val="20"/>
          <w:szCs w:val="20"/>
        </w:rPr>
        <w:t xml:space="preserve">Cette prime est exonérée des cotisations sociales à la charge du salarié et de l’employeur, quel que soit le niveau de rémunération du salaire. </w:t>
      </w:r>
    </w:p>
    <w:p>
      <w:pPr>
        <w:pStyle w:val="Normal"/>
        <w:spacing w:lineRule="auto" w:line="240"/>
        <w:jc w:val="both"/>
        <w:rPr>
          <w:rFonts w:cs="Calibri" w:cstheme="minorHAnsi"/>
          <w:sz w:val="20"/>
          <w:szCs w:val="20"/>
        </w:rPr>
      </w:pPr>
      <w:r>
        <w:rPr>
          <w:rFonts w:cs="Calibri" w:cstheme="minorHAnsi"/>
          <w:sz w:val="20"/>
          <w:szCs w:val="20"/>
        </w:rPr>
        <w:t>Il est soumis en revanche à la CSG/CRDS, à l’impôt sur le revenu, à la taxe sur les salaires et au forfait social.</w:t>
      </w:r>
    </w:p>
    <w:p>
      <w:pPr>
        <w:pStyle w:val="NoSpacing"/>
        <w:jc w:val="both"/>
        <w:rPr>
          <w:rFonts w:ascii="Calibri" w:hAnsi="Calibri" w:cs="Calibri" w:asciiTheme="minorHAnsi" w:cstheme="minorHAnsi" w:hAnsiTheme="minorHAnsi"/>
          <w:sz w:val="20"/>
        </w:rPr>
      </w:pPr>
      <w:r>
        <w:rPr>
          <w:rFonts w:cs="Calibri" w:ascii="Calibri" w:hAnsi="Calibri" w:asciiTheme="minorHAnsi" w:cstheme="minorHAnsi" w:hAnsiTheme="minorHAnsi"/>
          <w:sz w:val="20"/>
        </w:rPr>
        <w:t xml:space="preserve">Il est rappelé que cette prime a un caractère exceptionnel de sorte qu’elle ne peut constituer un acquis pour l’avenir. Elle ne peut se substituer à aucune augmentation de rémunération ni à des primes prévues par un accord salarial, le contrat de travail ou les usages en vigueur. Elle ne peut non plus se substituer à aucun des éléments de rémunération au sens de l’article L 242-1 du Code de la Sécurité Sociale versé par l’employeur ou qui deviennent obligatoires en vertu de règles légales, contractuelles ou d’usage. </w:t>
      </w:r>
    </w:p>
    <w:p>
      <w:pPr>
        <w:pStyle w:val="NoSpacing"/>
        <w:jc w:val="both"/>
        <w:rPr>
          <w:rFonts w:ascii="Calibri" w:hAnsi="Calibri" w:cs="Calibri" w:asciiTheme="minorHAnsi" w:cstheme="minorHAnsi" w:hAnsiTheme="minorHAnsi"/>
          <w:sz w:val="20"/>
        </w:rPr>
      </w:pPr>
      <w:r>
        <w:rPr>
          <w:rFonts w:cs="Calibri" w:cstheme="minorHAnsi" w:ascii="Calibri" w:hAnsi="Calibri"/>
          <w:sz w:val="20"/>
        </w:rPr>
      </w:r>
    </w:p>
    <w:p>
      <w:pPr>
        <w:pStyle w:val="Normal"/>
        <w:spacing w:lineRule="auto" w:line="240"/>
        <w:jc w:val="both"/>
        <w:rPr>
          <w:rFonts w:cs="Calibri" w:cstheme="minorHAnsi"/>
          <w:b/>
          <w:sz w:val="20"/>
          <w:szCs w:val="20"/>
        </w:rPr>
      </w:pPr>
      <w:r>
        <w:rPr>
          <w:rFonts w:cs="Calibri" w:cstheme="minorHAnsi"/>
          <w:b/>
          <w:sz w:val="20"/>
          <w:szCs w:val="20"/>
        </w:rPr>
        <w:t>ARTICLE 5 – DUREE ET ENTREE EN VIGUEUR DE L’ACCORD</w:t>
      </w:r>
    </w:p>
    <w:p>
      <w:pPr>
        <w:pStyle w:val="Normal"/>
        <w:spacing w:lineRule="auto" w:line="240"/>
        <w:jc w:val="both"/>
        <w:rPr>
          <w:rFonts w:cs="Calibri" w:cstheme="minorHAnsi"/>
          <w:sz w:val="20"/>
          <w:szCs w:val="20"/>
        </w:rPr>
      </w:pPr>
      <w:r>
        <w:rPr>
          <w:rFonts w:cs="Calibri" w:cstheme="minorHAnsi"/>
          <w:sz w:val="20"/>
          <w:szCs w:val="20"/>
        </w:rPr>
        <w:t xml:space="preserve">Le présent accord prend effet à sa date de signature. Il est conclu à durée déterminée dont le terme est fixé à la date de versement de la prime. </w:t>
      </w:r>
    </w:p>
    <w:p>
      <w:pPr>
        <w:pStyle w:val="Normal"/>
        <w:spacing w:lineRule="auto" w:line="240"/>
        <w:jc w:val="both"/>
        <w:rPr>
          <w:rFonts w:cs="Calibri" w:cstheme="minorHAnsi"/>
          <w:sz w:val="20"/>
          <w:szCs w:val="20"/>
        </w:rPr>
      </w:pPr>
      <w:r>
        <w:rPr>
          <w:rFonts w:cs="Calibri" w:cstheme="minorHAnsi"/>
          <w:sz w:val="20"/>
          <w:szCs w:val="20"/>
        </w:rPr>
      </w:r>
    </w:p>
    <w:p>
      <w:pPr>
        <w:pStyle w:val="Normal"/>
        <w:spacing w:lineRule="auto" w:line="240"/>
        <w:jc w:val="both"/>
        <w:rPr>
          <w:rFonts w:cs="Calibri" w:cstheme="minorHAnsi"/>
          <w:sz w:val="20"/>
          <w:szCs w:val="20"/>
        </w:rPr>
      </w:pPr>
      <w:r>
        <w:rPr>
          <w:rFonts w:cs="Calibri" w:cstheme="minorHAnsi"/>
          <w:sz w:val="20"/>
          <w:szCs w:val="20"/>
        </w:rPr>
      </w:r>
    </w:p>
    <w:p>
      <w:pPr>
        <w:pStyle w:val="Normal"/>
        <w:spacing w:lineRule="auto" w:line="240"/>
        <w:jc w:val="both"/>
        <w:rPr>
          <w:rFonts w:cs="Calibri" w:cstheme="minorHAnsi"/>
          <w:sz w:val="20"/>
          <w:szCs w:val="20"/>
        </w:rPr>
      </w:pPr>
      <w:r>
        <w:rPr>
          <w:rFonts w:cs="Calibri" w:cstheme="minorHAnsi"/>
          <w:sz w:val="20"/>
          <w:szCs w:val="20"/>
        </w:rPr>
      </w:r>
    </w:p>
    <w:p>
      <w:pPr>
        <w:pStyle w:val="Normal"/>
        <w:spacing w:lineRule="auto" w:line="240"/>
        <w:jc w:val="both"/>
        <w:rPr>
          <w:rFonts w:cs="Calibri" w:cstheme="minorHAnsi"/>
          <w:b/>
          <w:sz w:val="20"/>
          <w:szCs w:val="20"/>
        </w:rPr>
      </w:pPr>
      <w:r>
        <w:rPr>
          <w:rFonts w:cs="Calibri" w:cstheme="minorHAnsi"/>
          <w:b/>
          <w:sz w:val="20"/>
          <w:szCs w:val="20"/>
        </w:rPr>
        <w:t>ARTICLE 6 – REVISION</w:t>
      </w:r>
    </w:p>
    <w:p>
      <w:pPr>
        <w:pStyle w:val="Normal"/>
        <w:spacing w:lineRule="auto" w:line="240"/>
        <w:jc w:val="both"/>
        <w:rPr>
          <w:rFonts w:cs="Calibri" w:cstheme="minorHAnsi"/>
          <w:sz w:val="20"/>
          <w:szCs w:val="20"/>
        </w:rPr>
      </w:pPr>
      <w:r>
        <w:rPr>
          <w:rFonts w:cs="Calibri" w:cstheme="minorHAnsi"/>
          <w:sz w:val="20"/>
          <w:szCs w:val="20"/>
        </w:rPr>
        <w:t xml:space="preserve">Le présent accord peut être révisé dans les conditions prévues par les textes légaux et réglementaires. </w:t>
      </w:r>
    </w:p>
    <w:p>
      <w:pPr>
        <w:pStyle w:val="Normal"/>
        <w:spacing w:lineRule="auto" w:line="240" w:before="0" w:after="0"/>
        <w:jc w:val="both"/>
        <w:rPr>
          <w:rFonts w:cs="Calibri" w:cstheme="minorHAnsi"/>
          <w:b/>
          <w:sz w:val="20"/>
          <w:szCs w:val="20"/>
        </w:rPr>
      </w:pPr>
      <w:r>
        <w:rPr>
          <w:rFonts w:cs="Calibri" w:cstheme="minorHAnsi"/>
          <w:b/>
          <w:sz w:val="20"/>
          <w:szCs w:val="20"/>
        </w:rPr>
        <w:t>ARTICLE 7 -  INFORMATION INDIVIDUELLE ET COLLECTIVE DU PERSONNEL</w:t>
      </w:r>
    </w:p>
    <w:p>
      <w:pPr>
        <w:pStyle w:val="Normal"/>
        <w:spacing w:lineRule="auto" w:line="240" w:before="0" w:after="0"/>
        <w:jc w:val="both"/>
        <w:rPr>
          <w:rFonts w:cs="Calibri" w:cstheme="minorHAnsi"/>
          <w:sz w:val="20"/>
          <w:szCs w:val="20"/>
          <w:shd w:fill="FFFFFF" w:val="clear"/>
        </w:rPr>
      </w:pPr>
      <w:r>
        <w:rPr>
          <w:rFonts w:cs="Calibri" w:cstheme="minorHAnsi"/>
          <w:sz w:val="20"/>
          <w:szCs w:val="20"/>
          <w:shd w:fill="FFFFFF" w:val="clear"/>
        </w:rPr>
      </w:r>
    </w:p>
    <w:p>
      <w:pPr>
        <w:pStyle w:val="Normal"/>
        <w:spacing w:before="0" w:after="0"/>
        <w:jc w:val="both"/>
        <w:rPr>
          <w:rFonts w:cs="Calibri" w:cstheme="minorHAnsi"/>
          <w:sz w:val="20"/>
          <w:szCs w:val="20"/>
        </w:rPr>
      </w:pPr>
      <w:r>
        <w:rPr>
          <w:rFonts w:cs="Calibri" w:cstheme="minorHAnsi"/>
          <w:sz w:val="20"/>
          <w:szCs w:val="20"/>
        </w:rPr>
        <w:t xml:space="preserve">Tous les salariés de l’Institut seront informés des modalités générales de l’accord par une note d’information, reprenant le texte même de l’accord, qui sera diffusée par le service communication et publiée sur l’intranet de l’Institut. </w:t>
      </w:r>
    </w:p>
    <w:p>
      <w:pPr>
        <w:pStyle w:val="Normal"/>
        <w:spacing w:before="0" w:after="0"/>
        <w:jc w:val="both"/>
        <w:rPr>
          <w:rFonts w:cs="Calibri" w:cstheme="minorHAnsi"/>
          <w:sz w:val="20"/>
          <w:szCs w:val="20"/>
        </w:rPr>
      </w:pPr>
      <w:r>
        <w:rPr>
          <w:rFonts w:cs="Calibri" w:cstheme="minorHAnsi"/>
          <w:sz w:val="20"/>
          <w:szCs w:val="20"/>
        </w:rPr>
      </w:r>
    </w:p>
    <w:p>
      <w:pPr>
        <w:pStyle w:val="Normal"/>
        <w:spacing w:lineRule="auto" w:line="240" w:before="0" w:after="0"/>
        <w:jc w:val="both"/>
        <w:rPr>
          <w:rFonts w:cs="Calibri" w:cstheme="minorHAnsi"/>
          <w:b/>
          <w:sz w:val="20"/>
          <w:szCs w:val="20"/>
        </w:rPr>
      </w:pPr>
      <w:r>
        <w:rPr>
          <w:rFonts w:cs="Calibri" w:cstheme="minorHAnsi"/>
          <w:b/>
          <w:sz w:val="20"/>
          <w:szCs w:val="20"/>
        </w:rPr>
        <w:t>ARTICLE 8 – PROCEDURE DE REGLEMENT DES DIFFERENDS</w:t>
      </w:r>
    </w:p>
    <w:p>
      <w:pPr>
        <w:pStyle w:val="Normal"/>
        <w:spacing w:lineRule="auto" w:line="240" w:before="0" w:after="0"/>
        <w:jc w:val="both"/>
        <w:rPr>
          <w:rFonts w:cs="Calibri" w:cstheme="minorHAnsi"/>
          <w:b/>
          <w:sz w:val="20"/>
          <w:szCs w:val="20"/>
        </w:rPr>
      </w:pPr>
      <w:r>
        <w:rPr>
          <w:rFonts w:cs="Calibri" w:cstheme="minorHAnsi"/>
          <w:b/>
          <w:sz w:val="20"/>
          <w:szCs w:val="20"/>
        </w:rPr>
      </w:r>
    </w:p>
    <w:p>
      <w:pPr>
        <w:pStyle w:val="Normal"/>
        <w:spacing w:before="0" w:after="0"/>
        <w:jc w:val="both"/>
        <w:rPr>
          <w:rFonts w:cs="Calibri" w:cstheme="minorHAnsi"/>
          <w:sz w:val="20"/>
          <w:szCs w:val="20"/>
        </w:rPr>
      </w:pPr>
      <w:r>
        <w:rPr>
          <w:rFonts w:cs="Calibri" w:cstheme="minorHAnsi"/>
          <w:sz w:val="20"/>
          <w:szCs w:val="20"/>
        </w:rPr>
        <w:t xml:space="preserve">En cas de différend dans l’application du présent texte, les parties signataires conviennent de se rencontrer à la demande de la partie la plus diligente, afin de tenter de régler celui-ci dans un délai au plus égal à trois (3) semaines à compter de la réception de la demande par la Direction Générale. Toute demande de règlement d’un différend doit être formulée par écrit et comporter un exposé précis des motifs. La demande est diffusée par la Direction Générale à l’ensemble des parties signataires de l’accord dans les meilleurs délais. Celle-ci met en place les moyens de discussion nécessaires à la recherche de règlement du différend. Les discussions entre les parties font l’objet d’un procès-verbal remis à chacun des parties et dont la Direction Générale assure la publicité. Chacune des parties s’engage à n’introduire aucune action contentieuse naissance du différend faisant l’objet de cette procédure, tant qu’un éventuel désaccord n’est pas constaté par écrit. </w:t>
      </w:r>
    </w:p>
    <w:p>
      <w:pPr>
        <w:pStyle w:val="Normal"/>
        <w:spacing w:before="0" w:after="0"/>
        <w:jc w:val="both"/>
        <w:rPr>
          <w:rFonts w:cs="Calibri" w:cstheme="minorHAnsi"/>
          <w:sz w:val="20"/>
          <w:szCs w:val="20"/>
        </w:rPr>
      </w:pPr>
      <w:r>
        <w:rPr>
          <w:rFonts w:cs="Calibri" w:cstheme="minorHAnsi"/>
          <w:sz w:val="20"/>
          <w:szCs w:val="20"/>
        </w:rPr>
      </w:r>
    </w:p>
    <w:p>
      <w:pPr>
        <w:pStyle w:val="Normal"/>
        <w:spacing w:lineRule="auto" w:line="240" w:before="0" w:after="0"/>
        <w:jc w:val="both"/>
        <w:rPr>
          <w:rFonts w:cs="Calibri" w:cstheme="minorHAnsi"/>
          <w:b/>
          <w:sz w:val="20"/>
          <w:szCs w:val="20"/>
        </w:rPr>
      </w:pPr>
      <w:r>
        <w:rPr>
          <w:rFonts w:cs="Calibri" w:cstheme="minorHAnsi"/>
          <w:b/>
          <w:sz w:val="20"/>
          <w:szCs w:val="20"/>
        </w:rPr>
        <w:t xml:space="preserve">ARTICLE 9 – DEPOT ET PUBLICITE </w:t>
      </w:r>
    </w:p>
    <w:p>
      <w:pPr>
        <w:pStyle w:val="Normal"/>
        <w:spacing w:lineRule="auto" w:line="240" w:before="0" w:after="0"/>
        <w:jc w:val="both"/>
        <w:rPr>
          <w:rFonts w:cs="Calibri" w:cstheme="minorHAnsi"/>
          <w:b/>
          <w:sz w:val="20"/>
          <w:szCs w:val="20"/>
        </w:rPr>
      </w:pPr>
      <w:r>
        <w:rPr>
          <w:rFonts w:cs="Calibri" w:cstheme="minorHAnsi"/>
          <w:b/>
          <w:sz w:val="20"/>
          <w:szCs w:val="20"/>
        </w:rPr>
      </w:r>
    </w:p>
    <w:p>
      <w:pPr>
        <w:pStyle w:val="ElAppp"/>
        <w:spacing w:before="75" w:after="75"/>
        <w:ind w:start="15" w:end="15"/>
        <w:jc w:val="both"/>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 xml:space="preserve">Le présent accord sera déposé sur la plateforme de téléprocédure du ministère du travail dénommée « TéléAccords » accessible sur le site internet </w:t>
      </w:r>
      <w:hyperlink r:id="rId3" w:tgtFrame="_blank">
        <w:r>
          <w:rPr>
            <w:rStyle w:val="Style9"/>
            <w:rFonts w:cs="Calibri" w:ascii="Calibri" w:hAnsi="Calibri" w:asciiTheme="minorHAnsi" w:cstheme="minorHAnsi" w:hAnsiTheme="minorHAnsi"/>
            <w:sz w:val="20"/>
            <w:szCs w:val="20"/>
          </w:rPr>
          <w:t>www.teleaccords.travail.emploi.gouv.fr</w:t>
        </w:r>
      </w:hyperlink>
      <w:r>
        <w:rPr>
          <w:rFonts w:cs="Calibri" w:ascii="Calibri" w:hAnsi="Calibri" w:asciiTheme="minorHAnsi" w:cstheme="minorHAnsi" w:hAnsiTheme="minorHAnsi"/>
          <w:sz w:val="20"/>
          <w:szCs w:val="20"/>
        </w:rPr>
        <w:t xml:space="preserve"> et au secrétariat du greffe du Conseil de prud’hommes de Bordeaux.</w:t>
      </w:r>
    </w:p>
    <w:p>
      <w:pPr>
        <w:pStyle w:val="ElAppp"/>
        <w:spacing w:before="75" w:after="75"/>
        <w:ind w:start="15" w:end="15"/>
        <w:jc w:val="both"/>
        <w:rPr>
          <w:rFonts w:ascii="Calibri" w:hAnsi="Calibri" w:cs="Calibri" w:asciiTheme="minorHAnsi" w:cstheme="minorHAnsi" w:hAnsiTheme="minorHAnsi"/>
          <w:sz w:val="20"/>
          <w:szCs w:val="20"/>
        </w:rPr>
      </w:pPr>
      <w:r>
        <w:rPr>
          <w:rFonts w:cs="Calibri" w:cstheme="minorHAnsi" w:ascii="Calibri" w:hAnsi="Calibri"/>
          <w:sz w:val="20"/>
          <w:szCs w:val="20"/>
        </w:rPr>
      </w:r>
    </w:p>
    <w:p>
      <w:pPr>
        <w:pStyle w:val="Normal"/>
        <w:spacing w:lineRule="auto" w:line="240" w:before="0" w:after="0"/>
        <w:jc w:val="both"/>
        <w:rPr>
          <w:rFonts w:cs="Calibri" w:cstheme="minorHAnsi"/>
          <w:b/>
          <w:sz w:val="20"/>
          <w:szCs w:val="20"/>
          <w:shd w:fill="FFFFFF" w:val="clear"/>
        </w:rPr>
      </w:pPr>
      <w:r>
        <w:rPr>
          <w:rFonts w:cs="Calibri" w:cstheme="minorHAnsi"/>
          <w:b/>
          <w:sz w:val="20"/>
          <w:szCs w:val="20"/>
          <w:shd w:fill="FFFFFF" w:val="clear"/>
        </w:rPr>
        <w:t>Fait à Bordeaux, le 27 mars 2026</w:t>
      </w:r>
    </w:p>
    <w:p>
      <w:pPr>
        <w:pStyle w:val="Normal"/>
        <w:spacing w:lineRule="auto" w:line="240" w:before="0" w:after="0"/>
        <w:jc w:val="both"/>
        <w:rPr>
          <w:rFonts w:cs="Calibri" w:cstheme="minorHAnsi"/>
          <w:sz w:val="20"/>
          <w:szCs w:val="20"/>
        </w:rPr>
      </w:pPr>
      <w:r>
        <w:rPr>
          <w:rFonts w:cs="Calibri" w:cstheme="minorHAnsi"/>
          <w:sz w:val="20"/>
          <w:szCs w:val="20"/>
        </w:rPr>
      </w:r>
    </w:p>
    <w:p>
      <w:pPr>
        <w:pStyle w:val="NoSpacing"/>
        <w:jc w:val="both"/>
        <w:rPr>
          <w:rFonts w:ascii="Calibri" w:hAnsi="Calibri" w:cs="Calibri" w:asciiTheme="minorHAnsi" w:cstheme="minorHAnsi" w:hAnsiTheme="minorHAnsi"/>
          <w:b/>
          <w:sz w:val="20"/>
          <w:szCs w:val="20"/>
        </w:rPr>
      </w:pPr>
      <w:r>
        <w:rPr>
          <w:rFonts w:cs="Calibri" w:ascii="Calibri" w:hAnsi="Calibri" w:asciiTheme="minorHAnsi" w:cstheme="minorHAnsi" w:hAnsiTheme="minorHAnsi"/>
          <w:b/>
          <w:sz w:val="20"/>
          <w:szCs w:val="20"/>
        </w:rPr>
        <w:t>Pour l’Institut Bergonié :</w:t>
      </w:r>
    </w:p>
    <w:p>
      <w:pPr>
        <w:pStyle w:val="NoSpacing"/>
        <w:jc w:val="both"/>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XXXX</w:t>
      </w:r>
    </w:p>
    <w:p>
      <w:pPr>
        <w:pStyle w:val="NoSpacing"/>
        <w:jc w:val="both"/>
        <w:rPr>
          <w:rFonts w:ascii="Calibri" w:hAnsi="Calibri" w:cs="Calibri" w:asciiTheme="minorHAnsi" w:cstheme="minorHAnsi" w:hAnsiTheme="minorHAnsi"/>
          <w:sz w:val="20"/>
          <w:szCs w:val="20"/>
        </w:rPr>
      </w:pPr>
      <w:r>
        <w:rPr>
          <w:rFonts w:cs="Calibri" w:ascii="Calibri" w:hAnsi="Calibri" w:asciiTheme="minorHAnsi" w:cstheme="minorHAnsi" w:hAnsiTheme="minorHAnsi"/>
          <w:sz w:val="20"/>
          <w:szCs w:val="20"/>
        </w:rPr>
        <w:t>Directrice générale adjointe,</w:t>
      </w:r>
    </w:p>
    <w:p>
      <w:pPr>
        <w:pStyle w:val="NoSpacing"/>
        <w:jc w:val="both"/>
        <w:rPr>
          <w:rFonts w:ascii="Calibri" w:hAnsi="Calibri" w:cs="Calibri" w:asciiTheme="minorHAnsi" w:cstheme="minorHAnsi" w:hAnsiTheme="minorHAnsi"/>
          <w:sz w:val="20"/>
          <w:szCs w:val="20"/>
        </w:rPr>
      </w:pPr>
      <w:r>
        <w:rPr>
          <w:rFonts w:cs="Calibri" w:cstheme="minorHAnsi" w:ascii="Calibri" w:hAnsi="Calibri"/>
          <w:sz w:val="20"/>
          <w:szCs w:val="20"/>
        </w:rPr>
      </w:r>
    </w:p>
    <w:p>
      <w:pPr>
        <w:pStyle w:val="NoSpacing"/>
        <w:jc w:val="both"/>
        <w:rPr>
          <w:rFonts w:ascii="Calibri" w:hAnsi="Calibri" w:cs="Calibri" w:asciiTheme="minorHAnsi" w:cstheme="minorHAnsi" w:hAnsiTheme="minorHAnsi"/>
          <w:sz w:val="20"/>
          <w:szCs w:val="20"/>
        </w:rPr>
      </w:pPr>
      <w:r>
        <w:rPr>
          <w:rFonts w:cs="Calibri" w:cstheme="minorHAnsi" w:ascii="Calibri" w:hAnsi="Calibri"/>
          <w:sz w:val="20"/>
          <w:szCs w:val="20"/>
        </w:rPr>
      </w:r>
    </w:p>
    <w:p>
      <w:pPr>
        <w:pStyle w:val="NoSpacing"/>
        <w:jc w:val="both"/>
        <w:rPr>
          <w:rFonts w:ascii="Calibri" w:hAnsi="Calibri" w:cs="Calibri" w:asciiTheme="minorHAnsi" w:cstheme="minorHAnsi" w:hAnsiTheme="minorHAnsi"/>
          <w:b/>
          <w:sz w:val="20"/>
          <w:szCs w:val="20"/>
        </w:rPr>
      </w:pPr>
      <w:r>
        <w:rPr>
          <w:rFonts w:cs="Calibri" w:ascii="Calibri" w:hAnsi="Calibri" w:asciiTheme="minorHAnsi" w:cstheme="minorHAnsi" w:hAnsiTheme="minorHAnsi"/>
          <w:b/>
          <w:sz w:val="20"/>
          <w:szCs w:val="20"/>
        </w:rPr>
        <w:t>Pour les organisations syndicales représentatives :</w:t>
      </w:r>
    </w:p>
    <w:p>
      <w:pPr>
        <w:pStyle w:val="NoSpacing"/>
        <w:jc w:val="both"/>
        <w:rPr>
          <w:rFonts w:ascii="Calibri" w:hAnsi="Calibri" w:cs="Calibri" w:asciiTheme="minorHAnsi" w:cstheme="minorHAnsi" w:hAnsiTheme="minorHAnsi"/>
          <w:sz w:val="20"/>
          <w:szCs w:val="20"/>
        </w:rPr>
      </w:pPr>
      <w:r>
        <w:rPr>
          <w:rFonts w:cs="Calibri" w:cstheme="minorHAnsi" w:ascii="Calibri" w:hAnsi="Calibri"/>
          <w:sz w:val="20"/>
          <w:szCs w:val="20"/>
        </w:rPr>
      </w:r>
    </w:p>
    <w:p>
      <w:pPr>
        <w:pStyle w:val="Normal"/>
        <w:tabs>
          <w:tab w:val="clear" w:pos="708"/>
          <w:tab w:val="left" w:pos="5296" w:leader="none"/>
        </w:tabs>
        <w:spacing w:before="0" w:after="0"/>
        <w:jc w:val="both"/>
        <w:rPr>
          <w:rFonts w:cs="Calibri" w:cstheme="minorHAnsi"/>
          <w:sz w:val="20"/>
          <w:szCs w:val="20"/>
        </w:rPr>
      </w:pPr>
      <w:r>
        <w:rPr>
          <w:rFonts w:cs="Calibri" w:cstheme="minorHAnsi"/>
          <w:b/>
          <w:sz w:val="20"/>
          <w:szCs w:val="20"/>
        </w:rPr>
        <w:t>L’organisation syndicale FO,</w:t>
      </w:r>
      <w:r>
        <w:rPr>
          <w:rFonts w:cs="Calibri" w:cstheme="minorHAnsi"/>
          <w:sz w:val="20"/>
          <w:szCs w:val="20"/>
        </w:rPr>
        <w:t xml:space="preserve"> </w:t>
        <w:tab/>
      </w:r>
    </w:p>
    <w:p>
      <w:pPr>
        <w:pStyle w:val="Normal"/>
        <w:spacing w:before="0" w:after="0"/>
        <w:jc w:val="both"/>
        <w:rPr>
          <w:rFonts w:cs="Calibri" w:cstheme="minorHAnsi"/>
          <w:sz w:val="20"/>
          <w:szCs w:val="20"/>
        </w:rPr>
      </w:pPr>
      <w:r>
        <w:rPr>
          <w:rFonts w:cs="Calibri" w:cstheme="minorHAnsi"/>
          <w:sz w:val="20"/>
          <w:szCs w:val="20"/>
        </w:rPr>
        <w:t xml:space="preserve">Représentée par Monsieur XXXX, Monsieur XXXX ou Monsieur XXXX en qualité de délégués syndicaux. </w:t>
      </w:r>
    </w:p>
    <w:p>
      <w:pPr>
        <w:pStyle w:val="Normal"/>
        <w:spacing w:before="0" w:after="0"/>
        <w:jc w:val="both"/>
        <w:rPr>
          <w:rFonts w:cs="Calibri" w:cstheme="minorHAnsi"/>
          <w:sz w:val="20"/>
          <w:szCs w:val="20"/>
        </w:rPr>
      </w:pPr>
      <w:r>
        <w:rPr>
          <w:rFonts w:cs="Calibri" w:cstheme="minorHAnsi"/>
          <w:sz w:val="20"/>
          <w:szCs w:val="20"/>
        </w:rPr>
      </w:r>
    </w:p>
    <w:p>
      <w:pPr>
        <w:pStyle w:val="Normal"/>
        <w:spacing w:before="0" w:after="0"/>
        <w:jc w:val="both"/>
        <w:rPr>
          <w:rFonts w:cs="Calibri" w:cstheme="minorHAnsi"/>
          <w:sz w:val="20"/>
          <w:szCs w:val="20"/>
        </w:rPr>
      </w:pPr>
      <w:r>
        <w:rPr>
          <w:rFonts w:cs="Calibri" w:cstheme="minorHAnsi"/>
          <w:sz w:val="20"/>
          <w:szCs w:val="20"/>
        </w:rPr>
      </w:r>
    </w:p>
    <w:p>
      <w:pPr>
        <w:pStyle w:val="Normal"/>
        <w:spacing w:before="0" w:after="0"/>
        <w:jc w:val="both"/>
        <w:rPr>
          <w:rFonts w:cs="Calibri" w:cstheme="minorHAnsi"/>
          <w:sz w:val="20"/>
          <w:szCs w:val="20"/>
        </w:rPr>
      </w:pPr>
      <w:r>
        <w:rPr>
          <w:rFonts w:cs="Calibri" w:cstheme="minorHAnsi"/>
          <w:sz w:val="20"/>
          <w:szCs w:val="20"/>
        </w:rPr>
      </w:r>
    </w:p>
    <w:p>
      <w:pPr>
        <w:pStyle w:val="Normal"/>
        <w:spacing w:before="0" w:after="0"/>
        <w:jc w:val="both"/>
        <w:rPr>
          <w:rFonts w:cs="Calibri" w:cstheme="minorHAnsi"/>
          <w:sz w:val="20"/>
          <w:szCs w:val="20"/>
        </w:rPr>
      </w:pPr>
      <w:r>
        <w:rPr>
          <w:rFonts w:cs="Calibri" w:cstheme="minorHAnsi"/>
          <w:b/>
          <w:sz w:val="20"/>
          <w:szCs w:val="20"/>
        </w:rPr>
        <w:t>L’organisation syndicale CGT</w:t>
      </w:r>
      <w:r>
        <w:rPr>
          <w:rFonts w:cs="Calibri" w:cstheme="minorHAnsi"/>
          <w:sz w:val="20"/>
          <w:szCs w:val="20"/>
        </w:rPr>
        <w:t xml:space="preserve">, </w:t>
      </w:r>
    </w:p>
    <w:p>
      <w:pPr>
        <w:pStyle w:val="Normal"/>
        <w:spacing w:before="0" w:after="0"/>
        <w:jc w:val="both"/>
        <w:rPr>
          <w:rFonts w:cs="Calibri" w:cstheme="minorHAnsi"/>
          <w:sz w:val="20"/>
          <w:szCs w:val="20"/>
        </w:rPr>
      </w:pPr>
      <w:r>
        <w:rPr>
          <w:rFonts w:cs="Calibri" w:cstheme="minorHAnsi"/>
          <w:sz w:val="20"/>
          <w:szCs w:val="20"/>
        </w:rPr>
        <w:t>Représentée par Monsieur XXXX, Madame XXXX ou Monsieur XXXX, en qualité de délégués syndicaux.</w:t>
      </w:r>
    </w:p>
    <w:p>
      <w:pPr>
        <w:pStyle w:val="Normal"/>
        <w:spacing w:before="0" w:after="0"/>
        <w:jc w:val="both"/>
        <w:rPr>
          <w:rFonts w:cs="Calibri" w:cstheme="minorHAnsi"/>
          <w:sz w:val="20"/>
          <w:szCs w:val="20"/>
        </w:rPr>
      </w:pPr>
      <w:r>
        <w:rPr>
          <w:rFonts w:cs="Calibri" w:cstheme="minorHAnsi"/>
          <w:sz w:val="20"/>
          <w:szCs w:val="20"/>
        </w:rPr>
      </w:r>
    </w:p>
    <w:p>
      <w:pPr>
        <w:pStyle w:val="Normal"/>
        <w:spacing w:before="0" w:after="0"/>
        <w:jc w:val="both"/>
        <w:rPr>
          <w:rFonts w:cs="Calibri" w:cstheme="minorHAnsi"/>
          <w:sz w:val="20"/>
          <w:szCs w:val="20"/>
        </w:rPr>
      </w:pPr>
      <w:r>
        <w:rPr>
          <w:rFonts w:cs="Calibri" w:cstheme="minorHAnsi"/>
          <w:sz w:val="20"/>
          <w:szCs w:val="20"/>
        </w:rPr>
      </w:r>
    </w:p>
    <w:p>
      <w:pPr>
        <w:pStyle w:val="Normal"/>
        <w:spacing w:before="0" w:after="0"/>
        <w:jc w:val="both"/>
        <w:rPr>
          <w:rFonts w:cs="Calibri" w:cstheme="minorHAnsi"/>
          <w:sz w:val="20"/>
          <w:szCs w:val="20"/>
        </w:rPr>
      </w:pPr>
      <w:r>
        <w:rPr>
          <w:rFonts w:cs="Calibri" w:cstheme="minorHAnsi"/>
          <w:sz w:val="20"/>
          <w:szCs w:val="20"/>
        </w:rPr>
      </w:r>
    </w:p>
    <w:p>
      <w:pPr>
        <w:pStyle w:val="Normal"/>
        <w:spacing w:before="0" w:after="0"/>
        <w:jc w:val="both"/>
        <w:rPr>
          <w:rFonts w:cs="Calibri" w:cstheme="minorHAnsi"/>
          <w:sz w:val="20"/>
          <w:szCs w:val="20"/>
        </w:rPr>
      </w:pPr>
      <w:r>
        <w:rPr>
          <w:rFonts w:cs="Calibri" w:cstheme="minorHAnsi"/>
          <w:sz w:val="20"/>
          <w:szCs w:val="20"/>
        </w:rPr>
      </w:r>
    </w:p>
    <w:p>
      <w:pPr>
        <w:pStyle w:val="Normal"/>
        <w:spacing w:before="0" w:after="0"/>
        <w:jc w:val="both"/>
        <w:rPr>
          <w:rFonts w:cs="Calibri" w:cstheme="minorHAnsi"/>
          <w:b/>
          <w:sz w:val="20"/>
          <w:szCs w:val="20"/>
        </w:rPr>
      </w:pPr>
      <w:r>
        <w:rPr>
          <w:rFonts w:cs="Calibri" w:cstheme="minorHAnsi"/>
          <w:b/>
          <w:sz w:val="20"/>
          <w:szCs w:val="20"/>
        </w:rPr>
        <w:t xml:space="preserve">L’organisation syndicale CFE-CGC, </w:t>
      </w:r>
    </w:p>
    <w:p>
      <w:pPr>
        <w:pStyle w:val="Normal"/>
        <w:spacing w:before="0" w:after="0"/>
        <w:jc w:val="both"/>
        <w:rPr>
          <w:rFonts w:cs="Calibri" w:cstheme="minorHAnsi"/>
          <w:sz w:val="20"/>
          <w:szCs w:val="20"/>
        </w:rPr>
      </w:pPr>
      <w:r>
        <w:rPr>
          <w:rFonts w:cs="Calibri" w:cstheme="minorHAnsi"/>
          <w:sz w:val="20"/>
          <w:szCs w:val="20"/>
        </w:rPr>
        <w:t xml:space="preserve">Représentée par Monsieur XXXX en qualité de délégué syndical. </w:t>
      </w:r>
    </w:p>
    <w:p>
      <w:pPr>
        <w:pStyle w:val="Normal"/>
        <w:rPr/>
      </w:pPr>
      <w:r>
        <w:rPr/>
      </w:r>
    </w:p>
    <w:p>
      <w:pPr>
        <w:pStyle w:val="Normal"/>
        <w:widowControl/>
        <w:bidi w:val="0"/>
        <w:spacing w:lineRule="auto" w:line="276" w:before="0" w:after="200"/>
        <w:jc w:val="start"/>
        <w:rPr/>
      </w:pPr>
      <w:r>
        <w:rPr/>
      </w:r>
    </w:p>
    <w:sectPr>
      <w:headerReference w:type="even" r:id="rId4"/>
      <w:headerReference w:type="default" r:id="rId5"/>
      <w:headerReference w:type="first" r:id="rId6"/>
      <w:type w:val="nextPage"/>
      <w:pgSz w:w="11906" w:h="16838"/>
      <w:pgMar w:left="1417" w:right="1417" w:gutter="0" w:header="709" w:top="1417" w:footer="0"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Times New Roman">
    <w:charset w:val="01"/>
    <w:family w:val="roman"/>
    <w:pitch w:val="default"/>
  </w:font>
  <w:font w:name="Calibri">
    <w:charset w:val="01"/>
    <w:family w:val="roman"/>
    <w:pitch w:val="default"/>
  </w:font>
  <w:font w:name="Marianne">
    <w:charset w:val="01"/>
    <w:family w:val="auto"/>
    <w:pitch w:val="default"/>
  </w:font>
  <w:font w:name="Arial">
    <w:charset w:val="01"/>
    <w:family w:val="swiss"/>
    <w:pitch w:val="default"/>
  </w:font>
  <w:font w:name="Calibri">
    <w:charset w:val="01"/>
    <w:family w:val="swiss"/>
    <w:pitch w:val="default"/>
  </w:font>
  <w:font w:name="Calibri">
    <w:charset w:val="01"/>
    <w:family w:val="swiss"/>
    <w:pitch w:val="variable"/>
  </w:font>
  <w:font w:name="Courier New">
    <w:charset w:val="01"/>
    <w:family w:val="modern"/>
    <w:pitch w:val="fixed"/>
  </w:font>
  <w:font w:name="Wingdings">
    <w:charset w:val="02"/>
    <w:family w:val="auto"/>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shape_0" adj="10800" fillcolor="silver" stroked="f" o:allowincell="f" style="position:absolute;margin-left:0pt;margin-top:0pt;width:426.3pt;height:213.1pt;mso-wrap-style:none;v-text-anchor:middle;rotation:315;mso-position-horizontal:center;mso-position-horizontal-relative:margin;mso-position-vertical:center;mso-position-vertical-relative:margin" wp14:anchorId="005C0B1E" type="_x0000_t136">
          <v:path textpathok="t"/>
          <v:textpath on="t" fitshape="t" string="PROJET" style="font-family:&quot;Calibri&quot;;font-size:1pt" trim="t"/>
          <v:fill o:detectmouseclick="t" type="solid" color2="#3f3f3f"/>
          <v:stroke color="#3465a4" joinstyle="round" endcap="flat"/>
          <w10:wrap type="none"/>
        </v:shape>
      </w:pic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inline distT="0" distB="0" distL="0" distR="0">
          <wp:extent cx="1644015" cy="585470"/>
          <wp:effectExtent l="0" t="0" r="0" b="0"/>
          <wp:docPr id="1"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8"/>
                  <pic:cNvPicPr>
                    <a:picLocks noChangeAspect="1" noChangeArrowheads="1"/>
                  </pic:cNvPicPr>
                </pic:nvPicPr>
                <pic:blipFill>
                  <a:blip r:embed="rId1"/>
                  <a:stretch>
                    <a:fillRect/>
                  </a:stretch>
                </pic:blipFill>
                <pic:spPr bwMode="auto">
                  <a:xfrm>
                    <a:off x="0" y="0"/>
                    <a:ext cx="1644015" cy="585470"/>
                  </a:xfrm>
                  <a:prstGeom prst="rect">
                    <a:avLst/>
                  </a:prstGeom>
                  <a:noFill/>
                </pic:spPr>
              </pic:pic>
            </a:graphicData>
          </a:graphic>
        </wp:inline>
      </w:drawing>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inline distT="0" distB="0" distL="0" distR="0">
          <wp:extent cx="1644015" cy="585470"/>
          <wp:effectExtent l="0" t="0" r="0" b="0"/>
          <wp:docPr id="2"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8"/>
                  <pic:cNvPicPr>
                    <a:picLocks noChangeAspect="1" noChangeArrowheads="1"/>
                  </pic:cNvPicPr>
                </pic:nvPicPr>
                <pic:blipFill>
                  <a:blip r:embed="rId1"/>
                  <a:stretch>
                    <a:fillRect/>
                  </a:stretch>
                </pic:blipFill>
                <pic:spPr bwMode="auto">
                  <a:xfrm>
                    <a:off x="0" y="0"/>
                    <a:ext cx="1644015" cy="585470"/>
                  </a:xfrm>
                  <a:prstGeom prst="rect">
                    <a:avLst/>
                  </a:prstGeom>
                  <a:noFill/>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3"/>
      <w:numFmt w:val="bullet"/>
      <w:lvlText w:val="-"/>
      <w:lvlJc w:val="start"/>
      <w:pPr>
        <w:tabs>
          <w:tab w:val="num" w:pos="0"/>
        </w:tabs>
        <w:ind w:start="720" w:hanging="360"/>
      </w:pPr>
      <w:rPr>
        <w:rFonts w:ascii="Calibri" w:hAnsi="Calibri" w:cs="Calibri"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2">
    <w:lvl w:ilvl="0">
      <w:start w:val="1"/>
      <w:numFmt w:val="bullet"/>
      <w:lvlText w:val="o"/>
      <w:lvlJc w:val="start"/>
      <w:pPr>
        <w:tabs>
          <w:tab w:val="num" w:pos="0"/>
        </w:tabs>
        <w:ind w:start="1428" w:hanging="360"/>
      </w:pPr>
      <w:rPr>
        <w:rFonts w:ascii="Courier New" w:hAnsi="Courier New" w:cs="Courier New" w:hint="default"/>
      </w:rPr>
    </w:lvl>
    <w:lvl w:ilvl="1">
      <w:start w:val="1"/>
      <w:numFmt w:val="bullet"/>
      <w:lvlText w:val="o"/>
      <w:lvlJc w:val="start"/>
      <w:pPr>
        <w:tabs>
          <w:tab w:val="num" w:pos="0"/>
        </w:tabs>
        <w:ind w:start="2148" w:hanging="360"/>
      </w:pPr>
      <w:rPr>
        <w:rFonts w:ascii="Courier New" w:hAnsi="Courier New" w:cs="Courier New" w:hint="default"/>
      </w:rPr>
    </w:lvl>
    <w:lvl w:ilvl="2">
      <w:start w:val="1"/>
      <w:numFmt w:val="bullet"/>
      <w:lvlText w:val=""/>
      <w:lvlJc w:val="start"/>
      <w:pPr>
        <w:tabs>
          <w:tab w:val="num" w:pos="0"/>
        </w:tabs>
        <w:ind w:start="2868" w:hanging="360"/>
      </w:pPr>
      <w:rPr>
        <w:rFonts w:ascii="Wingdings" w:hAnsi="Wingdings" w:cs="Wingdings" w:hint="default"/>
      </w:rPr>
    </w:lvl>
    <w:lvl w:ilvl="3">
      <w:start w:val="1"/>
      <w:numFmt w:val="bullet"/>
      <w:lvlText w:val=""/>
      <w:lvlJc w:val="start"/>
      <w:pPr>
        <w:tabs>
          <w:tab w:val="num" w:pos="0"/>
        </w:tabs>
        <w:ind w:start="3588" w:hanging="360"/>
      </w:pPr>
      <w:rPr>
        <w:rFonts w:ascii="Symbol" w:hAnsi="Symbol" w:cs="Symbol" w:hint="default"/>
      </w:rPr>
    </w:lvl>
    <w:lvl w:ilvl="4">
      <w:start w:val="1"/>
      <w:numFmt w:val="bullet"/>
      <w:lvlText w:val="o"/>
      <w:lvlJc w:val="start"/>
      <w:pPr>
        <w:tabs>
          <w:tab w:val="num" w:pos="0"/>
        </w:tabs>
        <w:ind w:start="4308" w:hanging="360"/>
      </w:pPr>
      <w:rPr>
        <w:rFonts w:ascii="Courier New" w:hAnsi="Courier New" w:cs="Courier New" w:hint="default"/>
      </w:rPr>
    </w:lvl>
    <w:lvl w:ilvl="5">
      <w:start w:val="1"/>
      <w:numFmt w:val="bullet"/>
      <w:lvlText w:val=""/>
      <w:lvlJc w:val="start"/>
      <w:pPr>
        <w:tabs>
          <w:tab w:val="num" w:pos="0"/>
        </w:tabs>
        <w:ind w:start="5028" w:hanging="360"/>
      </w:pPr>
      <w:rPr>
        <w:rFonts w:ascii="Wingdings" w:hAnsi="Wingdings" w:cs="Wingdings" w:hint="default"/>
      </w:rPr>
    </w:lvl>
    <w:lvl w:ilvl="6">
      <w:start w:val="1"/>
      <w:numFmt w:val="bullet"/>
      <w:lvlText w:val=""/>
      <w:lvlJc w:val="start"/>
      <w:pPr>
        <w:tabs>
          <w:tab w:val="num" w:pos="0"/>
        </w:tabs>
        <w:ind w:start="5748" w:hanging="360"/>
      </w:pPr>
      <w:rPr>
        <w:rFonts w:ascii="Symbol" w:hAnsi="Symbol" w:cs="Symbol" w:hint="default"/>
      </w:rPr>
    </w:lvl>
    <w:lvl w:ilvl="7">
      <w:start w:val="1"/>
      <w:numFmt w:val="bullet"/>
      <w:lvlText w:val="o"/>
      <w:lvlJc w:val="start"/>
      <w:pPr>
        <w:tabs>
          <w:tab w:val="num" w:pos="0"/>
        </w:tabs>
        <w:ind w:start="6468" w:hanging="360"/>
      </w:pPr>
      <w:rPr>
        <w:rFonts w:ascii="Courier New" w:hAnsi="Courier New" w:cs="Courier New" w:hint="default"/>
      </w:rPr>
    </w:lvl>
    <w:lvl w:ilvl="8">
      <w:start w:val="1"/>
      <w:numFmt w:val="bullet"/>
      <w:lvlText w:val=""/>
      <w:lvlJc w:val="start"/>
      <w:pPr>
        <w:tabs>
          <w:tab w:val="num" w:pos="0"/>
        </w:tabs>
        <w:ind w:start="7188" w:hanging="360"/>
      </w:pPr>
      <w:rPr>
        <w:rFonts w:ascii="Wingdings" w:hAnsi="Wingdings" w:cs="Wingdings" w:hint="default"/>
      </w:rPr>
    </w:lvl>
  </w:abstractNum>
  <w:abstractNum w:abstractNumId="3">
    <w:lvl w:ilvl="0">
      <w:start w:val="3"/>
      <w:numFmt w:val="bullet"/>
      <w:lvlText w:val="-"/>
      <w:lvlJc w:val="start"/>
      <w:pPr>
        <w:tabs>
          <w:tab w:val="num" w:pos="0"/>
        </w:tabs>
        <w:ind w:start="720" w:hanging="360"/>
      </w:pPr>
      <w:rPr>
        <w:rFonts w:ascii="Calibri" w:hAnsi="Calibri" w:cs="Calibri"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4">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20"/>
  <w:embedSystemFonts/>
  <w:defaultTabStop w:val="708"/>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fr-FR" w:eastAsia="fr-FR"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c1d0c"/>
    <w:pPr>
      <w:widowControl/>
      <w:bidi w:val="0"/>
      <w:spacing w:lineRule="auto" w:line="276" w:before="0" w:after="200"/>
      <w:jc w:val="start"/>
    </w:pPr>
    <w:rPr>
      <w:rFonts w:ascii="Calibri" w:hAnsi="Calibri" w:eastAsia="Calibri" w:cs="" w:asciiTheme="minorHAnsi" w:cstheme="minorBidi" w:eastAsiaTheme="minorHAnsi" w:hAnsiTheme="minorHAnsi"/>
      <w:color w:val="auto"/>
      <w:kern w:val="0"/>
      <w:sz w:val="22"/>
      <w:szCs w:val="22"/>
      <w:lang w:eastAsia="en-US" w:val="fr-FR" w:bidi="ar-SA"/>
    </w:rPr>
  </w:style>
  <w:style w:type="character" w:styleId="DefaultParagraphFont" w:default="1">
    <w:name w:val="Default Paragraph Font"/>
    <w:uiPriority w:val="1"/>
    <w:semiHidden/>
    <w:unhideWhenUsed/>
    <w:qFormat/>
    <w:rPr/>
  </w:style>
  <w:style w:type="character" w:styleId="En-tteCar" w:customStyle="1">
    <w:name w:val="En-tête Car"/>
    <w:basedOn w:val="DefaultParagraphFont"/>
    <w:qFormat/>
    <w:rsid w:val="000c1d0c"/>
    <w:rPr>
      <w:rFonts w:ascii="Calibri" w:hAnsi="Calibri" w:eastAsia="Calibri" w:cs="" w:asciiTheme="minorHAnsi" w:cstheme="minorBidi" w:eastAsiaTheme="minorHAnsi" w:hAnsiTheme="minorHAnsi"/>
      <w:sz w:val="22"/>
      <w:szCs w:val="22"/>
      <w:lang w:eastAsia="en-US"/>
    </w:rPr>
  </w:style>
  <w:style w:type="character" w:styleId="PieddepageCar" w:customStyle="1">
    <w:name w:val="Pied de page Car"/>
    <w:basedOn w:val="DefaultParagraphFont"/>
    <w:qFormat/>
    <w:rsid w:val="000c1d0c"/>
    <w:rPr>
      <w:rFonts w:ascii="Calibri" w:hAnsi="Calibri" w:eastAsia="Calibri" w:cs="" w:asciiTheme="minorHAnsi" w:cstheme="minorBidi" w:eastAsiaTheme="minorHAnsi" w:hAnsiTheme="minorHAnsi"/>
      <w:sz w:val="22"/>
      <w:szCs w:val="22"/>
      <w:lang w:eastAsia="en-US"/>
    </w:rPr>
  </w:style>
  <w:style w:type="character" w:styleId="Hyperlink">
    <w:name w:val="Hyperlink"/>
    <w:rPr>
      <w:color w:val="000080"/>
      <w:u w:val="single"/>
    </w:rPr>
  </w:style>
  <w:style w:type="paragraph" w:styleId="Titre">
    <w:name w:val="Titre"/>
    <w:basedOn w:val="Normal"/>
    <w:next w:val="BodyText"/>
    <w:qFormat/>
    <w:pPr>
      <w:keepNext w:val="true"/>
      <w:spacing w:before="240" w:after="120"/>
    </w:pPr>
    <w:rPr>
      <w:rFonts w:ascii="Marianne" w:hAnsi="Marianne"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ascii="Marianne" w:hAnsi="Marianne" w:cs="Lucida Sans"/>
    </w:rPr>
  </w:style>
  <w:style w:type="paragraph" w:styleId="Caption">
    <w:name w:val="caption"/>
    <w:basedOn w:val="Normal"/>
    <w:qFormat/>
    <w:pPr>
      <w:suppressLineNumbers/>
      <w:spacing w:before="120" w:after="120"/>
    </w:pPr>
    <w:rPr>
      <w:rFonts w:ascii="Marianne" w:hAnsi="Marianne" w:cs="Lucida Sans"/>
      <w:i/>
      <w:iCs/>
      <w:sz w:val="24"/>
      <w:szCs w:val="24"/>
    </w:rPr>
  </w:style>
  <w:style w:type="paragraph" w:styleId="Index">
    <w:name w:val="Index"/>
    <w:basedOn w:val="Normal"/>
    <w:qFormat/>
    <w:pPr>
      <w:suppressLineNumbers/>
    </w:pPr>
    <w:rPr>
      <w:rFonts w:ascii="Marianne" w:hAnsi="Marianne" w:cs="Lucida Sans"/>
    </w:rPr>
  </w:style>
  <w:style w:type="paragraph" w:styleId="ElAppp" w:customStyle="1">
    <w:name w:val="ElApp_p"/>
    <w:basedOn w:val="Normal"/>
    <w:qFormat/>
    <w:rsid w:val="000c1d0c"/>
    <w:pPr>
      <w:spacing w:lineRule="auto" w:line="240" w:before="0" w:after="0"/>
    </w:pPr>
    <w:rPr>
      <w:rFonts w:ascii="Arial" w:hAnsi="Arial" w:eastAsia="Arial" w:cs="Arial"/>
      <w:sz w:val="15"/>
      <w:szCs w:val="15"/>
      <w:lang w:eastAsia="fr-FR"/>
    </w:rPr>
  </w:style>
  <w:style w:type="paragraph" w:styleId="En-tteetpieddepage">
    <w:name w:val="En-tête et pied de page"/>
    <w:basedOn w:val="Normal"/>
    <w:qFormat/>
    <w:pPr/>
    <w:rPr/>
  </w:style>
  <w:style w:type="paragraph" w:styleId="Header">
    <w:name w:val="header"/>
    <w:basedOn w:val="Normal"/>
    <w:link w:val="En-tteCar"/>
    <w:rsid w:val="000c1d0c"/>
    <w:pPr>
      <w:tabs>
        <w:tab w:val="clear" w:pos="708"/>
        <w:tab w:val="center" w:pos="4536" w:leader="none"/>
        <w:tab w:val="right" w:pos="9072" w:leader="none"/>
      </w:tabs>
      <w:spacing w:lineRule="auto" w:line="240" w:before="0" w:after="0"/>
    </w:pPr>
    <w:rPr/>
  </w:style>
  <w:style w:type="paragraph" w:styleId="Footer">
    <w:name w:val="footer"/>
    <w:basedOn w:val="Normal"/>
    <w:link w:val="PieddepageCar"/>
    <w:rsid w:val="000c1d0c"/>
    <w:pPr>
      <w:tabs>
        <w:tab w:val="clear" w:pos="708"/>
        <w:tab w:val="center" w:pos="4536" w:leader="none"/>
        <w:tab w:val="right" w:pos="9072" w:leader="none"/>
      </w:tabs>
      <w:spacing w:lineRule="auto" w:line="240" w:before="0" w:after="0"/>
    </w:pPr>
    <w:rPr/>
  </w:style>
  <w:style w:type="paragraph" w:styleId="ListParagraph">
    <w:name w:val="List Paragraph"/>
    <w:basedOn w:val="Normal"/>
    <w:uiPriority w:val="34"/>
    <w:qFormat/>
    <w:rsid w:val="000c1d0c"/>
    <w:pPr>
      <w:spacing w:before="0" w:after="200"/>
      <w:ind w:start="720"/>
      <w:contextualSpacing/>
    </w:pPr>
    <w:rPr/>
  </w:style>
  <w:style w:type="paragraph" w:styleId="NoSpacing">
    <w:name w:val="No Spacing"/>
    <w:uiPriority w:val="1"/>
    <w:qFormat/>
    <w:rsid w:val="000c1d0c"/>
    <w:pPr>
      <w:widowControl/>
      <w:bidi w:val="0"/>
      <w:spacing w:before="0" w:after="0"/>
      <w:jc w:val="start"/>
    </w:pPr>
    <w:rPr>
      <w:rFonts w:ascii="Times New Roman" w:hAnsi="Times New Roman" w:eastAsia="Times New Roman" w:cs="Times New Roman"/>
      <w:color w:val="auto"/>
      <w:kern w:val="0"/>
      <w:sz w:val="24"/>
      <w:szCs w:val="24"/>
      <w:lang w:val="fr-FR" w:eastAsia="fr-FR" w:bidi="ar-SA"/>
    </w:rPr>
  </w:style>
  <w:style w:type="paragraph" w:styleId="NormalWeb">
    <w:name w:val="Normal (Web)"/>
    <w:basedOn w:val="Normal"/>
    <w:uiPriority w:val="99"/>
    <w:unhideWhenUsed/>
    <w:qFormat/>
    <w:rsid w:val="000c1d0c"/>
    <w:pPr>
      <w:spacing w:lineRule="auto" w:line="240" w:beforeAutospacing="1" w:afterAutospacing="1"/>
    </w:pPr>
    <w:rPr>
      <w:rFonts w:ascii="Times New Roman" w:hAnsi="Times New Roman" w:eastAsia="" w:cs="Times New Roman" w:eastAsiaTheme="minorEastAsia"/>
      <w:sz w:val="24"/>
      <w:szCs w:val="24"/>
      <w:lang w:eastAsia="fr-FR"/>
    </w:rPr>
  </w:style>
  <w:style w:type="paragraph" w:styleId="Contenudecadre">
    <w:name w:val="Contenu de cadre"/>
    <w:basedOn w:val="Normal"/>
    <w:qFormat/>
    <w:pPr/>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legifrance.gouv.fr/jorf/article_jo/JORFARTI000046186741" TargetMode="External"/><Relationship Id="rId3" Type="http://schemas.openxmlformats.org/officeDocument/2006/relationships/hyperlink" Target="http://www.teleaccords.travail.emploi.gouv.fr/"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2</Pages>
  <Words>1063</Words>
  <Characters>5422</Characters>
  <CharactersWithSpaces>6448</CharactersWithSpaces>
  <Paragraphs>67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
</cp:coreProperties>
</file>

<file path=docProps/custom.xml><?xml version="1.0" encoding="utf-8"?>
<Properties xmlns="http://schemas.openxmlformats.org/officeDocument/2006/custom-properties" xmlns:vt="http://schemas.openxmlformats.org/officeDocument/2006/docPropsVTypes"/>
</file>