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023F" w14:textId="77777777" w:rsidR="008933D9" w:rsidRDefault="008933D9" w:rsidP="00536442">
      <w:pPr>
        <w:jc w:val="left"/>
      </w:pPr>
    </w:p>
    <w:p w14:paraId="74BE334E" w14:textId="31ACF8A8" w:rsidR="00942B7D" w:rsidRDefault="00942B7D" w:rsidP="00536442">
      <w:pPr>
        <w:jc w:val="left"/>
      </w:pPr>
      <w:r>
        <w:rPr>
          <w:noProof/>
          <w:lang w:eastAsia="fr-FR"/>
        </w:rPr>
        <w:drawing>
          <wp:anchor distT="0" distB="0" distL="114300" distR="114300" simplePos="0" relativeHeight="251658240" behindDoc="0" locked="0" layoutInCell="1" allowOverlap="1" wp14:anchorId="6BA217C7" wp14:editId="7427E5A7">
            <wp:simplePos x="0" y="0"/>
            <wp:positionH relativeFrom="margin">
              <wp:align>center</wp:align>
            </wp:positionH>
            <wp:positionV relativeFrom="paragraph">
              <wp:posOffset>0</wp:posOffset>
            </wp:positionV>
            <wp:extent cx="1434780" cy="834583"/>
            <wp:effectExtent l="0" t="0" r="0" b="3810"/>
            <wp:wrapSquare wrapText="bothSides"/>
            <wp:docPr id="4" name="Image 2" descr="logo eurasia fonciere investissement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urasia fonciere investissements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4780" cy="834583"/>
                    </a:xfrm>
                    <a:prstGeom prst="rect">
                      <a:avLst/>
                    </a:prstGeom>
                  </pic:spPr>
                </pic:pic>
              </a:graphicData>
            </a:graphic>
          </wp:anchor>
        </w:drawing>
      </w:r>
      <w:r w:rsidR="00536442">
        <w:br w:type="textWrapping" w:clear="all"/>
      </w:r>
    </w:p>
    <w:p w14:paraId="3FC330A5" w14:textId="77777777" w:rsidR="00942B7D" w:rsidRPr="002320F4" w:rsidRDefault="00942B7D" w:rsidP="00DB67F7">
      <w:pPr>
        <w:jc w:val="center"/>
        <w:rPr>
          <w:rFonts w:ascii="Times New Roman" w:hAnsi="Times New Roman" w:cs="Times New Roman"/>
          <w:b/>
          <w:bCs/>
          <w:i/>
          <w:sz w:val="24"/>
          <w:szCs w:val="24"/>
        </w:rPr>
      </w:pPr>
      <w:r w:rsidRPr="002320F4">
        <w:rPr>
          <w:rFonts w:ascii="Times New Roman" w:hAnsi="Times New Roman" w:cs="Times New Roman"/>
          <w:b/>
          <w:bCs/>
          <w:sz w:val="24"/>
          <w:szCs w:val="24"/>
        </w:rPr>
        <w:t>EURASIA FONCIERE INVESTISSEMENTS – EFI</w:t>
      </w:r>
    </w:p>
    <w:p w14:paraId="3E2E06C7" w14:textId="672D3AA8" w:rsidR="00942B7D" w:rsidRPr="002320F4" w:rsidRDefault="00942B7D" w:rsidP="00DB67F7">
      <w:pPr>
        <w:jc w:val="center"/>
        <w:rPr>
          <w:rFonts w:ascii="Times New Roman" w:hAnsi="Times New Roman" w:cs="Times New Roman"/>
          <w:b/>
          <w:i/>
          <w:sz w:val="24"/>
          <w:szCs w:val="24"/>
        </w:rPr>
      </w:pPr>
      <w:r w:rsidRPr="002320F4">
        <w:rPr>
          <w:rFonts w:ascii="Times New Roman" w:hAnsi="Times New Roman" w:cs="Times New Roman"/>
          <w:sz w:val="24"/>
          <w:szCs w:val="24"/>
        </w:rPr>
        <w:t xml:space="preserve">Société Anonyme au capital social de </w:t>
      </w:r>
      <w:r w:rsidR="008933D9">
        <w:rPr>
          <w:rFonts w:ascii="Times New Roman" w:hAnsi="Times New Roman" w:cs="Times New Roman"/>
          <w:sz w:val="24"/>
          <w:szCs w:val="24"/>
        </w:rPr>
        <w:t>1 680 264,48</w:t>
      </w:r>
      <w:r w:rsidRPr="002320F4">
        <w:rPr>
          <w:rFonts w:ascii="Times New Roman" w:hAnsi="Times New Roman" w:cs="Times New Roman"/>
          <w:sz w:val="24"/>
          <w:szCs w:val="24"/>
        </w:rPr>
        <w:t xml:space="preserve"> euros</w:t>
      </w:r>
    </w:p>
    <w:p w14:paraId="06C6DC29" w14:textId="70505C7E" w:rsidR="00942B7D" w:rsidRPr="002320F4" w:rsidRDefault="00942B7D" w:rsidP="00DB67F7">
      <w:pPr>
        <w:jc w:val="center"/>
        <w:rPr>
          <w:rFonts w:ascii="Times New Roman" w:hAnsi="Times New Roman" w:cs="Times New Roman"/>
          <w:b/>
          <w:i/>
          <w:sz w:val="24"/>
          <w:szCs w:val="24"/>
        </w:rPr>
      </w:pPr>
      <w:r w:rsidRPr="002320F4">
        <w:rPr>
          <w:rFonts w:ascii="Times New Roman" w:hAnsi="Times New Roman" w:cs="Times New Roman"/>
          <w:sz w:val="24"/>
          <w:szCs w:val="24"/>
        </w:rPr>
        <w:t>Siège social : 164, boulevard Haussmann – 7</w:t>
      </w:r>
      <w:r w:rsidR="00F16456">
        <w:rPr>
          <w:rFonts w:ascii="Times New Roman" w:hAnsi="Times New Roman" w:cs="Times New Roman"/>
          <w:sz w:val="24"/>
          <w:szCs w:val="24"/>
        </w:rPr>
        <w:t>5008</w:t>
      </w:r>
      <w:r w:rsidRPr="002320F4">
        <w:rPr>
          <w:rFonts w:ascii="Times New Roman" w:hAnsi="Times New Roman" w:cs="Times New Roman"/>
          <w:sz w:val="24"/>
          <w:szCs w:val="24"/>
        </w:rPr>
        <w:t xml:space="preserve"> Paris</w:t>
      </w:r>
    </w:p>
    <w:p w14:paraId="15F8B889" w14:textId="1BA5C175" w:rsidR="00486EFD" w:rsidRPr="002320F4" w:rsidRDefault="00942B7D" w:rsidP="00DB67F7">
      <w:pPr>
        <w:jc w:val="center"/>
        <w:rPr>
          <w:rFonts w:ascii="Times New Roman" w:hAnsi="Times New Roman" w:cs="Times New Roman"/>
          <w:b/>
          <w:i/>
          <w:sz w:val="24"/>
          <w:szCs w:val="24"/>
        </w:rPr>
      </w:pPr>
      <w:r w:rsidRPr="002320F4">
        <w:rPr>
          <w:rFonts w:ascii="Times New Roman" w:hAnsi="Times New Roman" w:cs="Times New Roman"/>
          <w:sz w:val="24"/>
          <w:szCs w:val="24"/>
        </w:rPr>
        <w:t>RCS Paris 328 718</w:t>
      </w:r>
      <w:r w:rsidR="00536442">
        <w:rPr>
          <w:rFonts w:ascii="Times New Roman" w:hAnsi="Times New Roman" w:cs="Times New Roman"/>
          <w:sz w:val="24"/>
          <w:szCs w:val="24"/>
        </w:rPr>
        <w:t> </w:t>
      </w:r>
      <w:r w:rsidRPr="002320F4">
        <w:rPr>
          <w:rFonts w:ascii="Times New Roman" w:hAnsi="Times New Roman" w:cs="Times New Roman"/>
          <w:sz w:val="24"/>
          <w:szCs w:val="24"/>
        </w:rPr>
        <w:t>499</w:t>
      </w:r>
    </w:p>
    <w:p w14:paraId="01CC169F" w14:textId="40FB7348" w:rsidR="00DB67F7" w:rsidRDefault="00DB67F7" w:rsidP="00DB67F7">
      <w:pPr>
        <w:jc w:val="center"/>
        <w:rPr>
          <w:rFonts w:ascii="Arial" w:hAnsi="Arial" w:cs="Arial"/>
          <w:b/>
          <w:caps/>
          <w:noProof/>
          <w:sz w:val="36"/>
          <w:szCs w:val="36"/>
        </w:rPr>
      </w:pPr>
    </w:p>
    <w:p w14:paraId="09825977" w14:textId="77777777" w:rsidR="00536442" w:rsidRDefault="00536442" w:rsidP="00536442">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caps/>
          <w:noProof/>
          <w:sz w:val="36"/>
          <w:szCs w:val="36"/>
        </w:rPr>
      </w:pPr>
    </w:p>
    <w:p w14:paraId="0525C3AE" w14:textId="783EAEB6" w:rsidR="008933D9" w:rsidRPr="002320F4" w:rsidRDefault="008933D9" w:rsidP="008933D9">
      <w:pPr>
        <w:pBdr>
          <w:top w:val="thinThickSmallGap" w:sz="24" w:space="1" w:color="auto"/>
          <w:left w:val="thinThickSmallGap" w:sz="24" w:space="4" w:color="auto"/>
          <w:bottom w:val="thinThickSmallGap" w:sz="24" w:space="1" w:color="auto"/>
          <w:right w:val="thinThickSmallGap" w:sz="24" w:space="4" w:color="auto"/>
        </w:pBdr>
        <w:jc w:val="center"/>
        <w:rPr>
          <w:rFonts w:ascii="Times New Roman" w:hAnsi="Times New Roman" w:cs="Times New Roman"/>
          <w:b/>
          <w:caps/>
          <w:noProof/>
          <w:sz w:val="24"/>
          <w:szCs w:val="24"/>
        </w:rPr>
      </w:pPr>
      <w:r w:rsidRPr="002320F4">
        <w:rPr>
          <w:rFonts w:ascii="Times New Roman" w:hAnsi="Times New Roman" w:cs="Times New Roman"/>
          <w:b/>
          <w:caps/>
          <w:noProof/>
          <w:sz w:val="24"/>
          <w:szCs w:val="24"/>
        </w:rPr>
        <w:t xml:space="preserve">PUBLICATION DU RAPPORT </w:t>
      </w:r>
      <w:r>
        <w:rPr>
          <w:rFonts w:ascii="Times New Roman" w:hAnsi="Times New Roman" w:cs="Times New Roman"/>
          <w:b/>
          <w:caps/>
          <w:noProof/>
          <w:sz w:val="24"/>
          <w:szCs w:val="24"/>
        </w:rPr>
        <w:t xml:space="preserve">financier </w:t>
      </w:r>
      <w:r w:rsidRPr="002320F4">
        <w:rPr>
          <w:rFonts w:ascii="Times New Roman" w:hAnsi="Times New Roman" w:cs="Times New Roman"/>
          <w:b/>
          <w:caps/>
          <w:noProof/>
          <w:sz w:val="24"/>
          <w:szCs w:val="24"/>
        </w:rPr>
        <w:t>ANNUEL AU 31</w:t>
      </w:r>
      <w:r>
        <w:rPr>
          <w:rFonts w:ascii="Times New Roman" w:hAnsi="Times New Roman" w:cs="Times New Roman"/>
          <w:b/>
          <w:caps/>
          <w:noProof/>
          <w:sz w:val="24"/>
          <w:szCs w:val="24"/>
        </w:rPr>
        <w:t xml:space="preserve"> décembre 202</w:t>
      </w:r>
      <w:r w:rsidR="00FC6ECD">
        <w:rPr>
          <w:rFonts w:ascii="Times New Roman" w:hAnsi="Times New Roman" w:cs="Times New Roman"/>
          <w:b/>
          <w:caps/>
          <w:noProof/>
          <w:sz w:val="24"/>
          <w:szCs w:val="24"/>
        </w:rPr>
        <w:t>5</w:t>
      </w:r>
    </w:p>
    <w:p w14:paraId="338A03F6" w14:textId="68AEE892" w:rsidR="00DB67F7" w:rsidRDefault="00DB67F7" w:rsidP="00536442">
      <w:pPr>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cs="Times New Roman"/>
          <w:b/>
          <w:u w:val="single"/>
        </w:rPr>
      </w:pPr>
    </w:p>
    <w:p w14:paraId="191D07AD" w14:textId="31499A0C" w:rsidR="00536442" w:rsidRDefault="00536442" w:rsidP="00DB67F7">
      <w:pPr>
        <w:rPr>
          <w:rFonts w:ascii="Times New Roman" w:hAnsi="Times New Roman" w:cs="Times New Roman"/>
          <w:b/>
          <w:u w:val="single"/>
        </w:rPr>
      </w:pPr>
    </w:p>
    <w:p w14:paraId="4135013F" w14:textId="77777777" w:rsidR="00536442" w:rsidRDefault="00536442" w:rsidP="00DB67F7">
      <w:pPr>
        <w:rPr>
          <w:rFonts w:ascii="Times New Roman" w:hAnsi="Times New Roman" w:cs="Times New Roman"/>
          <w:b/>
          <w:u w:val="single"/>
        </w:rPr>
      </w:pPr>
    </w:p>
    <w:p w14:paraId="6AFC8927" w14:textId="77777777" w:rsidR="00194185" w:rsidRDefault="00194185" w:rsidP="00DB67F7">
      <w:pPr>
        <w:rPr>
          <w:rFonts w:ascii="Times New Roman" w:hAnsi="Times New Roman" w:cs="Times New Roman"/>
          <w:b/>
          <w:u w:val="single"/>
        </w:rPr>
      </w:pPr>
    </w:p>
    <w:p w14:paraId="7F44D572" w14:textId="77777777" w:rsidR="007F19D0" w:rsidRDefault="007F19D0" w:rsidP="007F19D0">
      <w:pPr>
        <w:spacing w:before="120" w:after="240"/>
      </w:pPr>
      <w:r>
        <w:rPr>
          <w:rFonts w:ascii="Times New Roman" w:eastAsia="Times New Roman" w:hAnsi="Times New Roman" w:cs="Times New Roman"/>
          <w:b/>
          <w:bCs/>
          <w:u w:val="single"/>
        </w:rPr>
        <w:t>Paris, le 30 avril 2026</w:t>
      </w:r>
    </w:p>
    <w:p w14:paraId="0EBD77D2" w14:textId="77777777" w:rsidR="007F19D0" w:rsidRDefault="007F19D0" w:rsidP="007F19D0">
      <w:pPr>
        <w:spacing w:before="120" w:after="120" w:line="300" w:lineRule="auto"/>
      </w:pPr>
      <w:r>
        <w:rPr>
          <w:rFonts w:ascii="Times New Roman" w:eastAsia="Times New Roman" w:hAnsi="Times New Roman" w:cs="Times New Roman"/>
        </w:rPr>
        <w:t>EURASIA FONCIERE INVESTISSEMENTS – EFI souhaite informer ses actionnaires, ses partenaires et l’ensemble du marché de l’état d’avancement de ses travaux comptables et du calendrier de publication de son rapport financier semestriel relatif au premier semestre de l’exercice 2025.</w:t>
      </w:r>
    </w:p>
    <w:p w14:paraId="4374D30D" w14:textId="1E7E8AA4" w:rsidR="007F19D0" w:rsidRDefault="007F19D0" w:rsidP="007F19D0">
      <w:pPr>
        <w:spacing w:before="120" w:after="120" w:line="300" w:lineRule="auto"/>
      </w:pPr>
      <w:r>
        <w:rPr>
          <w:rFonts w:ascii="Times New Roman" w:eastAsia="Times New Roman" w:hAnsi="Times New Roman" w:cs="Times New Roman"/>
        </w:rPr>
        <w:t xml:space="preserve">Pour mémoire, le </w:t>
      </w:r>
      <w:r w:rsidRPr="007F19D0">
        <w:rPr>
          <w:rFonts w:ascii="Times New Roman" w:eastAsia="Times New Roman" w:hAnsi="Times New Roman" w:cs="Times New Roman"/>
        </w:rPr>
        <w:t xml:space="preserve">rapport financier annuel relatif à l’exercice clos le 31 décembre 2024 </w:t>
      </w:r>
      <w:r>
        <w:rPr>
          <w:rFonts w:ascii="Times New Roman" w:eastAsia="Times New Roman" w:hAnsi="Times New Roman" w:cs="Times New Roman"/>
        </w:rPr>
        <w:t xml:space="preserve">– comprenant les comptes sociaux, les comptes consolidés et les rapports des Commissaires aux comptes y afférents – a été mis à la disposition du public et déposé auprès de l’Autorité des marchés financiers le </w:t>
      </w:r>
      <w:r w:rsidRPr="007F19D0">
        <w:rPr>
          <w:rFonts w:ascii="Times New Roman" w:eastAsia="Times New Roman" w:hAnsi="Times New Roman" w:cs="Times New Roman"/>
        </w:rPr>
        <w:t>19 décembre 2025</w:t>
      </w:r>
      <w:r>
        <w:rPr>
          <w:rFonts w:ascii="Times New Roman" w:eastAsia="Times New Roman" w:hAnsi="Times New Roman" w:cs="Times New Roman"/>
        </w:rPr>
        <w:t>.</w:t>
      </w:r>
    </w:p>
    <w:p w14:paraId="73D169D1" w14:textId="77777777" w:rsidR="007F19D0" w:rsidRDefault="007F19D0" w:rsidP="007F19D0">
      <w:pPr>
        <w:spacing w:before="120" w:after="120" w:line="300" w:lineRule="auto"/>
      </w:pPr>
      <w:r>
        <w:rPr>
          <w:rFonts w:ascii="Times New Roman" w:eastAsia="Times New Roman" w:hAnsi="Times New Roman" w:cs="Times New Roman"/>
        </w:rPr>
        <w:t xml:space="preserve">À ce jour, le </w:t>
      </w:r>
      <w:r w:rsidRPr="007F19D0">
        <w:rPr>
          <w:rFonts w:ascii="Times New Roman" w:eastAsia="Times New Roman" w:hAnsi="Times New Roman" w:cs="Times New Roman"/>
        </w:rPr>
        <w:t>rapport financier semestriel au 30 juin 2025</w:t>
      </w:r>
      <w:r>
        <w:rPr>
          <w:rFonts w:ascii="Times New Roman" w:eastAsia="Times New Roman" w:hAnsi="Times New Roman" w:cs="Times New Roman"/>
        </w:rPr>
        <w:t xml:space="preserve"> n’a pas encore pu être finalisé. La Société, qui avait déjà informé le marché du report de cette publication par communiqué du 6 novembre 2025, est désormais en mesure de préciser les facteurs explicatifs et le calendrier prévisionnel actualisé.</w:t>
      </w:r>
    </w:p>
    <w:p w14:paraId="22D2FD1F" w14:textId="77777777" w:rsidR="007F19D0" w:rsidRDefault="007F19D0" w:rsidP="007F19D0">
      <w:pPr>
        <w:spacing w:before="120" w:after="120" w:line="300" w:lineRule="auto"/>
        <w:rPr>
          <w:rFonts w:ascii="Times New Roman" w:eastAsia="Times New Roman" w:hAnsi="Times New Roman" w:cs="Times New Roman"/>
        </w:rPr>
      </w:pPr>
    </w:p>
    <w:p w14:paraId="2179CCFD" w14:textId="3872AFE7" w:rsidR="007F19D0" w:rsidRDefault="007F19D0" w:rsidP="007F19D0">
      <w:pPr>
        <w:spacing w:before="120" w:after="120" w:line="300" w:lineRule="auto"/>
      </w:pPr>
      <w:r>
        <w:rPr>
          <w:rFonts w:ascii="Times New Roman" w:eastAsia="Times New Roman" w:hAnsi="Times New Roman" w:cs="Times New Roman"/>
        </w:rPr>
        <w:t>EURASIA FONCIERE INVESTISSEMENTS – EFI étant détenue à 70 % par EURASIA GROUPE et entrant dans le périmètre de consolidation de ce dernier, le calendrier de publication des comptes semestriels 2025 d’EFI est mécaniquement lié à celui des comptes consolidés du Groupe. Le décalage observé résulte d’une combinaison de facteurs objectifs, communs à l’ensemble du périmètre :</w:t>
      </w:r>
    </w:p>
    <w:p w14:paraId="2B3F7464" w14:textId="534846EA" w:rsidR="007F19D0" w:rsidRPr="007F19D0" w:rsidRDefault="007F19D0" w:rsidP="007F19D0">
      <w:pPr>
        <w:pStyle w:val="Paragraphedeliste"/>
        <w:numPr>
          <w:ilvl w:val="0"/>
          <w:numId w:val="14"/>
        </w:numPr>
        <w:spacing w:before="120" w:after="120" w:line="300" w:lineRule="auto"/>
      </w:pPr>
      <w:r w:rsidRPr="007F19D0">
        <w:rPr>
          <w:rFonts w:ascii="Times New Roman" w:eastAsia="Times New Roman" w:hAnsi="Times New Roman" w:cs="Times New Roman"/>
        </w:rPr>
        <w:t xml:space="preserve">Le traitement de la dette obligataire entre </w:t>
      </w:r>
      <w:r>
        <w:rPr>
          <w:rFonts w:ascii="Times New Roman" w:eastAsia="Times New Roman" w:hAnsi="Times New Roman" w:cs="Times New Roman"/>
        </w:rPr>
        <w:t xml:space="preserve">EFI - </w:t>
      </w:r>
      <w:r w:rsidRPr="007F19D0">
        <w:rPr>
          <w:rFonts w:ascii="Times New Roman" w:eastAsia="Times New Roman" w:hAnsi="Times New Roman" w:cs="Times New Roman"/>
        </w:rPr>
        <w:t>EURASIA GROUPE et l’ensemble de ses créanciers financiers, qui emporte des conséquences comptables significatives sur la qualification de la dette, la continuité d’exploitation et la présentation des passifs au bilan consolidé du Groupe et, par voie de conséquence, sur les comptes d’EFI ;</w:t>
      </w:r>
    </w:p>
    <w:p w14:paraId="4A8F6D5C" w14:textId="7B634865" w:rsidR="007F19D0" w:rsidRPr="007F19D0" w:rsidRDefault="007F19D0" w:rsidP="007F19D0">
      <w:pPr>
        <w:pStyle w:val="Paragraphedeliste"/>
        <w:numPr>
          <w:ilvl w:val="0"/>
          <w:numId w:val="14"/>
        </w:numPr>
        <w:spacing w:before="120" w:after="120" w:line="300" w:lineRule="auto"/>
      </w:pPr>
      <w:r>
        <w:rPr>
          <w:rFonts w:ascii="Times New Roman" w:eastAsia="Times New Roman" w:hAnsi="Times New Roman" w:cs="Times New Roman"/>
        </w:rPr>
        <w:t>L</w:t>
      </w:r>
      <w:r w:rsidRPr="007F19D0">
        <w:rPr>
          <w:rFonts w:ascii="Times New Roman" w:eastAsia="Times New Roman" w:hAnsi="Times New Roman" w:cs="Times New Roman"/>
        </w:rPr>
        <w:t>e programme ordonné de cessions d’actifs à horizon 31 décembre 2027, qui implique l’application des dispositions de la norme IFRS 5 relative aux actifs non courants détenus en vue de la vente et la révision corrélative des évaluations à la juste valeur de plusieurs immeubles inscrits au patrimoine d’EFI ;</w:t>
      </w:r>
    </w:p>
    <w:p w14:paraId="3F197739" w14:textId="6D3FC02C" w:rsidR="007F19D0" w:rsidRDefault="007F19D0" w:rsidP="007F19D0">
      <w:pPr>
        <w:pStyle w:val="Paragraphedeliste"/>
        <w:numPr>
          <w:ilvl w:val="0"/>
          <w:numId w:val="14"/>
        </w:numPr>
        <w:spacing w:before="120" w:after="120" w:line="300" w:lineRule="auto"/>
      </w:pPr>
      <w:r w:rsidRPr="007F19D0">
        <w:rPr>
          <w:rFonts w:ascii="Times New Roman" w:eastAsia="Times New Roman" w:hAnsi="Times New Roman" w:cs="Times New Roman"/>
        </w:rPr>
        <w:t>La finalisation des expertises immobilières indépendantes portant sur le patrimoine, réalisées dans un environnement de marché particulièrement tendu sur les classes d’actifs concernées ;</w:t>
      </w:r>
    </w:p>
    <w:p w14:paraId="57AF93ED" w14:textId="77777777" w:rsidR="007F19D0" w:rsidRPr="007F19D0" w:rsidRDefault="007F19D0" w:rsidP="007F19D0">
      <w:pPr>
        <w:pStyle w:val="Paragraphedeliste"/>
        <w:spacing w:before="60" w:after="60"/>
      </w:pPr>
    </w:p>
    <w:p w14:paraId="3D6AE89F" w14:textId="05CADAF8" w:rsidR="007F19D0" w:rsidRDefault="007F19D0" w:rsidP="007F19D0">
      <w:pPr>
        <w:pStyle w:val="Paragraphedeliste"/>
        <w:numPr>
          <w:ilvl w:val="0"/>
          <w:numId w:val="14"/>
        </w:numPr>
        <w:spacing w:before="60" w:after="60"/>
      </w:pPr>
      <w:r w:rsidRPr="007F19D0">
        <w:rPr>
          <w:rFonts w:ascii="Times New Roman" w:eastAsia="Times New Roman" w:hAnsi="Times New Roman" w:cs="Times New Roman"/>
        </w:rPr>
        <w:lastRenderedPageBreak/>
        <w:t>Les diligences d’audit conduites par le nouveau collège de co-commissaires aux comptes, désigné depuis le 1</w:t>
      </w:r>
      <w:r w:rsidRPr="007F19D0">
        <w:rPr>
          <w:rFonts w:ascii="Times New Roman" w:eastAsia="Times New Roman" w:hAnsi="Times New Roman" w:cs="Times New Roman"/>
          <w:vertAlign w:val="superscript"/>
        </w:rPr>
        <w:t>er</w:t>
      </w:r>
      <w:r w:rsidRPr="007F19D0">
        <w:rPr>
          <w:rFonts w:ascii="Times New Roman" w:eastAsia="Times New Roman" w:hAnsi="Times New Roman" w:cs="Times New Roman"/>
        </w:rPr>
        <w:t xml:space="preserve"> janvier 2024, qui poursuit ses travaux dans le respect strict de son référentiel professionnel.</w:t>
      </w:r>
    </w:p>
    <w:p w14:paraId="595BF92A" w14:textId="77777777" w:rsidR="007F19D0" w:rsidRDefault="007F19D0" w:rsidP="007F19D0">
      <w:pPr>
        <w:spacing w:before="120" w:after="120" w:line="300" w:lineRule="auto"/>
        <w:rPr>
          <w:rFonts w:ascii="Times New Roman" w:eastAsia="Times New Roman" w:hAnsi="Times New Roman" w:cs="Times New Roman"/>
        </w:rPr>
      </w:pPr>
    </w:p>
    <w:p w14:paraId="496AEF02" w14:textId="523F16D6" w:rsidR="007F19D0" w:rsidRDefault="007F19D0" w:rsidP="007F19D0">
      <w:pPr>
        <w:spacing w:before="120" w:after="120" w:line="300" w:lineRule="auto"/>
      </w:pPr>
      <w:r>
        <w:rPr>
          <w:rFonts w:ascii="Times New Roman" w:eastAsia="Times New Roman" w:hAnsi="Times New Roman" w:cs="Times New Roman"/>
        </w:rPr>
        <w:t xml:space="preserve">Ces travaux, dont la complexité technique justifie pleinement les délais constatés, sont indispensables pour garantir </w:t>
      </w:r>
      <w:r w:rsidRPr="00401F1F">
        <w:rPr>
          <w:rFonts w:ascii="Times New Roman" w:eastAsia="Times New Roman" w:hAnsi="Times New Roman" w:cs="Times New Roman"/>
        </w:rPr>
        <w:t>la fiabilité, l’exactitude et la transparence</w:t>
      </w:r>
      <w:r>
        <w:rPr>
          <w:rFonts w:ascii="Times New Roman" w:eastAsia="Times New Roman" w:hAnsi="Times New Roman" w:cs="Times New Roman"/>
        </w:rPr>
        <w:t xml:space="preserve"> de l’information financière communiquée au marché.</w:t>
      </w:r>
    </w:p>
    <w:p w14:paraId="33AC2656" w14:textId="77777777" w:rsidR="00887ED5" w:rsidRDefault="00401F1F" w:rsidP="00887ED5">
      <w:pPr>
        <w:spacing w:before="120" w:after="120" w:line="300" w:lineRule="auto"/>
        <w:rPr>
          <w:rFonts w:ascii="Times New Roman" w:eastAsia="Times New Roman" w:hAnsi="Times New Roman" w:cs="Times New Roman"/>
        </w:rPr>
      </w:pPr>
      <w:r>
        <w:rPr>
          <w:rFonts w:ascii="Times New Roman" w:eastAsia="Times New Roman" w:hAnsi="Times New Roman" w:cs="Times New Roman"/>
        </w:rPr>
        <w:t xml:space="preserve">A l’instar de la Société EURASIA GROUPE, </w:t>
      </w:r>
      <w:r w:rsidR="00887ED5">
        <w:rPr>
          <w:rFonts w:ascii="Times New Roman" w:eastAsia="Times New Roman" w:hAnsi="Times New Roman" w:cs="Times New Roman"/>
        </w:rPr>
        <w:t xml:space="preserve">Le </w:t>
      </w:r>
      <w:r w:rsidR="00887ED5" w:rsidRPr="00887ED5">
        <w:rPr>
          <w:rFonts w:ascii="Times New Roman" w:eastAsia="Times New Roman" w:hAnsi="Times New Roman" w:cs="Times New Roman"/>
        </w:rPr>
        <w:t>Conseil d’administration d’EURASIA FONCIERE INVESTISSEMENTS – EFI a décidé de confier au cabinet DYNAMETRIE les travaux de production de ses comptes consolidés. Foncière patrimoniale dont l’information financière doit refléter avec précision la valeur du patrimoine immobilier locatif et le résultat de son exploitation, EFI consolide ses comptes en propre tout en étant elle-même intégrée au périmètre de consolidation d’EURASIA GROUPE. Le choix d’un cabinet unique pour l’ensemble du périmètre, reconnu pour son expertise auprès des sociétés cotées, garantit ainsi la cohérence méthodologique, la fiabilité et la régularité attendues à chacun des deux niveaux de consolidation. Cette évolution constitue, pour EFI, un investissement essentiel pour sécuriser ses processus d’arrêté des comptes et conforter durablement la confiance du marché et de l’Autorité des marchés financiers</w:t>
      </w:r>
      <w:r w:rsidR="00887ED5">
        <w:rPr>
          <w:rFonts w:ascii="Times New Roman" w:eastAsia="Times New Roman" w:hAnsi="Times New Roman" w:cs="Times New Roman"/>
        </w:rPr>
        <w:t>.</w:t>
      </w:r>
    </w:p>
    <w:p w14:paraId="759D8615" w14:textId="77777777" w:rsidR="00887ED5" w:rsidRDefault="00887ED5" w:rsidP="00887ED5">
      <w:pPr>
        <w:spacing w:before="120" w:after="120" w:line="300" w:lineRule="auto"/>
        <w:rPr>
          <w:rFonts w:ascii="Times New Roman" w:eastAsia="Times New Roman" w:hAnsi="Times New Roman" w:cs="Times New Roman"/>
        </w:rPr>
      </w:pPr>
    </w:p>
    <w:p w14:paraId="6EAB181B" w14:textId="77777777" w:rsidR="00887ED5" w:rsidRDefault="00887ED5" w:rsidP="00887ED5">
      <w:pPr>
        <w:spacing w:before="120" w:after="120" w:line="300" w:lineRule="auto"/>
      </w:pPr>
      <w:r>
        <w:rPr>
          <w:rFonts w:ascii="Times New Roman" w:eastAsia="Times New Roman" w:hAnsi="Times New Roman" w:cs="Times New Roman"/>
        </w:rPr>
        <w:t>Compte tenu de l’avancement des travaux et en cohérence avec le calendrier de publication des comptes consolidés d’EURASIA GROUPE, EURASIA FONCIERE INVESTISSEMENTS – EFI communique le calendrier prévisionnel suivant :</w:t>
      </w:r>
    </w:p>
    <w:p w14:paraId="5D29769E" w14:textId="77777777" w:rsidR="00887ED5" w:rsidRPr="00887ED5" w:rsidRDefault="00887ED5" w:rsidP="00887ED5">
      <w:pPr>
        <w:pStyle w:val="Paragraphedeliste"/>
        <w:numPr>
          <w:ilvl w:val="0"/>
          <w:numId w:val="14"/>
        </w:numPr>
        <w:spacing w:before="120" w:after="120" w:line="300" w:lineRule="auto"/>
      </w:pPr>
      <w:r w:rsidRPr="00887ED5">
        <w:rPr>
          <w:rFonts w:ascii="Times New Roman" w:eastAsia="Times New Roman" w:hAnsi="Times New Roman" w:cs="Times New Roman"/>
        </w:rPr>
        <w:t>Rapport financier semestriel au 30 juin 2025 et rapport des Commissaires aux comptes y afférent : publication au plus tard le 30 mai 2026, en cohérence avec la mise à disposition des comptes consolidés 2024 du Groupe ;</w:t>
      </w:r>
    </w:p>
    <w:p w14:paraId="4E31672D" w14:textId="3CF6A51F" w:rsidR="00887ED5" w:rsidRDefault="00887ED5" w:rsidP="00887ED5">
      <w:pPr>
        <w:pStyle w:val="Paragraphedeliste"/>
        <w:numPr>
          <w:ilvl w:val="0"/>
          <w:numId w:val="14"/>
        </w:numPr>
        <w:spacing w:before="120" w:after="120" w:line="300" w:lineRule="auto"/>
      </w:pPr>
      <w:r w:rsidRPr="00887ED5">
        <w:rPr>
          <w:rFonts w:ascii="Times New Roman" w:eastAsia="Times New Roman" w:hAnsi="Times New Roman" w:cs="Times New Roman"/>
        </w:rPr>
        <w:t>Assemblée générale annuelle : la date sera ajustée et communiquée dans les meilleurs délais, en cohérence avec le calendrier ci-dessus.</w:t>
      </w:r>
    </w:p>
    <w:p w14:paraId="585019D0" w14:textId="77777777" w:rsidR="00887ED5" w:rsidRDefault="00887ED5" w:rsidP="00887ED5">
      <w:pPr>
        <w:spacing w:before="120" w:after="120" w:line="300" w:lineRule="auto"/>
      </w:pPr>
      <w:r>
        <w:rPr>
          <w:rFonts w:ascii="Times New Roman" w:eastAsia="Times New Roman" w:hAnsi="Times New Roman" w:cs="Times New Roman"/>
        </w:rPr>
        <w:t>En cas d’évolution susceptible d’affecter le calendrier ci-dessus, la Société informera sans délai ses actionnaires et l’ensemble du marché par voie de communiqué dédié.</w:t>
      </w:r>
    </w:p>
    <w:p w14:paraId="43EDFDC0" w14:textId="77777777" w:rsidR="00887ED5" w:rsidRDefault="00887ED5" w:rsidP="00887ED5">
      <w:pPr>
        <w:spacing w:before="120" w:after="120" w:line="300" w:lineRule="auto"/>
        <w:rPr>
          <w:rFonts w:ascii="Times New Roman" w:eastAsia="Times New Roman" w:hAnsi="Times New Roman" w:cs="Times New Roman"/>
        </w:rPr>
      </w:pPr>
    </w:p>
    <w:p w14:paraId="26E2688B" w14:textId="1C2C7B08" w:rsidR="00887ED5" w:rsidRDefault="00887ED5" w:rsidP="00887ED5">
      <w:pPr>
        <w:spacing w:before="120" w:after="120" w:line="300" w:lineRule="auto"/>
      </w:pPr>
      <w:r>
        <w:rPr>
          <w:rFonts w:ascii="Times New Roman" w:eastAsia="Times New Roman" w:hAnsi="Times New Roman" w:cs="Times New Roman"/>
        </w:rPr>
        <w:t xml:space="preserve">EURASIA FONCIERE INVESTISSEMENTS – EFI entretient un </w:t>
      </w:r>
      <w:r w:rsidRPr="00887ED5">
        <w:rPr>
          <w:rFonts w:ascii="Times New Roman" w:eastAsia="Times New Roman" w:hAnsi="Times New Roman" w:cs="Times New Roman"/>
        </w:rPr>
        <w:t xml:space="preserve">dialogue régulier avec l’Autorité des marchés financiers </w:t>
      </w:r>
      <w:r>
        <w:rPr>
          <w:rFonts w:ascii="Times New Roman" w:eastAsia="Times New Roman" w:hAnsi="Times New Roman" w:cs="Times New Roman"/>
        </w:rPr>
        <w:t>sur l’avancement de ses travaux comptables et tient l’autorité de régulation informée des évolutions du calendrier de publication.</w:t>
      </w:r>
    </w:p>
    <w:p w14:paraId="56D168C6" w14:textId="77777777" w:rsidR="00887ED5" w:rsidRDefault="00887ED5" w:rsidP="00887ED5">
      <w:pPr>
        <w:spacing w:before="120" w:after="120" w:line="300" w:lineRule="auto"/>
      </w:pPr>
      <w:r>
        <w:rPr>
          <w:rFonts w:ascii="Times New Roman" w:eastAsia="Times New Roman" w:hAnsi="Times New Roman" w:cs="Times New Roman"/>
        </w:rPr>
        <w:t>La Société tient à réaffirmer que ce décalage est strictement lié à la complexité technique des opérations en cours au niveau du Groupe et n’affecte pas la solidité du modèle économique d’EFI, dont la trajectoire s’inscrit dans le programme structuré de cessions d’actifs encadré par l’accord de conciliation signé en mai 2025 par EURASIA GROUPE.</w:t>
      </w:r>
    </w:p>
    <w:p w14:paraId="3AAD4A53" w14:textId="77777777" w:rsidR="00887ED5" w:rsidRDefault="00887ED5" w:rsidP="00887ED5">
      <w:pPr>
        <w:spacing w:before="240" w:after="120"/>
      </w:pPr>
      <w:r>
        <w:rPr>
          <w:rFonts w:ascii="Times New Roman" w:eastAsia="Times New Roman" w:hAnsi="Times New Roman" w:cs="Times New Roman"/>
        </w:rPr>
        <w:t>Monsieur WANG Hsueh Sheng, Président Directeur Général, déclare :</w:t>
      </w:r>
    </w:p>
    <w:p w14:paraId="25091630" w14:textId="7F9F9308" w:rsidR="00887ED5" w:rsidRDefault="00887ED5" w:rsidP="00887ED5">
      <w:pPr>
        <w:spacing w:before="120" w:after="120" w:line="300" w:lineRule="auto"/>
      </w:pPr>
      <w:r>
        <w:rPr>
          <w:rFonts w:ascii="Times New Roman" w:eastAsia="Times New Roman" w:hAnsi="Times New Roman" w:cs="Times New Roman"/>
          <w:i/>
          <w:iCs/>
        </w:rPr>
        <w:tab/>
        <w:t xml:space="preserve">« La publication, en décembre 2025, du rapport financier annuel 2024 d’EURASIA FONCIERE </w:t>
      </w:r>
      <w:r>
        <w:rPr>
          <w:rFonts w:ascii="Times New Roman" w:eastAsia="Times New Roman" w:hAnsi="Times New Roman" w:cs="Times New Roman"/>
          <w:i/>
          <w:iCs/>
        </w:rPr>
        <w:tab/>
        <w:t xml:space="preserve">INVESTISSEMENTS – EFI, a marqué une étape déterminante dans la normalisation de notre </w:t>
      </w:r>
      <w:r>
        <w:rPr>
          <w:rFonts w:ascii="Times New Roman" w:eastAsia="Times New Roman" w:hAnsi="Times New Roman" w:cs="Times New Roman"/>
          <w:i/>
          <w:iCs/>
        </w:rPr>
        <w:tab/>
        <w:t xml:space="preserve">information financière. Foncière patrimoniale active depuis plus de quarante ans, EFI dispose d’un </w:t>
      </w:r>
      <w:r>
        <w:rPr>
          <w:rFonts w:ascii="Times New Roman" w:eastAsia="Times New Roman" w:hAnsi="Times New Roman" w:cs="Times New Roman"/>
          <w:i/>
          <w:iCs/>
        </w:rPr>
        <w:tab/>
        <w:t xml:space="preserve">patrimoine immobilier locatif solide et d’équipes pleinement engagées. Le décalage du calendrier de </w:t>
      </w:r>
      <w:r>
        <w:rPr>
          <w:rFonts w:ascii="Times New Roman" w:eastAsia="Times New Roman" w:hAnsi="Times New Roman" w:cs="Times New Roman"/>
          <w:i/>
          <w:iCs/>
        </w:rPr>
        <w:tab/>
        <w:t xml:space="preserve">publication du semestriel 2025 résulte de l’articulation nécessaire avec les comptes consolidés de </w:t>
      </w:r>
      <w:r>
        <w:rPr>
          <w:rFonts w:ascii="Times New Roman" w:eastAsia="Times New Roman" w:hAnsi="Times New Roman" w:cs="Times New Roman"/>
          <w:i/>
          <w:iCs/>
        </w:rPr>
        <w:tab/>
        <w:t xml:space="preserve">notre société mère, et nullement d’une fragilité de notre activité. L’engagement du cabinet </w:t>
      </w:r>
      <w:r>
        <w:rPr>
          <w:rFonts w:ascii="Times New Roman" w:eastAsia="Times New Roman" w:hAnsi="Times New Roman" w:cs="Times New Roman"/>
          <w:i/>
          <w:iCs/>
        </w:rPr>
        <w:tab/>
        <w:t xml:space="preserve">DYNAMETRIE pour les travaux de consolidation, conjugué au concours de notre nouveau collège de </w:t>
      </w:r>
      <w:r>
        <w:rPr>
          <w:rFonts w:ascii="Times New Roman" w:eastAsia="Times New Roman" w:hAnsi="Times New Roman" w:cs="Times New Roman"/>
          <w:i/>
          <w:iCs/>
        </w:rPr>
        <w:tab/>
        <w:t xml:space="preserve">co-commissaires aux comptes, doit nous permettre de publier dans les meilleurs délais une information </w:t>
      </w:r>
      <w:r>
        <w:rPr>
          <w:rFonts w:ascii="Times New Roman" w:eastAsia="Times New Roman" w:hAnsi="Times New Roman" w:cs="Times New Roman"/>
          <w:i/>
          <w:iCs/>
        </w:rPr>
        <w:tab/>
        <w:t xml:space="preserve">financière fiable, complète et conforme. Je remercie nos actionnaires et nos partenaires de leur </w:t>
      </w:r>
      <w:r>
        <w:rPr>
          <w:rFonts w:ascii="Times New Roman" w:eastAsia="Times New Roman" w:hAnsi="Times New Roman" w:cs="Times New Roman"/>
          <w:i/>
          <w:iCs/>
        </w:rPr>
        <w:tab/>
        <w:t>confiance et de leur compréhension dans cette phase de remise à niveau. »</w:t>
      </w:r>
    </w:p>
    <w:p w14:paraId="68A50694" w14:textId="77777777" w:rsidR="00887ED5" w:rsidRDefault="00887ED5" w:rsidP="00887ED5">
      <w:pPr>
        <w:spacing w:before="240" w:after="240"/>
      </w:pPr>
      <w:r>
        <w:rPr>
          <w:rFonts w:ascii="Times New Roman" w:eastAsia="Times New Roman" w:hAnsi="Times New Roman" w:cs="Times New Roman"/>
        </w:rPr>
        <w:t>L’ensemble des publications financières de la Société peut être consulté sur son site internet, à l’adresse www.eurasiafonciereinvestissements.fr, rubrique « Info Financière – Rapports – Rapports Financiers Annuels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87ED5" w14:paraId="51A847BD" w14:textId="77777777" w:rsidTr="000A28AE">
        <w:tc>
          <w:tcPr>
            <w:tcW w:w="9026" w:type="dxa"/>
            <w:tcBorders>
              <w:top w:val="single" w:sz="8" w:space="0" w:color="000000"/>
              <w:left w:val="single" w:sz="8" w:space="0" w:color="000000"/>
              <w:bottom w:val="single" w:sz="8" w:space="0" w:color="000000"/>
              <w:right w:val="single" w:sz="8" w:space="0" w:color="000000"/>
            </w:tcBorders>
            <w:tcMar>
              <w:top w:w="200" w:type="dxa"/>
              <w:left w:w="240" w:type="dxa"/>
              <w:bottom w:w="200" w:type="dxa"/>
              <w:right w:w="240" w:type="dxa"/>
            </w:tcMar>
          </w:tcPr>
          <w:p w14:paraId="1DFA3F1F" w14:textId="77777777" w:rsidR="00887ED5" w:rsidRDefault="00887ED5" w:rsidP="000A28AE">
            <w:pPr>
              <w:spacing w:before="40" w:after="120"/>
              <w:jc w:val="center"/>
            </w:pPr>
            <w:r>
              <w:rPr>
                <w:rFonts w:ascii="Times New Roman" w:eastAsia="Times New Roman" w:hAnsi="Times New Roman" w:cs="Times New Roman"/>
                <w:b/>
                <w:bCs/>
                <w:sz w:val="24"/>
                <w:szCs w:val="24"/>
                <w:u w:val="single"/>
              </w:rPr>
              <w:t>À propos d’EURASIA FONCIERE INVESTISSEMENTS – EFI (ex MB RETAIL EUROPE)</w:t>
            </w:r>
          </w:p>
          <w:p w14:paraId="24545C8F" w14:textId="77777777" w:rsidR="00887ED5" w:rsidRDefault="00887ED5" w:rsidP="000A28AE">
            <w:pPr>
              <w:spacing w:before="80" w:after="80" w:line="280" w:lineRule="auto"/>
            </w:pPr>
            <w:r>
              <w:rPr>
                <w:rFonts w:ascii="Times New Roman" w:eastAsia="Times New Roman" w:hAnsi="Times New Roman" w:cs="Times New Roman"/>
              </w:rPr>
              <w:t>Créée le 3 janvier 1984, la société est cotée sur le compartiment C d’Euronext Paris. EURASIA FONCIERE INVESTISSEMENTS est détenue à 70 % par EURASIA GROUPE dont les titres sont admis sur le compartiment GROWTH d’EURONEXT.</w:t>
            </w:r>
          </w:p>
          <w:p w14:paraId="536F9AB0" w14:textId="77777777" w:rsidR="00887ED5" w:rsidRDefault="00887ED5" w:rsidP="000A28AE">
            <w:pPr>
              <w:spacing w:before="80" w:after="80" w:line="280" w:lineRule="auto"/>
            </w:pPr>
            <w:r>
              <w:rPr>
                <w:rFonts w:ascii="Times New Roman" w:eastAsia="Times New Roman" w:hAnsi="Times New Roman" w:cs="Times New Roman"/>
              </w:rPr>
              <w:t>EURASIA FONCIERE INVESTISSEMENTS est une foncière patrimoniale ayant pour objet en France et à l’étranger l’acquisition et/ou la construction de tous terrains, immeubles, biens et droits immobiliers en vue de leur location, la gestion, la prise à bail, l’aménagement de tous terrains, biens et droits immobiliers, l’équipement de tous ensembles immobiliers en vue de les louer ; et toutes activités connexes ou liées se rattachant à cette activité.</w:t>
            </w:r>
          </w:p>
          <w:p w14:paraId="7B8E2960" w14:textId="77777777" w:rsidR="00887ED5" w:rsidRDefault="00887ED5" w:rsidP="000A28AE">
            <w:pPr>
              <w:spacing w:before="80" w:after="80" w:line="280" w:lineRule="auto"/>
            </w:pPr>
            <w:r>
              <w:rPr>
                <w:rFonts w:ascii="Times New Roman" w:eastAsia="Times New Roman" w:hAnsi="Times New Roman" w:cs="Times New Roman"/>
              </w:rPr>
              <w:t>Code ISIN FR0000061475 – Mnémonique : EFI</w:t>
            </w:r>
          </w:p>
          <w:p w14:paraId="17D6471B" w14:textId="77777777" w:rsidR="00887ED5" w:rsidRDefault="00887ED5" w:rsidP="000A28AE">
            <w:pPr>
              <w:spacing w:before="200" w:after="60"/>
            </w:pPr>
            <w:r>
              <w:rPr>
                <w:rFonts w:ascii="Times New Roman" w:eastAsia="Times New Roman" w:hAnsi="Times New Roman" w:cs="Times New Roman"/>
                <w:u w:val="single"/>
              </w:rPr>
              <w:t>Contact investisseur :</w:t>
            </w:r>
          </w:p>
          <w:p w14:paraId="12729AC6" w14:textId="77777777" w:rsidR="00887ED5" w:rsidRDefault="00887ED5" w:rsidP="000A28AE">
            <w:pPr>
              <w:spacing w:before="80" w:after="80" w:line="280" w:lineRule="auto"/>
            </w:pPr>
            <w:r>
              <w:rPr>
                <w:rFonts w:ascii="Times New Roman" w:eastAsia="Times New Roman" w:hAnsi="Times New Roman" w:cs="Times New Roman"/>
              </w:rPr>
              <w:t>Philippe ANDRE – Direction Juridique et Financière – T : +33 1 48 34 66 66 – philippe@eurasiagroupe.com</w:t>
            </w:r>
          </w:p>
        </w:tc>
      </w:tr>
    </w:tbl>
    <w:p w14:paraId="3FD50523" w14:textId="77777777" w:rsidR="00887ED5" w:rsidRDefault="00887ED5" w:rsidP="00887ED5"/>
    <w:p w14:paraId="747D8030" w14:textId="77777777" w:rsidR="00887ED5" w:rsidRDefault="00887ED5" w:rsidP="00887ED5">
      <w:pPr>
        <w:spacing w:before="120" w:after="120" w:line="300" w:lineRule="auto"/>
      </w:pPr>
    </w:p>
    <w:sectPr w:rsidR="00887ED5" w:rsidSect="005F6D3F">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6095" w14:textId="77777777" w:rsidR="00F90320" w:rsidRDefault="00F90320" w:rsidP="00775CE5">
      <w:r>
        <w:separator/>
      </w:r>
    </w:p>
  </w:endnote>
  <w:endnote w:type="continuationSeparator" w:id="0">
    <w:p w14:paraId="7ED5F0B6" w14:textId="77777777" w:rsidR="00F90320" w:rsidRDefault="00F90320" w:rsidP="0077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AFE" w14:textId="77777777" w:rsidR="00942B7D" w:rsidRPr="00775CE5" w:rsidRDefault="00942B7D">
    <w:pPr>
      <w:pStyle w:val="Pieddepage"/>
      <w:jc w:val="right"/>
      <w:rPr>
        <w:i/>
        <w:sz w:val="16"/>
        <w:szCs w:val="16"/>
      </w:rPr>
    </w:pPr>
  </w:p>
  <w:sdt>
    <w:sdtPr>
      <w:rPr>
        <w:i/>
        <w:sz w:val="16"/>
        <w:szCs w:val="16"/>
      </w:rPr>
      <w:id w:val="123787606"/>
      <w:docPartObj>
        <w:docPartGallery w:val="Page Numbers (Top of Page)"/>
        <w:docPartUnique/>
      </w:docPartObj>
    </w:sdtPr>
    <w:sdtContent>
      <w:p w14:paraId="40D41452" w14:textId="77777777" w:rsidR="00942B7D" w:rsidRDefault="00942B7D" w:rsidP="00AD52C3">
        <w:pPr>
          <w:pStyle w:val="Pieddepage"/>
          <w:jc w:val="right"/>
          <w:rPr>
            <w:i/>
            <w:sz w:val="16"/>
            <w:szCs w:val="16"/>
          </w:rPr>
        </w:pPr>
        <w:r w:rsidRPr="00775CE5">
          <w:rPr>
            <w:i/>
            <w:sz w:val="16"/>
            <w:szCs w:val="16"/>
          </w:rPr>
          <w:t xml:space="preserve">Page </w:t>
        </w:r>
        <w:r w:rsidRPr="00775CE5">
          <w:rPr>
            <w:i/>
            <w:sz w:val="16"/>
            <w:szCs w:val="16"/>
          </w:rPr>
          <w:fldChar w:fldCharType="begin"/>
        </w:r>
        <w:r w:rsidRPr="00775CE5">
          <w:rPr>
            <w:i/>
            <w:sz w:val="16"/>
            <w:szCs w:val="16"/>
          </w:rPr>
          <w:instrText>PAGE</w:instrText>
        </w:r>
        <w:r w:rsidRPr="00775CE5">
          <w:rPr>
            <w:i/>
            <w:sz w:val="16"/>
            <w:szCs w:val="16"/>
          </w:rPr>
          <w:fldChar w:fldCharType="separate"/>
        </w:r>
        <w:r w:rsidR="005E2015">
          <w:rPr>
            <w:i/>
            <w:noProof/>
            <w:sz w:val="16"/>
            <w:szCs w:val="16"/>
          </w:rPr>
          <w:t>2</w:t>
        </w:r>
        <w:r w:rsidRPr="00775CE5">
          <w:rPr>
            <w:i/>
            <w:sz w:val="16"/>
            <w:szCs w:val="16"/>
          </w:rPr>
          <w:fldChar w:fldCharType="end"/>
        </w:r>
        <w:r w:rsidRPr="00775CE5">
          <w:rPr>
            <w:i/>
            <w:sz w:val="16"/>
            <w:szCs w:val="16"/>
          </w:rPr>
          <w:t xml:space="preserve"> sur </w:t>
        </w:r>
        <w:r w:rsidRPr="00775CE5">
          <w:rPr>
            <w:i/>
            <w:sz w:val="16"/>
            <w:szCs w:val="16"/>
          </w:rPr>
          <w:fldChar w:fldCharType="begin"/>
        </w:r>
        <w:r w:rsidRPr="00775CE5">
          <w:rPr>
            <w:i/>
            <w:sz w:val="16"/>
            <w:szCs w:val="16"/>
          </w:rPr>
          <w:instrText>NUMPAGES</w:instrText>
        </w:r>
        <w:r w:rsidRPr="00775CE5">
          <w:rPr>
            <w:i/>
            <w:sz w:val="16"/>
            <w:szCs w:val="16"/>
          </w:rPr>
          <w:fldChar w:fldCharType="separate"/>
        </w:r>
        <w:r w:rsidR="005E2015">
          <w:rPr>
            <w:i/>
            <w:noProof/>
            <w:sz w:val="16"/>
            <w:szCs w:val="16"/>
          </w:rPr>
          <w:t>2</w:t>
        </w:r>
        <w:r w:rsidRPr="00775CE5">
          <w:rPr>
            <w:i/>
            <w:sz w:val="16"/>
            <w:szCs w:val="16"/>
          </w:rPr>
          <w:fldChar w:fldCharType="end"/>
        </w:r>
      </w:p>
    </w:sdtContent>
  </w:sdt>
  <w:p w14:paraId="231C63A9" w14:textId="77777777" w:rsidR="00942B7D" w:rsidRPr="00775CE5" w:rsidRDefault="00942B7D" w:rsidP="00775CE5">
    <w:pPr>
      <w:pStyle w:val="Pieddepage"/>
      <w:tabs>
        <w:tab w:val="clear" w:pos="9072"/>
        <w:tab w:val="right" w:pos="3969"/>
      </w:tabs>
      <w:ind w:right="5103"/>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9743" w14:textId="77777777" w:rsidR="00F90320" w:rsidRDefault="00F90320" w:rsidP="00775CE5">
      <w:r>
        <w:separator/>
      </w:r>
    </w:p>
  </w:footnote>
  <w:footnote w:type="continuationSeparator" w:id="0">
    <w:p w14:paraId="2FDBAFC2" w14:textId="77777777" w:rsidR="00F90320" w:rsidRDefault="00F90320" w:rsidP="00775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C59"/>
    <w:multiLevelType w:val="multilevel"/>
    <w:tmpl w:val="8542BD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E979CE"/>
    <w:multiLevelType w:val="multilevel"/>
    <w:tmpl w:val="FFCA7080"/>
    <w:lvl w:ilvl="0">
      <w:start w:val="1"/>
      <w:numFmt w:val="decimal"/>
      <w:lvlText w:val="%1."/>
      <w:lvlJc w:val="left"/>
      <w:pPr>
        <w:ind w:left="360" w:hanging="360"/>
      </w:pPr>
    </w:lvl>
    <w:lvl w:ilvl="1">
      <w:start w:val="1"/>
      <w:numFmt w:val="decimal"/>
      <w:pStyle w:val="Paragraphe2"/>
      <w:lvlText w:val="%1.%2."/>
      <w:lvlJc w:val="left"/>
      <w:pPr>
        <w:ind w:left="792" w:hanging="432"/>
      </w:pPr>
    </w:lvl>
    <w:lvl w:ilvl="2">
      <w:start w:val="1"/>
      <w:numFmt w:val="decimal"/>
      <w:pStyle w:val="Paragraph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A901C3"/>
    <w:multiLevelType w:val="hybridMultilevel"/>
    <w:tmpl w:val="67A22AB0"/>
    <w:lvl w:ilvl="0" w:tplc="BC8E1C0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F547E0"/>
    <w:multiLevelType w:val="hybridMultilevel"/>
    <w:tmpl w:val="2FDC5C12"/>
    <w:lvl w:ilvl="0" w:tplc="B97EBC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AA1835"/>
    <w:multiLevelType w:val="multilevel"/>
    <w:tmpl w:val="D6B81086"/>
    <w:lvl w:ilvl="0">
      <w:start w:val="1"/>
      <w:numFmt w:val="decimal"/>
      <w:pStyle w:val="Paragraphe1"/>
      <w:lvlText w:val="%1."/>
      <w:lvlJc w:val="left"/>
      <w:pPr>
        <w:ind w:left="360" w:hanging="360"/>
      </w:pPr>
    </w:lvl>
    <w:lvl w:ilvl="1">
      <w:start w:val="1"/>
      <w:numFmt w:val="decimal"/>
      <w:lvlText w:val="%1.%2."/>
      <w:lvlJc w:val="left"/>
      <w:pPr>
        <w:ind w:left="792" w:hanging="432"/>
      </w:pPr>
      <w:rPr>
        <w:color w:val="8D091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EC7607"/>
    <w:multiLevelType w:val="multilevel"/>
    <w:tmpl w:val="7DF8194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293E45"/>
    <w:multiLevelType w:val="hybridMultilevel"/>
    <w:tmpl w:val="39C0C29E"/>
    <w:lvl w:ilvl="0" w:tplc="BC8E1C0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3704A5"/>
    <w:multiLevelType w:val="hybridMultilevel"/>
    <w:tmpl w:val="D262B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946413"/>
    <w:multiLevelType w:val="hybridMultilevel"/>
    <w:tmpl w:val="0F9671C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A870E3"/>
    <w:multiLevelType w:val="hybridMultilevel"/>
    <w:tmpl w:val="BB1219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CE41178"/>
    <w:multiLevelType w:val="hybridMultilevel"/>
    <w:tmpl w:val="A746B1D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75088B"/>
    <w:multiLevelType w:val="hybridMultilevel"/>
    <w:tmpl w:val="91448A9C"/>
    <w:lvl w:ilvl="0" w:tplc="207A66DA">
      <w:start w:val="1"/>
      <w:numFmt w:val="bullet"/>
      <w:lvlText w:val=""/>
      <w:lvlJc w:val="left"/>
      <w:pPr>
        <w:ind w:left="3600" w:hanging="360"/>
      </w:pPr>
      <w:rPr>
        <w:rFonts w:ascii="Wingdings" w:hAnsi="Wingdings" w:hint="default"/>
        <w:color w:val="8D0917"/>
        <w:position w:val="0"/>
        <w:sz w:val="20"/>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2" w15:restartNumberingAfterBreak="0">
    <w:nsid w:val="6E8F28CC"/>
    <w:multiLevelType w:val="hybridMultilevel"/>
    <w:tmpl w:val="CAA008E4"/>
    <w:lvl w:ilvl="0" w:tplc="BC8E1C0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842D11"/>
    <w:multiLevelType w:val="hybridMultilevel"/>
    <w:tmpl w:val="28EC3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4721571">
    <w:abstractNumId w:val="4"/>
  </w:num>
  <w:num w:numId="2" w16cid:durableId="1712807061">
    <w:abstractNumId w:val="1"/>
  </w:num>
  <w:num w:numId="3" w16cid:durableId="182718570">
    <w:abstractNumId w:val="11"/>
  </w:num>
  <w:num w:numId="4" w16cid:durableId="2067532229">
    <w:abstractNumId w:val="9"/>
  </w:num>
  <w:num w:numId="5" w16cid:durableId="2084524743">
    <w:abstractNumId w:val="12"/>
  </w:num>
  <w:num w:numId="6" w16cid:durableId="318116022">
    <w:abstractNumId w:val="6"/>
  </w:num>
  <w:num w:numId="7" w16cid:durableId="432436128">
    <w:abstractNumId w:val="10"/>
  </w:num>
  <w:num w:numId="8" w16cid:durableId="1523472459">
    <w:abstractNumId w:val="7"/>
  </w:num>
  <w:num w:numId="9" w16cid:durableId="1755200345">
    <w:abstractNumId w:val="0"/>
  </w:num>
  <w:num w:numId="10" w16cid:durableId="928806368">
    <w:abstractNumId w:val="13"/>
  </w:num>
  <w:num w:numId="11" w16cid:durableId="1025596953">
    <w:abstractNumId w:val="8"/>
  </w:num>
  <w:num w:numId="12" w16cid:durableId="29186684">
    <w:abstractNumId w:val="2"/>
  </w:num>
  <w:num w:numId="13" w16cid:durableId="1853648212">
    <w:abstractNumId w:val="5"/>
  </w:num>
  <w:num w:numId="14" w16cid:durableId="258802963">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24"/>
    <w:rsid w:val="00000B03"/>
    <w:rsid w:val="00000C45"/>
    <w:rsid w:val="00002AB2"/>
    <w:rsid w:val="000033E1"/>
    <w:rsid w:val="00003652"/>
    <w:rsid w:val="000127EC"/>
    <w:rsid w:val="000151CF"/>
    <w:rsid w:val="00015DB3"/>
    <w:rsid w:val="000166CC"/>
    <w:rsid w:val="0001725D"/>
    <w:rsid w:val="00017C35"/>
    <w:rsid w:val="0002048F"/>
    <w:rsid w:val="0002147A"/>
    <w:rsid w:val="000229F3"/>
    <w:rsid w:val="0002461E"/>
    <w:rsid w:val="00024FB5"/>
    <w:rsid w:val="000264E6"/>
    <w:rsid w:val="00026CB9"/>
    <w:rsid w:val="000332F8"/>
    <w:rsid w:val="00034C89"/>
    <w:rsid w:val="000364EB"/>
    <w:rsid w:val="000375C2"/>
    <w:rsid w:val="00040BE9"/>
    <w:rsid w:val="00041270"/>
    <w:rsid w:val="00043059"/>
    <w:rsid w:val="000467B1"/>
    <w:rsid w:val="000474E3"/>
    <w:rsid w:val="00047519"/>
    <w:rsid w:val="00050734"/>
    <w:rsid w:val="00051B8C"/>
    <w:rsid w:val="000526A2"/>
    <w:rsid w:val="00056228"/>
    <w:rsid w:val="00056367"/>
    <w:rsid w:val="00057E98"/>
    <w:rsid w:val="000607F7"/>
    <w:rsid w:val="000624B2"/>
    <w:rsid w:val="000702CC"/>
    <w:rsid w:val="00070588"/>
    <w:rsid w:val="00070702"/>
    <w:rsid w:val="00071DB8"/>
    <w:rsid w:val="00072A60"/>
    <w:rsid w:val="00073042"/>
    <w:rsid w:val="00073E08"/>
    <w:rsid w:val="00075B36"/>
    <w:rsid w:val="00081200"/>
    <w:rsid w:val="000822A2"/>
    <w:rsid w:val="00084AF5"/>
    <w:rsid w:val="000856B5"/>
    <w:rsid w:val="000860F2"/>
    <w:rsid w:val="000864F2"/>
    <w:rsid w:val="000877E8"/>
    <w:rsid w:val="00087C0E"/>
    <w:rsid w:val="00094F52"/>
    <w:rsid w:val="00096DC1"/>
    <w:rsid w:val="00097BFF"/>
    <w:rsid w:val="000A03B3"/>
    <w:rsid w:val="000A0707"/>
    <w:rsid w:val="000A427F"/>
    <w:rsid w:val="000A6278"/>
    <w:rsid w:val="000A7424"/>
    <w:rsid w:val="000A7EB0"/>
    <w:rsid w:val="000B3156"/>
    <w:rsid w:val="000B37E2"/>
    <w:rsid w:val="000B3B15"/>
    <w:rsid w:val="000B3D65"/>
    <w:rsid w:val="000B47B5"/>
    <w:rsid w:val="000B4AED"/>
    <w:rsid w:val="000C0922"/>
    <w:rsid w:val="000C10F0"/>
    <w:rsid w:val="000C159B"/>
    <w:rsid w:val="000C3DA4"/>
    <w:rsid w:val="000C43D4"/>
    <w:rsid w:val="000D35C9"/>
    <w:rsid w:val="000D4324"/>
    <w:rsid w:val="000D5602"/>
    <w:rsid w:val="000E3823"/>
    <w:rsid w:val="000E52C3"/>
    <w:rsid w:val="000E537C"/>
    <w:rsid w:val="000E7544"/>
    <w:rsid w:val="000E7656"/>
    <w:rsid w:val="000F0F64"/>
    <w:rsid w:val="000F334B"/>
    <w:rsid w:val="000F417E"/>
    <w:rsid w:val="000F5646"/>
    <w:rsid w:val="000F703A"/>
    <w:rsid w:val="000F7A35"/>
    <w:rsid w:val="001003CB"/>
    <w:rsid w:val="00101C18"/>
    <w:rsid w:val="0010244F"/>
    <w:rsid w:val="00102A74"/>
    <w:rsid w:val="001063BE"/>
    <w:rsid w:val="001103B6"/>
    <w:rsid w:val="0011071D"/>
    <w:rsid w:val="00111200"/>
    <w:rsid w:val="001165B4"/>
    <w:rsid w:val="00120121"/>
    <w:rsid w:val="00120139"/>
    <w:rsid w:val="00120656"/>
    <w:rsid w:val="00125964"/>
    <w:rsid w:val="00125B13"/>
    <w:rsid w:val="00125B8E"/>
    <w:rsid w:val="001271A9"/>
    <w:rsid w:val="00130995"/>
    <w:rsid w:val="0013135F"/>
    <w:rsid w:val="00131CDE"/>
    <w:rsid w:val="001345A8"/>
    <w:rsid w:val="00136F29"/>
    <w:rsid w:val="001371A4"/>
    <w:rsid w:val="001373BA"/>
    <w:rsid w:val="00140CF7"/>
    <w:rsid w:val="00142480"/>
    <w:rsid w:val="001425BD"/>
    <w:rsid w:val="001431AC"/>
    <w:rsid w:val="001454FA"/>
    <w:rsid w:val="0014779B"/>
    <w:rsid w:val="00147B2A"/>
    <w:rsid w:val="0015187E"/>
    <w:rsid w:val="001550C7"/>
    <w:rsid w:val="00155DD6"/>
    <w:rsid w:val="001561E9"/>
    <w:rsid w:val="001564BE"/>
    <w:rsid w:val="00157DDF"/>
    <w:rsid w:val="0016034A"/>
    <w:rsid w:val="00161A2E"/>
    <w:rsid w:val="00163A05"/>
    <w:rsid w:val="001655E5"/>
    <w:rsid w:val="0016660A"/>
    <w:rsid w:val="001672C4"/>
    <w:rsid w:val="00167693"/>
    <w:rsid w:val="0017106B"/>
    <w:rsid w:val="00171BA3"/>
    <w:rsid w:val="0017330D"/>
    <w:rsid w:val="001737F2"/>
    <w:rsid w:val="0017406A"/>
    <w:rsid w:val="00174371"/>
    <w:rsid w:val="001757D1"/>
    <w:rsid w:val="0017709E"/>
    <w:rsid w:val="0018185F"/>
    <w:rsid w:val="00182DA9"/>
    <w:rsid w:val="00184248"/>
    <w:rsid w:val="00190BA0"/>
    <w:rsid w:val="00194185"/>
    <w:rsid w:val="00194CCE"/>
    <w:rsid w:val="00196AF6"/>
    <w:rsid w:val="00197A80"/>
    <w:rsid w:val="001A1053"/>
    <w:rsid w:val="001A2072"/>
    <w:rsid w:val="001A64FD"/>
    <w:rsid w:val="001B0272"/>
    <w:rsid w:val="001B04A9"/>
    <w:rsid w:val="001B1303"/>
    <w:rsid w:val="001B2754"/>
    <w:rsid w:val="001B3DE0"/>
    <w:rsid w:val="001B5723"/>
    <w:rsid w:val="001C09B5"/>
    <w:rsid w:val="001C1880"/>
    <w:rsid w:val="001C2CA3"/>
    <w:rsid w:val="001C501F"/>
    <w:rsid w:val="001D26CB"/>
    <w:rsid w:val="001D35B9"/>
    <w:rsid w:val="001D454B"/>
    <w:rsid w:val="001E35CE"/>
    <w:rsid w:val="001E4189"/>
    <w:rsid w:val="001F3ADC"/>
    <w:rsid w:val="001F4D60"/>
    <w:rsid w:val="001F4FD3"/>
    <w:rsid w:val="001F63CA"/>
    <w:rsid w:val="00202D95"/>
    <w:rsid w:val="00203EEC"/>
    <w:rsid w:val="00206004"/>
    <w:rsid w:val="0020661B"/>
    <w:rsid w:val="002113F3"/>
    <w:rsid w:val="00212201"/>
    <w:rsid w:val="0021250F"/>
    <w:rsid w:val="00212FA9"/>
    <w:rsid w:val="0021448E"/>
    <w:rsid w:val="00215D13"/>
    <w:rsid w:val="0021796E"/>
    <w:rsid w:val="002217CB"/>
    <w:rsid w:val="0022203C"/>
    <w:rsid w:val="00222A39"/>
    <w:rsid w:val="00224741"/>
    <w:rsid w:val="0023054F"/>
    <w:rsid w:val="002320F4"/>
    <w:rsid w:val="0023299F"/>
    <w:rsid w:val="00232B75"/>
    <w:rsid w:val="002403D0"/>
    <w:rsid w:val="00241413"/>
    <w:rsid w:val="00242125"/>
    <w:rsid w:val="00243BA8"/>
    <w:rsid w:val="00245DC3"/>
    <w:rsid w:val="0024783C"/>
    <w:rsid w:val="00252DEF"/>
    <w:rsid w:val="002551ED"/>
    <w:rsid w:val="00256215"/>
    <w:rsid w:val="00257506"/>
    <w:rsid w:val="00260104"/>
    <w:rsid w:val="00262616"/>
    <w:rsid w:val="00263114"/>
    <w:rsid w:val="002638C7"/>
    <w:rsid w:val="00264613"/>
    <w:rsid w:val="002655D0"/>
    <w:rsid w:val="00270242"/>
    <w:rsid w:val="00270F99"/>
    <w:rsid w:val="00275A70"/>
    <w:rsid w:val="00275D8A"/>
    <w:rsid w:val="00275FEF"/>
    <w:rsid w:val="00276C75"/>
    <w:rsid w:val="00276DA1"/>
    <w:rsid w:val="00277B1F"/>
    <w:rsid w:val="00280541"/>
    <w:rsid w:val="002823D0"/>
    <w:rsid w:val="002829D9"/>
    <w:rsid w:val="00283084"/>
    <w:rsid w:val="002846CB"/>
    <w:rsid w:val="0028639B"/>
    <w:rsid w:val="00287F08"/>
    <w:rsid w:val="00290187"/>
    <w:rsid w:val="00293244"/>
    <w:rsid w:val="002940F4"/>
    <w:rsid w:val="00296C47"/>
    <w:rsid w:val="00296DF7"/>
    <w:rsid w:val="002A70F6"/>
    <w:rsid w:val="002A7593"/>
    <w:rsid w:val="002A75FA"/>
    <w:rsid w:val="002B29DE"/>
    <w:rsid w:val="002B3299"/>
    <w:rsid w:val="002B3D23"/>
    <w:rsid w:val="002B7872"/>
    <w:rsid w:val="002C00A5"/>
    <w:rsid w:val="002C0DED"/>
    <w:rsid w:val="002C604E"/>
    <w:rsid w:val="002C6419"/>
    <w:rsid w:val="002D1927"/>
    <w:rsid w:val="002D19A8"/>
    <w:rsid w:val="002D2D85"/>
    <w:rsid w:val="002D3458"/>
    <w:rsid w:val="002D3F85"/>
    <w:rsid w:val="002D5C2F"/>
    <w:rsid w:val="002D5EB5"/>
    <w:rsid w:val="002D6B77"/>
    <w:rsid w:val="002D7016"/>
    <w:rsid w:val="002E03DE"/>
    <w:rsid w:val="002E1190"/>
    <w:rsid w:val="002E32BF"/>
    <w:rsid w:val="002E5FB0"/>
    <w:rsid w:val="002E61B7"/>
    <w:rsid w:val="002E6807"/>
    <w:rsid w:val="002F04AF"/>
    <w:rsid w:val="002F33B9"/>
    <w:rsid w:val="00303287"/>
    <w:rsid w:val="00303C1E"/>
    <w:rsid w:val="00303E17"/>
    <w:rsid w:val="00306006"/>
    <w:rsid w:val="003077C8"/>
    <w:rsid w:val="00310C86"/>
    <w:rsid w:val="00310CE8"/>
    <w:rsid w:val="00311D61"/>
    <w:rsid w:val="003141DB"/>
    <w:rsid w:val="003146F7"/>
    <w:rsid w:val="00315833"/>
    <w:rsid w:val="00315854"/>
    <w:rsid w:val="003162A7"/>
    <w:rsid w:val="0031683F"/>
    <w:rsid w:val="00316BFE"/>
    <w:rsid w:val="00317679"/>
    <w:rsid w:val="003202B6"/>
    <w:rsid w:val="0032313F"/>
    <w:rsid w:val="00323B76"/>
    <w:rsid w:val="00323D29"/>
    <w:rsid w:val="00324CC9"/>
    <w:rsid w:val="00327AB5"/>
    <w:rsid w:val="00332364"/>
    <w:rsid w:val="00332A81"/>
    <w:rsid w:val="00333004"/>
    <w:rsid w:val="0033484E"/>
    <w:rsid w:val="00337046"/>
    <w:rsid w:val="0033782D"/>
    <w:rsid w:val="0034107D"/>
    <w:rsid w:val="0034141E"/>
    <w:rsid w:val="003476AC"/>
    <w:rsid w:val="00350C2D"/>
    <w:rsid w:val="00351B73"/>
    <w:rsid w:val="00353F24"/>
    <w:rsid w:val="003542F1"/>
    <w:rsid w:val="0035441D"/>
    <w:rsid w:val="00356499"/>
    <w:rsid w:val="00357B75"/>
    <w:rsid w:val="00361597"/>
    <w:rsid w:val="0036166A"/>
    <w:rsid w:val="00363A5F"/>
    <w:rsid w:val="0036439A"/>
    <w:rsid w:val="00365E53"/>
    <w:rsid w:val="003665DA"/>
    <w:rsid w:val="0037287D"/>
    <w:rsid w:val="003742D9"/>
    <w:rsid w:val="00374511"/>
    <w:rsid w:val="003800E5"/>
    <w:rsid w:val="003801AB"/>
    <w:rsid w:val="00380CD1"/>
    <w:rsid w:val="00380E26"/>
    <w:rsid w:val="003815CE"/>
    <w:rsid w:val="0038186F"/>
    <w:rsid w:val="003818F6"/>
    <w:rsid w:val="00385D97"/>
    <w:rsid w:val="00386587"/>
    <w:rsid w:val="00391385"/>
    <w:rsid w:val="00391CA8"/>
    <w:rsid w:val="00391F93"/>
    <w:rsid w:val="0039318E"/>
    <w:rsid w:val="0039384D"/>
    <w:rsid w:val="00394258"/>
    <w:rsid w:val="003963FF"/>
    <w:rsid w:val="00396B10"/>
    <w:rsid w:val="003A17B6"/>
    <w:rsid w:val="003A256C"/>
    <w:rsid w:val="003A3043"/>
    <w:rsid w:val="003A5020"/>
    <w:rsid w:val="003A63B4"/>
    <w:rsid w:val="003A67B4"/>
    <w:rsid w:val="003B668E"/>
    <w:rsid w:val="003B6A8C"/>
    <w:rsid w:val="003B6C24"/>
    <w:rsid w:val="003B6CBD"/>
    <w:rsid w:val="003B72D2"/>
    <w:rsid w:val="003B73DA"/>
    <w:rsid w:val="003C042E"/>
    <w:rsid w:val="003C2AC3"/>
    <w:rsid w:val="003C5E4F"/>
    <w:rsid w:val="003C7767"/>
    <w:rsid w:val="003D058F"/>
    <w:rsid w:val="003D0F82"/>
    <w:rsid w:val="003D123D"/>
    <w:rsid w:val="003D1803"/>
    <w:rsid w:val="003D4469"/>
    <w:rsid w:val="003D5AA1"/>
    <w:rsid w:val="003D63CC"/>
    <w:rsid w:val="003E4907"/>
    <w:rsid w:val="003E65C8"/>
    <w:rsid w:val="003E66DE"/>
    <w:rsid w:val="003E71F6"/>
    <w:rsid w:val="003E7AC4"/>
    <w:rsid w:val="003F3AA1"/>
    <w:rsid w:val="003F660A"/>
    <w:rsid w:val="00401A33"/>
    <w:rsid w:val="00401F1F"/>
    <w:rsid w:val="00403432"/>
    <w:rsid w:val="00404F30"/>
    <w:rsid w:val="0040674A"/>
    <w:rsid w:val="004104AB"/>
    <w:rsid w:val="00412284"/>
    <w:rsid w:val="0041672E"/>
    <w:rsid w:val="00420183"/>
    <w:rsid w:val="00421AB9"/>
    <w:rsid w:val="0042267B"/>
    <w:rsid w:val="004242DB"/>
    <w:rsid w:val="00433C96"/>
    <w:rsid w:val="00437BCF"/>
    <w:rsid w:val="00441318"/>
    <w:rsid w:val="0044341E"/>
    <w:rsid w:val="004454CA"/>
    <w:rsid w:val="00452C60"/>
    <w:rsid w:val="004606E1"/>
    <w:rsid w:val="00460EBB"/>
    <w:rsid w:val="00461186"/>
    <w:rsid w:val="00465954"/>
    <w:rsid w:val="00471215"/>
    <w:rsid w:val="00473DAC"/>
    <w:rsid w:val="00474969"/>
    <w:rsid w:val="00480786"/>
    <w:rsid w:val="00480A5D"/>
    <w:rsid w:val="00480DBF"/>
    <w:rsid w:val="00480E59"/>
    <w:rsid w:val="00481821"/>
    <w:rsid w:val="004844CF"/>
    <w:rsid w:val="00486121"/>
    <w:rsid w:val="004862CE"/>
    <w:rsid w:val="00486EFD"/>
    <w:rsid w:val="004928BC"/>
    <w:rsid w:val="00497EAC"/>
    <w:rsid w:val="004A0ED7"/>
    <w:rsid w:val="004A196E"/>
    <w:rsid w:val="004A3C79"/>
    <w:rsid w:val="004A3E11"/>
    <w:rsid w:val="004A61EE"/>
    <w:rsid w:val="004A6909"/>
    <w:rsid w:val="004A7919"/>
    <w:rsid w:val="004B2D9D"/>
    <w:rsid w:val="004B6093"/>
    <w:rsid w:val="004B6688"/>
    <w:rsid w:val="004C0030"/>
    <w:rsid w:val="004C10FF"/>
    <w:rsid w:val="004C156E"/>
    <w:rsid w:val="004C35B0"/>
    <w:rsid w:val="004C3A9F"/>
    <w:rsid w:val="004C3E9A"/>
    <w:rsid w:val="004C3FB3"/>
    <w:rsid w:val="004C4C31"/>
    <w:rsid w:val="004C6280"/>
    <w:rsid w:val="004D0460"/>
    <w:rsid w:val="004D23CC"/>
    <w:rsid w:val="004D3258"/>
    <w:rsid w:val="004D4E06"/>
    <w:rsid w:val="004D567B"/>
    <w:rsid w:val="004D59A7"/>
    <w:rsid w:val="004D6A52"/>
    <w:rsid w:val="004E014E"/>
    <w:rsid w:val="004E1C4D"/>
    <w:rsid w:val="004E5B16"/>
    <w:rsid w:val="004E600B"/>
    <w:rsid w:val="004F1E3E"/>
    <w:rsid w:val="004F36B0"/>
    <w:rsid w:val="004F4B56"/>
    <w:rsid w:val="004F5478"/>
    <w:rsid w:val="004F7C16"/>
    <w:rsid w:val="005008EF"/>
    <w:rsid w:val="00500DDD"/>
    <w:rsid w:val="00501361"/>
    <w:rsid w:val="005013BD"/>
    <w:rsid w:val="00501E07"/>
    <w:rsid w:val="00503DC6"/>
    <w:rsid w:val="00504CF7"/>
    <w:rsid w:val="00505063"/>
    <w:rsid w:val="00511649"/>
    <w:rsid w:val="00512274"/>
    <w:rsid w:val="00512ABD"/>
    <w:rsid w:val="00514FF9"/>
    <w:rsid w:val="0051710E"/>
    <w:rsid w:val="00521932"/>
    <w:rsid w:val="0052371D"/>
    <w:rsid w:val="0052443E"/>
    <w:rsid w:val="00527C48"/>
    <w:rsid w:val="00530A66"/>
    <w:rsid w:val="00530B20"/>
    <w:rsid w:val="00532AD0"/>
    <w:rsid w:val="00533A66"/>
    <w:rsid w:val="00533D48"/>
    <w:rsid w:val="00534442"/>
    <w:rsid w:val="00536442"/>
    <w:rsid w:val="005364F3"/>
    <w:rsid w:val="005378D6"/>
    <w:rsid w:val="00540C31"/>
    <w:rsid w:val="005410E5"/>
    <w:rsid w:val="005425CF"/>
    <w:rsid w:val="00542D35"/>
    <w:rsid w:val="00546892"/>
    <w:rsid w:val="005543AD"/>
    <w:rsid w:val="00554E90"/>
    <w:rsid w:val="00560E21"/>
    <w:rsid w:val="005626D9"/>
    <w:rsid w:val="0056568A"/>
    <w:rsid w:val="00570EB5"/>
    <w:rsid w:val="005733F1"/>
    <w:rsid w:val="00576F78"/>
    <w:rsid w:val="00576FE6"/>
    <w:rsid w:val="00581216"/>
    <w:rsid w:val="00582B74"/>
    <w:rsid w:val="00583DF3"/>
    <w:rsid w:val="0058424F"/>
    <w:rsid w:val="0058514D"/>
    <w:rsid w:val="00585FC3"/>
    <w:rsid w:val="00587D48"/>
    <w:rsid w:val="00590C39"/>
    <w:rsid w:val="00592F21"/>
    <w:rsid w:val="00593B92"/>
    <w:rsid w:val="005946E3"/>
    <w:rsid w:val="00594E1F"/>
    <w:rsid w:val="0059662B"/>
    <w:rsid w:val="005A0127"/>
    <w:rsid w:val="005A11C6"/>
    <w:rsid w:val="005A42FE"/>
    <w:rsid w:val="005A71FC"/>
    <w:rsid w:val="005B3DDA"/>
    <w:rsid w:val="005B42AD"/>
    <w:rsid w:val="005C2DEA"/>
    <w:rsid w:val="005C6E4B"/>
    <w:rsid w:val="005C7B0D"/>
    <w:rsid w:val="005C7D85"/>
    <w:rsid w:val="005C7DD7"/>
    <w:rsid w:val="005D2151"/>
    <w:rsid w:val="005D410D"/>
    <w:rsid w:val="005D74DA"/>
    <w:rsid w:val="005E2015"/>
    <w:rsid w:val="005E4874"/>
    <w:rsid w:val="005E4EA9"/>
    <w:rsid w:val="005F020B"/>
    <w:rsid w:val="005F2A30"/>
    <w:rsid w:val="005F6D3F"/>
    <w:rsid w:val="005F7516"/>
    <w:rsid w:val="00602503"/>
    <w:rsid w:val="00602699"/>
    <w:rsid w:val="00607F9F"/>
    <w:rsid w:val="00611961"/>
    <w:rsid w:val="00611A64"/>
    <w:rsid w:val="00613C6C"/>
    <w:rsid w:val="00615B6C"/>
    <w:rsid w:val="00617695"/>
    <w:rsid w:val="00622A70"/>
    <w:rsid w:val="00623E63"/>
    <w:rsid w:val="00624CD9"/>
    <w:rsid w:val="006255DF"/>
    <w:rsid w:val="006275FB"/>
    <w:rsid w:val="00630B73"/>
    <w:rsid w:val="00630FB1"/>
    <w:rsid w:val="00637950"/>
    <w:rsid w:val="00644E1E"/>
    <w:rsid w:val="00647838"/>
    <w:rsid w:val="00650C33"/>
    <w:rsid w:val="00652C70"/>
    <w:rsid w:val="00653870"/>
    <w:rsid w:val="0065485A"/>
    <w:rsid w:val="006560EC"/>
    <w:rsid w:val="00656DEC"/>
    <w:rsid w:val="00657F1F"/>
    <w:rsid w:val="00662571"/>
    <w:rsid w:val="0066538D"/>
    <w:rsid w:val="0066541C"/>
    <w:rsid w:val="00667828"/>
    <w:rsid w:val="00667AFD"/>
    <w:rsid w:val="00667DCD"/>
    <w:rsid w:val="006703AE"/>
    <w:rsid w:val="00670F8A"/>
    <w:rsid w:val="006722C7"/>
    <w:rsid w:val="0067319B"/>
    <w:rsid w:val="00673C8D"/>
    <w:rsid w:val="00674B91"/>
    <w:rsid w:val="006763C3"/>
    <w:rsid w:val="00682775"/>
    <w:rsid w:val="0068293C"/>
    <w:rsid w:val="006831B9"/>
    <w:rsid w:val="00683F57"/>
    <w:rsid w:val="00687D92"/>
    <w:rsid w:val="00690132"/>
    <w:rsid w:val="0069043B"/>
    <w:rsid w:val="00691F71"/>
    <w:rsid w:val="00693B2A"/>
    <w:rsid w:val="00695837"/>
    <w:rsid w:val="00695B66"/>
    <w:rsid w:val="006962FD"/>
    <w:rsid w:val="00696324"/>
    <w:rsid w:val="00696C65"/>
    <w:rsid w:val="00697748"/>
    <w:rsid w:val="00697F6B"/>
    <w:rsid w:val="006A21BC"/>
    <w:rsid w:val="006A6366"/>
    <w:rsid w:val="006B1F10"/>
    <w:rsid w:val="006B2733"/>
    <w:rsid w:val="006B28A7"/>
    <w:rsid w:val="006B5961"/>
    <w:rsid w:val="006B6623"/>
    <w:rsid w:val="006B7FF6"/>
    <w:rsid w:val="006C1C36"/>
    <w:rsid w:val="006C4AA8"/>
    <w:rsid w:val="006C5DA3"/>
    <w:rsid w:val="006C7FAA"/>
    <w:rsid w:val="006D0069"/>
    <w:rsid w:val="006D0DCA"/>
    <w:rsid w:val="006D1962"/>
    <w:rsid w:val="006D1A16"/>
    <w:rsid w:val="006D250B"/>
    <w:rsid w:val="006D32A5"/>
    <w:rsid w:val="006D3601"/>
    <w:rsid w:val="006D3D09"/>
    <w:rsid w:val="006D5021"/>
    <w:rsid w:val="006D523B"/>
    <w:rsid w:val="006D54C3"/>
    <w:rsid w:val="006D620A"/>
    <w:rsid w:val="006D67E4"/>
    <w:rsid w:val="006D7572"/>
    <w:rsid w:val="006D76D8"/>
    <w:rsid w:val="006D7E18"/>
    <w:rsid w:val="006E0B68"/>
    <w:rsid w:val="006E2362"/>
    <w:rsid w:val="006E39F4"/>
    <w:rsid w:val="006E48CA"/>
    <w:rsid w:val="006E77D2"/>
    <w:rsid w:val="006F057C"/>
    <w:rsid w:val="006F74B8"/>
    <w:rsid w:val="006F7D30"/>
    <w:rsid w:val="00705056"/>
    <w:rsid w:val="0070550E"/>
    <w:rsid w:val="007076E4"/>
    <w:rsid w:val="00707BDA"/>
    <w:rsid w:val="00707C9D"/>
    <w:rsid w:val="00711B85"/>
    <w:rsid w:val="007141FA"/>
    <w:rsid w:val="0071620C"/>
    <w:rsid w:val="00720422"/>
    <w:rsid w:val="00721051"/>
    <w:rsid w:val="00721BF0"/>
    <w:rsid w:val="00722305"/>
    <w:rsid w:val="007229B9"/>
    <w:rsid w:val="007235F7"/>
    <w:rsid w:val="007256A2"/>
    <w:rsid w:val="00726892"/>
    <w:rsid w:val="007276FC"/>
    <w:rsid w:val="00734A2E"/>
    <w:rsid w:val="00736AAD"/>
    <w:rsid w:val="00737214"/>
    <w:rsid w:val="00740CA9"/>
    <w:rsid w:val="007417DF"/>
    <w:rsid w:val="007418F1"/>
    <w:rsid w:val="0074409F"/>
    <w:rsid w:val="00747D51"/>
    <w:rsid w:val="00747DE5"/>
    <w:rsid w:val="007514E3"/>
    <w:rsid w:val="00751FFE"/>
    <w:rsid w:val="00752B39"/>
    <w:rsid w:val="00753C55"/>
    <w:rsid w:val="00753D61"/>
    <w:rsid w:val="007546AB"/>
    <w:rsid w:val="00755A73"/>
    <w:rsid w:val="00756E60"/>
    <w:rsid w:val="007575E8"/>
    <w:rsid w:val="0075782C"/>
    <w:rsid w:val="00761880"/>
    <w:rsid w:val="00766142"/>
    <w:rsid w:val="00767796"/>
    <w:rsid w:val="007734A1"/>
    <w:rsid w:val="00775A9F"/>
    <w:rsid w:val="00775CE5"/>
    <w:rsid w:val="00776766"/>
    <w:rsid w:val="00780D30"/>
    <w:rsid w:val="00783D61"/>
    <w:rsid w:val="00784602"/>
    <w:rsid w:val="00791462"/>
    <w:rsid w:val="00795B8A"/>
    <w:rsid w:val="007A0A12"/>
    <w:rsid w:val="007A3370"/>
    <w:rsid w:val="007A4D68"/>
    <w:rsid w:val="007A4E2A"/>
    <w:rsid w:val="007A5142"/>
    <w:rsid w:val="007A6341"/>
    <w:rsid w:val="007A6BCE"/>
    <w:rsid w:val="007B0FB1"/>
    <w:rsid w:val="007B15BA"/>
    <w:rsid w:val="007B2527"/>
    <w:rsid w:val="007B2AD8"/>
    <w:rsid w:val="007B3A3A"/>
    <w:rsid w:val="007B3C9F"/>
    <w:rsid w:val="007B646C"/>
    <w:rsid w:val="007B658D"/>
    <w:rsid w:val="007C0BF2"/>
    <w:rsid w:val="007C1697"/>
    <w:rsid w:val="007C37E7"/>
    <w:rsid w:val="007C3F03"/>
    <w:rsid w:val="007C3FA6"/>
    <w:rsid w:val="007D0E9D"/>
    <w:rsid w:val="007D43CE"/>
    <w:rsid w:val="007D47B1"/>
    <w:rsid w:val="007D5EBF"/>
    <w:rsid w:val="007D64D6"/>
    <w:rsid w:val="007D6A56"/>
    <w:rsid w:val="007D706F"/>
    <w:rsid w:val="007E2D68"/>
    <w:rsid w:val="007E74D4"/>
    <w:rsid w:val="007E7B6E"/>
    <w:rsid w:val="007F0C0F"/>
    <w:rsid w:val="007F19D0"/>
    <w:rsid w:val="007F2802"/>
    <w:rsid w:val="007F4AFB"/>
    <w:rsid w:val="007F5C1F"/>
    <w:rsid w:val="00801873"/>
    <w:rsid w:val="00803E22"/>
    <w:rsid w:val="008131CA"/>
    <w:rsid w:val="00815AA6"/>
    <w:rsid w:val="00816517"/>
    <w:rsid w:val="008165AC"/>
    <w:rsid w:val="0082072C"/>
    <w:rsid w:val="00821881"/>
    <w:rsid w:val="00824219"/>
    <w:rsid w:val="0082488D"/>
    <w:rsid w:val="00827289"/>
    <w:rsid w:val="008307EB"/>
    <w:rsid w:val="00831234"/>
    <w:rsid w:val="00832900"/>
    <w:rsid w:val="0083657B"/>
    <w:rsid w:val="0083718B"/>
    <w:rsid w:val="008375DA"/>
    <w:rsid w:val="00841B05"/>
    <w:rsid w:val="00841FF0"/>
    <w:rsid w:val="00842B78"/>
    <w:rsid w:val="0084302C"/>
    <w:rsid w:val="00843617"/>
    <w:rsid w:val="00843CC0"/>
    <w:rsid w:val="0084554B"/>
    <w:rsid w:val="00847FCD"/>
    <w:rsid w:val="0085010F"/>
    <w:rsid w:val="00852F10"/>
    <w:rsid w:val="00853B8F"/>
    <w:rsid w:val="00855AEA"/>
    <w:rsid w:val="008576B4"/>
    <w:rsid w:val="00857E4E"/>
    <w:rsid w:val="00860E33"/>
    <w:rsid w:val="0086113F"/>
    <w:rsid w:val="00862FF9"/>
    <w:rsid w:val="00865485"/>
    <w:rsid w:val="008707D0"/>
    <w:rsid w:val="00870E0E"/>
    <w:rsid w:val="00870E2D"/>
    <w:rsid w:val="008710CB"/>
    <w:rsid w:val="00873C6C"/>
    <w:rsid w:val="0087549C"/>
    <w:rsid w:val="00875CB4"/>
    <w:rsid w:val="008760A3"/>
    <w:rsid w:val="008806C9"/>
    <w:rsid w:val="00880FE1"/>
    <w:rsid w:val="00881736"/>
    <w:rsid w:val="00882318"/>
    <w:rsid w:val="00885AED"/>
    <w:rsid w:val="00887CC9"/>
    <w:rsid w:val="00887ED5"/>
    <w:rsid w:val="00890C8F"/>
    <w:rsid w:val="00892513"/>
    <w:rsid w:val="008933D9"/>
    <w:rsid w:val="00894708"/>
    <w:rsid w:val="008950BA"/>
    <w:rsid w:val="008961CD"/>
    <w:rsid w:val="008A1605"/>
    <w:rsid w:val="008A23D0"/>
    <w:rsid w:val="008A2598"/>
    <w:rsid w:val="008A2B1D"/>
    <w:rsid w:val="008A32A6"/>
    <w:rsid w:val="008A67D6"/>
    <w:rsid w:val="008A6F52"/>
    <w:rsid w:val="008A717A"/>
    <w:rsid w:val="008B0996"/>
    <w:rsid w:val="008B11DB"/>
    <w:rsid w:val="008B271D"/>
    <w:rsid w:val="008B4DDB"/>
    <w:rsid w:val="008B627C"/>
    <w:rsid w:val="008B75C2"/>
    <w:rsid w:val="008B7ED3"/>
    <w:rsid w:val="008C1209"/>
    <w:rsid w:val="008C1FEC"/>
    <w:rsid w:val="008C3CBB"/>
    <w:rsid w:val="008C41F5"/>
    <w:rsid w:val="008C644F"/>
    <w:rsid w:val="008C7A3F"/>
    <w:rsid w:val="008D3FBF"/>
    <w:rsid w:val="008E19B3"/>
    <w:rsid w:val="008E4F99"/>
    <w:rsid w:val="008E5EB0"/>
    <w:rsid w:val="008E610F"/>
    <w:rsid w:val="008E7A22"/>
    <w:rsid w:val="008F1CDD"/>
    <w:rsid w:val="008F5B58"/>
    <w:rsid w:val="008F7B10"/>
    <w:rsid w:val="009004C3"/>
    <w:rsid w:val="0090188D"/>
    <w:rsid w:val="00903626"/>
    <w:rsid w:val="009051E3"/>
    <w:rsid w:val="00907105"/>
    <w:rsid w:val="009074DE"/>
    <w:rsid w:val="00911420"/>
    <w:rsid w:val="0091405A"/>
    <w:rsid w:val="0091533B"/>
    <w:rsid w:val="00920A1D"/>
    <w:rsid w:val="00921599"/>
    <w:rsid w:val="00921A3B"/>
    <w:rsid w:val="0092297F"/>
    <w:rsid w:val="009259C9"/>
    <w:rsid w:val="0093006B"/>
    <w:rsid w:val="00932774"/>
    <w:rsid w:val="0093322E"/>
    <w:rsid w:val="00941A73"/>
    <w:rsid w:val="009425E5"/>
    <w:rsid w:val="00942B7D"/>
    <w:rsid w:val="00946337"/>
    <w:rsid w:val="00956DE0"/>
    <w:rsid w:val="00957327"/>
    <w:rsid w:val="00961AF8"/>
    <w:rsid w:val="009627F7"/>
    <w:rsid w:val="00965E1D"/>
    <w:rsid w:val="00971A74"/>
    <w:rsid w:val="0097253A"/>
    <w:rsid w:val="00973AB1"/>
    <w:rsid w:val="00973FAC"/>
    <w:rsid w:val="00975E10"/>
    <w:rsid w:val="0097782B"/>
    <w:rsid w:val="00981345"/>
    <w:rsid w:val="009813E5"/>
    <w:rsid w:val="00982492"/>
    <w:rsid w:val="00983FAC"/>
    <w:rsid w:val="009867D9"/>
    <w:rsid w:val="009877FD"/>
    <w:rsid w:val="00987AED"/>
    <w:rsid w:val="00987B1D"/>
    <w:rsid w:val="009932DF"/>
    <w:rsid w:val="009941F6"/>
    <w:rsid w:val="0099482B"/>
    <w:rsid w:val="0099500F"/>
    <w:rsid w:val="009960CA"/>
    <w:rsid w:val="00996C41"/>
    <w:rsid w:val="009A0C5F"/>
    <w:rsid w:val="009A27C4"/>
    <w:rsid w:val="009A2F59"/>
    <w:rsid w:val="009A3410"/>
    <w:rsid w:val="009A636A"/>
    <w:rsid w:val="009A664F"/>
    <w:rsid w:val="009B012B"/>
    <w:rsid w:val="009B1374"/>
    <w:rsid w:val="009B2C36"/>
    <w:rsid w:val="009B37B0"/>
    <w:rsid w:val="009B4203"/>
    <w:rsid w:val="009B5A4E"/>
    <w:rsid w:val="009B6417"/>
    <w:rsid w:val="009C338A"/>
    <w:rsid w:val="009C3493"/>
    <w:rsid w:val="009C3F97"/>
    <w:rsid w:val="009C41F6"/>
    <w:rsid w:val="009C4C77"/>
    <w:rsid w:val="009C4D2E"/>
    <w:rsid w:val="009C57CD"/>
    <w:rsid w:val="009C691B"/>
    <w:rsid w:val="009D0911"/>
    <w:rsid w:val="009D13CD"/>
    <w:rsid w:val="009D1999"/>
    <w:rsid w:val="009D1AC6"/>
    <w:rsid w:val="009D1D28"/>
    <w:rsid w:val="009D213A"/>
    <w:rsid w:val="009D45B0"/>
    <w:rsid w:val="009D5AF6"/>
    <w:rsid w:val="009D5C18"/>
    <w:rsid w:val="009D6C2C"/>
    <w:rsid w:val="009D7D10"/>
    <w:rsid w:val="009D7D52"/>
    <w:rsid w:val="009E0437"/>
    <w:rsid w:val="009E0AC5"/>
    <w:rsid w:val="009E2195"/>
    <w:rsid w:val="009E2697"/>
    <w:rsid w:val="009E335D"/>
    <w:rsid w:val="009E5C92"/>
    <w:rsid w:val="009E6CF2"/>
    <w:rsid w:val="009F01CB"/>
    <w:rsid w:val="009F178C"/>
    <w:rsid w:val="009F3B03"/>
    <w:rsid w:val="009F4B1F"/>
    <w:rsid w:val="009F4B40"/>
    <w:rsid w:val="009F5B73"/>
    <w:rsid w:val="009F7C0C"/>
    <w:rsid w:val="00A00E1E"/>
    <w:rsid w:val="00A02255"/>
    <w:rsid w:val="00A029E2"/>
    <w:rsid w:val="00A12EE0"/>
    <w:rsid w:val="00A13D2B"/>
    <w:rsid w:val="00A15CD1"/>
    <w:rsid w:val="00A16D4F"/>
    <w:rsid w:val="00A203D3"/>
    <w:rsid w:val="00A208E7"/>
    <w:rsid w:val="00A20A96"/>
    <w:rsid w:val="00A21E35"/>
    <w:rsid w:val="00A237D9"/>
    <w:rsid w:val="00A23E7C"/>
    <w:rsid w:val="00A2411A"/>
    <w:rsid w:val="00A27A50"/>
    <w:rsid w:val="00A32A21"/>
    <w:rsid w:val="00A32FDA"/>
    <w:rsid w:val="00A356F0"/>
    <w:rsid w:val="00A35957"/>
    <w:rsid w:val="00A35D1F"/>
    <w:rsid w:val="00A376D8"/>
    <w:rsid w:val="00A425C7"/>
    <w:rsid w:val="00A438A6"/>
    <w:rsid w:val="00A444C2"/>
    <w:rsid w:val="00A4498A"/>
    <w:rsid w:val="00A456CB"/>
    <w:rsid w:val="00A46C26"/>
    <w:rsid w:val="00A46E01"/>
    <w:rsid w:val="00A5065C"/>
    <w:rsid w:val="00A51836"/>
    <w:rsid w:val="00A52CB6"/>
    <w:rsid w:val="00A53611"/>
    <w:rsid w:val="00A54E58"/>
    <w:rsid w:val="00A55727"/>
    <w:rsid w:val="00A60A1D"/>
    <w:rsid w:val="00A60BA4"/>
    <w:rsid w:val="00A62988"/>
    <w:rsid w:val="00A6758C"/>
    <w:rsid w:val="00A700D4"/>
    <w:rsid w:val="00A73641"/>
    <w:rsid w:val="00A7381A"/>
    <w:rsid w:val="00A766E4"/>
    <w:rsid w:val="00A76EF4"/>
    <w:rsid w:val="00A804FA"/>
    <w:rsid w:val="00A80764"/>
    <w:rsid w:val="00A81B0E"/>
    <w:rsid w:val="00A8259D"/>
    <w:rsid w:val="00A836F4"/>
    <w:rsid w:val="00A83C18"/>
    <w:rsid w:val="00A8593C"/>
    <w:rsid w:val="00A85B31"/>
    <w:rsid w:val="00A85FDC"/>
    <w:rsid w:val="00A958A8"/>
    <w:rsid w:val="00A963A2"/>
    <w:rsid w:val="00A97F84"/>
    <w:rsid w:val="00AA343E"/>
    <w:rsid w:val="00AA53BD"/>
    <w:rsid w:val="00AA6150"/>
    <w:rsid w:val="00AB1B47"/>
    <w:rsid w:val="00AB2110"/>
    <w:rsid w:val="00AB2B00"/>
    <w:rsid w:val="00AC08E9"/>
    <w:rsid w:val="00AC29F6"/>
    <w:rsid w:val="00AC3596"/>
    <w:rsid w:val="00AC40F1"/>
    <w:rsid w:val="00AC56D2"/>
    <w:rsid w:val="00AC68F5"/>
    <w:rsid w:val="00AD004C"/>
    <w:rsid w:val="00AD1013"/>
    <w:rsid w:val="00AD12CD"/>
    <w:rsid w:val="00AD3999"/>
    <w:rsid w:val="00AD52C3"/>
    <w:rsid w:val="00AD6F67"/>
    <w:rsid w:val="00AE060B"/>
    <w:rsid w:val="00AE281E"/>
    <w:rsid w:val="00AE2F01"/>
    <w:rsid w:val="00AE3CCA"/>
    <w:rsid w:val="00AE49D7"/>
    <w:rsid w:val="00AE635B"/>
    <w:rsid w:val="00AF1EE4"/>
    <w:rsid w:val="00AF35CE"/>
    <w:rsid w:val="00AF43AB"/>
    <w:rsid w:val="00AF4669"/>
    <w:rsid w:val="00AF7779"/>
    <w:rsid w:val="00AF7840"/>
    <w:rsid w:val="00B017F8"/>
    <w:rsid w:val="00B01C80"/>
    <w:rsid w:val="00B03B1E"/>
    <w:rsid w:val="00B049F8"/>
    <w:rsid w:val="00B072F8"/>
    <w:rsid w:val="00B1334A"/>
    <w:rsid w:val="00B15520"/>
    <w:rsid w:val="00B157D5"/>
    <w:rsid w:val="00B1606B"/>
    <w:rsid w:val="00B16453"/>
    <w:rsid w:val="00B175CB"/>
    <w:rsid w:val="00B2141E"/>
    <w:rsid w:val="00B2212B"/>
    <w:rsid w:val="00B22909"/>
    <w:rsid w:val="00B22E89"/>
    <w:rsid w:val="00B25683"/>
    <w:rsid w:val="00B26B7E"/>
    <w:rsid w:val="00B27C57"/>
    <w:rsid w:val="00B3101D"/>
    <w:rsid w:val="00B32080"/>
    <w:rsid w:val="00B32A2B"/>
    <w:rsid w:val="00B33A4E"/>
    <w:rsid w:val="00B33FD6"/>
    <w:rsid w:val="00B34364"/>
    <w:rsid w:val="00B4006D"/>
    <w:rsid w:val="00B419E4"/>
    <w:rsid w:val="00B41BDF"/>
    <w:rsid w:val="00B437B1"/>
    <w:rsid w:val="00B4550B"/>
    <w:rsid w:val="00B4552E"/>
    <w:rsid w:val="00B459DB"/>
    <w:rsid w:val="00B46472"/>
    <w:rsid w:val="00B50002"/>
    <w:rsid w:val="00B51049"/>
    <w:rsid w:val="00B51FF5"/>
    <w:rsid w:val="00B5260A"/>
    <w:rsid w:val="00B527F0"/>
    <w:rsid w:val="00B53B1C"/>
    <w:rsid w:val="00B549C5"/>
    <w:rsid w:val="00B56D1D"/>
    <w:rsid w:val="00B60282"/>
    <w:rsid w:val="00B61C0D"/>
    <w:rsid w:val="00B61EA4"/>
    <w:rsid w:val="00B63616"/>
    <w:rsid w:val="00B6745E"/>
    <w:rsid w:val="00B72FD9"/>
    <w:rsid w:val="00B74280"/>
    <w:rsid w:val="00B745B9"/>
    <w:rsid w:val="00B75751"/>
    <w:rsid w:val="00B75FFE"/>
    <w:rsid w:val="00B81CDB"/>
    <w:rsid w:val="00B82548"/>
    <w:rsid w:val="00B83822"/>
    <w:rsid w:val="00B83D78"/>
    <w:rsid w:val="00B85E72"/>
    <w:rsid w:val="00B86CA7"/>
    <w:rsid w:val="00B909B9"/>
    <w:rsid w:val="00B93196"/>
    <w:rsid w:val="00B93DFF"/>
    <w:rsid w:val="00B95915"/>
    <w:rsid w:val="00B96F0F"/>
    <w:rsid w:val="00B9721E"/>
    <w:rsid w:val="00B978EF"/>
    <w:rsid w:val="00BA0DD2"/>
    <w:rsid w:val="00BA2298"/>
    <w:rsid w:val="00BA5A31"/>
    <w:rsid w:val="00BB2200"/>
    <w:rsid w:val="00BB3031"/>
    <w:rsid w:val="00BB679A"/>
    <w:rsid w:val="00BB6E61"/>
    <w:rsid w:val="00BC3C35"/>
    <w:rsid w:val="00BC5E8F"/>
    <w:rsid w:val="00BC5F45"/>
    <w:rsid w:val="00BC6138"/>
    <w:rsid w:val="00BC6C16"/>
    <w:rsid w:val="00BC6FE3"/>
    <w:rsid w:val="00BD0597"/>
    <w:rsid w:val="00BD1B84"/>
    <w:rsid w:val="00BD1F4E"/>
    <w:rsid w:val="00BD35BB"/>
    <w:rsid w:val="00BE017B"/>
    <w:rsid w:val="00BE0DE3"/>
    <w:rsid w:val="00BE6D37"/>
    <w:rsid w:val="00BE6DCE"/>
    <w:rsid w:val="00BE704E"/>
    <w:rsid w:val="00BE79BC"/>
    <w:rsid w:val="00BF0F20"/>
    <w:rsid w:val="00BF1A07"/>
    <w:rsid w:val="00BF21BD"/>
    <w:rsid w:val="00BF275B"/>
    <w:rsid w:val="00BF2786"/>
    <w:rsid w:val="00BF6A13"/>
    <w:rsid w:val="00BF70FD"/>
    <w:rsid w:val="00BF7579"/>
    <w:rsid w:val="00BF7D76"/>
    <w:rsid w:val="00C01EE3"/>
    <w:rsid w:val="00C02627"/>
    <w:rsid w:val="00C02A34"/>
    <w:rsid w:val="00C04387"/>
    <w:rsid w:val="00C04EB9"/>
    <w:rsid w:val="00C06E85"/>
    <w:rsid w:val="00C11A4B"/>
    <w:rsid w:val="00C13B88"/>
    <w:rsid w:val="00C2213B"/>
    <w:rsid w:val="00C22E4C"/>
    <w:rsid w:val="00C257CE"/>
    <w:rsid w:val="00C25B0F"/>
    <w:rsid w:val="00C35765"/>
    <w:rsid w:val="00C37445"/>
    <w:rsid w:val="00C41637"/>
    <w:rsid w:val="00C43458"/>
    <w:rsid w:val="00C43D21"/>
    <w:rsid w:val="00C4435F"/>
    <w:rsid w:val="00C4594B"/>
    <w:rsid w:val="00C526EE"/>
    <w:rsid w:val="00C52914"/>
    <w:rsid w:val="00C54C5A"/>
    <w:rsid w:val="00C55944"/>
    <w:rsid w:val="00C56BA0"/>
    <w:rsid w:val="00C57495"/>
    <w:rsid w:val="00C57D00"/>
    <w:rsid w:val="00C60A0E"/>
    <w:rsid w:val="00C61965"/>
    <w:rsid w:val="00C62A36"/>
    <w:rsid w:val="00C644E8"/>
    <w:rsid w:val="00C664AA"/>
    <w:rsid w:val="00C67A16"/>
    <w:rsid w:val="00C67D33"/>
    <w:rsid w:val="00C72BFA"/>
    <w:rsid w:val="00C80121"/>
    <w:rsid w:val="00C8114B"/>
    <w:rsid w:val="00C8283A"/>
    <w:rsid w:val="00C856F7"/>
    <w:rsid w:val="00C86050"/>
    <w:rsid w:val="00C904EB"/>
    <w:rsid w:val="00C91876"/>
    <w:rsid w:val="00C91919"/>
    <w:rsid w:val="00C921FC"/>
    <w:rsid w:val="00C9268B"/>
    <w:rsid w:val="00C93BF6"/>
    <w:rsid w:val="00C941FA"/>
    <w:rsid w:val="00C94B9F"/>
    <w:rsid w:val="00C962CD"/>
    <w:rsid w:val="00CA1BD4"/>
    <w:rsid w:val="00CA2E2E"/>
    <w:rsid w:val="00CA4385"/>
    <w:rsid w:val="00CA6088"/>
    <w:rsid w:val="00CA79C2"/>
    <w:rsid w:val="00CA7CAC"/>
    <w:rsid w:val="00CB58C3"/>
    <w:rsid w:val="00CB58D4"/>
    <w:rsid w:val="00CB5C72"/>
    <w:rsid w:val="00CB639A"/>
    <w:rsid w:val="00CB68F2"/>
    <w:rsid w:val="00CB6961"/>
    <w:rsid w:val="00CC0432"/>
    <w:rsid w:val="00CC07BB"/>
    <w:rsid w:val="00CD16F7"/>
    <w:rsid w:val="00CD37E1"/>
    <w:rsid w:val="00CD5CB0"/>
    <w:rsid w:val="00CD5EFD"/>
    <w:rsid w:val="00CD6849"/>
    <w:rsid w:val="00CD79A5"/>
    <w:rsid w:val="00CE3904"/>
    <w:rsid w:val="00CE4381"/>
    <w:rsid w:val="00CE7ABD"/>
    <w:rsid w:val="00CF0904"/>
    <w:rsid w:val="00CF28CB"/>
    <w:rsid w:val="00CF316A"/>
    <w:rsid w:val="00CF3C12"/>
    <w:rsid w:val="00CF3C7B"/>
    <w:rsid w:val="00CF4781"/>
    <w:rsid w:val="00CF6214"/>
    <w:rsid w:val="00CF6876"/>
    <w:rsid w:val="00CF687A"/>
    <w:rsid w:val="00CF76F4"/>
    <w:rsid w:val="00D03D5F"/>
    <w:rsid w:val="00D0604B"/>
    <w:rsid w:val="00D111D6"/>
    <w:rsid w:val="00D11EB7"/>
    <w:rsid w:val="00D1241B"/>
    <w:rsid w:val="00D14255"/>
    <w:rsid w:val="00D14F4D"/>
    <w:rsid w:val="00D15525"/>
    <w:rsid w:val="00D15CE1"/>
    <w:rsid w:val="00D17C0A"/>
    <w:rsid w:val="00D215C2"/>
    <w:rsid w:val="00D21AB3"/>
    <w:rsid w:val="00D21FB6"/>
    <w:rsid w:val="00D220D3"/>
    <w:rsid w:val="00D24844"/>
    <w:rsid w:val="00D24CA7"/>
    <w:rsid w:val="00D2557B"/>
    <w:rsid w:val="00D31CA1"/>
    <w:rsid w:val="00D365A3"/>
    <w:rsid w:val="00D43613"/>
    <w:rsid w:val="00D438F4"/>
    <w:rsid w:val="00D44309"/>
    <w:rsid w:val="00D4576C"/>
    <w:rsid w:val="00D45C25"/>
    <w:rsid w:val="00D47267"/>
    <w:rsid w:val="00D47457"/>
    <w:rsid w:val="00D47491"/>
    <w:rsid w:val="00D47498"/>
    <w:rsid w:val="00D47E1C"/>
    <w:rsid w:val="00D51BA2"/>
    <w:rsid w:val="00D5319B"/>
    <w:rsid w:val="00D53729"/>
    <w:rsid w:val="00D542B0"/>
    <w:rsid w:val="00D54D60"/>
    <w:rsid w:val="00D60518"/>
    <w:rsid w:val="00D60D43"/>
    <w:rsid w:val="00D60E99"/>
    <w:rsid w:val="00D64468"/>
    <w:rsid w:val="00D65545"/>
    <w:rsid w:val="00D66B16"/>
    <w:rsid w:val="00D7254D"/>
    <w:rsid w:val="00D72A59"/>
    <w:rsid w:val="00D73769"/>
    <w:rsid w:val="00D7782B"/>
    <w:rsid w:val="00D8069E"/>
    <w:rsid w:val="00D81ABA"/>
    <w:rsid w:val="00D839AD"/>
    <w:rsid w:val="00D84F14"/>
    <w:rsid w:val="00D87902"/>
    <w:rsid w:val="00D913AF"/>
    <w:rsid w:val="00D92E4B"/>
    <w:rsid w:val="00D95098"/>
    <w:rsid w:val="00D96152"/>
    <w:rsid w:val="00D9740F"/>
    <w:rsid w:val="00DA391F"/>
    <w:rsid w:val="00DA41AC"/>
    <w:rsid w:val="00DA585D"/>
    <w:rsid w:val="00DB0238"/>
    <w:rsid w:val="00DB0E35"/>
    <w:rsid w:val="00DB12E0"/>
    <w:rsid w:val="00DB3907"/>
    <w:rsid w:val="00DB4E60"/>
    <w:rsid w:val="00DB51B6"/>
    <w:rsid w:val="00DB62C4"/>
    <w:rsid w:val="00DB67F7"/>
    <w:rsid w:val="00DC30FA"/>
    <w:rsid w:val="00DC3B19"/>
    <w:rsid w:val="00DC5FA2"/>
    <w:rsid w:val="00DD1504"/>
    <w:rsid w:val="00DD1938"/>
    <w:rsid w:val="00DD1AC7"/>
    <w:rsid w:val="00DD37E8"/>
    <w:rsid w:val="00DD3F81"/>
    <w:rsid w:val="00DD405D"/>
    <w:rsid w:val="00DD4C4E"/>
    <w:rsid w:val="00DD5D88"/>
    <w:rsid w:val="00DD5DFD"/>
    <w:rsid w:val="00DE031A"/>
    <w:rsid w:val="00DE14EC"/>
    <w:rsid w:val="00DE1B9E"/>
    <w:rsid w:val="00DE219B"/>
    <w:rsid w:val="00DE5AC0"/>
    <w:rsid w:val="00DE6C58"/>
    <w:rsid w:val="00DE7B9A"/>
    <w:rsid w:val="00DF01A2"/>
    <w:rsid w:val="00DF03FA"/>
    <w:rsid w:val="00DF292A"/>
    <w:rsid w:val="00DF5B2A"/>
    <w:rsid w:val="00DF60D3"/>
    <w:rsid w:val="00E019DD"/>
    <w:rsid w:val="00E0205E"/>
    <w:rsid w:val="00E02471"/>
    <w:rsid w:val="00E061ED"/>
    <w:rsid w:val="00E101D3"/>
    <w:rsid w:val="00E10AC7"/>
    <w:rsid w:val="00E114EF"/>
    <w:rsid w:val="00E11E25"/>
    <w:rsid w:val="00E11F7E"/>
    <w:rsid w:val="00E12807"/>
    <w:rsid w:val="00E13706"/>
    <w:rsid w:val="00E15CDE"/>
    <w:rsid w:val="00E21544"/>
    <w:rsid w:val="00E222B4"/>
    <w:rsid w:val="00E24A07"/>
    <w:rsid w:val="00E2720D"/>
    <w:rsid w:val="00E2797B"/>
    <w:rsid w:val="00E27E1A"/>
    <w:rsid w:val="00E339FC"/>
    <w:rsid w:val="00E35EF4"/>
    <w:rsid w:val="00E35F07"/>
    <w:rsid w:val="00E374E9"/>
    <w:rsid w:val="00E41394"/>
    <w:rsid w:val="00E421D8"/>
    <w:rsid w:val="00E42C9D"/>
    <w:rsid w:val="00E43149"/>
    <w:rsid w:val="00E45EBF"/>
    <w:rsid w:val="00E47235"/>
    <w:rsid w:val="00E518C6"/>
    <w:rsid w:val="00E51B33"/>
    <w:rsid w:val="00E525DB"/>
    <w:rsid w:val="00E555D1"/>
    <w:rsid w:val="00E5587E"/>
    <w:rsid w:val="00E5627B"/>
    <w:rsid w:val="00E568A9"/>
    <w:rsid w:val="00E56F0B"/>
    <w:rsid w:val="00E57B5C"/>
    <w:rsid w:val="00E602CE"/>
    <w:rsid w:val="00E62407"/>
    <w:rsid w:val="00E629A3"/>
    <w:rsid w:val="00E642E8"/>
    <w:rsid w:val="00E65A1F"/>
    <w:rsid w:val="00E66774"/>
    <w:rsid w:val="00E706EB"/>
    <w:rsid w:val="00E70A4E"/>
    <w:rsid w:val="00E720B0"/>
    <w:rsid w:val="00E73567"/>
    <w:rsid w:val="00E80C2F"/>
    <w:rsid w:val="00E82163"/>
    <w:rsid w:val="00E837C9"/>
    <w:rsid w:val="00E86FD3"/>
    <w:rsid w:val="00E87C42"/>
    <w:rsid w:val="00E901EF"/>
    <w:rsid w:val="00E9129A"/>
    <w:rsid w:val="00E9161B"/>
    <w:rsid w:val="00E91EE3"/>
    <w:rsid w:val="00E963DC"/>
    <w:rsid w:val="00E9697D"/>
    <w:rsid w:val="00EA3DEE"/>
    <w:rsid w:val="00EA3EF5"/>
    <w:rsid w:val="00EA725C"/>
    <w:rsid w:val="00EB0DC0"/>
    <w:rsid w:val="00EB0E4D"/>
    <w:rsid w:val="00EB4953"/>
    <w:rsid w:val="00EB7147"/>
    <w:rsid w:val="00EC109E"/>
    <w:rsid w:val="00EC4821"/>
    <w:rsid w:val="00EC6386"/>
    <w:rsid w:val="00EC73D5"/>
    <w:rsid w:val="00ED181E"/>
    <w:rsid w:val="00ED2932"/>
    <w:rsid w:val="00ED2A98"/>
    <w:rsid w:val="00ED3AFF"/>
    <w:rsid w:val="00ED41C2"/>
    <w:rsid w:val="00ED4601"/>
    <w:rsid w:val="00ED593F"/>
    <w:rsid w:val="00ED5D08"/>
    <w:rsid w:val="00ED7023"/>
    <w:rsid w:val="00ED73B8"/>
    <w:rsid w:val="00ED799F"/>
    <w:rsid w:val="00ED7A45"/>
    <w:rsid w:val="00EE0B4F"/>
    <w:rsid w:val="00EE1F17"/>
    <w:rsid w:val="00EE2F83"/>
    <w:rsid w:val="00EE322D"/>
    <w:rsid w:val="00EE440C"/>
    <w:rsid w:val="00EF0A70"/>
    <w:rsid w:val="00EF1081"/>
    <w:rsid w:val="00EF1545"/>
    <w:rsid w:val="00EF1895"/>
    <w:rsid w:val="00EF31E1"/>
    <w:rsid w:val="00EF4820"/>
    <w:rsid w:val="00F0009E"/>
    <w:rsid w:val="00F014F0"/>
    <w:rsid w:val="00F019D4"/>
    <w:rsid w:val="00F0240E"/>
    <w:rsid w:val="00F03863"/>
    <w:rsid w:val="00F03ED4"/>
    <w:rsid w:val="00F07947"/>
    <w:rsid w:val="00F10F23"/>
    <w:rsid w:val="00F12391"/>
    <w:rsid w:val="00F13AF1"/>
    <w:rsid w:val="00F143F4"/>
    <w:rsid w:val="00F14AF2"/>
    <w:rsid w:val="00F16456"/>
    <w:rsid w:val="00F20320"/>
    <w:rsid w:val="00F22A05"/>
    <w:rsid w:val="00F233B4"/>
    <w:rsid w:val="00F25452"/>
    <w:rsid w:val="00F30846"/>
    <w:rsid w:val="00F3356A"/>
    <w:rsid w:val="00F34172"/>
    <w:rsid w:val="00F3587D"/>
    <w:rsid w:val="00F35C1F"/>
    <w:rsid w:val="00F363ED"/>
    <w:rsid w:val="00F42302"/>
    <w:rsid w:val="00F43526"/>
    <w:rsid w:val="00F446B6"/>
    <w:rsid w:val="00F45256"/>
    <w:rsid w:val="00F50570"/>
    <w:rsid w:val="00F515AA"/>
    <w:rsid w:val="00F51652"/>
    <w:rsid w:val="00F5735A"/>
    <w:rsid w:val="00F62A18"/>
    <w:rsid w:val="00F632E2"/>
    <w:rsid w:val="00F6333B"/>
    <w:rsid w:val="00F63378"/>
    <w:rsid w:val="00F63C0F"/>
    <w:rsid w:val="00F67BC2"/>
    <w:rsid w:val="00F71F78"/>
    <w:rsid w:val="00F72C89"/>
    <w:rsid w:val="00F74206"/>
    <w:rsid w:val="00F76B56"/>
    <w:rsid w:val="00F810D7"/>
    <w:rsid w:val="00F83968"/>
    <w:rsid w:val="00F84274"/>
    <w:rsid w:val="00F85349"/>
    <w:rsid w:val="00F8540B"/>
    <w:rsid w:val="00F85D6B"/>
    <w:rsid w:val="00F86973"/>
    <w:rsid w:val="00F87936"/>
    <w:rsid w:val="00F87A43"/>
    <w:rsid w:val="00F90320"/>
    <w:rsid w:val="00F90488"/>
    <w:rsid w:val="00F91059"/>
    <w:rsid w:val="00F96C64"/>
    <w:rsid w:val="00F96E55"/>
    <w:rsid w:val="00F97585"/>
    <w:rsid w:val="00FA7936"/>
    <w:rsid w:val="00FB296B"/>
    <w:rsid w:val="00FB7B96"/>
    <w:rsid w:val="00FC16A9"/>
    <w:rsid w:val="00FC2C83"/>
    <w:rsid w:val="00FC2EDD"/>
    <w:rsid w:val="00FC328F"/>
    <w:rsid w:val="00FC55F5"/>
    <w:rsid w:val="00FC690D"/>
    <w:rsid w:val="00FC6D84"/>
    <w:rsid w:val="00FC6ECD"/>
    <w:rsid w:val="00FC72D4"/>
    <w:rsid w:val="00FD0753"/>
    <w:rsid w:val="00FD2195"/>
    <w:rsid w:val="00FD38E0"/>
    <w:rsid w:val="00FD3C25"/>
    <w:rsid w:val="00FD4465"/>
    <w:rsid w:val="00FD5093"/>
    <w:rsid w:val="00FD62E7"/>
    <w:rsid w:val="00FD646B"/>
    <w:rsid w:val="00FD6CF7"/>
    <w:rsid w:val="00FE0E4B"/>
    <w:rsid w:val="00FE5117"/>
    <w:rsid w:val="00FF258D"/>
    <w:rsid w:val="00FF29EB"/>
    <w:rsid w:val="00FF4BFD"/>
    <w:rsid w:val="00FF50A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A1996"/>
  <w15:docId w15:val="{24609C65-4887-44ED-8FFF-C07F8B08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F24"/>
  </w:style>
  <w:style w:type="paragraph" w:styleId="Titre1">
    <w:name w:val="heading 1"/>
    <w:basedOn w:val="Normal"/>
    <w:next w:val="Normal"/>
    <w:link w:val="Titre1Car"/>
    <w:uiPriority w:val="9"/>
    <w:qFormat/>
    <w:rsid w:val="00A456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A45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A456C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3F24"/>
    <w:rPr>
      <w:rFonts w:ascii="Tahoma" w:hAnsi="Tahoma" w:cs="Tahoma"/>
      <w:sz w:val="16"/>
      <w:szCs w:val="16"/>
    </w:rPr>
  </w:style>
  <w:style w:type="character" w:customStyle="1" w:styleId="TextedebullesCar">
    <w:name w:val="Texte de bulles Car"/>
    <w:basedOn w:val="Policepardfaut"/>
    <w:link w:val="Textedebulles"/>
    <w:uiPriority w:val="99"/>
    <w:semiHidden/>
    <w:rsid w:val="00353F24"/>
    <w:rPr>
      <w:rFonts w:ascii="Tahoma" w:hAnsi="Tahoma" w:cs="Tahoma"/>
      <w:sz w:val="16"/>
      <w:szCs w:val="16"/>
    </w:rPr>
  </w:style>
  <w:style w:type="character" w:styleId="Marquedecommentaire">
    <w:name w:val="annotation reference"/>
    <w:basedOn w:val="Policepardfaut"/>
    <w:uiPriority w:val="99"/>
    <w:semiHidden/>
    <w:unhideWhenUsed/>
    <w:rsid w:val="009B012B"/>
    <w:rPr>
      <w:sz w:val="16"/>
      <w:szCs w:val="16"/>
    </w:rPr>
  </w:style>
  <w:style w:type="paragraph" w:styleId="Commentaire">
    <w:name w:val="annotation text"/>
    <w:basedOn w:val="Normal"/>
    <w:link w:val="CommentaireCar"/>
    <w:uiPriority w:val="99"/>
    <w:semiHidden/>
    <w:unhideWhenUsed/>
    <w:rsid w:val="009B012B"/>
    <w:rPr>
      <w:sz w:val="20"/>
      <w:szCs w:val="20"/>
    </w:rPr>
  </w:style>
  <w:style w:type="character" w:customStyle="1" w:styleId="CommentaireCar">
    <w:name w:val="Commentaire Car"/>
    <w:basedOn w:val="Policepardfaut"/>
    <w:link w:val="Commentaire"/>
    <w:uiPriority w:val="99"/>
    <w:semiHidden/>
    <w:rsid w:val="009B012B"/>
    <w:rPr>
      <w:sz w:val="20"/>
      <w:szCs w:val="20"/>
    </w:rPr>
  </w:style>
  <w:style w:type="paragraph" w:styleId="Objetducommentaire">
    <w:name w:val="annotation subject"/>
    <w:basedOn w:val="Commentaire"/>
    <w:next w:val="Commentaire"/>
    <w:link w:val="ObjetducommentaireCar"/>
    <w:uiPriority w:val="99"/>
    <w:semiHidden/>
    <w:unhideWhenUsed/>
    <w:rsid w:val="009B012B"/>
    <w:rPr>
      <w:b/>
      <w:bCs/>
    </w:rPr>
  </w:style>
  <w:style w:type="character" w:customStyle="1" w:styleId="ObjetducommentaireCar">
    <w:name w:val="Objet du commentaire Car"/>
    <w:basedOn w:val="CommentaireCar"/>
    <w:link w:val="Objetducommentaire"/>
    <w:uiPriority w:val="99"/>
    <w:semiHidden/>
    <w:rsid w:val="009B012B"/>
    <w:rPr>
      <w:b/>
      <w:bCs/>
      <w:sz w:val="20"/>
      <w:szCs w:val="20"/>
    </w:rPr>
  </w:style>
  <w:style w:type="character" w:styleId="Lienhypertexte">
    <w:name w:val="Hyperlink"/>
    <w:basedOn w:val="Policepardfaut"/>
    <w:uiPriority w:val="99"/>
    <w:unhideWhenUsed/>
    <w:rsid w:val="009F4B40"/>
    <w:rPr>
      <w:color w:val="0000FF" w:themeColor="hyperlink"/>
      <w:u w:val="single"/>
    </w:rPr>
  </w:style>
  <w:style w:type="paragraph" w:customStyle="1" w:styleId="Paragraphe1">
    <w:name w:val="Paragraphe 1"/>
    <w:basedOn w:val="Paragraphedeliste"/>
    <w:link w:val="Paragraphe1Car"/>
    <w:qFormat/>
    <w:rsid w:val="005543AD"/>
    <w:pPr>
      <w:numPr>
        <w:numId w:val="1"/>
      </w:numPr>
      <w:pBdr>
        <w:bottom w:val="thinThickSmallGap" w:sz="24" w:space="1" w:color="244061" w:themeColor="accent1" w:themeShade="80"/>
      </w:pBdr>
    </w:pPr>
    <w:rPr>
      <w:b/>
      <w:color w:val="244061" w:themeColor="accent1" w:themeShade="80"/>
      <w:sz w:val="28"/>
      <w:szCs w:val="28"/>
      <w:lang w:val="en-US"/>
    </w:rPr>
  </w:style>
  <w:style w:type="character" w:customStyle="1" w:styleId="Paragraphe1Car">
    <w:name w:val="Paragraphe 1 Car"/>
    <w:basedOn w:val="Policepardfaut"/>
    <w:link w:val="Paragraphe1"/>
    <w:rsid w:val="005543AD"/>
    <w:rPr>
      <w:b/>
      <w:color w:val="244061" w:themeColor="accent1" w:themeShade="80"/>
      <w:sz w:val="28"/>
      <w:szCs w:val="28"/>
      <w:lang w:val="en-US"/>
    </w:rPr>
  </w:style>
  <w:style w:type="paragraph" w:styleId="Paragraphedeliste">
    <w:name w:val="List Paragraph"/>
    <w:basedOn w:val="Normal"/>
    <w:link w:val="ParagraphedelisteCar"/>
    <w:uiPriority w:val="34"/>
    <w:qFormat/>
    <w:rsid w:val="005543AD"/>
    <w:pPr>
      <w:ind w:left="720"/>
      <w:contextualSpacing/>
    </w:pPr>
  </w:style>
  <w:style w:type="paragraph" w:customStyle="1" w:styleId="Paragraphe2">
    <w:name w:val="Paragraphe 2"/>
    <w:basedOn w:val="Paragraphedeliste"/>
    <w:link w:val="Paragraphe2Car"/>
    <w:qFormat/>
    <w:rsid w:val="00B46472"/>
    <w:pPr>
      <w:numPr>
        <w:ilvl w:val="1"/>
        <w:numId w:val="2"/>
      </w:numPr>
    </w:pPr>
    <w:rPr>
      <w:b/>
      <w:color w:val="244061" w:themeColor="accent1" w:themeShade="80"/>
      <w:sz w:val="24"/>
      <w:szCs w:val="24"/>
      <w:lang w:val="en-US"/>
    </w:rPr>
  </w:style>
  <w:style w:type="paragraph" w:customStyle="1" w:styleId="Paragraphe3">
    <w:name w:val="Paragraphe 3"/>
    <w:basedOn w:val="Paragraphedeliste"/>
    <w:link w:val="Paragraphe3Car"/>
    <w:qFormat/>
    <w:rsid w:val="00B46472"/>
    <w:pPr>
      <w:numPr>
        <w:ilvl w:val="2"/>
        <w:numId w:val="2"/>
      </w:numPr>
    </w:pPr>
    <w:rPr>
      <w:sz w:val="24"/>
      <w:szCs w:val="24"/>
    </w:rPr>
  </w:style>
  <w:style w:type="character" w:customStyle="1" w:styleId="Paragraphe2Car">
    <w:name w:val="Paragraphe 2 Car"/>
    <w:basedOn w:val="Policepardfaut"/>
    <w:link w:val="Paragraphe2"/>
    <w:rsid w:val="00B46472"/>
    <w:rPr>
      <w:b/>
      <w:color w:val="244061" w:themeColor="accent1" w:themeShade="80"/>
      <w:sz w:val="24"/>
      <w:szCs w:val="24"/>
      <w:lang w:val="en-US"/>
    </w:rPr>
  </w:style>
  <w:style w:type="character" w:customStyle="1" w:styleId="Paragraphe3Car">
    <w:name w:val="Paragraphe 3 Car"/>
    <w:basedOn w:val="Policepardfaut"/>
    <w:link w:val="Paragraphe3"/>
    <w:rsid w:val="00E837C9"/>
    <w:rPr>
      <w:sz w:val="24"/>
      <w:szCs w:val="24"/>
    </w:rPr>
  </w:style>
  <w:style w:type="character" w:customStyle="1" w:styleId="ParagraphedelisteCar">
    <w:name w:val="Paragraphe de liste Car"/>
    <w:basedOn w:val="Policepardfaut"/>
    <w:link w:val="Paragraphedeliste"/>
    <w:uiPriority w:val="34"/>
    <w:rsid w:val="00E837C9"/>
  </w:style>
  <w:style w:type="paragraph" w:customStyle="1" w:styleId="Paragraphe4">
    <w:name w:val="Paragraphe 4"/>
    <w:basedOn w:val="Paragraphedeliste"/>
    <w:link w:val="Paragraphe4Car"/>
    <w:qFormat/>
    <w:rsid w:val="005410E5"/>
    <w:rPr>
      <w:color w:val="C00000"/>
      <w:sz w:val="20"/>
      <w:szCs w:val="20"/>
    </w:rPr>
  </w:style>
  <w:style w:type="character" w:customStyle="1" w:styleId="Paragraphe4Car">
    <w:name w:val="Paragraphe 4 Car"/>
    <w:basedOn w:val="ParagraphedelisteCar"/>
    <w:link w:val="Paragraphe4"/>
    <w:rsid w:val="005410E5"/>
    <w:rPr>
      <w:color w:val="C00000"/>
      <w:sz w:val="20"/>
      <w:szCs w:val="20"/>
    </w:rPr>
  </w:style>
  <w:style w:type="table" w:styleId="Grilledutableau">
    <w:name w:val="Table Grid"/>
    <w:basedOn w:val="TableauNormal"/>
    <w:uiPriority w:val="59"/>
    <w:rsid w:val="003C0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775CE5"/>
    <w:pPr>
      <w:tabs>
        <w:tab w:val="center" w:pos="4536"/>
        <w:tab w:val="right" w:pos="9072"/>
      </w:tabs>
    </w:pPr>
  </w:style>
  <w:style w:type="character" w:customStyle="1" w:styleId="En-tteCar">
    <w:name w:val="En-tête Car"/>
    <w:basedOn w:val="Policepardfaut"/>
    <w:link w:val="En-tte"/>
    <w:uiPriority w:val="99"/>
    <w:semiHidden/>
    <w:rsid w:val="00775CE5"/>
  </w:style>
  <w:style w:type="paragraph" w:styleId="Pieddepage">
    <w:name w:val="footer"/>
    <w:basedOn w:val="Normal"/>
    <w:link w:val="PieddepageCar"/>
    <w:uiPriority w:val="99"/>
    <w:unhideWhenUsed/>
    <w:rsid w:val="00775CE5"/>
    <w:pPr>
      <w:tabs>
        <w:tab w:val="center" w:pos="4536"/>
        <w:tab w:val="right" w:pos="9072"/>
      </w:tabs>
    </w:pPr>
  </w:style>
  <w:style w:type="character" w:customStyle="1" w:styleId="PieddepageCar">
    <w:name w:val="Pied de page Car"/>
    <w:basedOn w:val="Policepardfaut"/>
    <w:link w:val="Pieddepage"/>
    <w:uiPriority w:val="99"/>
    <w:rsid w:val="00775CE5"/>
  </w:style>
  <w:style w:type="paragraph" w:customStyle="1" w:styleId="OPA1">
    <w:name w:val="OPA 1"/>
    <w:basedOn w:val="Paragraphe1"/>
    <w:link w:val="OPA1Car"/>
    <w:qFormat/>
    <w:rsid w:val="00A456CB"/>
    <w:pPr>
      <w:pBdr>
        <w:bottom w:val="thinThickSmallGap" w:sz="24" w:space="1" w:color="8D0917"/>
      </w:pBdr>
    </w:pPr>
    <w:rPr>
      <w:color w:val="8D0917"/>
    </w:rPr>
  </w:style>
  <w:style w:type="paragraph" w:customStyle="1" w:styleId="OPA2">
    <w:name w:val="OPA 2"/>
    <w:basedOn w:val="Paragraphe2"/>
    <w:link w:val="OPA2Car"/>
    <w:qFormat/>
    <w:rsid w:val="00A456CB"/>
    <w:rPr>
      <w:color w:val="8D0917"/>
    </w:rPr>
  </w:style>
  <w:style w:type="character" w:customStyle="1" w:styleId="OPA1Car">
    <w:name w:val="OPA 1 Car"/>
    <w:basedOn w:val="Paragraphe1Car"/>
    <w:link w:val="OPA1"/>
    <w:rsid w:val="00A456CB"/>
    <w:rPr>
      <w:b/>
      <w:color w:val="8D0917"/>
      <w:sz w:val="28"/>
      <w:szCs w:val="28"/>
      <w:lang w:val="en-US"/>
    </w:rPr>
  </w:style>
  <w:style w:type="paragraph" w:customStyle="1" w:styleId="OPA3">
    <w:name w:val="OPA 3"/>
    <w:basedOn w:val="Paragraphe3"/>
    <w:link w:val="OPA3Car"/>
    <w:qFormat/>
    <w:rsid w:val="00A456CB"/>
  </w:style>
  <w:style w:type="character" w:customStyle="1" w:styleId="OPA2Car">
    <w:name w:val="OPA 2 Car"/>
    <w:basedOn w:val="Paragraphe2Car"/>
    <w:link w:val="OPA2"/>
    <w:rsid w:val="00A456CB"/>
    <w:rPr>
      <w:b/>
      <w:color w:val="8D0917"/>
      <w:sz w:val="24"/>
      <w:szCs w:val="24"/>
      <w:lang w:val="en-US"/>
    </w:rPr>
  </w:style>
  <w:style w:type="character" w:customStyle="1" w:styleId="Titre1Car">
    <w:name w:val="Titre 1 Car"/>
    <w:basedOn w:val="Policepardfaut"/>
    <w:link w:val="Titre1"/>
    <w:uiPriority w:val="9"/>
    <w:rsid w:val="00A456CB"/>
    <w:rPr>
      <w:rFonts w:asciiTheme="majorHAnsi" w:eastAsiaTheme="majorEastAsia" w:hAnsiTheme="majorHAnsi" w:cstheme="majorBidi"/>
      <w:b/>
      <w:bCs/>
      <w:color w:val="365F91" w:themeColor="accent1" w:themeShade="BF"/>
      <w:sz w:val="28"/>
      <w:szCs w:val="28"/>
    </w:rPr>
  </w:style>
  <w:style w:type="character" w:customStyle="1" w:styleId="OPA3Car">
    <w:name w:val="OPA 3 Car"/>
    <w:basedOn w:val="Paragraphe3Car"/>
    <w:link w:val="OPA3"/>
    <w:rsid w:val="00A456CB"/>
    <w:rPr>
      <w:sz w:val="24"/>
      <w:szCs w:val="24"/>
    </w:rPr>
  </w:style>
  <w:style w:type="character" w:customStyle="1" w:styleId="Titre2Car">
    <w:name w:val="Titre 2 Car"/>
    <w:basedOn w:val="Policepardfaut"/>
    <w:link w:val="Titre2"/>
    <w:uiPriority w:val="9"/>
    <w:semiHidden/>
    <w:rsid w:val="00A456C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A456CB"/>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A456CB"/>
    <w:pPr>
      <w:tabs>
        <w:tab w:val="left" w:pos="440"/>
        <w:tab w:val="right" w:leader="dot" w:pos="9062"/>
      </w:tabs>
    </w:pPr>
    <w:rPr>
      <w:b/>
      <w:noProof/>
      <w:sz w:val="20"/>
      <w:szCs w:val="20"/>
    </w:rPr>
  </w:style>
  <w:style w:type="paragraph" w:styleId="TM2">
    <w:name w:val="toc 2"/>
    <w:basedOn w:val="Normal"/>
    <w:next w:val="Normal"/>
    <w:autoRedefine/>
    <w:uiPriority w:val="39"/>
    <w:unhideWhenUsed/>
    <w:rsid w:val="00A456CB"/>
    <w:pPr>
      <w:spacing w:after="100"/>
      <w:ind w:left="220"/>
    </w:pPr>
  </w:style>
  <w:style w:type="paragraph" w:styleId="TM3">
    <w:name w:val="toc 3"/>
    <w:basedOn w:val="Normal"/>
    <w:next w:val="Normal"/>
    <w:autoRedefine/>
    <w:uiPriority w:val="39"/>
    <w:unhideWhenUsed/>
    <w:rsid w:val="00A456CB"/>
    <w:pPr>
      <w:spacing w:after="100"/>
      <w:ind w:left="440"/>
    </w:pPr>
  </w:style>
  <w:style w:type="paragraph" w:styleId="Rvision">
    <w:name w:val="Revision"/>
    <w:hidden/>
    <w:uiPriority w:val="99"/>
    <w:semiHidden/>
    <w:rsid w:val="0059662B"/>
    <w:pPr>
      <w:jc w:val="left"/>
    </w:pPr>
  </w:style>
  <w:style w:type="paragraph" w:styleId="Notedebasdepage">
    <w:name w:val="footnote text"/>
    <w:basedOn w:val="Normal"/>
    <w:link w:val="NotedebasdepageCar"/>
    <w:uiPriority w:val="99"/>
    <w:semiHidden/>
    <w:unhideWhenUsed/>
    <w:rsid w:val="004104AB"/>
    <w:rPr>
      <w:sz w:val="20"/>
      <w:szCs w:val="20"/>
    </w:rPr>
  </w:style>
  <w:style w:type="character" w:customStyle="1" w:styleId="NotedebasdepageCar">
    <w:name w:val="Note de bas de page Car"/>
    <w:basedOn w:val="Policepardfaut"/>
    <w:link w:val="Notedebasdepage"/>
    <w:uiPriority w:val="99"/>
    <w:semiHidden/>
    <w:rsid w:val="004104AB"/>
    <w:rPr>
      <w:sz w:val="20"/>
      <w:szCs w:val="20"/>
    </w:rPr>
  </w:style>
  <w:style w:type="character" w:styleId="Appelnotedebasdep">
    <w:name w:val="footnote reference"/>
    <w:basedOn w:val="Policepardfaut"/>
    <w:uiPriority w:val="99"/>
    <w:semiHidden/>
    <w:unhideWhenUsed/>
    <w:rsid w:val="004104AB"/>
    <w:rPr>
      <w:vertAlign w:val="superscript"/>
    </w:rPr>
  </w:style>
  <w:style w:type="paragraph" w:styleId="NormalWeb">
    <w:name w:val="Normal (Web)"/>
    <w:basedOn w:val="Normal"/>
    <w:uiPriority w:val="99"/>
    <w:unhideWhenUsed/>
    <w:rsid w:val="00DB12E0"/>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79C2"/>
    <w:rPr>
      <w:b/>
      <w:bCs/>
    </w:rPr>
  </w:style>
  <w:style w:type="character" w:styleId="Mentionnonrsolue">
    <w:name w:val="Unresolved Mention"/>
    <w:basedOn w:val="Policepardfaut"/>
    <w:uiPriority w:val="99"/>
    <w:semiHidden/>
    <w:unhideWhenUsed/>
    <w:rsid w:val="00EB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5656">
      <w:bodyDiv w:val="1"/>
      <w:marLeft w:val="0"/>
      <w:marRight w:val="0"/>
      <w:marTop w:val="0"/>
      <w:marBottom w:val="0"/>
      <w:divBdr>
        <w:top w:val="none" w:sz="0" w:space="0" w:color="auto"/>
        <w:left w:val="none" w:sz="0" w:space="0" w:color="auto"/>
        <w:bottom w:val="none" w:sz="0" w:space="0" w:color="auto"/>
        <w:right w:val="none" w:sz="0" w:space="0" w:color="auto"/>
      </w:divBdr>
    </w:div>
    <w:div w:id="201601630">
      <w:bodyDiv w:val="1"/>
      <w:marLeft w:val="0"/>
      <w:marRight w:val="0"/>
      <w:marTop w:val="0"/>
      <w:marBottom w:val="0"/>
      <w:divBdr>
        <w:top w:val="none" w:sz="0" w:space="0" w:color="auto"/>
        <w:left w:val="none" w:sz="0" w:space="0" w:color="auto"/>
        <w:bottom w:val="none" w:sz="0" w:space="0" w:color="auto"/>
        <w:right w:val="none" w:sz="0" w:space="0" w:color="auto"/>
      </w:divBdr>
    </w:div>
    <w:div w:id="255525328">
      <w:bodyDiv w:val="1"/>
      <w:marLeft w:val="0"/>
      <w:marRight w:val="0"/>
      <w:marTop w:val="0"/>
      <w:marBottom w:val="0"/>
      <w:divBdr>
        <w:top w:val="none" w:sz="0" w:space="0" w:color="auto"/>
        <w:left w:val="none" w:sz="0" w:space="0" w:color="auto"/>
        <w:bottom w:val="none" w:sz="0" w:space="0" w:color="auto"/>
        <w:right w:val="none" w:sz="0" w:space="0" w:color="auto"/>
      </w:divBdr>
    </w:div>
    <w:div w:id="639844513">
      <w:bodyDiv w:val="1"/>
      <w:marLeft w:val="0"/>
      <w:marRight w:val="0"/>
      <w:marTop w:val="0"/>
      <w:marBottom w:val="0"/>
      <w:divBdr>
        <w:top w:val="none" w:sz="0" w:space="0" w:color="auto"/>
        <w:left w:val="none" w:sz="0" w:space="0" w:color="auto"/>
        <w:bottom w:val="none" w:sz="0" w:space="0" w:color="auto"/>
        <w:right w:val="none" w:sz="0" w:space="0" w:color="auto"/>
      </w:divBdr>
      <w:divsChild>
        <w:div w:id="756023434">
          <w:marLeft w:val="0"/>
          <w:marRight w:val="0"/>
          <w:marTop w:val="0"/>
          <w:marBottom w:val="0"/>
          <w:divBdr>
            <w:top w:val="none" w:sz="0" w:space="0" w:color="auto"/>
            <w:left w:val="none" w:sz="0" w:space="0" w:color="auto"/>
            <w:bottom w:val="none" w:sz="0" w:space="0" w:color="auto"/>
            <w:right w:val="none" w:sz="0" w:space="0" w:color="auto"/>
          </w:divBdr>
        </w:div>
        <w:div w:id="1067923457">
          <w:marLeft w:val="0"/>
          <w:marRight w:val="0"/>
          <w:marTop w:val="0"/>
          <w:marBottom w:val="0"/>
          <w:divBdr>
            <w:top w:val="none" w:sz="0" w:space="0" w:color="auto"/>
            <w:left w:val="none" w:sz="0" w:space="0" w:color="auto"/>
            <w:bottom w:val="none" w:sz="0" w:space="0" w:color="auto"/>
            <w:right w:val="none" w:sz="0" w:space="0" w:color="auto"/>
          </w:divBdr>
        </w:div>
        <w:div w:id="576982922">
          <w:marLeft w:val="0"/>
          <w:marRight w:val="0"/>
          <w:marTop w:val="0"/>
          <w:marBottom w:val="0"/>
          <w:divBdr>
            <w:top w:val="none" w:sz="0" w:space="0" w:color="auto"/>
            <w:left w:val="none" w:sz="0" w:space="0" w:color="auto"/>
            <w:bottom w:val="none" w:sz="0" w:space="0" w:color="auto"/>
            <w:right w:val="none" w:sz="0" w:space="0" w:color="auto"/>
          </w:divBdr>
        </w:div>
        <w:div w:id="1037781621">
          <w:marLeft w:val="0"/>
          <w:marRight w:val="0"/>
          <w:marTop w:val="0"/>
          <w:marBottom w:val="0"/>
          <w:divBdr>
            <w:top w:val="none" w:sz="0" w:space="0" w:color="auto"/>
            <w:left w:val="none" w:sz="0" w:space="0" w:color="auto"/>
            <w:bottom w:val="none" w:sz="0" w:space="0" w:color="auto"/>
            <w:right w:val="none" w:sz="0" w:space="0" w:color="auto"/>
          </w:divBdr>
        </w:div>
        <w:div w:id="271547338">
          <w:marLeft w:val="0"/>
          <w:marRight w:val="0"/>
          <w:marTop w:val="0"/>
          <w:marBottom w:val="0"/>
          <w:divBdr>
            <w:top w:val="none" w:sz="0" w:space="0" w:color="auto"/>
            <w:left w:val="none" w:sz="0" w:space="0" w:color="auto"/>
            <w:bottom w:val="none" w:sz="0" w:space="0" w:color="auto"/>
            <w:right w:val="none" w:sz="0" w:space="0" w:color="auto"/>
          </w:divBdr>
          <w:divsChild>
            <w:div w:id="340400827">
              <w:marLeft w:val="0"/>
              <w:marRight w:val="0"/>
              <w:marTop w:val="0"/>
              <w:marBottom w:val="0"/>
              <w:divBdr>
                <w:top w:val="none" w:sz="0" w:space="0" w:color="auto"/>
                <w:left w:val="none" w:sz="0" w:space="0" w:color="auto"/>
                <w:bottom w:val="none" w:sz="0" w:space="0" w:color="auto"/>
                <w:right w:val="none" w:sz="0" w:space="0" w:color="auto"/>
              </w:divBdr>
            </w:div>
            <w:div w:id="400904563">
              <w:marLeft w:val="0"/>
              <w:marRight w:val="0"/>
              <w:marTop w:val="0"/>
              <w:marBottom w:val="0"/>
              <w:divBdr>
                <w:top w:val="none" w:sz="0" w:space="0" w:color="auto"/>
                <w:left w:val="none" w:sz="0" w:space="0" w:color="auto"/>
                <w:bottom w:val="none" w:sz="0" w:space="0" w:color="auto"/>
                <w:right w:val="none" w:sz="0" w:space="0" w:color="auto"/>
              </w:divBdr>
            </w:div>
            <w:div w:id="1107388482">
              <w:marLeft w:val="0"/>
              <w:marRight w:val="0"/>
              <w:marTop w:val="0"/>
              <w:marBottom w:val="0"/>
              <w:divBdr>
                <w:top w:val="none" w:sz="0" w:space="0" w:color="auto"/>
                <w:left w:val="none" w:sz="0" w:space="0" w:color="auto"/>
                <w:bottom w:val="none" w:sz="0" w:space="0" w:color="auto"/>
                <w:right w:val="none" w:sz="0" w:space="0" w:color="auto"/>
              </w:divBdr>
            </w:div>
            <w:div w:id="1680768746">
              <w:marLeft w:val="0"/>
              <w:marRight w:val="0"/>
              <w:marTop w:val="0"/>
              <w:marBottom w:val="0"/>
              <w:divBdr>
                <w:top w:val="none" w:sz="0" w:space="0" w:color="auto"/>
                <w:left w:val="none" w:sz="0" w:space="0" w:color="auto"/>
                <w:bottom w:val="none" w:sz="0" w:space="0" w:color="auto"/>
                <w:right w:val="none" w:sz="0" w:space="0" w:color="auto"/>
              </w:divBdr>
            </w:div>
            <w:div w:id="51393969">
              <w:marLeft w:val="0"/>
              <w:marRight w:val="0"/>
              <w:marTop w:val="0"/>
              <w:marBottom w:val="0"/>
              <w:divBdr>
                <w:top w:val="none" w:sz="0" w:space="0" w:color="auto"/>
                <w:left w:val="none" w:sz="0" w:space="0" w:color="auto"/>
                <w:bottom w:val="none" w:sz="0" w:space="0" w:color="auto"/>
                <w:right w:val="none" w:sz="0" w:space="0" w:color="auto"/>
              </w:divBdr>
            </w:div>
            <w:div w:id="1417629421">
              <w:marLeft w:val="0"/>
              <w:marRight w:val="0"/>
              <w:marTop w:val="0"/>
              <w:marBottom w:val="0"/>
              <w:divBdr>
                <w:top w:val="none" w:sz="0" w:space="0" w:color="auto"/>
                <w:left w:val="none" w:sz="0" w:space="0" w:color="auto"/>
                <w:bottom w:val="none" w:sz="0" w:space="0" w:color="auto"/>
                <w:right w:val="none" w:sz="0" w:space="0" w:color="auto"/>
              </w:divBdr>
            </w:div>
            <w:div w:id="2058820158">
              <w:marLeft w:val="0"/>
              <w:marRight w:val="0"/>
              <w:marTop w:val="0"/>
              <w:marBottom w:val="0"/>
              <w:divBdr>
                <w:top w:val="none" w:sz="0" w:space="0" w:color="auto"/>
                <w:left w:val="none" w:sz="0" w:space="0" w:color="auto"/>
                <w:bottom w:val="none" w:sz="0" w:space="0" w:color="auto"/>
                <w:right w:val="none" w:sz="0" w:space="0" w:color="auto"/>
              </w:divBdr>
            </w:div>
            <w:div w:id="1570995329">
              <w:marLeft w:val="0"/>
              <w:marRight w:val="0"/>
              <w:marTop w:val="0"/>
              <w:marBottom w:val="0"/>
              <w:divBdr>
                <w:top w:val="none" w:sz="0" w:space="0" w:color="auto"/>
                <w:left w:val="none" w:sz="0" w:space="0" w:color="auto"/>
                <w:bottom w:val="none" w:sz="0" w:space="0" w:color="auto"/>
                <w:right w:val="none" w:sz="0" w:space="0" w:color="auto"/>
              </w:divBdr>
            </w:div>
            <w:div w:id="203492890">
              <w:marLeft w:val="0"/>
              <w:marRight w:val="0"/>
              <w:marTop w:val="0"/>
              <w:marBottom w:val="0"/>
              <w:divBdr>
                <w:top w:val="none" w:sz="0" w:space="0" w:color="auto"/>
                <w:left w:val="none" w:sz="0" w:space="0" w:color="auto"/>
                <w:bottom w:val="none" w:sz="0" w:space="0" w:color="auto"/>
                <w:right w:val="none" w:sz="0" w:space="0" w:color="auto"/>
              </w:divBdr>
            </w:div>
            <w:div w:id="112989472">
              <w:marLeft w:val="0"/>
              <w:marRight w:val="0"/>
              <w:marTop w:val="0"/>
              <w:marBottom w:val="0"/>
              <w:divBdr>
                <w:top w:val="none" w:sz="0" w:space="0" w:color="auto"/>
                <w:left w:val="none" w:sz="0" w:space="0" w:color="auto"/>
                <w:bottom w:val="none" w:sz="0" w:space="0" w:color="auto"/>
                <w:right w:val="none" w:sz="0" w:space="0" w:color="auto"/>
              </w:divBdr>
            </w:div>
            <w:div w:id="96172735">
              <w:marLeft w:val="0"/>
              <w:marRight w:val="0"/>
              <w:marTop w:val="0"/>
              <w:marBottom w:val="0"/>
              <w:divBdr>
                <w:top w:val="none" w:sz="0" w:space="0" w:color="auto"/>
                <w:left w:val="none" w:sz="0" w:space="0" w:color="auto"/>
                <w:bottom w:val="none" w:sz="0" w:space="0" w:color="auto"/>
                <w:right w:val="none" w:sz="0" w:space="0" w:color="auto"/>
              </w:divBdr>
            </w:div>
            <w:div w:id="780955450">
              <w:marLeft w:val="0"/>
              <w:marRight w:val="0"/>
              <w:marTop w:val="0"/>
              <w:marBottom w:val="0"/>
              <w:divBdr>
                <w:top w:val="none" w:sz="0" w:space="0" w:color="auto"/>
                <w:left w:val="none" w:sz="0" w:space="0" w:color="auto"/>
                <w:bottom w:val="none" w:sz="0" w:space="0" w:color="auto"/>
                <w:right w:val="none" w:sz="0" w:space="0" w:color="auto"/>
              </w:divBdr>
            </w:div>
            <w:div w:id="848910716">
              <w:marLeft w:val="0"/>
              <w:marRight w:val="0"/>
              <w:marTop w:val="0"/>
              <w:marBottom w:val="0"/>
              <w:divBdr>
                <w:top w:val="none" w:sz="0" w:space="0" w:color="auto"/>
                <w:left w:val="none" w:sz="0" w:space="0" w:color="auto"/>
                <w:bottom w:val="none" w:sz="0" w:space="0" w:color="auto"/>
                <w:right w:val="none" w:sz="0" w:space="0" w:color="auto"/>
              </w:divBdr>
            </w:div>
            <w:div w:id="521675920">
              <w:marLeft w:val="0"/>
              <w:marRight w:val="0"/>
              <w:marTop w:val="0"/>
              <w:marBottom w:val="0"/>
              <w:divBdr>
                <w:top w:val="none" w:sz="0" w:space="0" w:color="auto"/>
                <w:left w:val="none" w:sz="0" w:space="0" w:color="auto"/>
                <w:bottom w:val="none" w:sz="0" w:space="0" w:color="auto"/>
                <w:right w:val="none" w:sz="0" w:space="0" w:color="auto"/>
              </w:divBdr>
            </w:div>
            <w:div w:id="1245215918">
              <w:marLeft w:val="0"/>
              <w:marRight w:val="0"/>
              <w:marTop w:val="0"/>
              <w:marBottom w:val="0"/>
              <w:divBdr>
                <w:top w:val="none" w:sz="0" w:space="0" w:color="auto"/>
                <w:left w:val="none" w:sz="0" w:space="0" w:color="auto"/>
                <w:bottom w:val="none" w:sz="0" w:space="0" w:color="auto"/>
                <w:right w:val="none" w:sz="0" w:space="0" w:color="auto"/>
              </w:divBdr>
            </w:div>
            <w:div w:id="1066537173">
              <w:marLeft w:val="0"/>
              <w:marRight w:val="0"/>
              <w:marTop w:val="0"/>
              <w:marBottom w:val="0"/>
              <w:divBdr>
                <w:top w:val="none" w:sz="0" w:space="0" w:color="auto"/>
                <w:left w:val="none" w:sz="0" w:space="0" w:color="auto"/>
                <w:bottom w:val="none" w:sz="0" w:space="0" w:color="auto"/>
                <w:right w:val="none" w:sz="0" w:space="0" w:color="auto"/>
              </w:divBdr>
            </w:div>
            <w:div w:id="1046417958">
              <w:marLeft w:val="0"/>
              <w:marRight w:val="0"/>
              <w:marTop w:val="0"/>
              <w:marBottom w:val="0"/>
              <w:divBdr>
                <w:top w:val="none" w:sz="0" w:space="0" w:color="auto"/>
                <w:left w:val="none" w:sz="0" w:space="0" w:color="auto"/>
                <w:bottom w:val="none" w:sz="0" w:space="0" w:color="auto"/>
                <w:right w:val="none" w:sz="0" w:space="0" w:color="auto"/>
              </w:divBdr>
            </w:div>
            <w:div w:id="1313752027">
              <w:marLeft w:val="0"/>
              <w:marRight w:val="0"/>
              <w:marTop w:val="0"/>
              <w:marBottom w:val="0"/>
              <w:divBdr>
                <w:top w:val="none" w:sz="0" w:space="0" w:color="auto"/>
                <w:left w:val="none" w:sz="0" w:space="0" w:color="auto"/>
                <w:bottom w:val="none" w:sz="0" w:space="0" w:color="auto"/>
                <w:right w:val="none" w:sz="0" w:space="0" w:color="auto"/>
              </w:divBdr>
            </w:div>
            <w:div w:id="1224874578">
              <w:marLeft w:val="0"/>
              <w:marRight w:val="0"/>
              <w:marTop w:val="0"/>
              <w:marBottom w:val="0"/>
              <w:divBdr>
                <w:top w:val="none" w:sz="0" w:space="0" w:color="auto"/>
                <w:left w:val="none" w:sz="0" w:space="0" w:color="auto"/>
                <w:bottom w:val="none" w:sz="0" w:space="0" w:color="auto"/>
                <w:right w:val="none" w:sz="0" w:space="0" w:color="auto"/>
              </w:divBdr>
            </w:div>
            <w:div w:id="1368948235">
              <w:marLeft w:val="0"/>
              <w:marRight w:val="0"/>
              <w:marTop w:val="0"/>
              <w:marBottom w:val="0"/>
              <w:divBdr>
                <w:top w:val="none" w:sz="0" w:space="0" w:color="auto"/>
                <w:left w:val="none" w:sz="0" w:space="0" w:color="auto"/>
                <w:bottom w:val="none" w:sz="0" w:space="0" w:color="auto"/>
                <w:right w:val="none" w:sz="0" w:space="0" w:color="auto"/>
              </w:divBdr>
            </w:div>
            <w:div w:id="694305494">
              <w:marLeft w:val="0"/>
              <w:marRight w:val="0"/>
              <w:marTop w:val="0"/>
              <w:marBottom w:val="0"/>
              <w:divBdr>
                <w:top w:val="none" w:sz="0" w:space="0" w:color="auto"/>
                <w:left w:val="none" w:sz="0" w:space="0" w:color="auto"/>
                <w:bottom w:val="none" w:sz="0" w:space="0" w:color="auto"/>
                <w:right w:val="none" w:sz="0" w:space="0" w:color="auto"/>
              </w:divBdr>
            </w:div>
            <w:div w:id="893153502">
              <w:marLeft w:val="0"/>
              <w:marRight w:val="0"/>
              <w:marTop w:val="0"/>
              <w:marBottom w:val="0"/>
              <w:divBdr>
                <w:top w:val="none" w:sz="0" w:space="0" w:color="auto"/>
                <w:left w:val="none" w:sz="0" w:space="0" w:color="auto"/>
                <w:bottom w:val="none" w:sz="0" w:space="0" w:color="auto"/>
                <w:right w:val="none" w:sz="0" w:space="0" w:color="auto"/>
              </w:divBdr>
            </w:div>
            <w:div w:id="390467468">
              <w:marLeft w:val="0"/>
              <w:marRight w:val="0"/>
              <w:marTop w:val="0"/>
              <w:marBottom w:val="0"/>
              <w:divBdr>
                <w:top w:val="none" w:sz="0" w:space="0" w:color="auto"/>
                <w:left w:val="none" w:sz="0" w:space="0" w:color="auto"/>
                <w:bottom w:val="none" w:sz="0" w:space="0" w:color="auto"/>
                <w:right w:val="none" w:sz="0" w:space="0" w:color="auto"/>
              </w:divBdr>
            </w:div>
            <w:div w:id="162478177">
              <w:marLeft w:val="0"/>
              <w:marRight w:val="0"/>
              <w:marTop w:val="0"/>
              <w:marBottom w:val="0"/>
              <w:divBdr>
                <w:top w:val="none" w:sz="0" w:space="0" w:color="auto"/>
                <w:left w:val="none" w:sz="0" w:space="0" w:color="auto"/>
                <w:bottom w:val="none" w:sz="0" w:space="0" w:color="auto"/>
                <w:right w:val="none" w:sz="0" w:space="0" w:color="auto"/>
              </w:divBdr>
            </w:div>
            <w:div w:id="1832334926">
              <w:marLeft w:val="0"/>
              <w:marRight w:val="0"/>
              <w:marTop w:val="0"/>
              <w:marBottom w:val="0"/>
              <w:divBdr>
                <w:top w:val="none" w:sz="0" w:space="0" w:color="auto"/>
                <w:left w:val="none" w:sz="0" w:space="0" w:color="auto"/>
                <w:bottom w:val="none" w:sz="0" w:space="0" w:color="auto"/>
                <w:right w:val="none" w:sz="0" w:space="0" w:color="auto"/>
              </w:divBdr>
            </w:div>
            <w:div w:id="1788699113">
              <w:marLeft w:val="0"/>
              <w:marRight w:val="0"/>
              <w:marTop w:val="0"/>
              <w:marBottom w:val="0"/>
              <w:divBdr>
                <w:top w:val="none" w:sz="0" w:space="0" w:color="auto"/>
                <w:left w:val="none" w:sz="0" w:space="0" w:color="auto"/>
                <w:bottom w:val="none" w:sz="0" w:space="0" w:color="auto"/>
                <w:right w:val="none" w:sz="0" w:space="0" w:color="auto"/>
              </w:divBdr>
            </w:div>
            <w:div w:id="1356267733">
              <w:marLeft w:val="0"/>
              <w:marRight w:val="0"/>
              <w:marTop w:val="0"/>
              <w:marBottom w:val="0"/>
              <w:divBdr>
                <w:top w:val="none" w:sz="0" w:space="0" w:color="auto"/>
                <w:left w:val="none" w:sz="0" w:space="0" w:color="auto"/>
                <w:bottom w:val="none" w:sz="0" w:space="0" w:color="auto"/>
                <w:right w:val="none" w:sz="0" w:space="0" w:color="auto"/>
              </w:divBdr>
            </w:div>
            <w:div w:id="2061397990">
              <w:marLeft w:val="0"/>
              <w:marRight w:val="0"/>
              <w:marTop w:val="0"/>
              <w:marBottom w:val="0"/>
              <w:divBdr>
                <w:top w:val="none" w:sz="0" w:space="0" w:color="auto"/>
                <w:left w:val="none" w:sz="0" w:space="0" w:color="auto"/>
                <w:bottom w:val="none" w:sz="0" w:space="0" w:color="auto"/>
                <w:right w:val="none" w:sz="0" w:space="0" w:color="auto"/>
              </w:divBdr>
            </w:div>
            <w:div w:id="46615468">
              <w:marLeft w:val="0"/>
              <w:marRight w:val="0"/>
              <w:marTop w:val="0"/>
              <w:marBottom w:val="0"/>
              <w:divBdr>
                <w:top w:val="none" w:sz="0" w:space="0" w:color="auto"/>
                <w:left w:val="none" w:sz="0" w:space="0" w:color="auto"/>
                <w:bottom w:val="none" w:sz="0" w:space="0" w:color="auto"/>
                <w:right w:val="none" w:sz="0" w:space="0" w:color="auto"/>
              </w:divBdr>
            </w:div>
            <w:div w:id="382213385">
              <w:marLeft w:val="0"/>
              <w:marRight w:val="0"/>
              <w:marTop w:val="0"/>
              <w:marBottom w:val="0"/>
              <w:divBdr>
                <w:top w:val="none" w:sz="0" w:space="0" w:color="auto"/>
                <w:left w:val="none" w:sz="0" w:space="0" w:color="auto"/>
                <w:bottom w:val="none" w:sz="0" w:space="0" w:color="auto"/>
                <w:right w:val="none" w:sz="0" w:space="0" w:color="auto"/>
              </w:divBdr>
            </w:div>
            <w:div w:id="1863320458">
              <w:marLeft w:val="0"/>
              <w:marRight w:val="0"/>
              <w:marTop w:val="0"/>
              <w:marBottom w:val="0"/>
              <w:divBdr>
                <w:top w:val="none" w:sz="0" w:space="0" w:color="auto"/>
                <w:left w:val="none" w:sz="0" w:space="0" w:color="auto"/>
                <w:bottom w:val="none" w:sz="0" w:space="0" w:color="auto"/>
                <w:right w:val="none" w:sz="0" w:space="0" w:color="auto"/>
              </w:divBdr>
            </w:div>
            <w:div w:id="1517618298">
              <w:marLeft w:val="0"/>
              <w:marRight w:val="0"/>
              <w:marTop w:val="0"/>
              <w:marBottom w:val="0"/>
              <w:divBdr>
                <w:top w:val="none" w:sz="0" w:space="0" w:color="auto"/>
                <w:left w:val="none" w:sz="0" w:space="0" w:color="auto"/>
                <w:bottom w:val="none" w:sz="0" w:space="0" w:color="auto"/>
                <w:right w:val="none" w:sz="0" w:space="0" w:color="auto"/>
              </w:divBdr>
            </w:div>
            <w:div w:id="1344163020">
              <w:marLeft w:val="0"/>
              <w:marRight w:val="0"/>
              <w:marTop w:val="0"/>
              <w:marBottom w:val="0"/>
              <w:divBdr>
                <w:top w:val="none" w:sz="0" w:space="0" w:color="auto"/>
                <w:left w:val="none" w:sz="0" w:space="0" w:color="auto"/>
                <w:bottom w:val="none" w:sz="0" w:space="0" w:color="auto"/>
                <w:right w:val="none" w:sz="0" w:space="0" w:color="auto"/>
              </w:divBdr>
            </w:div>
            <w:div w:id="1206991559">
              <w:marLeft w:val="0"/>
              <w:marRight w:val="0"/>
              <w:marTop w:val="0"/>
              <w:marBottom w:val="0"/>
              <w:divBdr>
                <w:top w:val="none" w:sz="0" w:space="0" w:color="auto"/>
                <w:left w:val="none" w:sz="0" w:space="0" w:color="auto"/>
                <w:bottom w:val="none" w:sz="0" w:space="0" w:color="auto"/>
                <w:right w:val="none" w:sz="0" w:space="0" w:color="auto"/>
              </w:divBdr>
            </w:div>
            <w:div w:id="79721446">
              <w:marLeft w:val="0"/>
              <w:marRight w:val="0"/>
              <w:marTop w:val="0"/>
              <w:marBottom w:val="0"/>
              <w:divBdr>
                <w:top w:val="none" w:sz="0" w:space="0" w:color="auto"/>
                <w:left w:val="none" w:sz="0" w:space="0" w:color="auto"/>
                <w:bottom w:val="none" w:sz="0" w:space="0" w:color="auto"/>
                <w:right w:val="none" w:sz="0" w:space="0" w:color="auto"/>
              </w:divBdr>
            </w:div>
            <w:div w:id="1944878917">
              <w:marLeft w:val="0"/>
              <w:marRight w:val="0"/>
              <w:marTop w:val="0"/>
              <w:marBottom w:val="0"/>
              <w:divBdr>
                <w:top w:val="none" w:sz="0" w:space="0" w:color="auto"/>
                <w:left w:val="none" w:sz="0" w:space="0" w:color="auto"/>
                <w:bottom w:val="none" w:sz="0" w:space="0" w:color="auto"/>
                <w:right w:val="none" w:sz="0" w:space="0" w:color="auto"/>
              </w:divBdr>
            </w:div>
            <w:div w:id="821775863">
              <w:marLeft w:val="0"/>
              <w:marRight w:val="0"/>
              <w:marTop w:val="0"/>
              <w:marBottom w:val="0"/>
              <w:divBdr>
                <w:top w:val="none" w:sz="0" w:space="0" w:color="auto"/>
                <w:left w:val="none" w:sz="0" w:space="0" w:color="auto"/>
                <w:bottom w:val="none" w:sz="0" w:space="0" w:color="auto"/>
                <w:right w:val="none" w:sz="0" w:space="0" w:color="auto"/>
              </w:divBdr>
            </w:div>
            <w:div w:id="650601369">
              <w:marLeft w:val="0"/>
              <w:marRight w:val="0"/>
              <w:marTop w:val="0"/>
              <w:marBottom w:val="0"/>
              <w:divBdr>
                <w:top w:val="none" w:sz="0" w:space="0" w:color="auto"/>
                <w:left w:val="none" w:sz="0" w:space="0" w:color="auto"/>
                <w:bottom w:val="none" w:sz="0" w:space="0" w:color="auto"/>
                <w:right w:val="none" w:sz="0" w:space="0" w:color="auto"/>
              </w:divBdr>
            </w:div>
            <w:div w:id="2032341706">
              <w:marLeft w:val="0"/>
              <w:marRight w:val="0"/>
              <w:marTop w:val="0"/>
              <w:marBottom w:val="0"/>
              <w:divBdr>
                <w:top w:val="none" w:sz="0" w:space="0" w:color="auto"/>
                <w:left w:val="none" w:sz="0" w:space="0" w:color="auto"/>
                <w:bottom w:val="none" w:sz="0" w:space="0" w:color="auto"/>
                <w:right w:val="none" w:sz="0" w:space="0" w:color="auto"/>
              </w:divBdr>
            </w:div>
            <w:div w:id="1629629395">
              <w:marLeft w:val="0"/>
              <w:marRight w:val="0"/>
              <w:marTop w:val="0"/>
              <w:marBottom w:val="0"/>
              <w:divBdr>
                <w:top w:val="none" w:sz="0" w:space="0" w:color="auto"/>
                <w:left w:val="none" w:sz="0" w:space="0" w:color="auto"/>
                <w:bottom w:val="none" w:sz="0" w:space="0" w:color="auto"/>
                <w:right w:val="none" w:sz="0" w:space="0" w:color="auto"/>
              </w:divBdr>
            </w:div>
            <w:div w:id="1510213287">
              <w:marLeft w:val="0"/>
              <w:marRight w:val="0"/>
              <w:marTop w:val="0"/>
              <w:marBottom w:val="0"/>
              <w:divBdr>
                <w:top w:val="none" w:sz="0" w:space="0" w:color="auto"/>
                <w:left w:val="none" w:sz="0" w:space="0" w:color="auto"/>
                <w:bottom w:val="none" w:sz="0" w:space="0" w:color="auto"/>
                <w:right w:val="none" w:sz="0" w:space="0" w:color="auto"/>
              </w:divBdr>
            </w:div>
            <w:div w:id="1004095010">
              <w:marLeft w:val="0"/>
              <w:marRight w:val="0"/>
              <w:marTop w:val="0"/>
              <w:marBottom w:val="0"/>
              <w:divBdr>
                <w:top w:val="none" w:sz="0" w:space="0" w:color="auto"/>
                <w:left w:val="none" w:sz="0" w:space="0" w:color="auto"/>
                <w:bottom w:val="none" w:sz="0" w:space="0" w:color="auto"/>
                <w:right w:val="none" w:sz="0" w:space="0" w:color="auto"/>
              </w:divBdr>
            </w:div>
            <w:div w:id="731083625">
              <w:marLeft w:val="0"/>
              <w:marRight w:val="0"/>
              <w:marTop w:val="0"/>
              <w:marBottom w:val="0"/>
              <w:divBdr>
                <w:top w:val="none" w:sz="0" w:space="0" w:color="auto"/>
                <w:left w:val="none" w:sz="0" w:space="0" w:color="auto"/>
                <w:bottom w:val="none" w:sz="0" w:space="0" w:color="auto"/>
                <w:right w:val="none" w:sz="0" w:space="0" w:color="auto"/>
              </w:divBdr>
            </w:div>
            <w:div w:id="907768135">
              <w:marLeft w:val="0"/>
              <w:marRight w:val="0"/>
              <w:marTop w:val="0"/>
              <w:marBottom w:val="0"/>
              <w:divBdr>
                <w:top w:val="none" w:sz="0" w:space="0" w:color="auto"/>
                <w:left w:val="none" w:sz="0" w:space="0" w:color="auto"/>
                <w:bottom w:val="none" w:sz="0" w:space="0" w:color="auto"/>
                <w:right w:val="none" w:sz="0" w:space="0" w:color="auto"/>
              </w:divBdr>
            </w:div>
            <w:div w:id="1463839809">
              <w:marLeft w:val="0"/>
              <w:marRight w:val="0"/>
              <w:marTop w:val="0"/>
              <w:marBottom w:val="0"/>
              <w:divBdr>
                <w:top w:val="none" w:sz="0" w:space="0" w:color="auto"/>
                <w:left w:val="none" w:sz="0" w:space="0" w:color="auto"/>
                <w:bottom w:val="none" w:sz="0" w:space="0" w:color="auto"/>
                <w:right w:val="none" w:sz="0" w:space="0" w:color="auto"/>
              </w:divBdr>
            </w:div>
            <w:div w:id="3077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26926">
      <w:bodyDiv w:val="1"/>
      <w:marLeft w:val="0"/>
      <w:marRight w:val="0"/>
      <w:marTop w:val="0"/>
      <w:marBottom w:val="0"/>
      <w:divBdr>
        <w:top w:val="none" w:sz="0" w:space="0" w:color="auto"/>
        <w:left w:val="none" w:sz="0" w:space="0" w:color="auto"/>
        <w:bottom w:val="none" w:sz="0" w:space="0" w:color="auto"/>
        <w:right w:val="none" w:sz="0" w:space="0" w:color="auto"/>
      </w:divBdr>
    </w:div>
    <w:div w:id="916204248">
      <w:bodyDiv w:val="1"/>
      <w:marLeft w:val="0"/>
      <w:marRight w:val="0"/>
      <w:marTop w:val="0"/>
      <w:marBottom w:val="0"/>
      <w:divBdr>
        <w:top w:val="none" w:sz="0" w:space="0" w:color="auto"/>
        <w:left w:val="none" w:sz="0" w:space="0" w:color="auto"/>
        <w:bottom w:val="none" w:sz="0" w:space="0" w:color="auto"/>
        <w:right w:val="none" w:sz="0" w:space="0" w:color="auto"/>
      </w:divBdr>
    </w:div>
    <w:div w:id="1024478101">
      <w:bodyDiv w:val="1"/>
      <w:marLeft w:val="0"/>
      <w:marRight w:val="0"/>
      <w:marTop w:val="0"/>
      <w:marBottom w:val="0"/>
      <w:divBdr>
        <w:top w:val="none" w:sz="0" w:space="0" w:color="auto"/>
        <w:left w:val="none" w:sz="0" w:space="0" w:color="auto"/>
        <w:bottom w:val="none" w:sz="0" w:space="0" w:color="auto"/>
        <w:right w:val="none" w:sz="0" w:space="0" w:color="auto"/>
      </w:divBdr>
    </w:div>
    <w:div w:id="1082024030">
      <w:bodyDiv w:val="1"/>
      <w:marLeft w:val="0"/>
      <w:marRight w:val="0"/>
      <w:marTop w:val="0"/>
      <w:marBottom w:val="0"/>
      <w:divBdr>
        <w:top w:val="none" w:sz="0" w:space="0" w:color="auto"/>
        <w:left w:val="none" w:sz="0" w:space="0" w:color="auto"/>
        <w:bottom w:val="none" w:sz="0" w:space="0" w:color="auto"/>
        <w:right w:val="none" w:sz="0" w:space="0" w:color="auto"/>
      </w:divBdr>
    </w:div>
    <w:div w:id="1197893248">
      <w:bodyDiv w:val="1"/>
      <w:marLeft w:val="0"/>
      <w:marRight w:val="0"/>
      <w:marTop w:val="0"/>
      <w:marBottom w:val="0"/>
      <w:divBdr>
        <w:top w:val="none" w:sz="0" w:space="0" w:color="auto"/>
        <w:left w:val="none" w:sz="0" w:space="0" w:color="auto"/>
        <w:bottom w:val="none" w:sz="0" w:space="0" w:color="auto"/>
        <w:right w:val="none" w:sz="0" w:space="0" w:color="auto"/>
      </w:divBdr>
    </w:div>
    <w:div w:id="1412779850">
      <w:bodyDiv w:val="1"/>
      <w:marLeft w:val="0"/>
      <w:marRight w:val="0"/>
      <w:marTop w:val="0"/>
      <w:marBottom w:val="0"/>
      <w:divBdr>
        <w:top w:val="none" w:sz="0" w:space="0" w:color="auto"/>
        <w:left w:val="none" w:sz="0" w:space="0" w:color="auto"/>
        <w:bottom w:val="none" w:sz="0" w:space="0" w:color="auto"/>
        <w:right w:val="none" w:sz="0" w:space="0" w:color="auto"/>
      </w:divBdr>
    </w:div>
    <w:div w:id="1419519573">
      <w:bodyDiv w:val="1"/>
      <w:marLeft w:val="0"/>
      <w:marRight w:val="0"/>
      <w:marTop w:val="0"/>
      <w:marBottom w:val="0"/>
      <w:divBdr>
        <w:top w:val="none" w:sz="0" w:space="0" w:color="auto"/>
        <w:left w:val="none" w:sz="0" w:space="0" w:color="auto"/>
        <w:bottom w:val="none" w:sz="0" w:space="0" w:color="auto"/>
        <w:right w:val="none" w:sz="0" w:space="0" w:color="auto"/>
      </w:divBdr>
    </w:div>
    <w:div w:id="1550530547">
      <w:bodyDiv w:val="1"/>
      <w:marLeft w:val="0"/>
      <w:marRight w:val="0"/>
      <w:marTop w:val="0"/>
      <w:marBottom w:val="0"/>
      <w:divBdr>
        <w:top w:val="none" w:sz="0" w:space="0" w:color="auto"/>
        <w:left w:val="none" w:sz="0" w:space="0" w:color="auto"/>
        <w:bottom w:val="none" w:sz="0" w:space="0" w:color="auto"/>
        <w:right w:val="none" w:sz="0" w:space="0" w:color="auto"/>
      </w:divBdr>
    </w:div>
    <w:div w:id="1642032620">
      <w:bodyDiv w:val="1"/>
      <w:marLeft w:val="0"/>
      <w:marRight w:val="0"/>
      <w:marTop w:val="0"/>
      <w:marBottom w:val="0"/>
      <w:divBdr>
        <w:top w:val="none" w:sz="0" w:space="0" w:color="auto"/>
        <w:left w:val="none" w:sz="0" w:space="0" w:color="auto"/>
        <w:bottom w:val="none" w:sz="0" w:space="0" w:color="auto"/>
        <w:right w:val="none" w:sz="0" w:space="0" w:color="auto"/>
      </w:divBdr>
    </w:div>
    <w:div w:id="1647200385">
      <w:bodyDiv w:val="1"/>
      <w:marLeft w:val="0"/>
      <w:marRight w:val="0"/>
      <w:marTop w:val="0"/>
      <w:marBottom w:val="0"/>
      <w:divBdr>
        <w:top w:val="none" w:sz="0" w:space="0" w:color="auto"/>
        <w:left w:val="none" w:sz="0" w:space="0" w:color="auto"/>
        <w:bottom w:val="none" w:sz="0" w:space="0" w:color="auto"/>
        <w:right w:val="none" w:sz="0" w:space="0" w:color="auto"/>
      </w:divBdr>
    </w:div>
    <w:div w:id="1741899064">
      <w:bodyDiv w:val="1"/>
      <w:marLeft w:val="0"/>
      <w:marRight w:val="0"/>
      <w:marTop w:val="0"/>
      <w:marBottom w:val="0"/>
      <w:divBdr>
        <w:top w:val="none" w:sz="0" w:space="0" w:color="auto"/>
        <w:left w:val="none" w:sz="0" w:space="0" w:color="auto"/>
        <w:bottom w:val="none" w:sz="0" w:space="0" w:color="auto"/>
        <w:right w:val="none" w:sz="0" w:space="0" w:color="auto"/>
      </w:divBdr>
    </w:div>
    <w:div w:id="1744449541">
      <w:bodyDiv w:val="1"/>
      <w:marLeft w:val="0"/>
      <w:marRight w:val="0"/>
      <w:marTop w:val="0"/>
      <w:marBottom w:val="0"/>
      <w:divBdr>
        <w:top w:val="none" w:sz="0" w:space="0" w:color="auto"/>
        <w:left w:val="none" w:sz="0" w:space="0" w:color="auto"/>
        <w:bottom w:val="none" w:sz="0" w:space="0" w:color="auto"/>
        <w:right w:val="none" w:sz="0" w:space="0" w:color="auto"/>
      </w:divBdr>
    </w:div>
    <w:div w:id="1966957952">
      <w:bodyDiv w:val="1"/>
      <w:marLeft w:val="0"/>
      <w:marRight w:val="0"/>
      <w:marTop w:val="0"/>
      <w:marBottom w:val="0"/>
      <w:divBdr>
        <w:top w:val="none" w:sz="0" w:space="0" w:color="auto"/>
        <w:left w:val="none" w:sz="0" w:space="0" w:color="auto"/>
        <w:bottom w:val="none" w:sz="0" w:space="0" w:color="auto"/>
        <w:right w:val="none" w:sz="0" w:space="0" w:color="auto"/>
      </w:divBdr>
    </w:div>
    <w:div w:id="197941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868AB-B6AC-450E-97B3-1160558D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1108</Words>
  <Characters>6094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dc:creator>
  <cp:lastModifiedBy>Philippe EG</cp:lastModifiedBy>
  <cp:revision>3</cp:revision>
  <cp:lastPrinted>2015-04-10T12:02:00Z</cp:lastPrinted>
  <dcterms:created xsi:type="dcterms:W3CDTF">2026-04-30T09:14:00Z</dcterms:created>
  <dcterms:modified xsi:type="dcterms:W3CDTF">2026-05-05T10:19:00Z</dcterms:modified>
</cp:coreProperties>
</file>