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862A2" w14:textId="77777777" w:rsidR="0095581F" w:rsidRPr="00281A16" w:rsidRDefault="0095581F" w:rsidP="00281A16">
      <w:pPr>
        <w:pStyle w:val="Lettre"/>
        <w:ind w:right="387"/>
        <w:rPr>
          <w:rFonts w:ascii="Arial" w:hAnsi="Arial" w:cs="Arial"/>
          <w:sz w:val="22"/>
          <w:szCs w:val="22"/>
        </w:rPr>
      </w:pPr>
    </w:p>
    <w:p w14:paraId="2F0CD272" w14:textId="77777777" w:rsidR="0095581F" w:rsidRPr="00281A16" w:rsidRDefault="0095581F" w:rsidP="00281A16">
      <w:pPr>
        <w:ind w:right="387"/>
        <w:jc w:val="both"/>
        <w:rPr>
          <w:rFonts w:ascii="Arial" w:hAnsi="Arial" w:cs="Arial"/>
          <w:b/>
          <w:sz w:val="22"/>
          <w:szCs w:val="22"/>
        </w:rPr>
      </w:pPr>
    </w:p>
    <w:p w14:paraId="19F22C71" w14:textId="77777777" w:rsidR="0095581F" w:rsidRPr="00281A16" w:rsidRDefault="0095581F" w:rsidP="00281A16">
      <w:pPr>
        <w:ind w:right="387"/>
        <w:jc w:val="both"/>
        <w:rPr>
          <w:rFonts w:ascii="Arial" w:hAnsi="Arial" w:cs="Arial"/>
          <w:b/>
          <w:sz w:val="22"/>
          <w:szCs w:val="22"/>
        </w:rPr>
      </w:pPr>
    </w:p>
    <w:p w14:paraId="7A9FBA66" w14:textId="77777777" w:rsidR="0095581F" w:rsidRPr="00281A16" w:rsidRDefault="0095581F" w:rsidP="00281A16">
      <w:pPr>
        <w:ind w:right="387"/>
        <w:jc w:val="both"/>
        <w:rPr>
          <w:rFonts w:ascii="Arial" w:hAnsi="Arial" w:cs="Arial"/>
          <w:b/>
          <w:sz w:val="22"/>
          <w:szCs w:val="22"/>
        </w:rPr>
      </w:pPr>
    </w:p>
    <w:p w14:paraId="5CBEC29B" w14:textId="77777777" w:rsidR="0095581F" w:rsidRPr="00281A16" w:rsidRDefault="0095581F" w:rsidP="00281A16">
      <w:pPr>
        <w:ind w:right="387"/>
        <w:jc w:val="both"/>
        <w:rPr>
          <w:rFonts w:ascii="Arial" w:hAnsi="Arial" w:cs="Arial"/>
          <w:b/>
          <w:sz w:val="22"/>
          <w:szCs w:val="22"/>
        </w:rPr>
      </w:pPr>
    </w:p>
    <w:p w14:paraId="1D3C8F59" w14:textId="77777777" w:rsidR="0095581F" w:rsidRPr="00281A16" w:rsidRDefault="0095581F" w:rsidP="00281A16">
      <w:pPr>
        <w:ind w:right="387"/>
        <w:jc w:val="both"/>
        <w:rPr>
          <w:rFonts w:ascii="Arial" w:hAnsi="Arial" w:cs="Arial"/>
          <w:b/>
          <w:sz w:val="22"/>
          <w:szCs w:val="22"/>
        </w:rPr>
      </w:pPr>
    </w:p>
    <w:p w14:paraId="37541768" w14:textId="77777777" w:rsidR="0095581F" w:rsidRPr="00281A16" w:rsidRDefault="0095581F" w:rsidP="00281A16">
      <w:pPr>
        <w:ind w:right="387"/>
        <w:jc w:val="both"/>
        <w:rPr>
          <w:rFonts w:ascii="Arial" w:hAnsi="Arial" w:cs="Arial"/>
          <w:b/>
          <w:sz w:val="22"/>
          <w:szCs w:val="22"/>
        </w:rPr>
      </w:pPr>
    </w:p>
    <w:p w14:paraId="3012D4F6" w14:textId="77777777" w:rsidR="0095581F" w:rsidRPr="00281A16" w:rsidRDefault="0095581F" w:rsidP="00281A16">
      <w:pPr>
        <w:ind w:right="387"/>
        <w:jc w:val="both"/>
        <w:rPr>
          <w:rFonts w:ascii="Arial" w:hAnsi="Arial" w:cs="Arial"/>
          <w:b/>
          <w:sz w:val="22"/>
          <w:szCs w:val="22"/>
        </w:rPr>
      </w:pPr>
    </w:p>
    <w:p w14:paraId="5D80B596" w14:textId="77777777" w:rsidR="0095581F" w:rsidRPr="00281A16" w:rsidRDefault="0095581F" w:rsidP="00281A16">
      <w:pPr>
        <w:ind w:right="387"/>
        <w:jc w:val="both"/>
        <w:rPr>
          <w:rFonts w:ascii="Arial" w:hAnsi="Arial" w:cs="Arial"/>
          <w:b/>
          <w:sz w:val="22"/>
          <w:szCs w:val="22"/>
        </w:rPr>
      </w:pPr>
    </w:p>
    <w:p w14:paraId="2DC31BA0" w14:textId="77777777" w:rsidR="0095581F" w:rsidRPr="00281A16" w:rsidRDefault="0095581F" w:rsidP="00281A16">
      <w:pPr>
        <w:ind w:right="387"/>
        <w:jc w:val="both"/>
        <w:rPr>
          <w:rFonts w:ascii="Arial" w:hAnsi="Arial" w:cs="Arial"/>
          <w:b/>
          <w:sz w:val="22"/>
          <w:szCs w:val="22"/>
        </w:rPr>
      </w:pPr>
    </w:p>
    <w:p w14:paraId="3107A4B0" w14:textId="77777777" w:rsidR="0095581F" w:rsidRPr="00281A16" w:rsidRDefault="0095581F" w:rsidP="00281A16">
      <w:pPr>
        <w:ind w:right="387"/>
        <w:jc w:val="both"/>
        <w:rPr>
          <w:rFonts w:ascii="Arial" w:hAnsi="Arial" w:cs="Arial"/>
          <w:b/>
          <w:sz w:val="22"/>
          <w:szCs w:val="22"/>
        </w:rPr>
      </w:pPr>
    </w:p>
    <w:p w14:paraId="0D45CC6E" w14:textId="77777777" w:rsidR="0095581F" w:rsidRPr="00281A16" w:rsidRDefault="0095581F" w:rsidP="00281A16">
      <w:pPr>
        <w:ind w:right="387"/>
        <w:jc w:val="both"/>
        <w:rPr>
          <w:rFonts w:ascii="Arial" w:hAnsi="Arial" w:cs="Arial"/>
          <w:b/>
          <w:sz w:val="22"/>
          <w:szCs w:val="22"/>
        </w:rPr>
      </w:pPr>
    </w:p>
    <w:p w14:paraId="49C05F4B" w14:textId="77777777" w:rsidR="0095581F" w:rsidRPr="00281A16" w:rsidRDefault="0095581F" w:rsidP="00281A16">
      <w:pPr>
        <w:ind w:right="387"/>
        <w:jc w:val="both"/>
        <w:rPr>
          <w:rFonts w:ascii="Arial" w:hAnsi="Arial" w:cs="Arial"/>
          <w:b/>
          <w:sz w:val="22"/>
          <w:szCs w:val="22"/>
        </w:rPr>
      </w:pPr>
    </w:p>
    <w:p w14:paraId="74149716" w14:textId="77777777" w:rsidR="0095581F" w:rsidRPr="00281A16" w:rsidRDefault="0095581F" w:rsidP="00281A16">
      <w:pPr>
        <w:ind w:right="387"/>
        <w:jc w:val="both"/>
        <w:rPr>
          <w:rFonts w:ascii="Arial" w:hAnsi="Arial" w:cs="Arial"/>
          <w:b/>
          <w:sz w:val="22"/>
          <w:szCs w:val="22"/>
        </w:rPr>
      </w:pPr>
    </w:p>
    <w:p w14:paraId="54F514D6" w14:textId="77777777" w:rsidR="0095581F" w:rsidRPr="00281A16" w:rsidRDefault="0095581F" w:rsidP="00281A16">
      <w:pPr>
        <w:ind w:right="387"/>
        <w:jc w:val="both"/>
        <w:rPr>
          <w:rFonts w:ascii="Arial" w:hAnsi="Arial" w:cs="Arial"/>
          <w:b/>
          <w:sz w:val="22"/>
          <w:szCs w:val="22"/>
        </w:rPr>
      </w:pPr>
    </w:p>
    <w:p w14:paraId="592D3AAB" w14:textId="77777777" w:rsidR="0095581F" w:rsidRPr="00281A16" w:rsidRDefault="0095581F" w:rsidP="00281A16">
      <w:pPr>
        <w:ind w:right="387"/>
        <w:jc w:val="both"/>
        <w:rPr>
          <w:rFonts w:ascii="Arial" w:hAnsi="Arial" w:cs="Arial"/>
          <w:b/>
          <w:sz w:val="22"/>
          <w:szCs w:val="22"/>
        </w:rPr>
      </w:pPr>
    </w:p>
    <w:p w14:paraId="3730A5A9" w14:textId="77777777" w:rsidR="0095581F" w:rsidRPr="00281A16" w:rsidRDefault="0095581F" w:rsidP="00281A16">
      <w:pPr>
        <w:ind w:right="387"/>
        <w:jc w:val="both"/>
        <w:rPr>
          <w:rFonts w:ascii="Arial" w:hAnsi="Arial" w:cs="Arial"/>
          <w:b/>
          <w:sz w:val="22"/>
          <w:szCs w:val="22"/>
        </w:rPr>
      </w:pPr>
    </w:p>
    <w:p w14:paraId="605021AE" w14:textId="77777777" w:rsidR="0095581F" w:rsidRPr="00281A16" w:rsidRDefault="00B573F0" w:rsidP="002F5CDA">
      <w:pPr>
        <w:ind w:right="387"/>
        <w:jc w:val="center"/>
        <w:rPr>
          <w:rFonts w:ascii="Arial" w:hAnsi="Arial" w:cs="Arial"/>
          <w:b/>
          <w:color w:val="1F497D" w:themeColor="text2"/>
          <w:sz w:val="44"/>
          <w:szCs w:val="22"/>
        </w:rPr>
      </w:pPr>
      <w:r w:rsidRPr="00281A16">
        <w:rPr>
          <w:rFonts w:ascii="Arial" w:hAnsi="Arial" w:cs="Arial"/>
          <w:b/>
          <w:color w:val="1F497D" w:themeColor="text2"/>
          <w:sz w:val="44"/>
          <w:szCs w:val="22"/>
        </w:rPr>
        <w:t>LA BANQUE POSTALE HOME LOAN SFH</w:t>
      </w:r>
    </w:p>
    <w:p w14:paraId="7D28EF84" w14:textId="77777777" w:rsidR="0095581F" w:rsidRPr="00281A16" w:rsidRDefault="0095581F" w:rsidP="002F5CDA">
      <w:pPr>
        <w:ind w:right="387"/>
        <w:jc w:val="center"/>
        <w:rPr>
          <w:rFonts w:ascii="Arial" w:hAnsi="Arial" w:cs="Arial"/>
          <w:b/>
          <w:sz w:val="22"/>
          <w:szCs w:val="22"/>
        </w:rPr>
      </w:pPr>
    </w:p>
    <w:p w14:paraId="26799CF5" w14:textId="77777777" w:rsidR="0095581F" w:rsidRPr="00281A16" w:rsidRDefault="0095581F" w:rsidP="002F5CDA">
      <w:pPr>
        <w:ind w:right="387"/>
        <w:jc w:val="center"/>
        <w:rPr>
          <w:rFonts w:ascii="Arial" w:hAnsi="Arial" w:cs="Arial"/>
          <w:b/>
          <w:sz w:val="28"/>
          <w:szCs w:val="22"/>
        </w:rPr>
      </w:pPr>
      <w:r w:rsidRPr="00281A16">
        <w:rPr>
          <w:rFonts w:ascii="Arial" w:hAnsi="Arial" w:cs="Arial"/>
          <w:b/>
          <w:sz w:val="28"/>
          <w:szCs w:val="22"/>
        </w:rPr>
        <w:t xml:space="preserve">Rapport financier </w:t>
      </w:r>
      <w:r w:rsidR="00700B2F" w:rsidRPr="00281A16">
        <w:rPr>
          <w:rFonts w:ascii="Arial" w:hAnsi="Arial" w:cs="Arial"/>
          <w:b/>
          <w:sz w:val="28"/>
          <w:szCs w:val="22"/>
        </w:rPr>
        <w:t>annuel</w:t>
      </w:r>
    </w:p>
    <w:p w14:paraId="22871C2D" w14:textId="77777777" w:rsidR="0095581F" w:rsidRPr="00281A16" w:rsidRDefault="0095581F" w:rsidP="002F5CDA">
      <w:pPr>
        <w:ind w:right="387"/>
        <w:jc w:val="center"/>
        <w:rPr>
          <w:rFonts w:ascii="Arial" w:hAnsi="Arial" w:cs="Arial"/>
          <w:b/>
          <w:sz w:val="28"/>
          <w:szCs w:val="22"/>
        </w:rPr>
      </w:pPr>
    </w:p>
    <w:p w14:paraId="3450B487" w14:textId="106FBF8D" w:rsidR="0095581F" w:rsidRPr="00281A16" w:rsidRDefault="00700B2F" w:rsidP="002F5CDA">
      <w:pPr>
        <w:ind w:right="387"/>
        <w:jc w:val="center"/>
        <w:rPr>
          <w:rFonts w:ascii="Arial" w:hAnsi="Arial" w:cs="Arial"/>
          <w:b/>
          <w:sz w:val="28"/>
          <w:szCs w:val="22"/>
        </w:rPr>
      </w:pPr>
      <w:r w:rsidRPr="00281A16">
        <w:rPr>
          <w:rFonts w:ascii="Arial" w:hAnsi="Arial" w:cs="Arial"/>
          <w:b/>
          <w:sz w:val="28"/>
          <w:szCs w:val="22"/>
        </w:rPr>
        <w:t xml:space="preserve">31 décembre </w:t>
      </w:r>
      <w:r w:rsidR="005B591D" w:rsidRPr="00281A16">
        <w:rPr>
          <w:rFonts w:ascii="Arial" w:hAnsi="Arial" w:cs="Arial"/>
          <w:b/>
          <w:sz w:val="28"/>
          <w:szCs w:val="22"/>
        </w:rPr>
        <w:t>201</w:t>
      </w:r>
      <w:r w:rsidR="00560F18">
        <w:rPr>
          <w:rFonts w:ascii="Arial" w:hAnsi="Arial" w:cs="Arial"/>
          <w:b/>
          <w:sz w:val="28"/>
          <w:szCs w:val="22"/>
        </w:rPr>
        <w:t>9</w:t>
      </w:r>
    </w:p>
    <w:p w14:paraId="172A7224" w14:textId="77777777" w:rsidR="0095581F" w:rsidRPr="00281A16" w:rsidRDefault="0095581F" w:rsidP="002F5CDA">
      <w:pPr>
        <w:ind w:right="387"/>
        <w:jc w:val="center"/>
        <w:rPr>
          <w:rFonts w:ascii="Arial" w:hAnsi="Arial" w:cs="Arial"/>
          <w:b/>
          <w:sz w:val="28"/>
          <w:szCs w:val="22"/>
        </w:rPr>
      </w:pPr>
    </w:p>
    <w:p w14:paraId="52699369" w14:textId="77777777" w:rsidR="0095581F" w:rsidRPr="00281A16" w:rsidRDefault="0095581F" w:rsidP="002F5CDA">
      <w:pPr>
        <w:ind w:right="387"/>
        <w:jc w:val="center"/>
        <w:rPr>
          <w:rFonts w:ascii="Arial" w:hAnsi="Arial" w:cs="Arial"/>
          <w:b/>
          <w:sz w:val="22"/>
          <w:szCs w:val="22"/>
        </w:rPr>
      </w:pPr>
    </w:p>
    <w:p w14:paraId="37491629" w14:textId="77777777" w:rsidR="0095581F" w:rsidRPr="00281A16" w:rsidRDefault="0095581F" w:rsidP="002F5CDA">
      <w:pPr>
        <w:ind w:right="387"/>
        <w:jc w:val="center"/>
        <w:rPr>
          <w:rFonts w:ascii="Arial" w:hAnsi="Arial" w:cs="Arial"/>
          <w:b/>
          <w:sz w:val="22"/>
          <w:szCs w:val="22"/>
        </w:rPr>
      </w:pPr>
    </w:p>
    <w:p w14:paraId="09E3F5C5" w14:textId="77777777" w:rsidR="0095581F" w:rsidRPr="00281A16" w:rsidRDefault="0095581F" w:rsidP="002F5CDA">
      <w:pPr>
        <w:ind w:right="387"/>
        <w:jc w:val="center"/>
        <w:rPr>
          <w:rFonts w:ascii="Arial" w:hAnsi="Arial" w:cs="Arial"/>
          <w:b/>
          <w:sz w:val="22"/>
          <w:szCs w:val="22"/>
        </w:rPr>
      </w:pPr>
    </w:p>
    <w:p w14:paraId="09583600" w14:textId="77777777" w:rsidR="0095581F" w:rsidRPr="00281A16" w:rsidRDefault="0095581F" w:rsidP="002F5CDA">
      <w:pPr>
        <w:ind w:right="387"/>
        <w:jc w:val="center"/>
        <w:rPr>
          <w:rFonts w:ascii="Arial" w:hAnsi="Arial" w:cs="Arial"/>
          <w:b/>
          <w:sz w:val="22"/>
          <w:szCs w:val="22"/>
        </w:rPr>
      </w:pPr>
    </w:p>
    <w:p w14:paraId="181C50A7" w14:textId="77777777" w:rsidR="0095581F" w:rsidRPr="00281A16" w:rsidRDefault="0095581F" w:rsidP="002F5CDA">
      <w:pPr>
        <w:ind w:right="387"/>
        <w:jc w:val="center"/>
        <w:rPr>
          <w:rFonts w:ascii="Arial" w:hAnsi="Arial" w:cs="Arial"/>
          <w:b/>
          <w:sz w:val="22"/>
          <w:szCs w:val="22"/>
        </w:rPr>
      </w:pPr>
    </w:p>
    <w:p w14:paraId="114EE86B" w14:textId="77777777" w:rsidR="0095581F" w:rsidRPr="00281A16" w:rsidRDefault="0095581F" w:rsidP="002F5CDA">
      <w:pPr>
        <w:ind w:right="387"/>
        <w:jc w:val="center"/>
        <w:rPr>
          <w:rFonts w:ascii="Arial" w:hAnsi="Arial" w:cs="Arial"/>
          <w:b/>
          <w:sz w:val="22"/>
          <w:szCs w:val="22"/>
        </w:rPr>
      </w:pPr>
    </w:p>
    <w:p w14:paraId="1B370ADE" w14:textId="77777777" w:rsidR="0095581F" w:rsidRPr="00281A16" w:rsidRDefault="0095581F" w:rsidP="002F5CDA">
      <w:pPr>
        <w:ind w:right="387"/>
        <w:jc w:val="center"/>
        <w:rPr>
          <w:rFonts w:ascii="Arial" w:hAnsi="Arial" w:cs="Arial"/>
          <w:b/>
          <w:sz w:val="22"/>
          <w:szCs w:val="22"/>
        </w:rPr>
      </w:pPr>
    </w:p>
    <w:p w14:paraId="29A8B0C1" w14:textId="77777777" w:rsidR="0095581F" w:rsidRPr="00281A16" w:rsidRDefault="0095581F" w:rsidP="002F5CDA">
      <w:pPr>
        <w:ind w:right="387"/>
        <w:jc w:val="center"/>
        <w:rPr>
          <w:rFonts w:ascii="Arial" w:hAnsi="Arial" w:cs="Arial"/>
          <w:b/>
          <w:sz w:val="36"/>
          <w:szCs w:val="22"/>
        </w:rPr>
      </w:pPr>
    </w:p>
    <w:p w14:paraId="4791A83E" w14:textId="77777777" w:rsidR="00700B2F" w:rsidRPr="00281A16" w:rsidRDefault="00700B2F" w:rsidP="002F5CDA">
      <w:pPr>
        <w:ind w:right="387"/>
        <w:jc w:val="center"/>
        <w:rPr>
          <w:rFonts w:ascii="Arial" w:hAnsi="Arial" w:cs="Arial"/>
          <w:b/>
          <w:sz w:val="36"/>
          <w:szCs w:val="22"/>
        </w:rPr>
      </w:pPr>
    </w:p>
    <w:p w14:paraId="39F01AFB" w14:textId="77777777" w:rsidR="00700B2F" w:rsidRPr="00281A16" w:rsidRDefault="00700B2F" w:rsidP="002F5CDA">
      <w:pPr>
        <w:ind w:right="387"/>
        <w:jc w:val="center"/>
        <w:rPr>
          <w:rFonts w:ascii="Arial" w:hAnsi="Arial" w:cs="Arial"/>
          <w:b/>
          <w:sz w:val="36"/>
          <w:szCs w:val="22"/>
        </w:rPr>
      </w:pPr>
    </w:p>
    <w:p w14:paraId="4B47DB76" w14:textId="77777777" w:rsidR="00BC0A11" w:rsidRPr="00281A16" w:rsidRDefault="00BC0A11" w:rsidP="002F5CDA">
      <w:pPr>
        <w:ind w:right="387"/>
        <w:jc w:val="center"/>
        <w:rPr>
          <w:rFonts w:ascii="Arial" w:hAnsi="Arial" w:cs="Arial"/>
          <w:b/>
          <w:sz w:val="22"/>
          <w:szCs w:val="22"/>
        </w:rPr>
      </w:pPr>
    </w:p>
    <w:p w14:paraId="1EBB1443" w14:textId="77777777" w:rsidR="0095581F" w:rsidRPr="00281A16" w:rsidRDefault="0095581F" w:rsidP="002F5CDA">
      <w:pPr>
        <w:ind w:right="387"/>
        <w:jc w:val="center"/>
        <w:rPr>
          <w:rFonts w:ascii="Arial" w:hAnsi="Arial" w:cs="Arial"/>
          <w:b/>
          <w:sz w:val="22"/>
          <w:szCs w:val="22"/>
        </w:rPr>
      </w:pPr>
    </w:p>
    <w:p w14:paraId="0A051261" w14:textId="77777777" w:rsidR="00BC0A11" w:rsidRPr="00281A16" w:rsidRDefault="00BC0A11" w:rsidP="002F5CDA">
      <w:pPr>
        <w:ind w:right="387"/>
        <w:jc w:val="center"/>
        <w:rPr>
          <w:rFonts w:ascii="Arial" w:hAnsi="Arial" w:cs="Arial"/>
          <w:b/>
          <w:sz w:val="22"/>
          <w:szCs w:val="22"/>
        </w:rPr>
      </w:pPr>
    </w:p>
    <w:p w14:paraId="7F9EC403" w14:textId="77777777" w:rsidR="00BC0A11" w:rsidRPr="00281A16" w:rsidRDefault="00BC0A11" w:rsidP="002F5CDA">
      <w:pPr>
        <w:ind w:right="387"/>
        <w:jc w:val="center"/>
        <w:rPr>
          <w:rFonts w:ascii="Arial" w:hAnsi="Arial" w:cs="Arial"/>
          <w:b/>
          <w:sz w:val="22"/>
          <w:szCs w:val="22"/>
        </w:rPr>
      </w:pPr>
    </w:p>
    <w:p w14:paraId="08D2B0D0" w14:textId="77777777" w:rsidR="00BC0A11" w:rsidRPr="00281A16" w:rsidRDefault="00BC0A11" w:rsidP="002F5CDA">
      <w:pPr>
        <w:ind w:right="387"/>
        <w:jc w:val="center"/>
        <w:rPr>
          <w:rFonts w:ascii="Arial" w:hAnsi="Arial" w:cs="Arial"/>
          <w:b/>
          <w:sz w:val="22"/>
          <w:szCs w:val="22"/>
        </w:rPr>
      </w:pPr>
    </w:p>
    <w:p w14:paraId="15D5C9A5" w14:textId="77777777" w:rsidR="00BC0A11" w:rsidRPr="00281A16" w:rsidRDefault="00BC0A11" w:rsidP="002F5CDA">
      <w:pPr>
        <w:ind w:right="387"/>
        <w:jc w:val="center"/>
        <w:rPr>
          <w:rFonts w:ascii="Arial" w:hAnsi="Arial" w:cs="Arial"/>
          <w:b/>
          <w:sz w:val="22"/>
          <w:szCs w:val="22"/>
        </w:rPr>
      </w:pPr>
    </w:p>
    <w:p w14:paraId="45A58D9E" w14:textId="77777777" w:rsidR="00BC0A11" w:rsidRPr="00281A16" w:rsidRDefault="00BC0A11" w:rsidP="002F5CDA">
      <w:pPr>
        <w:ind w:right="387"/>
        <w:jc w:val="center"/>
        <w:rPr>
          <w:rFonts w:ascii="Arial" w:hAnsi="Arial" w:cs="Arial"/>
          <w:b/>
          <w:sz w:val="22"/>
          <w:szCs w:val="22"/>
        </w:rPr>
      </w:pPr>
    </w:p>
    <w:tbl>
      <w:tblPr>
        <w:tblStyle w:val="Grilledutableau"/>
        <w:tblW w:w="11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0"/>
      </w:tblGrid>
      <w:tr w:rsidR="00D42C18" w:rsidRPr="00281A16" w14:paraId="5821624F" w14:textId="77777777" w:rsidTr="002F5CDA">
        <w:trPr>
          <w:trHeight w:val="1879"/>
        </w:trPr>
        <w:tc>
          <w:tcPr>
            <w:tcW w:w="11110" w:type="dxa"/>
          </w:tcPr>
          <w:p w14:paraId="7B36B598" w14:textId="79B0B88B" w:rsidR="00D46420" w:rsidRPr="00281A16" w:rsidRDefault="00D46420" w:rsidP="002F5CDA">
            <w:pPr>
              <w:ind w:right="387"/>
              <w:jc w:val="center"/>
              <w:rPr>
                <w:rFonts w:ascii="Arial" w:hAnsi="Arial" w:cs="Arial"/>
                <w:b/>
                <w:color w:val="1F497D" w:themeColor="text2"/>
                <w:sz w:val="22"/>
                <w:szCs w:val="22"/>
              </w:rPr>
            </w:pPr>
          </w:p>
          <w:p w14:paraId="7CE18831" w14:textId="77777777" w:rsidR="00D46420" w:rsidRPr="00281A16" w:rsidRDefault="00D46420" w:rsidP="002F5CDA">
            <w:pPr>
              <w:ind w:right="387"/>
              <w:jc w:val="center"/>
              <w:rPr>
                <w:rFonts w:ascii="Arial" w:hAnsi="Arial" w:cs="Arial"/>
                <w:b/>
                <w:color w:val="1F497D" w:themeColor="text2"/>
                <w:sz w:val="22"/>
                <w:szCs w:val="22"/>
              </w:rPr>
            </w:pPr>
          </w:p>
          <w:p w14:paraId="7332C94B" w14:textId="77777777" w:rsidR="00D42C18" w:rsidRPr="00281A16" w:rsidRDefault="00D42C18" w:rsidP="002F5CDA">
            <w:pPr>
              <w:ind w:right="387"/>
              <w:jc w:val="center"/>
              <w:rPr>
                <w:rFonts w:ascii="Arial" w:hAnsi="Arial" w:cs="Arial"/>
                <w:b/>
                <w:color w:val="1F497D" w:themeColor="text2"/>
                <w:sz w:val="22"/>
                <w:szCs w:val="22"/>
              </w:rPr>
            </w:pPr>
            <w:r w:rsidRPr="00281A16">
              <w:rPr>
                <w:rFonts w:ascii="Arial" w:hAnsi="Arial" w:cs="Arial"/>
                <w:b/>
                <w:color w:val="1F497D" w:themeColor="text2"/>
                <w:sz w:val="22"/>
                <w:szCs w:val="22"/>
              </w:rPr>
              <w:t>La Banque Postale Home Loan SFH</w:t>
            </w:r>
          </w:p>
          <w:p w14:paraId="7E612812" w14:textId="49465189" w:rsidR="00D42C18" w:rsidRPr="00281A16" w:rsidRDefault="00D42C18" w:rsidP="002F5CDA">
            <w:pPr>
              <w:ind w:right="387"/>
              <w:jc w:val="center"/>
              <w:rPr>
                <w:rFonts w:ascii="Arial" w:hAnsi="Arial" w:cs="Arial"/>
                <w:b/>
                <w:color w:val="1F497D" w:themeColor="text2"/>
                <w:sz w:val="22"/>
                <w:szCs w:val="22"/>
              </w:rPr>
            </w:pPr>
            <w:r w:rsidRPr="00281A16">
              <w:rPr>
                <w:rFonts w:ascii="Arial" w:hAnsi="Arial" w:cs="Arial"/>
                <w:b/>
                <w:color w:val="1F497D" w:themeColor="text2"/>
                <w:sz w:val="22"/>
                <w:szCs w:val="22"/>
              </w:rPr>
              <w:t xml:space="preserve">Société anonyme </w:t>
            </w:r>
            <w:r w:rsidR="006D1753">
              <w:rPr>
                <w:rFonts w:ascii="Arial" w:hAnsi="Arial" w:cs="Arial"/>
                <w:b/>
                <w:color w:val="1F497D" w:themeColor="text2"/>
                <w:sz w:val="22"/>
                <w:szCs w:val="22"/>
              </w:rPr>
              <w:t>au capital de 210 000 000 euros</w:t>
            </w:r>
          </w:p>
          <w:p w14:paraId="6AC7450B" w14:textId="77777777" w:rsidR="00D42C18" w:rsidRDefault="00D42C18" w:rsidP="002F5CDA">
            <w:pPr>
              <w:ind w:right="387"/>
              <w:jc w:val="center"/>
              <w:rPr>
                <w:rFonts w:ascii="Arial" w:hAnsi="Arial" w:cs="Arial"/>
                <w:b/>
                <w:color w:val="1F497D" w:themeColor="text2"/>
                <w:sz w:val="22"/>
                <w:szCs w:val="22"/>
              </w:rPr>
            </w:pPr>
            <w:r w:rsidRPr="00281A16">
              <w:rPr>
                <w:rFonts w:ascii="Arial" w:hAnsi="Arial" w:cs="Arial"/>
                <w:b/>
                <w:color w:val="1F497D" w:themeColor="text2"/>
                <w:sz w:val="22"/>
                <w:szCs w:val="22"/>
              </w:rPr>
              <w:t>Siège soc</w:t>
            </w:r>
            <w:r w:rsidR="006D1753">
              <w:rPr>
                <w:rFonts w:ascii="Arial" w:hAnsi="Arial" w:cs="Arial"/>
                <w:b/>
                <w:color w:val="1F497D" w:themeColor="text2"/>
                <w:sz w:val="22"/>
                <w:szCs w:val="22"/>
              </w:rPr>
              <w:t>ial : 115, rue de Sèvres – 75275 Paris Cedex 06</w:t>
            </w:r>
          </w:p>
          <w:p w14:paraId="103EE69A" w14:textId="2D0D1D45" w:rsidR="006D1753" w:rsidRPr="00281A16" w:rsidRDefault="006D1753" w:rsidP="002F5CDA">
            <w:pPr>
              <w:ind w:right="387"/>
              <w:jc w:val="center"/>
              <w:rPr>
                <w:rFonts w:ascii="Arial" w:hAnsi="Arial" w:cs="Arial"/>
                <w:b/>
                <w:color w:val="1F497D" w:themeColor="text2"/>
                <w:sz w:val="22"/>
                <w:szCs w:val="22"/>
              </w:rPr>
            </w:pPr>
            <w:r>
              <w:rPr>
                <w:rFonts w:ascii="Arial" w:hAnsi="Arial" w:cs="Arial"/>
                <w:b/>
                <w:color w:val="1F497D" w:themeColor="text2"/>
                <w:sz w:val="22"/>
                <w:szCs w:val="22"/>
              </w:rPr>
              <w:t>522 047 570 RCS Paris</w:t>
            </w:r>
          </w:p>
        </w:tc>
      </w:tr>
    </w:tbl>
    <w:p w14:paraId="13C54BAA" w14:textId="77777777" w:rsidR="0095581F" w:rsidRPr="00281A16" w:rsidRDefault="0095581F" w:rsidP="00281A16">
      <w:pPr>
        <w:ind w:right="387"/>
        <w:jc w:val="both"/>
        <w:rPr>
          <w:rFonts w:ascii="Arial" w:hAnsi="Arial" w:cs="Arial"/>
          <w:b/>
          <w:color w:val="1F497D" w:themeColor="text2"/>
          <w:sz w:val="22"/>
          <w:szCs w:val="22"/>
        </w:rPr>
      </w:pPr>
    </w:p>
    <w:p w14:paraId="12F47FDE" w14:textId="77777777" w:rsidR="0095581F" w:rsidRPr="00281A16" w:rsidRDefault="0095581F" w:rsidP="00281A16">
      <w:pPr>
        <w:ind w:right="387"/>
        <w:jc w:val="both"/>
        <w:rPr>
          <w:rFonts w:ascii="Arial" w:hAnsi="Arial" w:cs="Arial"/>
          <w:b/>
          <w:sz w:val="22"/>
          <w:szCs w:val="22"/>
        </w:rPr>
      </w:pPr>
    </w:p>
    <w:p w14:paraId="48DA2996" w14:textId="77777777" w:rsidR="00B83A20" w:rsidRPr="00281A16" w:rsidRDefault="00B83A20" w:rsidP="00281A16">
      <w:pPr>
        <w:ind w:right="387"/>
        <w:jc w:val="both"/>
        <w:rPr>
          <w:rFonts w:ascii="Arial" w:hAnsi="Arial" w:cs="Arial"/>
          <w:b/>
          <w:sz w:val="22"/>
          <w:szCs w:val="22"/>
        </w:rPr>
      </w:pPr>
    </w:p>
    <w:p w14:paraId="747A3356" w14:textId="77777777" w:rsidR="00B83A20" w:rsidRPr="00281A16" w:rsidRDefault="00B83A20" w:rsidP="00281A16">
      <w:pPr>
        <w:ind w:right="387"/>
        <w:jc w:val="both"/>
        <w:rPr>
          <w:rFonts w:ascii="Arial" w:hAnsi="Arial" w:cs="Arial"/>
          <w:b/>
          <w:sz w:val="22"/>
          <w:szCs w:val="22"/>
        </w:rPr>
      </w:pPr>
    </w:p>
    <w:p w14:paraId="0F104DE6" w14:textId="77777777" w:rsidR="0095581F" w:rsidRPr="00281A16" w:rsidRDefault="0095581F" w:rsidP="00281A16">
      <w:pPr>
        <w:ind w:right="387"/>
        <w:jc w:val="both"/>
        <w:rPr>
          <w:rFonts w:ascii="Arial" w:hAnsi="Arial" w:cs="Arial"/>
          <w:b/>
          <w:sz w:val="22"/>
          <w:szCs w:val="22"/>
        </w:rPr>
      </w:pPr>
    </w:p>
    <w:p w14:paraId="7F893A81" w14:textId="77777777" w:rsidR="0095581F" w:rsidRPr="00281A16" w:rsidRDefault="0095581F" w:rsidP="00281A16">
      <w:pPr>
        <w:pBdr>
          <w:top w:val="single" w:sz="4" w:space="1" w:color="auto"/>
          <w:left w:val="single" w:sz="4" w:space="4" w:color="auto"/>
          <w:bottom w:val="single" w:sz="4" w:space="1" w:color="auto"/>
          <w:right w:val="single" w:sz="4" w:space="0" w:color="auto"/>
        </w:pBdr>
        <w:autoSpaceDE w:val="0"/>
        <w:autoSpaceDN w:val="0"/>
        <w:adjustRightInd w:val="0"/>
        <w:ind w:right="387"/>
        <w:jc w:val="center"/>
        <w:rPr>
          <w:rFonts w:ascii="Arial" w:hAnsi="Arial" w:cs="Arial"/>
          <w:b/>
          <w:bCs/>
          <w:color w:val="1F497D" w:themeColor="text2"/>
          <w:sz w:val="32"/>
          <w:szCs w:val="32"/>
        </w:rPr>
      </w:pPr>
      <w:r w:rsidRPr="00281A16">
        <w:rPr>
          <w:rFonts w:ascii="Arial" w:hAnsi="Arial" w:cs="Arial"/>
          <w:b/>
          <w:bCs/>
          <w:color w:val="1F497D" w:themeColor="text2"/>
          <w:sz w:val="32"/>
          <w:szCs w:val="32"/>
        </w:rPr>
        <w:t xml:space="preserve">Rapport </w:t>
      </w:r>
      <w:r w:rsidR="00C1344C" w:rsidRPr="00281A16">
        <w:rPr>
          <w:rFonts w:ascii="Arial" w:hAnsi="Arial" w:cs="Arial"/>
          <w:b/>
          <w:bCs/>
          <w:color w:val="1F497D" w:themeColor="text2"/>
          <w:sz w:val="32"/>
          <w:szCs w:val="32"/>
        </w:rPr>
        <w:t xml:space="preserve">financier </w:t>
      </w:r>
      <w:r w:rsidR="00700B2F" w:rsidRPr="00281A16">
        <w:rPr>
          <w:rFonts w:ascii="Arial" w:hAnsi="Arial" w:cs="Arial"/>
          <w:b/>
          <w:bCs/>
          <w:color w:val="1F497D" w:themeColor="text2"/>
          <w:sz w:val="32"/>
          <w:szCs w:val="32"/>
        </w:rPr>
        <w:t>annuel</w:t>
      </w:r>
    </w:p>
    <w:p w14:paraId="4E9671C8" w14:textId="65927539" w:rsidR="0095581F" w:rsidRPr="00281A16" w:rsidRDefault="00700B2F" w:rsidP="00281A16">
      <w:pPr>
        <w:pBdr>
          <w:top w:val="single" w:sz="4" w:space="1" w:color="auto"/>
          <w:left w:val="single" w:sz="4" w:space="4" w:color="auto"/>
          <w:bottom w:val="single" w:sz="4" w:space="1" w:color="auto"/>
          <w:right w:val="single" w:sz="4" w:space="0" w:color="auto"/>
        </w:pBdr>
        <w:autoSpaceDE w:val="0"/>
        <w:autoSpaceDN w:val="0"/>
        <w:adjustRightInd w:val="0"/>
        <w:ind w:right="387"/>
        <w:jc w:val="center"/>
        <w:rPr>
          <w:rFonts w:ascii="Arial" w:hAnsi="Arial" w:cs="Arial"/>
          <w:b/>
          <w:color w:val="1F497D" w:themeColor="text2"/>
          <w:sz w:val="32"/>
          <w:szCs w:val="32"/>
        </w:rPr>
      </w:pPr>
      <w:r w:rsidRPr="00281A16">
        <w:rPr>
          <w:rFonts w:ascii="Arial" w:hAnsi="Arial" w:cs="Arial"/>
          <w:b/>
          <w:bCs/>
          <w:color w:val="1F497D" w:themeColor="text2"/>
          <w:sz w:val="32"/>
          <w:szCs w:val="32"/>
        </w:rPr>
        <w:t>31 décembre</w:t>
      </w:r>
      <w:r w:rsidR="0095581F" w:rsidRPr="00281A16">
        <w:rPr>
          <w:rFonts w:ascii="Arial" w:hAnsi="Arial" w:cs="Arial"/>
          <w:b/>
          <w:bCs/>
          <w:color w:val="1F497D" w:themeColor="text2"/>
          <w:sz w:val="32"/>
          <w:szCs w:val="32"/>
        </w:rPr>
        <w:t xml:space="preserve"> 201</w:t>
      </w:r>
      <w:r w:rsidR="00560F18">
        <w:rPr>
          <w:rFonts w:ascii="Arial" w:hAnsi="Arial" w:cs="Arial"/>
          <w:b/>
          <w:bCs/>
          <w:color w:val="1F497D" w:themeColor="text2"/>
          <w:sz w:val="32"/>
          <w:szCs w:val="32"/>
        </w:rPr>
        <w:t>9</w:t>
      </w:r>
    </w:p>
    <w:p w14:paraId="7C97D680" w14:textId="77777777" w:rsidR="0095581F" w:rsidRPr="00281A16" w:rsidRDefault="0095581F" w:rsidP="00281A16">
      <w:pPr>
        <w:ind w:right="387"/>
        <w:jc w:val="both"/>
        <w:rPr>
          <w:rFonts w:ascii="Arial" w:hAnsi="Arial" w:cs="Arial"/>
          <w:b/>
          <w:sz w:val="22"/>
          <w:szCs w:val="22"/>
        </w:rPr>
      </w:pPr>
    </w:p>
    <w:p w14:paraId="680CEC53" w14:textId="77777777" w:rsidR="0095581F" w:rsidRPr="00281A16" w:rsidRDefault="0095581F" w:rsidP="00281A16">
      <w:pPr>
        <w:ind w:right="387"/>
        <w:jc w:val="both"/>
        <w:rPr>
          <w:rFonts w:ascii="Arial" w:hAnsi="Arial" w:cs="Arial"/>
          <w:b/>
          <w:sz w:val="22"/>
          <w:szCs w:val="22"/>
        </w:rPr>
      </w:pPr>
    </w:p>
    <w:p w14:paraId="52D327DC" w14:textId="77777777" w:rsidR="009840A6" w:rsidRPr="00281A16" w:rsidRDefault="009840A6" w:rsidP="00281A16">
      <w:pPr>
        <w:ind w:right="387"/>
        <w:jc w:val="both"/>
        <w:rPr>
          <w:rFonts w:ascii="Arial" w:hAnsi="Arial" w:cs="Arial"/>
          <w:b/>
          <w:sz w:val="22"/>
          <w:szCs w:val="2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3958"/>
      </w:tblGrid>
      <w:tr w:rsidR="00363BE2" w:rsidRPr="00363BE2" w14:paraId="7C126535" w14:textId="77777777" w:rsidTr="00700B2F">
        <w:trPr>
          <w:jc w:val="center"/>
        </w:trPr>
        <w:tc>
          <w:tcPr>
            <w:tcW w:w="4042" w:type="dxa"/>
          </w:tcPr>
          <w:p w14:paraId="09ACF87E" w14:textId="77777777" w:rsidR="00700B2F" w:rsidRPr="00363BE2" w:rsidRDefault="00700B2F" w:rsidP="00A234F8">
            <w:pPr>
              <w:pStyle w:val="Paragraphedeliste"/>
              <w:numPr>
                <w:ilvl w:val="0"/>
                <w:numId w:val="8"/>
              </w:numPr>
              <w:rPr>
                <w:rFonts w:ascii="Arial" w:hAnsi="Arial" w:cs="Arial"/>
                <w:sz w:val="22"/>
                <w:szCs w:val="28"/>
              </w:rPr>
            </w:pPr>
            <w:r w:rsidRPr="00363BE2">
              <w:rPr>
                <w:rFonts w:ascii="Arial" w:hAnsi="Arial" w:cs="Arial"/>
                <w:sz w:val="22"/>
                <w:szCs w:val="28"/>
              </w:rPr>
              <w:t>Rapport de gestion</w:t>
            </w:r>
          </w:p>
        </w:tc>
        <w:tc>
          <w:tcPr>
            <w:tcW w:w="3958" w:type="dxa"/>
          </w:tcPr>
          <w:p w14:paraId="4BC5BDE2" w14:textId="77777777" w:rsidR="00700B2F" w:rsidRPr="00363BE2" w:rsidRDefault="00700B2F" w:rsidP="00363BE2">
            <w:pPr>
              <w:jc w:val="right"/>
              <w:rPr>
                <w:rFonts w:ascii="Arial" w:hAnsi="Arial" w:cs="Arial"/>
                <w:sz w:val="22"/>
                <w:szCs w:val="28"/>
              </w:rPr>
            </w:pPr>
            <w:r w:rsidRPr="00363BE2">
              <w:rPr>
                <w:rFonts w:ascii="Arial" w:hAnsi="Arial" w:cs="Arial"/>
                <w:sz w:val="22"/>
                <w:szCs w:val="28"/>
              </w:rPr>
              <w:t>Page</w:t>
            </w:r>
            <w:r w:rsidR="00346A11" w:rsidRPr="00363BE2">
              <w:rPr>
                <w:rFonts w:ascii="Arial" w:hAnsi="Arial" w:cs="Arial"/>
                <w:sz w:val="22"/>
                <w:szCs w:val="28"/>
              </w:rPr>
              <w:t xml:space="preserve"> </w:t>
            </w:r>
            <w:r w:rsidR="00610BC9" w:rsidRPr="00363BE2">
              <w:rPr>
                <w:rFonts w:ascii="Arial" w:hAnsi="Arial" w:cs="Arial"/>
                <w:sz w:val="22"/>
                <w:szCs w:val="28"/>
              </w:rPr>
              <w:t>3</w:t>
            </w:r>
            <w:r w:rsidRPr="00363BE2">
              <w:rPr>
                <w:rFonts w:ascii="Arial" w:hAnsi="Arial" w:cs="Arial"/>
                <w:sz w:val="22"/>
                <w:szCs w:val="28"/>
              </w:rPr>
              <w:t xml:space="preserve"> </w:t>
            </w:r>
          </w:p>
        </w:tc>
      </w:tr>
      <w:tr w:rsidR="00F723AC" w:rsidRPr="00363BE2" w14:paraId="68212C4D" w14:textId="77777777" w:rsidTr="00700B2F">
        <w:trPr>
          <w:jc w:val="center"/>
        </w:trPr>
        <w:tc>
          <w:tcPr>
            <w:tcW w:w="4042" w:type="dxa"/>
          </w:tcPr>
          <w:p w14:paraId="55B2E10F" w14:textId="77777777" w:rsidR="00F723AC" w:rsidRPr="00363BE2" w:rsidRDefault="00F723AC" w:rsidP="00F723AC">
            <w:pPr>
              <w:pStyle w:val="Paragraphedeliste"/>
              <w:rPr>
                <w:rFonts w:ascii="Arial" w:hAnsi="Arial" w:cs="Arial"/>
                <w:sz w:val="22"/>
                <w:szCs w:val="28"/>
              </w:rPr>
            </w:pPr>
          </w:p>
        </w:tc>
        <w:tc>
          <w:tcPr>
            <w:tcW w:w="3958" w:type="dxa"/>
          </w:tcPr>
          <w:p w14:paraId="4A70E580" w14:textId="77777777" w:rsidR="00F723AC" w:rsidRPr="00363BE2" w:rsidRDefault="00F723AC" w:rsidP="00363BE2">
            <w:pPr>
              <w:jc w:val="right"/>
              <w:rPr>
                <w:rFonts w:ascii="Arial" w:hAnsi="Arial" w:cs="Arial"/>
                <w:sz w:val="22"/>
                <w:szCs w:val="28"/>
              </w:rPr>
            </w:pPr>
          </w:p>
        </w:tc>
      </w:tr>
      <w:tr w:rsidR="00560F18" w:rsidRPr="00363BE2" w14:paraId="0FD6EFF5" w14:textId="77777777" w:rsidTr="00700B2F">
        <w:trPr>
          <w:jc w:val="center"/>
        </w:trPr>
        <w:tc>
          <w:tcPr>
            <w:tcW w:w="4042" w:type="dxa"/>
          </w:tcPr>
          <w:p w14:paraId="670CC860" w14:textId="56742D6C" w:rsidR="00700B2F" w:rsidRPr="00363BE2" w:rsidRDefault="00700B2F" w:rsidP="001F01AA">
            <w:pPr>
              <w:pStyle w:val="Paragraphedeliste"/>
              <w:numPr>
                <w:ilvl w:val="0"/>
                <w:numId w:val="8"/>
              </w:numPr>
              <w:rPr>
                <w:rFonts w:ascii="Arial" w:hAnsi="Arial" w:cs="Arial"/>
                <w:sz w:val="22"/>
                <w:szCs w:val="28"/>
              </w:rPr>
            </w:pPr>
            <w:r w:rsidRPr="00363BE2">
              <w:rPr>
                <w:rFonts w:ascii="Arial" w:hAnsi="Arial" w:cs="Arial"/>
                <w:sz w:val="22"/>
                <w:szCs w:val="28"/>
              </w:rPr>
              <w:t>Comptes annuels 201</w:t>
            </w:r>
            <w:r w:rsidR="0078649A" w:rsidRPr="00363BE2">
              <w:rPr>
                <w:rFonts w:ascii="Arial" w:hAnsi="Arial" w:cs="Arial"/>
                <w:sz w:val="22"/>
                <w:szCs w:val="28"/>
              </w:rPr>
              <w:t>9</w:t>
            </w:r>
          </w:p>
        </w:tc>
        <w:tc>
          <w:tcPr>
            <w:tcW w:w="3958" w:type="dxa"/>
          </w:tcPr>
          <w:p w14:paraId="706FE5FC" w14:textId="78190D36" w:rsidR="00700B2F" w:rsidRPr="00363BE2" w:rsidRDefault="00700B2F" w:rsidP="0085603B">
            <w:pPr>
              <w:jc w:val="right"/>
              <w:rPr>
                <w:rFonts w:ascii="Arial" w:hAnsi="Arial" w:cs="Arial"/>
                <w:sz w:val="22"/>
                <w:szCs w:val="28"/>
              </w:rPr>
            </w:pPr>
            <w:r w:rsidRPr="00363BE2">
              <w:rPr>
                <w:rFonts w:ascii="Arial" w:hAnsi="Arial" w:cs="Arial"/>
                <w:sz w:val="22"/>
                <w:szCs w:val="28"/>
              </w:rPr>
              <w:t>Page</w:t>
            </w:r>
            <w:r w:rsidR="003D633C" w:rsidRPr="00363BE2">
              <w:rPr>
                <w:rFonts w:ascii="Arial" w:hAnsi="Arial" w:cs="Arial"/>
                <w:sz w:val="22"/>
                <w:szCs w:val="28"/>
              </w:rPr>
              <w:t xml:space="preserve"> </w:t>
            </w:r>
            <w:r w:rsidR="00C9475F" w:rsidRPr="00363BE2">
              <w:rPr>
                <w:rFonts w:ascii="Arial" w:hAnsi="Arial" w:cs="Arial"/>
                <w:sz w:val="22"/>
                <w:szCs w:val="28"/>
              </w:rPr>
              <w:t>3</w:t>
            </w:r>
            <w:r w:rsidR="00E038A2">
              <w:rPr>
                <w:rFonts w:ascii="Arial" w:hAnsi="Arial" w:cs="Arial"/>
                <w:sz w:val="22"/>
                <w:szCs w:val="28"/>
              </w:rPr>
              <w:t>0</w:t>
            </w:r>
            <w:r w:rsidRPr="00363BE2">
              <w:rPr>
                <w:rFonts w:ascii="Arial" w:hAnsi="Arial" w:cs="Arial"/>
                <w:sz w:val="22"/>
                <w:szCs w:val="28"/>
              </w:rPr>
              <w:t xml:space="preserve"> </w:t>
            </w:r>
          </w:p>
        </w:tc>
      </w:tr>
      <w:tr w:rsidR="00F723AC" w:rsidRPr="00363BE2" w14:paraId="04DA74E8" w14:textId="77777777" w:rsidTr="00700B2F">
        <w:trPr>
          <w:jc w:val="center"/>
        </w:trPr>
        <w:tc>
          <w:tcPr>
            <w:tcW w:w="4042" w:type="dxa"/>
          </w:tcPr>
          <w:p w14:paraId="6C75CF04" w14:textId="77777777" w:rsidR="00F723AC" w:rsidRPr="00363BE2" w:rsidRDefault="00F723AC" w:rsidP="00F723AC">
            <w:pPr>
              <w:pStyle w:val="Paragraphedeliste"/>
              <w:rPr>
                <w:rFonts w:ascii="Arial" w:hAnsi="Arial" w:cs="Arial"/>
                <w:sz w:val="22"/>
                <w:szCs w:val="28"/>
              </w:rPr>
            </w:pPr>
          </w:p>
        </w:tc>
        <w:tc>
          <w:tcPr>
            <w:tcW w:w="3958" w:type="dxa"/>
          </w:tcPr>
          <w:p w14:paraId="7E93BD84" w14:textId="77777777" w:rsidR="00F723AC" w:rsidRPr="00363BE2" w:rsidRDefault="00F723AC" w:rsidP="0085603B">
            <w:pPr>
              <w:jc w:val="right"/>
              <w:rPr>
                <w:rFonts w:ascii="Arial" w:hAnsi="Arial" w:cs="Arial"/>
                <w:sz w:val="22"/>
                <w:szCs w:val="28"/>
              </w:rPr>
            </w:pPr>
          </w:p>
        </w:tc>
      </w:tr>
      <w:tr w:rsidR="00560F18" w:rsidRPr="00363BE2" w14:paraId="6A086043" w14:textId="77777777" w:rsidTr="00700B2F">
        <w:trPr>
          <w:jc w:val="center"/>
        </w:trPr>
        <w:tc>
          <w:tcPr>
            <w:tcW w:w="4042" w:type="dxa"/>
          </w:tcPr>
          <w:p w14:paraId="43C043C6" w14:textId="026F357F" w:rsidR="00700B2F" w:rsidRPr="00363BE2" w:rsidRDefault="00700B2F" w:rsidP="001C63FE">
            <w:pPr>
              <w:pStyle w:val="Paragraphedeliste"/>
              <w:numPr>
                <w:ilvl w:val="0"/>
                <w:numId w:val="8"/>
              </w:numPr>
              <w:rPr>
                <w:rFonts w:ascii="Arial" w:hAnsi="Arial" w:cs="Arial"/>
                <w:sz w:val="22"/>
                <w:szCs w:val="28"/>
              </w:rPr>
            </w:pPr>
            <w:r w:rsidRPr="00363BE2">
              <w:rPr>
                <w:rFonts w:ascii="Arial" w:hAnsi="Arial" w:cs="Arial"/>
                <w:sz w:val="22"/>
                <w:szCs w:val="28"/>
              </w:rPr>
              <w:t>Rapport des commissaires aux comptes sur les comptes annuels 201</w:t>
            </w:r>
            <w:r w:rsidR="00B52490" w:rsidRPr="00363BE2">
              <w:rPr>
                <w:rFonts w:ascii="Arial" w:hAnsi="Arial" w:cs="Arial"/>
                <w:sz w:val="22"/>
                <w:szCs w:val="28"/>
              </w:rPr>
              <w:t>9</w:t>
            </w:r>
          </w:p>
        </w:tc>
        <w:tc>
          <w:tcPr>
            <w:tcW w:w="3958" w:type="dxa"/>
          </w:tcPr>
          <w:p w14:paraId="41F4DE7E" w14:textId="632B275F" w:rsidR="00700B2F" w:rsidRPr="00363BE2" w:rsidRDefault="00700B2F" w:rsidP="00F723AC">
            <w:pPr>
              <w:jc w:val="right"/>
              <w:rPr>
                <w:rFonts w:ascii="Arial" w:hAnsi="Arial" w:cs="Arial"/>
                <w:sz w:val="22"/>
                <w:szCs w:val="28"/>
              </w:rPr>
            </w:pPr>
            <w:r w:rsidRPr="00363BE2">
              <w:rPr>
                <w:rFonts w:ascii="Arial" w:hAnsi="Arial" w:cs="Arial"/>
                <w:sz w:val="22"/>
                <w:szCs w:val="28"/>
              </w:rPr>
              <w:t>Page</w:t>
            </w:r>
            <w:r w:rsidR="003D633C" w:rsidRPr="00363BE2">
              <w:rPr>
                <w:rFonts w:ascii="Arial" w:hAnsi="Arial" w:cs="Arial"/>
                <w:sz w:val="22"/>
                <w:szCs w:val="28"/>
              </w:rPr>
              <w:t xml:space="preserve"> </w:t>
            </w:r>
            <w:r w:rsidR="00E038A2">
              <w:rPr>
                <w:rFonts w:ascii="Arial" w:hAnsi="Arial" w:cs="Arial"/>
                <w:sz w:val="22"/>
                <w:szCs w:val="28"/>
              </w:rPr>
              <w:t>49</w:t>
            </w:r>
            <w:r w:rsidRPr="00363BE2">
              <w:rPr>
                <w:rFonts w:ascii="Arial" w:hAnsi="Arial" w:cs="Arial"/>
                <w:sz w:val="22"/>
                <w:szCs w:val="28"/>
              </w:rPr>
              <w:t xml:space="preserve"> </w:t>
            </w:r>
          </w:p>
        </w:tc>
      </w:tr>
      <w:tr w:rsidR="00F723AC" w:rsidRPr="00363BE2" w14:paraId="0279FFBB" w14:textId="77777777" w:rsidTr="00700B2F">
        <w:trPr>
          <w:jc w:val="center"/>
        </w:trPr>
        <w:tc>
          <w:tcPr>
            <w:tcW w:w="4042" w:type="dxa"/>
          </w:tcPr>
          <w:p w14:paraId="4DFEC569" w14:textId="77777777" w:rsidR="00F723AC" w:rsidRPr="00363BE2" w:rsidRDefault="00F723AC" w:rsidP="00F723AC">
            <w:pPr>
              <w:pStyle w:val="Paragraphedeliste"/>
              <w:rPr>
                <w:rFonts w:ascii="Arial" w:hAnsi="Arial" w:cs="Arial"/>
                <w:sz w:val="22"/>
                <w:szCs w:val="28"/>
              </w:rPr>
            </w:pPr>
          </w:p>
        </w:tc>
        <w:tc>
          <w:tcPr>
            <w:tcW w:w="3958" w:type="dxa"/>
          </w:tcPr>
          <w:p w14:paraId="41E82902" w14:textId="77777777" w:rsidR="00F723AC" w:rsidRPr="00363BE2" w:rsidRDefault="00F723AC" w:rsidP="00F723AC">
            <w:pPr>
              <w:jc w:val="right"/>
              <w:rPr>
                <w:rFonts w:ascii="Arial" w:hAnsi="Arial" w:cs="Arial"/>
                <w:sz w:val="22"/>
                <w:szCs w:val="28"/>
              </w:rPr>
            </w:pPr>
          </w:p>
        </w:tc>
      </w:tr>
      <w:tr w:rsidR="00560F18" w:rsidRPr="00363BE2" w14:paraId="09A32805" w14:textId="77777777" w:rsidTr="00700B2F">
        <w:trPr>
          <w:jc w:val="center"/>
        </w:trPr>
        <w:tc>
          <w:tcPr>
            <w:tcW w:w="4042" w:type="dxa"/>
          </w:tcPr>
          <w:p w14:paraId="5E61D809" w14:textId="6420BB2B" w:rsidR="00700B2F" w:rsidRPr="00363BE2" w:rsidRDefault="00700B2F" w:rsidP="00F723AC">
            <w:pPr>
              <w:pStyle w:val="Paragraphedeliste"/>
              <w:numPr>
                <w:ilvl w:val="0"/>
                <w:numId w:val="8"/>
              </w:numPr>
              <w:rPr>
                <w:rFonts w:ascii="Arial" w:hAnsi="Arial" w:cs="Arial"/>
                <w:sz w:val="22"/>
                <w:szCs w:val="28"/>
              </w:rPr>
            </w:pPr>
            <w:r w:rsidRPr="00363BE2">
              <w:rPr>
                <w:rFonts w:ascii="Arial" w:hAnsi="Arial" w:cs="Arial"/>
                <w:sz w:val="22"/>
                <w:szCs w:val="28"/>
              </w:rPr>
              <w:t>Rapport du Conseil sur le</w:t>
            </w:r>
            <w:r w:rsidR="0077406B" w:rsidRPr="00363BE2">
              <w:rPr>
                <w:rFonts w:ascii="Arial" w:hAnsi="Arial" w:cs="Arial"/>
                <w:sz w:val="22"/>
                <w:szCs w:val="28"/>
              </w:rPr>
              <w:t xml:space="preserve"> gouvernement d’entreprise</w:t>
            </w:r>
            <w:r w:rsidRPr="00363BE2">
              <w:rPr>
                <w:rFonts w:ascii="Arial" w:hAnsi="Arial" w:cs="Arial"/>
                <w:sz w:val="22"/>
                <w:szCs w:val="28"/>
              </w:rPr>
              <w:t xml:space="preserve"> </w:t>
            </w:r>
          </w:p>
        </w:tc>
        <w:tc>
          <w:tcPr>
            <w:tcW w:w="3958" w:type="dxa"/>
          </w:tcPr>
          <w:p w14:paraId="6AA9A81C" w14:textId="4C1B3D45" w:rsidR="00700B2F" w:rsidRPr="00363BE2" w:rsidRDefault="00700B2F" w:rsidP="0085603B">
            <w:pPr>
              <w:pStyle w:val="Paragraphedeliste"/>
              <w:ind w:left="0"/>
              <w:jc w:val="right"/>
              <w:rPr>
                <w:rFonts w:ascii="Arial" w:hAnsi="Arial" w:cs="Arial"/>
                <w:sz w:val="22"/>
                <w:szCs w:val="28"/>
              </w:rPr>
            </w:pPr>
            <w:r w:rsidRPr="00363BE2">
              <w:rPr>
                <w:rFonts w:ascii="Arial" w:hAnsi="Arial" w:cs="Arial"/>
                <w:sz w:val="22"/>
                <w:szCs w:val="28"/>
              </w:rPr>
              <w:t>Page</w:t>
            </w:r>
            <w:r w:rsidR="003D633C" w:rsidRPr="00363BE2">
              <w:rPr>
                <w:rFonts w:ascii="Arial" w:hAnsi="Arial" w:cs="Arial"/>
                <w:sz w:val="22"/>
                <w:szCs w:val="28"/>
              </w:rPr>
              <w:t xml:space="preserve"> </w:t>
            </w:r>
            <w:r w:rsidR="00E038A2">
              <w:rPr>
                <w:rFonts w:ascii="Arial" w:hAnsi="Arial" w:cs="Arial"/>
                <w:sz w:val="22"/>
                <w:szCs w:val="28"/>
              </w:rPr>
              <w:t>54</w:t>
            </w:r>
            <w:r w:rsidRPr="00363BE2">
              <w:rPr>
                <w:rFonts w:ascii="Arial" w:hAnsi="Arial" w:cs="Arial"/>
                <w:sz w:val="22"/>
                <w:szCs w:val="28"/>
              </w:rPr>
              <w:t xml:space="preserve"> </w:t>
            </w:r>
          </w:p>
        </w:tc>
      </w:tr>
      <w:tr w:rsidR="00F723AC" w:rsidRPr="00363BE2" w14:paraId="05B8D776" w14:textId="77777777" w:rsidTr="00700B2F">
        <w:trPr>
          <w:jc w:val="center"/>
        </w:trPr>
        <w:tc>
          <w:tcPr>
            <w:tcW w:w="4042" w:type="dxa"/>
          </w:tcPr>
          <w:p w14:paraId="07025467" w14:textId="77777777" w:rsidR="00F723AC" w:rsidRPr="00363BE2" w:rsidRDefault="00F723AC" w:rsidP="00F723AC">
            <w:pPr>
              <w:pStyle w:val="Paragraphedeliste"/>
              <w:rPr>
                <w:rFonts w:ascii="Arial" w:hAnsi="Arial" w:cs="Arial"/>
                <w:sz w:val="22"/>
                <w:szCs w:val="28"/>
              </w:rPr>
            </w:pPr>
          </w:p>
        </w:tc>
        <w:tc>
          <w:tcPr>
            <w:tcW w:w="3958" w:type="dxa"/>
          </w:tcPr>
          <w:p w14:paraId="7F6CA312" w14:textId="77777777" w:rsidR="00F723AC" w:rsidRPr="00363BE2" w:rsidRDefault="00F723AC" w:rsidP="0085603B">
            <w:pPr>
              <w:pStyle w:val="Paragraphedeliste"/>
              <w:ind w:left="0"/>
              <w:jc w:val="right"/>
              <w:rPr>
                <w:rFonts w:ascii="Arial" w:hAnsi="Arial" w:cs="Arial"/>
                <w:sz w:val="22"/>
                <w:szCs w:val="28"/>
              </w:rPr>
            </w:pPr>
          </w:p>
        </w:tc>
      </w:tr>
      <w:tr w:rsidR="00560F18" w:rsidRPr="00363BE2" w14:paraId="010F9DCD" w14:textId="77777777" w:rsidTr="00700B2F">
        <w:trPr>
          <w:jc w:val="center"/>
        </w:trPr>
        <w:tc>
          <w:tcPr>
            <w:tcW w:w="4042" w:type="dxa"/>
          </w:tcPr>
          <w:p w14:paraId="5343063B" w14:textId="08F415A0" w:rsidR="00700B2F" w:rsidRPr="00363BE2" w:rsidRDefault="00700B2F" w:rsidP="0078597E">
            <w:pPr>
              <w:pStyle w:val="Paragraphedeliste"/>
              <w:numPr>
                <w:ilvl w:val="0"/>
                <w:numId w:val="8"/>
              </w:numPr>
              <w:rPr>
                <w:rFonts w:ascii="Arial" w:hAnsi="Arial" w:cs="Arial"/>
                <w:sz w:val="22"/>
                <w:szCs w:val="28"/>
              </w:rPr>
            </w:pPr>
            <w:r w:rsidRPr="00363BE2">
              <w:rPr>
                <w:rFonts w:ascii="Arial" w:hAnsi="Arial" w:cs="Arial"/>
                <w:sz w:val="22"/>
              </w:rPr>
              <w:fldChar w:fldCharType="begin"/>
            </w:r>
            <w:r w:rsidRPr="00363BE2">
              <w:rPr>
                <w:rFonts w:ascii="Arial" w:hAnsi="Arial" w:cs="Arial"/>
                <w:sz w:val="22"/>
              </w:rPr>
              <w:instrText xml:space="preserve"> DOCPROPERTY  KISSubject  \* MERGEFORMAT </w:instrText>
            </w:r>
            <w:r w:rsidRPr="00363BE2">
              <w:rPr>
                <w:rFonts w:ascii="Arial" w:hAnsi="Arial" w:cs="Arial"/>
                <w:sz w:val="22"/>
              </w:rPr>
              <w:fldChar w:fldCharType="separate"/>
            </w:r>
            <w:r w:rsidRPr="00363BE2">
              <w:rPr>
                <w:rFonts w:ascii="Arial" w:hAnsi="Arial" w:cs="Arial"/>
                <w:sz w:val="22"/>
              </w:rPr>
              <w:t>Rapport spécial des commissaires aux comptes sur les conventions réglementé</w:t>
            </w:r>
            <w:r w:rsidR="0078597E">
              <w:rPr>
                <w:rFonts w:ascii="Arial" w:hAnsi="Arial" w:cs="Arial"/>
                <w:sz w:val="22"/>
              </w:rPr>
              <w:t>e</w:t>
            </w:r>
            <w:r w:rsidRPr="00363BE2">
              <w:rPr>
                <w:rFonts w:ascii="Arial" w:hAnsi="Arial" w:cs="Arial"/>
                <w:sz w:val="22"/>
              </w:rPr>
              <w:t>s</w:t>
            </w:r>
            <w:r w:rsidRPr="00363BE2">
              <w:rPr>
                <w:rFonts w:ascii="Arial" w:hAnsi="Arial" w:cs="Arial"/>
                <w:sz w:val="22"/>
              </w:rPr>
              <w:fldChar w:fldCharType="end"/>
            </w:r>
          </w:p>
        </w:tc>
        <w:tc>
          <w:tcPr>
            <w:tcW w:w="3958" w:type="dxa"/>
          </w:tcPr>
          <w:p w14:paraId="4D52EB09" w14:textId="45C2F876" w:rsidR="00700B2F" w:rsidRPr="00363BE2" w:rsidRDefault="00700B2F" w:rsidP="0085603B">
            <w:pPr>
              <w:jc w:val="right"/>
              <w:rPr>
                <w:rFonts w:ascii="Arial" w:hAnsi="Arial" w:cs="Arial"/>
                <w:sz w:val="22"/>
                <w:szCs w:val="28"/>
              </w:rPr>
            </w:pPr>
            <w:r w:rsidRPr="00363BE2">
              <w:rPr>
                <w:rFonts w:ascii="Arial" w:hAnsi="Arial" w:cs="Arial"/>
                <w:sz w:val="22"/>
                <w:szCs w:val="28"/>
              </w:rPr>
              <w:t>Page</w:t>
            </w:r>
            <w:r w:rsidR="00610BC9" w:rsidRPr="00363BE2">
              <w:rPr>
                <w:rFonts w:ascii="Arial" w:hAnsi="Arial" w:cs="Arial"/>
                <w:sz w:val="22"/>
                <w:szCs w:val="28"/>
              </w:rPr>
              <w:t xml:space="preserve"> </w:t>
            </w:r>
            <w:r w:rsidR="00E038A2">
              <w:rPr>
                <w:rFonts w:ascii="Arial" w:hAnsi="Arial" w:cs="Arial"/>
                <w:sz w:val="22"/>
                <w:szCs w:val="28"/>
              </w:rPr>
              <w:t>62</w:t>
            </w:r>
            <w:r w:rsidRPr="00363BE2">
              <w:rPr>
                <w:rFonts w:ascii="Arial" w:hAnsi="Arial" w:cs="Arial"/>
                <w:sz w:val="22"/>
                <w:szCs w:val="28"/>
              </w:rPr>
              <w:t xml:space="preserve"> </w:t>
            </w:r>
          </w:p>
        </w:tc>
      </w:tr>
      <w:tr w:rsidR="00F723AC" w:rsidRPr="00363BE2" w14:paraId="1780F41A" w14:textId="77777777" w:rsidTr="00700B2F">
        <w:trPr>
          <w:jc w:val="center"/>
        </w:trPr>
        <w:tc>
          <w:tcPr>
            <w:tcW w:w="4042" w:type="dxa"/>
          </w:tcPr>
          <w:p w14:paraId="428A34BA" w14:textId="77777777" w:rsidR="00F723AC" w:rsidRPr="00363BE2" w:rsidRDefault="00F723AC" w:rsidP="00F723AC">
            <w:pPr>
              <w:pStyle w:val="Paragraphedeliste"/>
              <w:rPr>
                <w:rFonts w:ascii="Arial" w:hAnsi="Arial" w:cs="Arial"/>
                <w:sz w:val="22"/>
              </w:rPr>
            </w:pPr>
          </w:p>
        </w:tc>
        <w:tc>
          <w:tcPr>
            <w:tcW w:w="3958" w:type="dxa"/>
          </w:tcPr>
          <w:p w14:paraId="4B159EFC" w14:textId="77777777" w:rsidR="00F723AC" w:rsidRPr="00363BE2" w:rsidRDefault="00F723AC" w:rsidP="0085603B">
            <w:pPr>
              <w:jc w:val="right"/>
              <w:rPr>
                <w:rFonts w:ascii="Arial" w:hAnsi="Arial" w:cs="Arial"/>
                <w:sz w:val="22"/>
                <w:szCs w:val="28"/>
              </w:rPr>
            </w:pPr>
          </w:p>
        </w:tc>
      </w:tr>
      <w:tr w:rsidR="00560F18" w:rsidRPr="00363BE2" w14:paraId="4535E13E" w14:textId="77777777" w:rsidTr="00700B2F">
        <w:trPr>
          <w:jc w:val="center"/>
        </w:trPr>
        <w:tc>
          <w:tcPr>
            <w:tcW w:w="4042" w:type="dxa"/>
          </w:tcPr>
          <w:p w14:paraId="4F2579AB" w14:textId="77777777" w:rsidR="003A1496" w:rsidRPr="00363BE2" w:rsidRDefault="00700B2F" w:rsidP="00281A16">
            <w:pPr>
              <w:pStyle w:val="Paragraphedeliste"/>
              <w:numPr>
                <w:ilvl w:val="0"/>
                <w:numId w:val="8"/>
              </w:numPr>
              <w:rPr>
                <w:rFonts w:ascii="Arial" w:hAnsi="Arial" w:cs="Arial"/>
                <w:sz w:val="22"/>
              </w:rPr>
            </w:pPr>
            <w:r w:rsidRPr="00363BE2">
              <w:rPr>
                <w:rFonts w:ascii="Arial" w:hAnsi="Arial" w:cs="Arial"/>
                <w:sz w:val="22"/>
              </w:rPr>
              <w:t>Attestation de responsabilité</w:t>
            </w:r>
          </w:p>
        </w:tc>
        <w:tc>
          <w:tcPr>
            <w:tcW w:w="3958" w:type="dxa"/>
          </w:tcPr>
          <w:p w14:paraId="6BB977CD" w14:textId="3A770A21" w:rsidR="003A1496" w:rsidRPr="00363BE2" w:rsidRDefault="00700B2F" w:rsidP="00C469FC">
            <w:pPr>
              <w:pStyle w:val="Paragraphedeliste"/>
              <w:ind w:left="0"/>
              <w:jc w:val="right"/>
              <w:rPr>
                <w:rFonts w:ascii="Arial" w:hAnsi="Arial" w:cs="Arial"/>
                <w:sz w:val="22"/>
              </w:rPr>
            </w:pPr>
            <w:r w:rsidRPr="00363BE2">
              <w:rPr>
                <w:rFonts w:ascii="Arial" w:hAnsi="Arial" w:cs="Arial"/>
                <w:sz w:val="22"/>
              </w:rPr>
              <w:t>Page</w:t>
            </w:r>
            <w:r w:rsidR="003D633C" w:rsidRPr="00363BE2">
              <w:rPr>
                <w:rFonts w:ascii="Arial" w:hAnsi="Arial" w:cs="Arial"/>
                <w:sz w:val="22"/>
              </w:rPr>
              <w:t xml:space="preserve"> </w:t>
            </w:r>
            <w:r w:rsidR="00242D0E">
              <w:rPr>
                <w:rFonts w:ascii="Arial" w:hAnsi="Arial" w:cs="Arial"/>
                <w:sz w:val="22"/>
              </w:rPr>
              <w:t>6</w:t>
            </w:r>
            <w:r w:rsidR="00E038A2">
              <w:rPr>
                <w:rFonts w:ascii="Arial" w:hAnsi="Arial" w:cs="Arial"/>
                <w:sz w:val="22"/>
              </w:rPr>
              <w:t>4</w:t>
            </w:r>
          </w:p>
        </w:tc>
      </w:tr>
    </w:tbl>
    <w:p w14:paraId="3F0EE569" w14:textId="77777777" w:rsidR="00725376" w:rsidRPr="00281A16" w:rsidRDefault="00725376" w:rsidP="00281A16">
      <w:pPr>
        <w:ind w:right="387"/>
        <w:jc w:val="both"/>
        <w:rPr>
          <w:rFonts w:ascii="Arial" w:hAnsi="Arial" w:cs="Arial"/>
          <w:szCs w:val="28"/>
        </w:rPr>
      </w:pPr>
    </w:p>
    <w:p w14:paraId="3983B779" w14:textId="77777777" w:rsidR="0095581F" w:rsidRPr="00281A16" w:rsidRDefault="0095581F" w:rsidP="00281A16">
      <w:pPr>
        <w:ind w:right="387"/>
        <w:jc w:val="both"/>
        <w:rPr>
          <w:rFonts w:ascii="Arial" w:hAnsi="Arial" w:cs="Arial"/>
          <w:sz w:val="22"/>
          <w:szCs w:val="22"/>
        </w:rPr>
      </w:pPr>
    </w:p>
    <w:p w14:paraId="0D227DFE" w14:textId="77777777" w:rsidR="00180D5A" w:rsidRPr="00281A16" w:rsidRDefault="00180D5A" w:rsidP="00281A16">
      <w:pPr>
        <w:ind w:right="387"/>
        <w:jc w:val="both"/>
        <w:rPr>
          <w:rFonts w:ascii="Arial" w:hAnsi="Arial" w:cs="Arial"/>
          <w:sz w:val="22"/>
          <w:szCs w:val="22"/>
        </w:rPr>
      </w:pPr>
    </w:p>
    <w:p w14:paraId="7F48355D" w14:textId="77777777" w:rsidR="00180D5A" w:rsidRPr="00281A16" w:rsidRDefault="00180D5A" w:rsidP="00281A16">
      <w:pPr>
        <w:ind w:right="387"/>
        <w:jc w:val="both"/>
        <w:rPr>
          <w:rFonts w:ascii="Arial" w:hAnsi="Arial" w:cs="Arial"/>
          <w:sz w:val="22"/>
          <w:szCs w:val="22"/>
        </w:rPr>
      </w:pPr>
    </w:p>
    <w:p w14:paraId="1034248D" w14:textId="77777777" w:rsidR="00180D5A" w:rsidRDefault="00180D5A" w:rsidP="00281A16">
      <w:pPr>
        <w:ind w:right="387"/>
        <w:jc w:val="both"/>
        <w:rPr>
          <w:rFonts w:ascii="Arial" w:hAnsi="Arial" w:cs="Arial"/>
          <w:sz w:val="22"/>
          <w:szCs w:val="22"/>
        </w:rPr>
      </w:pPr>
    </w:p>
    <w:p w14:paraId="3B6B0120" w14:textId="77777777" w:rsidR="003D633C" w:rsidRDefault="003D633C" w:rsidP="00281A16">
      <w:pPr>
        <w:ind w:right="387"/>
        <w:jc w:val="both"/>
        <w:rPr>
          <w:rFonts w:ascii="Arial" w:hAnsi="Arial" w:cs="Arial"/>
          <w:sz w:val="22"/>
          <w:szCs w:val="22"/>
        </w:rPr>
      </w:pPr>
    </w:p>
    <w:p w14:paraId="1317028B" w14:textId="77777777" w:rsidR="00AA2F41" w:rsidRDefault="00AA2F41" w:rsidP="00F60BA5">
      <w:pPr>
        <w:tabs>
          <w:tab w:val="left" w:pos="5529"/>
        </w:tabs>
        <w:rPr>
          <w:rFonts w:ascii="Arial" w:hAnsi="Arial" w:cs="Arial"/>
          <w:sz w:val="22"/>
          <w:szCs w:val="22"/>
        </w:rPr>
      </w:pPr>
      <w:r>
        <w:rPr>
          <w:rFonts w:ascii="Arial" w:hAnsi="Arial" w:cs="Arial"/>
          <w:sz w:val="22"/>
          <w:szCs w:val="22"/>
        </w:rPr>
        <w:br w:type="page"/>
      </w:r>
    </w:p>
    <w:p w14:paraId="67C6C132" w14:textId="77777777" w:rsidR="00286B5B" w:rsidRDefault="00286B5B" w:rsidP="00281A16">
      <w:pPr>
        <w:ind w:right="387"/>
        <w:jc w:val="both"/>
        <w:rPr>
          <w:rFonts w:ascii="Arial" w:hAnsi="Arial" w:cs="Arial"/>
          <w:sz w:val="22"/>
          <w:szCs w:val="22"/>
        </w:rPr>
      </w:pPr>
    </w:p>
    <w:p w14:paraId="4EEE9047" w14:textId="41FF7F39" w:rsidR="00286B5B" w:rsidRDefault="00286B5B" w:rsidP="00281A16">
      <w:pPr>
        <w:ind w:right="387"/>
        <w:jc w:val="both"/>
        <w:rPr>
          <w:rFonts w:ascii="Arial" w:hAnsi="Arial" w:cs="Arial"/>
          <w:sz w:val="22"/>
          <w:szCs w:val="22"/>
        </w:rPr>
      </w:pPr>
      <w:r w:rsidRPr="00286B5B">
        <w:rPr>
          <w:rFonts w:ascii="Arial" w:hAnsi="Arial" w:cs="Arial"/>
          <w:b/>
          <w:sz w:val="40"/>
          <w:u w:val="single"/>
        </w:rPr>
        <w:t xml:space="preserve">1. </w:t>
      </w:r>
      <w:r w:rsidR="0078649A">
        <w:rPr>
          <w:rFonts w:ascii="Arial" w:hAnsi="Arial" w:cs="Arial"/>
          <w:b/>
          <w:sz w:val="40"/>
          <w:u w:val="single"/>
        </w:rPr>
        <w:t>Rapport de gestion 2019</w:t>
      </w:r>
    </w:p>
    <w:p w14:paraId="3121C9F6" w14:textId="77777777" w:rsidR="00286B5B" w:rsidRDefault="00286B5B" w:rsidP="00281A16">
      <w:pPr>
        <w:ind w:right="387"/>
        <w:jc w:val="both"/>
        <w:rPr>
          <w:rFonts w:ascii="Arial" w:hAnsi="Arial" w:cs="Arial"/>
          <w:sz w:val="22"/>
          <w:szCs w:val="22"/>
        </w:rPr>
      </w:pPr>
    </w:p>
    <w:p w14:paraId="784DB7DB" w14:textId="77777777" w:rsidR="00286B5B" w:rsidRDefault="00286B5B" w:rsidP="00281A16">
      <w:pPr>
        <w:ind w:right="387"/>
        <w:jc w:val="both"/>
        <w:rPr>
          <w:rFonts w:ascii="Arial" w:hAnsi="Arial" w:cs="Arial"/>
          <w:sz w:val="22"/>
          <w:szCs w:val="22"/>
        </w:rPr>
      </w:pPr>
    </w:p>
    <w:p w14:paraId="5893566D" w14:textId="47F9E0E1" w:rsidR="00610BC9" w:rsidRPr="00CB1DAC" w:rsidRDefault="00610BC9" w:rsidP="00610BC9">
      <w:pPr>
        <w:jc w:val="center"/>
        <w:rPr>
          <w:b/>
        </w:rPr>
      </w:pPr>
      <w:r w:rsidRPr="00CB1DAC">
        <w:rPr>
          <w:b/>
        </w:rPr>
        <w:t>ASSEMBLEE GENERALE</w:t>
      </w:r>
      <w:r w:rsidR="004A7BA5">
        <w:rPr>
          <w:b/>
        </w:rPr>
        <w:t xml:space="preserve"> MIXTE</w:t>
      </w:r>
      <w:r w:rsidRPr="00CB1DAC">
        <w:rPr>
          <w:b/>
        </w:rPr>
        <w:t xml:space="preserve"> </w:t>
      </w:r>
      <w:r w:rsidRPr="007650FD">
        <w:rPr>
          <w:b/>
        </w:rPr>
        <w:t xml:space="preserve">DU </w:t>
      </w:r>
      <w:r w:rsidR="00EF6615" w:rsidRPr="007650FD">
        <w:rPr>
          <w:b/>
        </w:rPr>
        <w:t>29 MAI 2020</w:t>
      </w:r>
    </w:p>
    <w:p w14:paraId="276775D5" w14:textId="77777777" w:rsidR="00610BC9" w:rsidRPr="00CB1DAC" w:rsidRDefault="00610BC9" w:rsidP="00610BC9">
      <w:pPr>
        <w:jc w:val="center"/>
      </w:pPr>
    </w:p>
    <w:p w14:paraId="472024E0" w14:textId="50357DF1" w:rsidR="00610BC9" w:rsidRPr="00CB1DAC" w:rsidRDefault="00610BC9" w:rsidP="00610BC9">
      <w:pPr>
        <w:jc w:val="center"/>
        <w:rPr>
          <w:b/>
          <w:u w:val="single"/>
        </w:rPr>
      </w:pPr>
      <w:r w:rsidRPr="00CB1DAC">
        <w:rPr>
          <w:b/>
          <w:u w:val="single"/>
        </w:rPr>
        <w:t>RAPPORT DU CONSEIL D’ADMINISTRATION A L’ASSEMBLEE GENERALE</w:t>
      </w:r>
      <w:r w:rsidR="006D1753">
        <w:rPr>
          <w:b/>
          <w:u w:val="single"/>
        </w:rPr>
        <w:t xml:space="preserve"> </w:t>
      </w:r>
      <w:r w:rsidR="004A7BA5">
        <w:rPr>
          <w:b/>
          <w:u w:val="single"/>
        </w:rPr>
        <w:t xml:space="preserve">MIXTE </w:t>
      </w:r>
      <w:r w:rsidR="006D1753">
        <w:rPr>
          <w:b/>
          <w:u w:val="single"/>
        </w:rPr>
        <w:t>ANNUELLE</w:t>
      </w:r>
    </w:p>
    <w:p w14:paraId="37337D91" w14:textId="77777777" w:rsidR="00610BC9" w:rsidRPr="00CB1DAC" w:rsidRDefault="00610BC9" w:rsidP="00610BC9">
      <w:pPr>
        <w:jc w:val="center"/>
      </w:pPr>
    </w:p>
    <w:p w14:paraId="4D64F57F" w14:textId="77777777" w:rsidR="00610BC9" w:rsidRPr="00CB1DAC" w:rsidRDefault="00610BC9" w:rsidP="00610BC9">
      <w:pPr>
        <w:jc w:val="center"/>
      </w:pPr>
    </w:p>
    <w:p w14:paraId="352AF077" w14:textId="77777777" w:rsidR="00610BC9" w:rsidRPr="00CB1DAC" w:rsidRDefault="00610BC9" w:rsidP="00610BC9">
      <w:pPr>
        <w:jc w:val="center"/>
      </w:pPr>
    </w:p>
    <w:p w14:paraId="4B57CB37" w14:textId="77777777" w:rsidR="00610BC9" w:rsidRPr="00CB1DAC" w:rsidRDefault="00610BC9" w:rsidP="00610BC9">
      <w:pPr>
        <w:jc w:val="center"/>
      </w:pPr>
    </w:p>
    <w:p w14:paraId="021BC97D" w14:textId="77777777" w:rsidR="00610BC9" w:rsidRPr="00CB1DAC" w:rsidRDefault="00610BC9" w:rsidP="006D1753">
      <w:pPr>
        <w:jc w:val="both"/>
      </w:pPr>
      <w:r w:rsidRPr="00CB1DAC">
        <w:t>Chers actionnaires,</w:t>
      </w:r>
    </w:p>
    <w:p w14:paraId="7F0D5EFA" w14:textId="77777777" w:rsidR="00610BC9" w:rsidRPr="002C2943" w:rsidRDefault="00610BC9" w:rsidP="006D1753">
      <w:pPr>
        <w:jc w:val="both"/>
        <w:rPr>
          <w:szCs w:val="22"/>
        </w:rPr>
      </w:pPr>
    </w:p>
    <w:p w14:paraId="30F91AAE" w14:textId="73D3A42A" w:rsidR="006D1753" w:rsidRPr="00411B54" w:rsidRDefault="006D1753" w:rsidP="006D1753">
      <w:pPr>
        <w:jc w:val="both"/>
        <w:rPr>
          <w:rFonts w:asciiTheme="minorHAnsi" w:hAnsiTheme="minorHAnsi"/>
        </w:rPr>
      </w:pPr>
      <w:r w:rsidRPr="00411B54">
        <w:rPr>
          <w:rFonts w:asciiTheme="minorHAnsi" w:hAnsiTheme="minorHAnsi"/>
        </w:rPr>
        <w:t xml:space="preserve">Nous vous avons réunis en Assemblée Générale </w:t>
      </w:r>
      <w:r w:rsidR="004A7BA5">
        <w:rPr>
          <w:rFonts w:asciiTheme="minorHAnsi" w:hAnsiTheme="minorHAnsi"/>
        </w:rPr>
        <w:t>Mixte</w:t>
      </w:r>
      <w:r w:rsidR="004A7BA5" w:rsidRPr="00411B54">
        <w:rPr>
          <w:rFonts w:asciiTheme="minorHAnsi" w:hAnsiTheme="minorHAnsi"/>
        </w:rPr>
        <w:t xml:space="preserve"> </w:t>
      </w:r>
      <w:r w:rsidRPr="00411B54">
        <w:rPr>
          <w:rFonts w:asciiTheme="minorHAnsi" w:hAnsiTheme="minorHAnsi"/>
        </w:rPr>
        <w:t>en application des dispositions légales et statutaires pour, d'une part, vous rendre compte de l'activité de la Société au cours de l'exercice clos le 31 décembre 201</w:t>
      </w:r>
      <w:r w:rsidR="0078649A">
        <w:rPr>
          <w:rFonts w:asciiTheme="minorHAnsi" w:hAnsiTheme="minorHAnsi"/>
        </w:rPr>
        <w:t>9</w:t>
      </w:r>
      <w:r w:rsidRPr="00411B54">
        <w:rPr>
          <w:rFonts w:asciiTheme="minorHAnsi" w:hAnsiTheme="minorHAnsi"/>
        </w:rPr>
        <w:t>, des résultats de cette activité et des perspectives d'avenir et, d’autre part, soumettre à votre approbation le bilan et les comptes annuels dudit exercice,</w:t>
      </w:r>
      <w:r w:rsidR="004A7BA5">
        <w:rPr>
          <w:rFonts w:asciiTheme="minorHAnsi" w:hAnsiTheme="minorHAnsi"/>
        </w:rPr>
        <w:t xml:space="preserve"> ainsi que</w:t>
      </w:r>
      <w:r w:rsidRPr="00411B54">
        <w:rPr>
          <w:rFonts w:asciiTheme="minorHAnsi" w:hAnsiTheme="minorHAnsi"/>
        </w:rPr>
        <w:t xml:space="preserve"> la ratification de la cooptation d</w:t>
      </w:r>
      <w:r w:rsidR="004A7BA5">
        <w:rPr>
          <w:rFonts w:asciiTheme="minorHAnsi" w:hAnsiTheme="minorHAnsi"/>
        </w:rPr>
        <w:t>e</w:t>
      </w:r>
      <w:r w:rsidR="00C30C21">
        <w:rPr>
          <w:rFonts w:asciiTheme="minorHAnsi" w:hAnsiTheme="minorHAnsi"/>
        </w:rPr>
        <w:t xml:space="preserve"> </w:t>
      </w:r>
      <w:r w:rsidR="004A7BA5">
        <w:rPr>
          <w:rFonts w:asciiTheme="minorHAnsi" w:hAnsiTheme="minorHAnsi"/>
        </w:rPr>
        <w:t xml:space="preserve">deux </w:t>
      </w:r>
      <w:r w:rsidRPr="00411B54">
        <w:rPr>
          <w:rFonts w:asciiTheme="minorHAnsi" w:hAnsiTheme="minorHAnsi"/>
        </w:rPr>
        <w:t>administrateur</w:t>
      </w:r>
      <w:r w:rsidR="004A7BA5">
        <w:rPr>
          <w:rFonts w:asciiTheme="minorHAnsi" w:hAnsiTheme="minorHAnsi"/>
        </w:rPr>
        <w:t>s et la modification des statuts</w:t>
      </w:r>
      <w:r w:rsidR="00933591">
        <w:rPr>
          <w:rFonts w:asciiTheme="minorHAnsi" w:hAnsiTheme="minorHAnsi"/>
        </w:rPr>
        <w:t xml:space="preserve"> de la société</w:t>
      </w:r>
      <w:r w:rsidRPr="00411B54">
        <w:rPr>
          <w:rFonts w:asciiTheme="minorHAnsi" w:hAnsiTheme="minorHAnsi"/>
        </w:rPr>
        <w:t>.</w:t>
      </w:r>
    </w:p>
    <w:p w14:paraId="5F815515" w14:textId="77777777" w:rsidR="006D1753" w:rsidRPr="00411B54" w:rsidRDefault="006D1753" w:rsidP="006D1753">
      <w:pPr>
        <w:jc w:val="both"/>
        <w:rPr>
          <w:rFonts w:asciiTheme="minorHAnsi" w:hAnsiTheme="minorHAnsi"/>
        </w:rPr>
      </w:pPr>
    </w:p>
    <w:p w14:paraId="7FA9F897" w14:textId="77777777" w:rsidR="006D1753" w:rsidRPr="00411B54" w:rsidRDefault="006D1753" w:rsidP="006D1753">
      <w:pPr>
        <w:jc w:val="both"/>
        <w:rPr>
          <w:rFonts w:asciiTheme="minorHAnsi" w:hAnsiTheme="minorHAnsi"/>
        </w:rPr>
      </w:pPr>
      <w:r w:rsidRPr="00411B54">
        <w:rPr>
          <w:rFonts w:asciiTheme="minorHAnsi" w:hAnsiTheme="minorHAnsi"/>
        </w:rPr>
        <w:t>Les convocations prescrites par la loi vous ont été régulièrement adressées et tous les documents et pièces prévus par la réglementation en vigueur ont été tenus à votre disposition dans les délais impartis.</w:t>
      </w:r>
    </w:p>
    <w:p w14:paraId="6759E6C2" w14:textId="77777777" w:rsidR="00610BC9" w:rsidRPr="002C2943" w:rsidRDefault="00610BC9" w:rsidP="00610BC9">
      <w:pPr>
        <w:jc w:val="center"/>
        <w:rPr>
          <w:szCs w:val="22"/>
        </w:rPr>
      </w:pPr>
    </w:p>
    <w:p w14:paraId="7EF68481" w14:textId="77777777" w:rsidR="00610BC9" w:rsidRPr="002C2943" w:rsidRDefault="00610BC9" w:rsidP="00610BC9">
      <w:pPr>
        <w:jc w:val="center"/>
        <w:rPr>
          <w:szCs w:val="22"/>
        </w:rPr>
      </w:pPr>
    </w:p>
    <w:p w14:paraId="52463582" w14:textId="77777777" w:rsidR="00610BC9" w:rsidRPr="00CB1DAC" w:rsidRDefault="00610BC9" w:rsidP="00610BC9">
      <w:pPr>
        <w:jc w:val="center"/>
        <w:rPr>
          <w:b/>
        </w:rPr>
      </w:pPr>
      <w:r w:rsidRPr="00CB1DAC">
        <w:rPr>
          <w:b/>
        </w:rPr>
        <w:t>PREMIERE PARTIE</w:t>
      </w:r>
    </w:p>
    <w:p w14:paraId="6A7FA4C0" w14:textId="77777777" w:rsidR="00610BC9" w:rsidRPr="003C3C0F" w:rsidRDefault="00610BC9" w:rsidP="00610BC9">
      <w:pPr>
        <w:jc w:val="center"/>
      </w:pPr>
    </w:p>
    <w:p w14:paraId="3DE04280" w14:textId="77777777" w:rsidR="00610BC9" w:rsidRPr="00CB1DAC" w:rsidRDefault="00610BC9" w:rsidP="00610BC9">
      <w:pPr>
        <w:jc w:val="center"/>
        <w:rPr>
          <w:b/>
        </w:rPr>
      </w:pPr>
      <w:r w:rsidRPr="00CB1DAC">
        <w:rPr>
          <w:b/>
        </w:rPr>
        <w:t>RAPPORT DE GESTION</w:t>
      </w:r>
    </w:p>
    <w:p w14:paraId="5F63FFCA" w14:textId="77777777" w:rsidR="00610BC9" w:rsidRDefault="00610BC9" w:rsidP="00610BC9">
      <w:pPr>
        <w:jc w:val="center"/>
      </w:pPr>
    </w:p>
    <w:p w14:paraId="1A58D9AD" w14:textId="77777777" w:rsidR="00610BC9" w:rsidRPr="00CB1DAC" w:rsidRDefault="00610BC9" w:rsidP="00610BC9">
      <w:pPr>
        <w:jc w:val="center"/>
      </w:pPr>
    </w:p>
    <w:p w14:paraId="5DA38DE6" w14:textId="77777777" w:rsidR="00610BC9" w:rsidRPr="0020601A" w:rsidRDefault="00610BC9" w:rsidP="00D032FF">
      <w:pPr>
        <w:pStyle w:val="Titre1"/>
        <w:keepNext w:val="0"/>
        <w:numPr>
          <w:ilvl w:val="0"/>
          <w:numId w:val="21"/>
        </w:numPr>
        <w:ind w:left="567" w:hanging="567"/>
        <w:jc w:val="both"/>
        <w:rPr>
          <w:b w:val="0"/>
          <w:sz w:val="28"/>
          <w:szCs w:val="28"/>
        </w:rPr>
      </w:pPr>
      <w:r w:rsidRPr="0020601A">
        <w:rPr>
          <w:sz w:val="28"/>
          <w:szCs w:val="28"/>
        </w:rPr>
        <w:t>SITUATION ET ACTIVITE DE LA SOCIETE AU COURS DE L’EXERCICE ECOULE</w:t>
      </w:r>
    </w:p>
    <w:p w14:paraId="66879867" w14:textId="77777777" w:rsidR="00610BC9" w:rsidRPr="00E6695C" w:rsidRDefault="00610BC9" w:rsidP="00610BC9">
      <w:pPr>
        <w:rPr>
          <w:iCs/>
          <w:szCs w:val="22"/>
        </w:rPr>
      </w:pPr>
    </w:p>
    <w:p w14:paraId="11D5C836" w14:textId="77777777" w:rsidR="0020601A" w:rsidRPr="0020601A" w:rsidRDefault="00610BC9" w:rsidP="0020601A">
      <w:pPr>
        <w:pStyle w:val="Titre2"/>
        <w:rPr>
          <w:rFonts w:ascii="Times New Roman" w:hAnsi="Times New Roman" w:cs="Times New Roman"/>
          <w:b w:val="0"/>
          <w:sz w:val="26"/>
          <w:szCs w:val="26"/>
        </w:rPr>
      </w:pPr>
      <w:r w:rsidRPr="0020601A">
        <w:rPr>
          <w:rFonts w:ascii="Times New Roman" w:hAnsi="Times New Roman" w:cs="Times New Roman"/>
          <w:sz w:val="26"/>
          <w:szCs w:val="26"/>
        </w:rPr>
        <w:t>Présentation de la Socié</w:t>
      </w:r>
      <w:r w:rsidR="0020601A" w:rsidRPr="0020601A">
        <w:rPr>
          <w:rFonts w:ascii="Times New Roman" w:hAnsi="Times New Roman" w:cs="Times New Roman"/>
          <w:sz w:val="26"/>
          <w:szCs w:val="26"/>
        </w:rPr>
        <w:t>té et de son cadre réglementaire</w:t>
      </w:r>
    </w:p>
    <w:p w14:paraId="4F0F2F5A" w14:textId="516E7F9B" w:rsidR="0020601A" w:rsidRPr="003A3675" w:rsidRDefault="0020601A" w:rsidP="0020601A">
      <w:pPr>
        <w:pStyle w:val="Titre2"/>
        <w:numPr>
          <w:ilvl w:val="2"/>
          <w:numId w:val="6"/>
        </w:numPr>
        <w:rPr>
          <w:rFonts w:ascii="Times New Roman" w:hAnsi="Times New Roman" w:cs="Times New Roman"/>
          <w:b w:val="0"/>
          <w:sz w:val="24"/>
          <w:szCs w:val="24"/>
        </w:rPr>
      </w:pPr>
      <w:r w:rsidRPr="003A3675">
        <w:rPr>
          <w:rFonts w:ascii="Times New Roman" w:hAnsi="Times New Roman" w:cs="Times New Roman"/>
          <w:b w:val="0"/>
          <w:sz w:val="24"/>
          <w:szCs w:val="24"/>
        </w:rPr>
        <w:t>Présentation de la Société</w:t>
      </w:r>
    </w:p>
    <w:p w14:paraId="14986D22" w14:textId="77777777" w:rsidR="0020601A" w:rsidRDefault="0020601A" w:rsidP="00C2019C">
      <w:pPr>
        <w:jc w:val="both"/>
        <w:rPr>
          <w:iCs/>
          <w:szCs w:val="22"/>
        </w:rPr>
      </w:pPr>
    </w:p>
    <w:p w14:paraId="27532152" w14:textId="1572B8C5" w:rsidR="0078649A" w:rsidRPr="00061036" w:rsidRDefault="0078649A" w:rsidP="00757048">
      <w:pPr>
        <w:jc w:val="both"/>
        <w:rPr>
          <w:rFonts w:cs="Arial"/>
          <w:iCs/>
          <w:szCs w:val="22"/>
        </w:rPr>
      </w:pPr>
      <w:r w:rsidRPr="00061036">
        <w:rPr>
          <w:rFonts w:cs="Arial"/>
          <w:iCs/>
          <w:szCs w:val="22"/>
        </w:rPr>
        <w:t xml:space="preserve">La Banque </w:t>
      </w:r>
      <w:r>
        <w:rPr>
          <w:rFonts w:cs="Arial"/>
          <w:iCs/>
          <w:szCs w:val="22"/>
        </w:rPr>
        <w:t xml:space="preserve">Postale </w:t>
      </w:r>
      <w:r w:rsidRPr="00061036">
        <w:rPr>
          <w:rFonts w:cs="Arial"/>
          <w:iCs/>
          <w:szCs w:val="22"/>
        </w:rPr>
        <w:t>Home Loan SFH</w:t>
      </w:r>
      <w:r w:rsidR="00A9183D">
        <w:rPr>
          <w:rStyle w:val="Appelnotedebasdep"/>
          <w:rFonts w:cs="Arial"/>
          <w:iCs/>
          <w:szCs w:val="22"/>
        </w:rPr>
        <w:footnoteReference w:id="1"/>
      </w:r>
      <w:r w:rsidRPr="00061036">
        <w:rPr>
          <w:rFonts w:cs="Arial"/>
          <w:iCs/>
          <w:szCs w:val="22"/>
        </w:rPr>
        <w:t>, initialement créée sous la forme d’une SAS</w:t>
      </w:r>
      <w:r w:rsidR="00DB588B">
        <w:rPr>
          <w:rStyle w:val="Appelnotedebasdep"/>
          <w:rFonts w:cs="Arial"/>
          <w:iCs/>
          <w:szCs w:val="22"/>
        </w:rPr>
        <w:footnoteReference w:id="2"/>
      </w:r>
      <w:r w:rsidRPr="00061036">
        <w:rPr>
          <w:rFonts w:cs="Arial"/>
          <w:iCs/>
          <w:szCs w:val="22"/>
        </w:rPr>
        <w:t>, a pris la forme de Société Anonyme par décision des associés lors de l’AGE du 7 février 2013. La société est administrée par un Conseil d’Administration composé de minimum trois administrateurs et maximum dix-huit. La Banque Postale Home Loan SFH est agréée en France en tant qu’établissement de crédit avec le statut d’établissement de crédit spécialisé – Société de Financement de l’Habitat</w:t>
      </w:r>
      <w:r w:rsidR="00DB588B">
        <w:rPr>
          <w:rStyle w:val="Appelnotedebasdep"/>
          <w:rFonts w:cs="Arial"/>
          <w:iCs/>
          <w:szCs w:val="22"/>
        </w:rPr>
        <w:footnoteReference w:id="3"/>
      </w:r>
      <w:r w:rsidRPr="00061036">
        <w:rPr>
          <w:rFonts w:cs="Arial"/>
          <w:iCs/>
          <w:szCs w:val="22"/>
        </w:rPr>
        <w:t>.</w:t>
      </w:r>
    </w:p>
    <w:p w14:paraId="3B320C53" w14:textId="33275682" w:rsidR="0078649A" w:rsidRPr="00061036" w:rsidRDefault="0078649A" w:rsidP="00757048">
      <w:pPr>
        <w:jc w:val="both"/>
        <w:rPr>
          <w:rFonts w:cs="Arial"/>
          <w:iCs/>
          <w:szCs w:val="22"/>
        </w:rPr>
      </w:pPr>
      <w:r w:rsidRPr="00061036">
        <w:rPr>
          <w:rFonts w:cs="Arial"/>
          <w:iCs/>
          <w:szCs w:val="22"/>
        </w:rPr>
        <w:t>Conformément à ses statuts, la société a pour objet de financer des prêts à l’habitat. Le refinancement de ces opérations s’appuie sur un programme de 20 milliards d’euro d’émissions d’Obligations de Financement de l’Habitat (Covered Bond) notées AAA</w:t>
      </w:r>
      <w:r w:rsidR="00DB588B">
        <w:rPr>
          <w:rStyle w:val="Appelnotedebasdep"/>
          <w:rFonts w:cs="Arial"/>
          <w:iCs/>
          <w:szCs w:val="22"/>
        </w:rPr>
        <w:footnoteReference w:id="4"/>
      </w:r>
      <w:r w:rsidRPr="00061036">
        <w:rPr>
          <w:rFonts w:cs="Arial"/>
          <w:iCs/>
          <w:szCs w:val="22"/>
        </w:rPr>
        <w:t xml:space="preserve">. </w:t>
      </w:r>
    </w:p>
    <w:p w14:paraId="22E89E1D" w14:textId="77777777" w:rsidR="0078649A" w:rsidRDefault="0078649A" w:rsidP="00757048">
      <w:pPr>
        <w:jc w:val="both"/>
        <w:rPr>
          <w:rFonts w:cs="Arial"/>
          <w:iCs/>
          <w:szCs w:val="22"/>
        </w:rPr>
      </w:pPr>
    </w:p>
    <w:p w14:paraId="0A0F9536" w14:textId="77777777" w:rsidR="0078649A" w:rsidRPr="00061036" w:rsidRDefault="0078649A" w:rsidP="00757048">
      <w:pPr>
        <w:jc w:val="both"/>
        <w:rPr>
          <w:rFonts w:cs="Arial"/>
          <w:iCs/>
          <w:szCs w:val="22"/>
        </w:rPr>
      </w:pPr>
      <w:r w:rsidRPr="00061036">
        <w:rPr>
          <w:rFonts w:cs="Arial"/>
          <w:iCs/>
          <w:szCs w:val="22"/>
        </w:rPr>
        <w:t xml:space="preserve">Le mécanisme consiste à émettre des EMTN et de transférer le principal de ces émissions à LBP sous forme de prêts collatéralisés par un portefeuille de prêts immobiliers. Ces obligations bénéficient du privilège légal tel que défini par le Code monétaire et financier (article L.513-11). La Banque Postale Home Loan SFH n’a pas de salarié. La gestion de l’activité est supportée par La Banque Postale selon le contrat de service et d’externalisation établi entre les deux sociétés. En tant que SFH, la société à la possibilité de se refinancer auprès de la Banque Centrale. </w:t>
      </w:r>
    </w:p>
    <w:p w14:paraId="30A2E9FE" w14:textId="77777777" w:rsidR="007C6624" w:rsidRDefault="007C6624" w:rsidP="007C6624">
      <w:pPr>
        <w:jc w:val="both"/>
        <w:rPr>
          <w:iCs/>
          <w:szCs w:val="22"/>
        </w:rPr>
      </w:pPr>
    </w:p>
    <w:p w14:paraId="74F77196" w14:textId="28F7C5B7" w:rsidR="007C6624" w:rsidRPr="007C6624" w:rsidRDefault="007C6624" w:rsidP="007C6624">
      <w:pPr>
        <w:jc w:val="both"/>
        <w:rPr>
          <w:b/>
          <w:iCs/>
          <w:szCs w:val="22"/>
          <w:u w:val="single"/>
        </w:rPr>
      </w:pPr>
      <w:r w:rsidRPr="007C6624">
        <w:rPr>
          <w:b/>
          <w:iCs/>
          <w:szCs w:val="22"/>
          <w:u w:val="single"/>
        </w:rPr>
        <w:t>Principales activités de l’Emetteur (extrait du prospectus de base de la société)</w:t>
      </w:r>
    </w:p>
    <w:p w14:paraId="2F9958FE" w14:textId="77777777" w:rsidR="007C6624" w:rsidRDefault="007C6624" w:rsidP="007C6624">
      <w:pPr>
        <w:jc w:val="both"/>
        <w:rPr>
          <w:iCs/>
          <w:szCs w:val="22"/>
        </w:rPr>
      </w:pPr>
    </w:p>
    <w:p w14:paraId="78C36CDE" w14:textId="77777777" w:rsidR="0078649A" w:rsidRDefault="0078649A" w:rsidP="0078649A">
      <w:pPr>
        <w:jc w:val="both"/>
        <w:rPr>
          <w:iCs/>
          <w:szCs w:val="22"/>
        </w:rPr>
      </w:pPr>
      <w:r w:rsidRPr="0078649A">
        <w:rPr>
          <w:iCs/>
          <w:szCs w:val="22"/>
        </w:rPr>
        <w:t>Pour réaliser son objet social (en vertu de l'article 2 de ses statuts), LBP Home Loan SFH peut notamment exercer les activités et opérations suivantes :</w:t>
      </w:r>
    </w:p>
    <w:p w14:paraId="081999D4" w14:textId="77777777" w:rsidR="0078649A" w:rsidRPr="0078649A" w:rsidRDefault="0078649A" w:rsidP="0078649A">
      <w:pPr>
        <w:jc w:val="both"/>
        <w:rPr>
          <w:iCs/>
          <w:szCs w:val="22"/>
        </w:rPr>
      </w:pPr>
    </w:p>
    <w:p w14:paraId="7C347BAD" w14:textId="0EA59442" w:rsidR="0078649A" w:rsidRPr="00DB588B" w:rsidRDefault="0078649A" w:rsidP="00D032FF">
      <w:pPr>
        <w:pStyle w:val="Paragraphedeliste"/>
        <w:numPr>
          <w:ilvl w:val="0"/>
          <w:numId w:val="40"/>
        </w:numPr>
        <w:rPr>
          <w:rFonts w:cs="Arial"/>
          <w:iCs/>
          <w:szCs w:val="22"/>
        </w:rPr>
      </w:pPr>
      <w:r w:rsidRPr="00DB588B">
        <w:rPr>
          <w:rFonts w:cs="Arial"/>
          <w:iCs/>
          <w:szCs w:val="22"/>
        </w:rPr>
        <w:t>consentir à toute institution de crédit des prêts garantis par la remise, la cession ou le nantissement de créances attachées à des crédits à l'habitat</w:t>
      </w:r>
      <w:r w:rsidR="00DB588B">
        <w:rPr>
          <w:rStyle w:val="Appelnotedebasdep"/>
          <w:rFonts w:cs="Arial"/>
          <w:iCs/>
          <w:szCs w:val="22"/>
        </w:rPr>
        <w:footnoteReference w:id="5"/>
      </w:r>
    </w:p>
    <w:p w14:paraId="0479A5F2" w14:textId="3729E007" w:rsidR="0078649A" w:rsidRPr="00DB588B" w:rsidRDefault="0078649A" w:rsidP="00D032FF">
      <w:pPr>
        <w:pStyle w:val="Paragraphedeliste"/>
        <w:numPr>
          <w:ilvl w:val="0"/>
          <w:numId w:val="40"/>
        </w:numPr>
        <w:jc w:val="both"/>
        <w:rPr>
          <w:iCs/>
          <w:szCs w:val="22"/>
        </w:rPr>
      </w:pPr>
      <w:r w:rsidRPr="00DB588B">
        <w:rPr>
          <w:iCs/>
          <w:szCs w:val="22"/>
        </w:rPr>
        <w:t>acquérir des billets à ordre émis par toute institution de crédit</w:t>
      </w:r>
      <w:r w:rsidRPr="0078649A">
        <w:rPr>
          <w:vertAlign w:val="superscript"/>
        </w:rPr>
        <w:footnoteReference w:id="6"/>
      </w:r>
      <w:r w:rsidRPr="00DB588B">
        <w:rPr>
          <w:iCs/>
          <w:szCs w:val="22"/>
        </w:rPr>
        <w:t>;</w:t>
      </w:r>
    </w:p>
    <w:p w14:paraId="49DFDF66" w14:textId="15DB8197" w:rsidR="0078649A" w:rsidRPr="00373995" w:rsidRDefault="0078649A" w:rsidP="00D032FF">
      <w:pPr>
        <w:pStyle w:val="Paragraphedeliste"/>
        <w:numPr>
          <w:ilvl w:val="0"/>
          <w:numId w:val="40"/>
        </w:numPr>
        <w:jc w:val="both"/>
        <w:rPr>
          <w:iCs/>
          <w:szCs w:val="22"/>
        </w:rPr>
      </w:pPr>
      <w:r w:rsidRPr="00DB588B">
        <w:rPr>
          <w:iCs/>
          <w:szCs w:val="22"/>
        </w:rPr>
        <w:t>pour le financement des prêts susmentionnés, d'émettre des obligations de financement de</w:t>
      </w:r>
      <w:r w:rsidRPr="00373995">
        <w:rPr>
          <w:iCs/>
          <w:szCs w:val="22"/>
        </w:rPr>
        <w:t xml:space="preserve"> l'habitat bénéficiant du privilège défini à l'article L. 513-11 du Code monétaire et financier et de recueillir d'autres ressources dont le contrat d'émission ou de souscription mentionne ce privilège.</w:t>
      </w:r>
    </w:p>
    <w:p w14:paraId="70E48D1B" w14:textId="77777777" w:rsidR="0078649A" w:rsidRDefault="0078649A" w:rsidP="0078649A">
      <w:pPr>
        <w:jc w:val="both"/>
        <w:rPr>
          <w:iCs/>
          <w:szCs w:val="22"/>
        </w:rPr>
      </w:pPr>
    </w:p>
    <w:p w14:paraId="2C8A2585" w14:textId="77777777" w:rsidR="0078649A" w:rsidRPr="0078649A" w:rsidRDefault="0078649A" w:rsidP="0078649A">
      <w:pPr>
        <w:jc w:val="both"/>
        <w:rPr>
          <w:iCs/>
          <w:szCs w:val="22"/>
        </w:rPr>
      </w:pPr>
      <w:r w:rsidRPr="0078649A">
        <w:rPr>
          <w:iCs/>
          <w:szCs w:val="22"/>
        </w:rPr>
        <w:t>LBP Home Loan SFH peut également assurer le financement des activités mentionnées ci-dessus par l'émission d'obligations ou de ressources ne bénéficiant pas du privilège de l'article L. 513-11 du Code monétaire et financier.</w:t>
      </w:r>
    </w:p>
    <w:p w14:paraId="4ACE3482" w14:textId="77777777" w:rsidR="0078649A" w:rsidRPr="0078649A" w:rsidRDefault="0078649A" w:rsidP="0078649A">
      <w:pPr>
        <w:jc w:val="both"/>
        <w:rPr>
          <w:iCs/>
          <w:szCs w:val="22"/>
        </w:rPr>
      </w:pPr>
      <w:r w:rsidRPr="0078649A">
        <w:rPr>
          <w:iCs/>
          <w:szCs w:val="22"/>
        </w:rPr>
        <w:t>Cependant, LBP Home Loan SFH n'est pas autorisée à détenir toute forme d'intérêt en capital (participations) dans toute entité.</w:t>
      </w:r>
    </w:p>
    <w:p w14:paraId="63C14D38" w14:textId="77777777" w:rsidR="0078649A" w:rsidRPr="0078649A" w:rsidRDefault="0078649A" w:rsidP="0078649A">
      <w:pPr>
        <w:jc w:val="both"/>
        <w:rPr>
          <w:iCs/>
          <w:szCs w:val="22"/>
        </w:rPr>
      </w:pPr>
      <w:r w:rsidRPr="0078649A">
        <w:rPr>
          <w:iCs/>
          <w:szCs w:val="22"/>
        </w:rPr>
        <w:t>Les actifs de La Banque Postale Home Loan SFH sont composés de prêts à l’habitat et de valeurs de remplacement, éligibles à une société de financement de l’habitat en application du cadre légal français.</w:t>
      </w:r>
    </w:p>
    <w:p w14:paraId="09BC5010" w14:textId="77777777" w:rsidR="0078649A" w:rsidRPr="0078649A" w:rsidRDefault="0078649A" w:rsidP="0078649A">
      <w:pPr>
        <w:jc w:val="both"/>
        <w:rPr>
          <w:iCs/>
          <w:szCs w:val="22"/>
        </w:rPr>
      </w:pPr>
      <w:r w:rsidRPr="0078649A">
        <w:rPr>
          <w:iCs/>
          <w:szCs w:val="22"/>
        </w:rPr>
        <w:t>Les fonds de chaque émission sécurisée sont prêtés à LBP sous la forme d’un prêt collatéralisé de même montant nominal et de même maturité, comportant une marge additionnelle sur l’émission. La Banque Postale Home Loan SFH n’a donc pas d’autre risque de taux d’intérêt</w:t>
      </w:r>
      <w:r w:rsidRPr="0078649A">
        <w:rPr>
          <w:iCs/>
          <w:szCs w:val="22"/>
          <w:vertAlign w:val="superscript"/>
        </w:rPr>
        <w:footnoteReference w:id="7"/>
      </w:r>
      <w:r w:rsidRPr="0078649A">
        <w:rPr>
          <w:iCs/>
          <w:szCs w:val="22"/>
        </w:rPr>
        <w:t xml:space="preserve"> que celui généré par le replacement des capitaux propres de la société.</w:t>
      </w:r>
    </w:p>
    <w:p w14:paraId="18582CD0" w14:textId="77777777" w:rsidR="0078649A" w:rsidRPr="0078649A" w:rsidRDefault="0078649A" w:rsidP="0078649A">
      <w:pPr>
        <w:jc w:val="both"/>
        <w:rPr>
          <w:iCs/>
          <w:szCs w:val="22"/>
        </w:rPr>
      </w:pPr>
      <w:r w:rsidRPr="0078649A">
        <w:rPr>
          <w:iCs/>
          <w:szCs w:val="22"/>
        </w:rPr>
        <w:t xml:space="preserve">Les actifs apportés en garantie sont soit des crédits hypothécaires (hypothèque ou privilège de prêteur de deniers) soit des crédits cautionnés. Au 31/12/2019, 100 % des crédits bénéficiant d’une caution personne morale étaient cautionnés par l’établissement Crédit Logement. </w:t>
      </w:r>
    </w:p>
    <w:p w14:paraId="4468D539" w14:textId="77777777" w:rsidR="007C6624" w:rsidRPr="0020601A" w:rsidRDefault="007C6624" w:rsidP="007C6624">
      <w:pPr>
        <w:jc w:val="both"/>
        <w:rPr>
          <w:b/>
          <w:iCs/>
          <w:szCs w:val="22"/>
          <w:u w:val="single"/>
        </w:rPr>
      </w:pPr>
    </w:p>
    <w:p w14:paraId="70A54248" w14:textId="0CBD4BBB" w:rsidR="00A23722" w:rsidRDefault="00A23722">
      <w:pPr>
        <w:rPr>
          <w:iCs/>
          <w:szCs w:val="22"/>
        </w:rPr>
      </w:pPr>
      <w:r>
        <w:rPr>
          <w:iCs/>
          <w:szCs w:val="22"/>
        </w:rPr>
        <w:br w:type="page"/>
      </w:r>
    </w:p>
    <w:p w14:paraId="550F042C" w14:textId="77777777" w:rsidR="00610BC9" w:rsidRPr="00E6695C" w:rsidRDefault="00610BC9" w:rsidP="00610BC9">
      <w:pPr>
        <w:rPr>
          <w:iCs/>
          <w:szCs w:val="22"/>
        </w:rPr>
      </w:pPr>
    </w:p>
    <w:p w14:paraId="0EECBF6B" w14:textId="48DC6A99" w:rsidR="00610BC9" w:rsidRPr="00A23722" w:rsidRDefault="00A23722" w:rsidP="00FC60A3">
      <w:pPr>
        <w:pStyle w:val="Titre2"/>
        <w:keepNext w:val="0"/>
        <w:numPr>
          <w:ilvl w:val="0"/>
          <w:numId w:val="15"/>
        </w:numPr>
        <w:spacing w:before="0" w:after="0"/>
        <w:ind w:left="567" w:hanging="567"/>
        <w:jc w:val="both"/>
        <w:rPr>
          <w:rFonts w:ascii="Times New Roman" w:hAnsi="Times New Roman"/>
          <w:b w:val="0"/>
          <w:sz w:val="24"/>
          <w:szCs w:val="24"/>
        </w:rPr>
      </w:pPr>
      <w:r w:rsidRPr="00A23722">
        <w:rPr>
          <w:rFonts w:ascii="Times New Roman" w:hAnsi="Times New Roman"/>
          <w:sz w:val="24"/>
          <w:szCs w:val="24"/>
        </w:rPr>
        <w:t>Description du Groupe de l’Emetteur et de la position de l’Emetteur au sein du Groupe</w:t>
      </w:r>
    </w:p>
    <w:p w14:paraId="2B7817B5" w14:textId="77777777" w:rsidR="00610BC9" w:rsidRDefault="00610BC9" w:rsidP="00610BC9">
      <w:pPr>
        <w:rPr>
          <w:iCs/>
          <w:szCs w:val="22"/>
        </w:rPr>
      </w:pPr>
    </w:p>
    <w:p w14:paraId="75AC4DE5" w14:textId="77777777" w:rsidR="00E16F70" w:rsidRDefault="00E16F70" w:rsidP="00E16F70">
      <w:pPr>
        <w:jc w:val="both"/>
        <w:rPr>
          <w:iCs/>
          <w:szCs w:val="22"/>
        </w:rPr>
      </w:pPr>
      <w:r w:rsidRPr="00DC667A">
        <w:rPr>
          <w:iCs/>
          <w:szCs w:val="22"/>
        </w:rPr>
        <w:t xml:space="preserve">Les éléments ci-après sont extraits du prospectus de base de la SFH dans sa version visée par l’AMF le </w:t>
      </w:r>
      <w:r w:rsidRPr="00E16F70">
        <w:rPr>
          <w:iCs/>
          <w:szCs w:val="22"/>
        </w:rPr>
        <w:t>30 septembre 2019.</w:t>
      </w:r>
    </w:p>
    <w:p w14:paraId="3D30AE65" w14:textId="77777777" w:rsidR="00E16F70" w:rsidRPr="00E16F70" w:rsidRDefault="00E16F70" w:rsidP="00E16F70">
      <w:pPr>
        <w:jc w:val="both"/>
        <w:rPr>
          <w:iCs/>
          <w:szCs w:val="22"/>
        </w:rPr>
      </w:pPr>
    </w:p>
    <w:p w14:paraId="6E354047" w14:textId="2A14FEA6" w:rsidR="00E16F70" w:rsidRDefault="00E16F70" w:rsidP="00E16F70">
      <w:pPr>
        <w:jc w:val="both"/>
        <w:rPr>
          <w:iCs/>
          <w:szCs w:val="22"/>
        </w:rPr>
      </w:pPr>
      <w:r w:rsidRPr="00E16F70">
        <w:rPr>
          <w:iCs/>
          <w:szCs w:val="22"/>
        </w:rPr>
        <w:t>La Banque Postale</w:t>
      </w:r>
      <w:r w:rsidR="006B7086">
        <w:rPr>
          <w:rStyle w:val="Appelnotedebasdep"/>
          <w:iCs/>
          <w:szCs w:val="22"/>
        </w:rPr>
        <w:footnoteReference w:id="8"/>
      </w:r>
      <w:r w:rsidRPr="00E16F70">
        <w:rPr>
          <w:iCs/>
          <w:szCs w:val="22"/>
        </w:rPr>
        <w:t xml:space="preserve"> est une filiale détenue à 100%, à l'exception du prêt d'une (1) action au Président du Conseil de Surveillance, par La Poste, qui est l'entité mère du groupe La Banque Postale (le "Groupe La Banque Postale"). </w:t>
      </w:r>
    </w:p>
    <w:p w14:paraId="65747662" w14:textId="77777777" w:rsidR="00E16F70" w:rsidRPr="00E16F70" w:rsidRDefault="00E16F70" w:rsidP="00E16F70">
      <w:pPr>
        <w:jc w:val="both"/>
        <w:rPr>
          <w:iCs/>
          <w:szCs w:val="22"/>
        </w:rPr>
      </w:pPr>
    </w:p>
    <w:p w14:paraId="0BEFC7D3" w14:textId="77777777" w:rsidR="00E16F70" w:rsidRDefault="00E16F70" w:rsidP="00E16F70">
      <w:pPr>
        <w:jc w:val="both"/>
        <w:rPr>
          <w:iCs/>
          <w:szCs w:val="22"/>
        </w:rPr>
      </w:pPr>
      <w:r w:rsidRPr="00E16F70">
        <w:rPr>
          <w:iCs/>
          <w:szCs w:val="22"/>
        </w:rPr>
        <w:t xml:space="preserve">La Banque Postale Home Loan SFH (l'Emetteur) est une société anonyme à conseil d'administration régie par le droit français en tant que société de financement de l'habitat. </w:t>
      </w:r>
    </w:p>
    <w:p w14:paraId="7E094D52" w14:textId="77777777" w:rsidR="00E16F70" w:rsidRPr="00E16F70" w:rsidRDefault="00E16F70" w:rsidP="00E16F70">
      <w:pPr>
        <w:jc w:val="both"/>
        <w:rPr>
          <w:iCs/>
          <w:szCs w:val="22"/>
        </w:rPr>
      </w:pPr>
    </w:p>
    <w:p w14:paraId="08D1B004" w14:textId="77777777" w:rsidR="00E16F70" w:rsidRPr="00E16F70" w:rsidRDefault="00E16F70" w:rsidP="00E16F70">
      <w:pPr>
        <w:jc w:val="both"/>
        <w:rPr>
          <w:iCs/>
          <w:szCs w:val="22"/>
        </w:rPr>
      </w:pPr>
      <w:r w:rsidRPr="00E16F70">
        <w:rPr>
          <w:iCs/>
          <w:szCs w:val="22"/>
        </w:rPr>
        <w:t>LBP est un établissement de crédit agréé par l'Autorité de Contrôle Prudentiel et de Résolution et supervisé directement par la Banque centrale européenne. Son rôle consiste à assister LBP Home Loan SFH dans ses activités en qualité d'établissement support, tel que défini par la règlementation applicable aux sociétés de financement de l'habitat, notamment au sens de l'article L. 513-15 du Code monétaire et financier.</w:t>
      </w:r>
    </w:p>
    <w:p w14:paraId="0075F2CC" w14:textId="4D8846C8" w:rsidR="00E16F70" w:rsidRPr="00085EAE" w:rsidRDefault="00E16F70" w:rsidP="00E16F70"/>
    <w:p w14:paraId="49ADF5FA" w14:textId="03654952" w:rsidR="00A23722" w:rsidRDefault="00606445" w:rsidP="007650FD">
      <w:pPr>
        <w:jc w:val="center"/>
        <w:rPr>
          <w:iCs/>
          <w:szCs w:val="22"/>
        </w:rPr>
      </w:pPr>
      <w:r>
        <w:rPr>
          <w:noProof/>
        </w:rPr>
        <w:drawing>
          <wp:inline distT="0" distB="0" distL="0" distR="0" wp14:anchorId="5FBA8350" wp14:editId="114C7A91">
            <wp:extent cx="4248150" cy="55827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1583" cy="5587265"/>
                    </a:xfrm>
                    <a:prstGeom prst="rect">
                      <a:avLst/>
                    </a:prstGeom>
                  </pic:spPr>
                </pic:pic>
              </a:graphicData>
            </a:graphic>
          </wp:inline>
        </w:drawing>
      </w:r>
    </w:p>
    <w:p w14:paraId="30810D27" w14:textId="7271AA4E" w:rsidR="00A23722" w:rsidRPr="007650FD" w:rsidRDefault="00A23722" w:rsidP="007650FD">
      <w:pPr>
        <w:jc w:val="center"/>
        <w:rPr>
          <w:rFonts w:asciiTheme="minorHAnsi" w:hAnsiTheme="minorHAnsi"/>
          <w:iCs/>
          <w:szCs w:val="22"/>
        </w:rPr>
      </w:pPr>
    </w:p>
    <w:p w14:paraId="23D25684" w14:textId="5B454D8F" w:rsidR="00A23722" w:rsidRPr="00A23722" w:rsidRDefault="00A23722" w:rsidP="00FC60A3">
      <w:pPr>
        <w:pStyle w:val="Titre2"/>
        <w:keepNext w:val="0"/>
        <w:numPr>
          <w:ilvl w:val="0"/>
          <w:numId w:val="15"/>
        </w:numPr>
        <w:spacing w:before="0" w:after="0"/>
        <w:ind w:left="567" w:hanging="567"/>
        <w:jc w:val="both"/>
        <w:rPr>
          <w:rFonts w:ascii="Times New Roman" w:hAnsi="Times New Roman"/>
          <w:b w:val="0"/>
          <w:sz w:val="24"/>
          <w:szCs w:val="24"/>
        </w:rPr>
      </w:pPr>
      <w:r w:rsidRPr="00A23722">
        <w:rPr>
          <w:rFonts w:ascii="Times New Roman" w:hAnsi="Times New Roman"/>
          <w:sz w:val="24"/>
          <w:szCs w:val="24"/>
        </w:rPr>
        <w:t>Degré de dépendance de l’Emetteur à l’égard d’autres entités du Groupe</w:t>
      </w:r>
    </w:p>
    <w:p w14:paraId="71D294CD" w14:textId="77777777" w:rsidR="00A23722" w:rsidRPr="00A23722" w:rsidRDefault="00A23722" w:rsidP="00A23722">
      <w:pPr>
        <w:jc w:val="both"/>
        <w:rPr>
          <w:iCs/>
          <w:szCs w:val="22"/>
        </w:rPr>
      </w:pPr>
    </w:p>
    <w:p w14:paraId="79B9E5E9" w14:textId="77777777" w:rsidR="00E16F70" w:rsidRDefault="00E16F70" w:rsidP="006B7086">
      <w:pPr>
        <w:jc w:val="both"/>
        <w:rPr>
          <w:rFonts w:cs="Arial"/>
          <w:iCs/>
          <w:szCs w:val="22"/>
        </w:rPr>
      </w:pPr>
      <w:r w:rsidRPr="00085EAE">
        <w:rPr>
          <w:rFonts w:cs="Arial"/>
          <w:iCs/>
          <w:szCs w:val="22"/>
        </w:rPr>
        <w:t>Le rôle de LBP est d’assister la SFH pour le refinancement des crédits à l’habitat d’une part et d’assurer la gestion opérationnelle d’autre part. Les relations sont encadrées par un ensemble de documents tels que précisé dans le prospectus de base. Les éléments ci-après sont extraits du prospectus de base de la SFH dans sa version visée par l’AMF</w:t>
      </w:r>
      <w:r>
        <w:rPr>
          <w:rFonts w:cs="Arial"/>
          <w:iCs/>
          <w:szCs w:val="22"/>
        </w:rPr>
        <w:t> </w:t>
      </w:r>
      <w:r w:rsidRPr="00085EAE">
        <w:rPr>
          <w:rFonts w:cs="Arial"/>
          <w:iCs/>
          <w:szCs w:val="22"/>
        </w:rPr>
        <w:t>le</w:t>
      </w:r>
      <w:r>
        <w:rPr>
          <w:rFonts w:cs="Arial"/>
          <w:iCs/>
          <w:szCs w:val="22"/>
        </w:rPr>
        <w:t> 12 avril </w:t>
      </w:r>
      <w:r w:rsidRPr="00085EAE">
        <w:rPr>
          <w:rFonts w:cs="Arial"/>
          <w:iCs/>
          <w:szCs w:val="22"/>
        </w:rPr>
        <w:t>2019.</w:t>
      </w:r>
    </w:p>
    <w:p w14:paraId="489552DF" w14:textId="77777777" w:rsidR="00E16F70" w:rsidRPr="00085EAE" w:rsidRDefault="00E16F70" w:rsidP="006B7086">
      <w:pPr>
        <w:jc w:val="both"/>
        <w:rPr>
          <w:rFonts w:cs="Arial"/>
          <w:iCs/>
          <w:szCs w:val="22"/>
        </w:rPr>
      </w:pPr>
    </w:p>
    <w:p w14:paraId="6BB62450" w14:textId="77777777" w:rsidR="00E16F70" w:rsidRDefault="00E16F70" w:rsidP="00D032FF">
      <w:pPr>
        <w:pStyle w:val="Paragraphedeliste"/>
        <w:numPr>
          <w:ilvl w:val="0"/>
          <w:numId w:val="40"/>
        </w:numPr>
        <w:jc w:val="both"/>
        <w:rPr>
          <w:rFonts w:cs="Arial"/>
          <w:iCs/>
          <w:szCs w:val="22"/>
        </w:rPr>
      </w:pPr>
      <w:r w:rsidRPr="00E16F70">
        <w:rPr>
          <w:rFonts w:cs="Arial"/>
          <w:iCs/>
          <w:szCs w:val="22"/>
        </w:rPr>
        <w:t>LBP Home Loan SFH et LBP ont conclu un contrat de crédit non confirmé intitulé "Uncommitted Facility Agreement" (le "Contrat de Crédit") définissant les termes et conditions en vertu desquels l'Emetteur s'engage à utiliser le produit de l'émission des Titres pour accorder des prêts à LBP pour un montant total maximum correspondant à la Limite du Programme.</w:t>
      </w:r>
    </w:p>
    <w:p w14:paraId="50ABD725" w14:textId="77777777" w:rsidR="00E16F70" w:rsidRPr="00E16F70" w:rsidRDefault="00E16F70" w:rsidP="006B7086">
      <w:pPr>
        <w:pStyle w:val="Paragraphedeliste"/>
        <w:jc w:val="both"/>
        <w:rPr>
          <w:rFonts w:cs="Arial"/>
          <w:iCs/>
          <w:szCs w:val="22"/>
        </w:rPr>
      </w:pPr>
    </w:p>
    <w:p w14:paraId="459BF6E4" w14:textId="646FB83B" w:rsidR="00E16F70" w:rsidRDefault="00E16F70" w:rsidP="00D032FF">
      <w:pPr>
        <w:pStyle w:val="Paragraphedeliste"/>
        <w:numPr>
          <w:ilvl w:val="0"/>
          <w:numId w:val="40"/>
        </w:numPr>
        <w:jc w:val="both"/>
        <w:rPr>
          <w:rFonts w:cs="Arial"/>
          <w:iCs/>
          <w:szCs w:val="22"/>
        </w:rPr>
      </w:pPr>
      <w:r w:rsidRPr="00E16F70">
        <w:rPr>
          <w:rFonts w:cs="Arial"/>
          <w:iCs/>
          <w:szCs w:val="22"/>
        </w:rPr>
        <w:t>Le Contrat de Crédit est garanti par le biais d'un contrat de garantie intitulé "Collateral Security Agreement" (le "Contrat de Garantie") en vertu duquel LBP s'engage, en garantie de ses obligations financières, à transférer par le biais d'une remise en pleine propriété à titre de garantie au bénéfice de LBP Home Loan SFH</w:t>
      </w:r>
      <w:r w:rsidR="006B7086">
        <w:rPr>
          <w:rStyle w:val="Appelnotedebasdep"/>
          <w:rFonts w:cs="Arial"/>
          <w:iCs/>
          <w:szCs w:val="22"/>
        </w:rPr>
        <w:footnoteReference w:id="9"/>
      </w:r>
      <w:r w:rsidRPr="00E16F70">
        <w:rPr>
          <w:rFonts w:cs="Arial"/>
          <w:iCs/>
          <w:szCs w:val="22"/>
        </w:rPr>
        <w:t>, de crédits à l'habitat respectant les critères d'admissibilité prévus à l'article L. 513-29 du Code monétaire et financier, et d'autres actifs au sens du cadre légal français applicable aux sociétés de financement de l'habitat.</w:t>
      </w:r>
    </w:p>
    <w:p w14:paraId="15268E65" w14:textId="77777777" w:rsidR="00E16F70" w:rsidRPr="00E16F70" w:rsidRDefault="00E16F70" w:rsidP="006B7086">
      <w:pPr>
        <w:pStyle w:val="Paragraphedeliste"/>
        <w:jc w:val="both"/>
        <w:rPr>
          <w:rFonts w:cs="Arial"/>
          <w:iCs/>
          <w:szCs w:val="22"/>
        </w:rPr>
      </w:pPr>
    </w:p>
    <w:p w14:paraId="0C3E27A1" w14:textId="3FAF3D83" w:rsidR="00E16F70" w:rsidRPr="00E16F70" w:rsidRDefault="00E16F70" w:rsidP="00D032FF">
      <w:pPr>
        <w:pStyle w:val="Paragraphedeliste"/>
        <w:numPr>
          <w:ilvl w:val="0"/>
          <w:numId w:val="40"/>
        </w:numPr>
        <w:jc w:val="both"/>
        <w:rPr>
          <w:rFonts w:cs="Arial"/>
          <w:iCs/>
          <w:szCs w:val="22"/>
        </w:rPr>
      </w:pPr>
      <w:r w:rsidRPr="00E16F70">
        <w:rPr>
          <w:rFonts w:cs="Arial"/>
          <w:iCs/>
          <w:szCs w:val="22"/>
        </w:rPr>
        <w:t>LBP Home Loan SFH a également conclu les contrats suivants avec LBP :</w:t>
      </w:r>
    </w:p>
    <w:p w14:paraId="7C5CB950" w14:textId="77777777" w:rsidR="00E16F70" w:rsidRPr="00E16F70" w:rsidRDefault="00E16F70" w:rsidP="006B7086">
      <w:pPr>
        <w:jc w:val="both"/>
        <w:rPr>
          <w:rFonts w:cs="Arial"/>
          <w:iCs/>
          <w:szCs w:val="22"/>
        </w:rPr>
      </w:pPr>
    </w:p>
    <w:p w14:paraId="4B0A959F" w14:textId="77777777" w:rsidR="00E16F70" w:rsidRPr="0086326F" w:rsidRDefault="00E16F70" w:rsidP="00D032FF">
      <w:pPr>
        <w:pStyle w:val="Listepuces2"/>
        <w:numPr>
          <w:ilvl w:val="1"/>
          <w:numId w:val="42"/>
        </w:numPr>
        <w:spacing w:after="120"/>
        <w:contextualSpacing w:val="0"/>
        <w:jc w:val="both"/>
      </w:pPr>
      <w:r w:rsidRPr="0086326F">
        <w:t>une convention d'externalisation et de fourniture de services ;</w:t>
      </w:r>
    </w:p>
    <w:p w14:paraId="701AD471" w14:textId="77777777" w:rsidR="00E16F70" w:rsidRPr="0086326F" w:rsidRDefault="00E16F70" w:rsidP="00D032FF">
      <w:pPr>
        <w:pStyle w:val="Listepuces2"/>
        <w:numPr>
          <w:ilvl w:val="1"/>
          <w:numId w:val="42"/>
        </w:numPr>
        <w:spacing w:after="120"/>
        <w:contextualSpacing w:val="0"/>
        <w:jc w:val="both"/>
      </w:pPr>
      <w:r w:rsidRPr="0086326F">
        <w:t>une convention de gestion ;</w:t>
      </w:r>
    </w:p>
    <w:p w14:paraId="5054F187" w14:textId="77777777" w:rsidR="00E16F70" w:rsidRPr="0086326F" w:rsidRDefault="00E16F70" w:rsidP="00D032FF">
      <w:pPr>
        <w:pStyle w:val="Listepuces2"/>
        <w:numPr>
          <w:ilvl w:val="1"/>
          <w:numId w:val="42"/>
        </w:numPr>
        <w:spacing w:after="120"/>
        <w:contextualSpacing w:val="0"/>
        <w:jc w:val="both"/>
      </w:pPr>
      <w:r w:rsidRPr="0086326F">
        <w:t>une convention de compte ; et</w:t>
      </w:r>
    </w:p>
    <w:p w14:paraId="65C2B942" w14:textId="77777777" w:rsidR="00E16F70" w:rsidRPr="0086326F" w:rsidRDefault="00E16F70" w:rsidP="00D032FF">
      <w:pPr>
        <w:pStyle w:val="Listepuces2"/>
        <w:numPr>
          <w:ilvl w:val="1"/>
          <w:numId w:val="42"/>
        </w:numPr>
        <w:spacing w:after="120"/>
        <w:contextualSpacing w:val="0"/>
        <w:jc w:val="both"/>
      </w:pPr>
      <w:r w:rsidRPr="0086326F">
        <w:t>une convention de remise en pleine propriété à titre de garantie.</w:t>
      </w:r>
    </w:p>
    <w:p w14:paraId="40D6C4FC" w14:textId="33BEAD86" w:rsidR="00A23722" w:rsidRPr="003A3675" w:rsidRDefault="00A23722" w:rsidP="00A23722">
      <w:pPr>
        <w:pStyle w:val="Titre2"/>
        <w:numPr>
          <w:ilvl w:val="2"/>
          <w:numId w:val="6"/>
        </w:numPr>
        <w:rPr>
          <w:rFonts w:ascii="Times New Roman" w:hAnsi="Times New Roman" w:cs="Times New Roman"/>
          <w:b w:val="0"/>
          <w:sz w:val="24"/>
          <w:szCs w:val="24"/>
        </w:rPr>
      </w:pPr>
      <w:r w:rsidRPr="003A3675">
        <w:rPr>
          <w:rFonts w:ascii="Times New Roman" w:hAnsi="Times New Roman" w:cs="Times New Roman"/>
          <w:b w:val="0"/>
          <w:sz w:val="24"/>
          <w:szCs w:val="24"/>
        </w:rPr>
        <w:t>Cadre réglementaire</w:t>
      </w:r>
    </w:p>
    <w:p w14:paraId="1E6C94BC" w14:textId="77777777" w:rsidR="00610BC9" w:rsidRDefault="00610BC9" w:rsidP="00610BC9"/>
    <w:p w14:paraId="4D1BE391" w14:textId="77777777" w:rsidR="006B7086" w:rsidRDefault="006B7086" w:rsidP="006B7086">
      <w:pPr>
        <w:jc w:val="both"/>
        <w:rPr>
          <w:rFonts w:cs="Arial"/>
          <w:iCs/>
          <w:szCs w:val="22"/>
        </w:rPr>
      </w:pPr>
      <w:r w:rsidRPr="006B7086">
        <w:rPr>
          <w:rFonts w:cs="Arial"/>
          <w:iCs/>
          <w:szCs w:val="22"/>
        </w:rPr>
        <w:t xml:space="preserve">Les éléments ci-après sont extraits du prospectus de base de la SFH dans sa version visée par l’AMF le </w:t>
      </w:r>
      <w:r>
        <w:rPr>
          <w:rFonts w:cs="Arial"/>
          <w:iCs/>
          <w:szCs w:val="22"/>
        </w:rPr>
        <w:t>12 avril </w:t>
      </w:r>
      <w:r w:rsidRPr="00085EAE">
        <w:rPr>
          <w:rFonts w:cs="Arial"/>
          <w:iCs/>
          <w:szCs w:val="22"/>
        </w:rPr>
        <w:t>2019</w:t>
      </w:r>
      <w:r w:rsidRPr="006B7086">
        <w:rPr>
          <w:rFonts w:cs="Arial"/>
          <w:iCs/>
          <w:szCs w:val="22"/>
        </w:rPr>
        <w:t>.</w:t>
      </w:r>
    </w:p>
    <w:p w14:paraId="0E56E8D3" w14:textId="77777777" w:rsidR="006B7086" w:rsidRPr="006B7086" w:rsidRDefault="006B7086" w:rsidP="006B7086">
      <w:pPr>
        <w:jc w:val="both"/>
        <w:rPr>
          <w:rFonts w:cs="Arial"/>
          <w:iCs/>
          <w:szCs w:val="22"/>
        </w:rPr>
      </w:pPr>
    </w:p>
    <w:p w14:paraId="41F61974" w14:textId="77777777" w:rsidR="006B7086" w:rsidRPr="006B7086" w:rsidRDefault="006B7086" w:rsidP="006B7086">
      <w:pPr>
        <w:pStyle w:val="Default"/>
        <w:jc w:val="both"/>
        <w:rPr>
          <w:rFonts w:ascii="Times New Roman" w:hAnsi="Times New Roman" w:cs="Arial"/>
          <w:iCs/>
          <w:color w:val="auto"/>
          <w:szCs w:val="22"/>
        </w:rPr>
      </w:pPr>
      <w:r w:rsidRPr="006B7086">
        <w:rPr>
          <w:rFonts w:ascii="Times New Roman" w:hAnsi="Times New Roman" w:cs="Arial"/>
          <w:iCs/>
          <w:color w:val="auto"/>
          <w:szCs w:val="22"/>
        </w:rPr>
        <w:t>LBP Home Loan SFH (l’ « Emetteur ») est un établissement de crédit spécialisé au sens de l’article L.513-1 du Code monétaire et financier qui, en cette qualité, ne peut effectuer que les opérations de banque résultant des dispositions législatives et réglementaires qui lui sont propres ou de la décision d’agrément qui la concerne.</w:t>
      </w:r>
    </w:p>
    <w:p w14:paraId="193B4093" w14:textId="77777777" w:rsidR="006B7086" w:rsidRDefault="006B7086" w:rsidP="006B7086">
      <w:pPr>
        <w:autoSpaceDE w:val="0"/>
        <w:autoSpaceDN w:val="0"/>
        <w:adjustRightInd w:val="0"/>
        <w:jc w:val="both"/>
        <w:rPr>
          <w:rFonts w:cs="Arial"/>
          <w:iCs/>
          <w:szCs w:val="22"/>
        </w:rPr>
      </w:pPr>
      <w:r w:rsidRPr="006B7086">
        <w:rPr>
          <w:rFonts w:cs="Arial"/>
          <w:iCs/>
          <w:szCs w:val="22"/>
        </w:rPr>
        <w:t>Conformément à son agrément en tant que société de financement de l’habitat, LBP Home Loan SFH « a pour objet exclusif de consentir ou de financer des prêts à l’habitat et de détenir des titres et valeurs dans les conditions définies par décret en Conseil d’Etat » dans les conditions définies aux articles L.513-28 et suivants du Code monétaire et financier.</w:t>
      </w:r>
    </w:p>
    <w:p w14:paraId="372EA90A" w14:textId="77777777" w:rsidR="006B7086" w:rsidRPr="006B7086" w:rsidRDefault="006B7086" w:rsidP="006B7086">
      <w:pPr>
        <w:autoSpaceDE w:val="0"/>
        <w:autoSpaceDN w:val="0"/>
        <w:adjustRightInd w:val="0"/>
        <w:jc w:val="both"/>
        <w:rPr>
          <w:rFonts w:cs="Arial"/>
          <w:iCs/>
          <w:szCs w:val="22"/>
        </w:rPr>
      </w:pPr>
    </w:p>
    <w:p w14:paraId="1128FB2E" w14:textId="77777777" w:rsidR="006B7086" w:rsidRDefault="006B7086" w:rsidP="006B7086">
      <w:pPr>
        <w:autoSpaceDE w:val="0"/>
        <w:autoSpaceDN w:val="0"/>
        <w:adjustRightInd w:val="0"/>
        <w:jc w:val="both"/>
        <w:rPr>
          <w:rFonts w:cs="Arial"/>
          <w:iCs/>
          <w:szCs w:val="22"/>
        </w:rPr>
      </w:pPr>
      <w:r w:rsidRPr="006B7086">
        <w:rPr>
          <w:rFonts w:cs="Arial"/>
          <w:iCs/>
          <w:szCs w:val="22"/>
        </w:rPr>
        <w:t>En tant qu’établissement de crédit, LBP Home Loan SFH est soumise à la supervision de l’Autorité de Contrôle Prudentiel et de Résolution (« ACPR ») et au respect des dispositions du Règlement européen n°575/2013 concernant les exigences prudentielles applicables aux établissements de crédit et aux entreprises d’investissement (« CRR », Capital Requirements Regulation). LBP Home Loan SFH est exemptée du respect sur base individuelle des ratios de capital, conformément aux dispositions de l’article 7 de CRR.</w:t>
      </w:r>
    </w:p>
    <w:p w14:paraId="1417BBED" w14:textId="77777777" w:rsidR="006B7086" w:rsidRDefault="006B7086" w:rsidP="006B7086">
      <w:pPr>
        <w:autoSpaceDE w:val="0"/>
        <w:autoSpaceDN w:val="0"/>
        <w:adjustRightInd w:val="0"/>
        <w:jc w:val="both"/>
        <w:rPr>
          <w:rFonts w:cs="Arial"/>
          <w:iCs/>
          <w:szCs w:val="22"/>
        </w:rPr>
      </w:pPr>
    </w:p>
    <w:p w14:paraId="2BA05482" w14:textId="5D5798BD" w:rsidR="00A23722" w:rsidRPr="00A840E6" w:rsidRDefault="006B7086" w:rsidP="00A840E6">
      <w:pPr>
        <w:autoSpaceDE w:val="0"/>
        <w:autoSpaceDN w:val="0"/>
        <w:adjustRightInd w:val="0"/>
        <w:jc w:val="both"/>
        <w:rPr>
          <w:rFonts w:cs="Arial"/>
          <w:iCs/>
          <w:szCs w:val="22"/>
        </w:rPr>
      </w:pPr>
      <w:r w:rsidRPr="006B7086">
        <w:rPr>
          <w:rFonts w:cs="Arial"/>
          <w:iCs/>
          <w:szCs w:val="22"/>
        </w:rPr>
        <w:t>En tant que société de financement à l’habitat, LBP HL SFH est soumise au règlement N°99-10 du Comité de la Réglementation Bancaire et financière et aux instructions ACPR spécifiques : Instruction 2016-I-09 relative au ratio de couverture des sociétés de financement de l’habitat ; Instruction 2014-I-17 relative aux états réglementaires mentionnés à l’article 10 du règlement CRBF n°99-10 du 9 juillet 1999 73 ; Instruction 2011-I-07 relative à la publication par les sociétés de crédit foncier et les sociétés de financement de l’habitat d’informations relatives à la qualité des actifs financés. Les crédits immobiliers apportés en garantie sont identifiés unitairement dans le Système d’Information.</w:t>
      </w:r>
    </w:p>
    <w:p w14:paraId="46929FF4" w14:textId="427221A7" w:rsidR="00610BC9" w:rsidRPr="00F66BD7" w:rsidRDefault="00605D13" w:rsidP="00F66BD7">
      <w:pPr>
        <w:pStyle w:val="Titre2"/>
        <w:rPr>
          <w:rFonts w:ascii="Times New Roman" w:hAnsi="Times New Roman" w:cs="Times New Roman"/>
          <w:sz w:val="26"/>
          <w:szCs w:val="26"/>
        </w:rPr>
      </w:pPr>
      <w:r>
        <w:rPr>
          <w:rFonts w:ascii="Times New Roman" w:hAnsi="Times New Roman" w:cs="Times New Roman"/>
          <w:sz w:val="26"/>
          <w:szCs w:val="26"/>
        </w:rPr>
        <w:t>Activité</w:t>
      </w:r>
      <w:r w:rsidR="006B7086">
        <w:rPr>
          <w:rFonts w:ascii="Times New Roman" w:hAnsi="Times New Roman" w:cs="Times New Roman"/>
          <w:sz w:val="26"/>
          <w:szCs w:val="26"/>
        </w:rPr>
        <w:t xml:space="preserve"> 2019</w:t>
      </w:r>
    </w:p>
    <w:p w14:paraId="14E52A47" w14:textId="72B66087" w:rsidR="00F66BD7" w:rsidRPr="003A3675" w:rsidRDefault="00F66BD7" w:rsidP="00F66BD7">
      <w:pPr>
        <w:pStyle w:val="Titre2"/>
        <w:numPr>
          <w:ilvl w:val="2"/>
          <w:numId w:val="6"/>
        </w:numPr>
        <w:rPr>
          <w:rFonts w:ascii="Times New Roman" w:hAnsi="Times New Roman" w:cs="Times New Roman"/>
          <w:b w:val="0"/>
          <w:sz w:val="24"/>
          <w:szCs w:val="24"/>
        </w:rPr>
      </w:pPr>
      <w:r>
        <w:rPr>
          <w:rFonts w:ascii="Times New Roman" w:hAnsi="Times New Roman" w:cs="Times New Roman"/>
          <w:b w:val="0"/>
          <w:sz w:val="24"/>
          <w:szCs w:val="24"/>
        </w:rPr>
        <w:t xml:space="preserve">Environnement </w:t>
      </w:r>
      <w:r w:rsidRPr="00F66BD7">
        <w:rPr>
          <w:rFonts w:ascii="Times New Roman" w:hAnsi="Times New Roman" w:cs="Times New Roman"/>
          <w:b w:val="0"/>
          <w:sz w:val="24"/>
          <w:szCs w:val="24"/>
        </w:rPr>
        <w:t>Macro-économique</w:t>
      </w:r>
      <w:r w:rsidRPr="00F66BD7">
        <w:rPr>
          <w:rFonts w:ascii="Times New Roman" w:hAnsi="Times New Roman" w:cs="Times New Roman"/>
          <w:b w:val="0"/>
          <w:sz w:val="24"/>
          <w:szCs w:val="24"/>
          <w:vertAlign w:val="superscript"/>
        </w:rPr>
        <w:footnoteReference w:id="10"/>
      </w:r>
    </w:p>
    <w:p w14:paraId="020F1B34" w14:textId="77777777" w:rsidR="00610BC9" w:rsidRPr="00E77689" w:rsidRDefault="00610BC9" w:rsidP="00610BC9">
      <w:pPr>
        <w:rPr>
          <w:szCs w:val="22"/>
        </w:rPr>
      </w:pPr>
    </w:p>
    <w:p w14:paraId="42F0276A" w14:textId="607492C3" w:rsidR="00F66BD7" w:rsidRPr="00FD2FE6" w:rsidRDefault="00F66BD7" w:rsidP="00FD2FE6">
      <w:pPr>
        <w:jc w:val="both"/>
        <w:rPr>
          <w:b/>
          <w:iCs/>
          <w:szCs w:val="22"/>
          <w:u w:val="single"/>
        </w:rPr>
      </w:pPr>
      <w:r w:rsidRPr="00FD2FE6">
        <w:rPr>
          <w:b/>
          <w:iCs/>
          <w:szCs w:val="22"/>
          <w:u w:val="single"/>
        </w:rPr>
        <w:t xml:space="preserve">Un environnement international économique </w:t>
      </w:r>
      <w:r w:rsidR="00685A54">
        <w:rPr>
          <w:b/>
          <w:iCs/>
          <w:szCs w:val="22"/>
          <w:u w:val="single"/>
        </w:rPr>
        <w:t>complexe</w:t>
      </w:r>
    </w:p>
    <w:p w14:paraId="0BC88505" w14:textId="77777777" w:rsidR="00685A54" w:rsidRDefault="00685A54" w:rsidP="00685A54">
      <w:pPr>
        <w:jc w:val="both"/>
        <w:rPr>
          <w:iCs/>
          <w:szCs w:val="22"/>
        </w:rPr>
      </w:pPr>
    </w:p>
    <w:p w14:paraId="5D4D533A" w14:textId="77777777" w:rsidR="00685A54" w:rsidRDefault="00685A54" w:rsidP="00685A54">
      <w:pPr>
        <w:jc w:val="both"/>
        <w:rPr>
          <w:iCs/>
          <w:szCs w:val="22"/>
        </w:rPr>
      </w:pPr>
      <w:r w:rsidRPr="00685A54">
        <w:rPr>
          <w:iCs/>
          <w:szCs w:val="22"/>
        </w:rPr>
        <w:t>Les facteurs d’incertitude qui avaient marqué l’année 2018 se sont prolongés et intensifiés en 2019. La guerre commerciale entre la Chine et les Etats-Unis a continué, marquée par l’alternance de périodes d’apaisement et d’escalade des tensions. Les négociations entre les deux puissances ont néanmoins abouti à un accord partiel à la fin de l’année qui a été signé le 15 janvier 2020. Le feuilleton du Brexit a également marqué l’année 2019, la probabilité que Britanniques et Européens ne parviennent pas à s’entendre ayant été forte pendant une grande partie de l’année. Boris Johnson a finalement gagné son pari en organisant des élections législatives anticipées en décembre. La nette victoire des conservateurs lui a permis de faire valider par le Parlement britannique l’accord de divorce conclu fin octobre avec les négociateurs de l’UE. Cela devrait conduire à une sortie du Royaume-Uni le 31 janvier. Enfin, les tensions géopolitiques au Moyen-Orient sont restées élevées.</w:t>
      </w:r>
    </w:p>
    <w:p w14:paraId="13475FFE" w14:textId="77777777" w:rsidR="00685A54" w:rsidRPr="00685A54" w:rsidRDefault="00685A54" w:rsidP="00685A54">
      <w:pPr>
        <w:jc w:val="both"/>
        <w:rPr>
          <w:iCs/>
          <w:szCs w:val="22"/>
        </w:rPr>
      </w:pPr>
    </w:p>
    <w:p w14:paraId="7A7EB368" w14:textId="77777777" w:rsidR="00685A54" w:rsidRDefault="00685A54" w:rsidP="00685A54">
      <w:pPr>
        <w:jc w:val="both"/>
        <w:rPr>
          <w:iCs/>
          <w:szCs w:val="22"/>
        </w:rPr>
      </w:pPr>
      <w:r w:rsidRPr="00685A54">
        <w:rPr>
          <w:iCs/>
          <w:szCs w:val="22"/>
        </w:rPr>
        <w:t xml:space="preserve">Le ralentissement de la croissance mondiale amorcé en 2018 s’est poursuivi en 2019. La détérioration de l’environnement économique international a pesé sur le commerce mondial qui a marqué un coup d’arrêt et la production industrielle s’est nettement infléchie depuis l’automne 2018. La croissance américaine a légèrement baissé mais a plutôt bien résisté malgré d’importantes difficultés au sein du secteur manufacturier. L’économie chinoise a subi un net ralentissement, lié en partie aux tensions commerciales avec les Etats-Unis qui grèvent ses échanges mais également à une demande intérieure grippée. </w:t>
      </w:r>
    </w:p>
    <w:p w14:paraId="343A3D9C" w14:textId="77777777" w:rsidR="00685A54" w:rsidRPr="00685A54" w:rsidRDefault="00685A54" w:rsidP="00685A54">
      <w:pPr>
        <w:jc w:val="both"/>
        <w:rPr>
          <w:iCs/>
          <w:szCs w:val="22"/>
        </w:rPr>
      </w:pPr>
    </w:p>
    <w:p w14:paraId="69B586BA" w14:textId="77777777" w:rsidR="00685A54" w:rsidRPr="00685A54" w:rsidRDefault="00685A54" w:rsidP="00685A54">
      <w:pPr>
        <w:jc w:val="both"/>
        <w:rPr>
          <w:iCs/>
          <w:szCs w:val="22"/>
        </w:rPr>
      </w:pPr>
      <w:r w:rsidRPr="00685A54">
        <w:rPr>
          <w:iCs/>
          <w:szCs w:val="22"/>
        </w:rPr>
        <w:t>Face au risque accru d’un ralentissement marqué de l’activité, les banques centrales ont opéré un changement de ton important durant l’année 2019 et leurs politiques monétaires ont pris un tour résolument accommodant. Les taux d’intérêt des emprunts d’État à 10 ans ont atteint un niveau extrêmement bas, voire négatif, dans de nombreux pays européens au cours de l’été avant de légèrement remonter.</w:t>
      </w:r>
    </w:p>
    <w:p w14:paraId="13F7DB04" w14:textId="77777777" w:rsidR="00F66BD7" w:rsidRPr="00FD2FE6" w:rsidRDefault="00F66BD7" w:rsidP="00FD2FE6">
      <w:pPr>
        <w:jc w:val="both"/>
        <w:rPr>
          <w:iCs/>
          <w:szCs w:val="22"/>
        </w:rPr>
      </w:pPr>
    </w:p>
    <w:p w14:paraId="2699D975" w14:textId="2078649D" w:rsidR="00F66BD7" w:rsidRPr="00FD2FE6" w:rsidRDefault="00685A54" w:rsidP="00FD2FE6">
      <w:pPr>
        <w:jc w:val="both"/>
        <w:rPr>
          <w:b/>
          <w:iCs/>
          <w:szCs w:val="22"/>
          <w:u w:val="single"/>
        </w:rPr>
      </w:pPr>
      <w:r>
        <w:rPr>
          <w:b/>
          <w:iCs/>
          <w:szCs w:val="22"/>
          <w:u w:val="single"/>
        </w:rPr>
        <w:t>Affaiblissement de la croissance en zone euro</w:t>
      </w:r>
    </w:p>
    <w:p w14:paraId="26A3B994" w14:textId="77777777" w:rsidR="00685A54" w:rsidRDefault="00685A54" w:rsidP="00685A54">
      <w:pPr>
        <w:jc w:val="both"/>
        <w:rPr>
          <w:iCs/>
          <w:szCs w:val="22"/>
        </w:rPr>
      </w:pPr>
    </w:p>
    <w:p w14:paraId="75C8A2E3" w14:textId="77777777" w:rsidR="00685A54" w:rsidRPr="00685A54" w:rsidRDefault="00685A54" w:rsidP="00685A54">
      <w:pPr>
        <w:jc w:val="both"/>
        <w:rPr>
          <w:iCs/>
          <w:szCs w:val="22"/>
        </w:rPr>
      </w:pPr>
      <w:r w:rsidRPr="00685A54">
        <w:rPr>
          <w:iCs/>
          <w:szCs w:val="22"/>
        </w:rPr>
        <w:t xml:space="preserve">La croissance de la zone euro s’est affaiblie en 2019. Les enquêtes de conjoncture sont restées moroses tout au long de l’année, notamment dans l’industrie manufacturière. L’activité dans le secteur des services a mieux résisté mais a perdu progressivement de la résilience en fin d’année face au tassement de l’activité industrielle. </w:t>
      </w:r>
    </w:p>
    <w:p w14:paraId="2D1DCC89" w14:textId="77777777" w:rsidR="00685A54" w:rsidRPr="00685A54" w:rsidRDefault="00685A54" w:rsidP="00685A54">
      <w:pPr>
        <w:jc w:val="both"/>
        <w:rPr>
          <w:iCs/>
          <w:szCs w:val="22"/>
        </w:rPr>
      </w:pPr>
      <w:r w:rsidRPr="00685A54">
        <w:rPr>
          <w:iCs/>
          <w:szCs w:val="22"/>
        </w:rPr>
        <w:t>En Allemagne, l’industrie a été marquée par un impressionnant trou d’air. L’économie allemande, très ouverte, a beaucoup souffert du tassement du commerce mondial mais fait également face à des faiblesses structurelles. En Espagne, l’activité économique a légèrement décéléré, tout en conservant un rythme de croissance supérieur au rythme de croissance moyen en zone euro. En Italie, la croissance est restée très faible tout au long de l’année, avec notamment une demande intérieure atone.</w:t>
      </w:r>
    </w:p>
    <w:p w14:paraId="6B3C772A" w14:textId="77777777" w:rsidR="00685A54" w:rsidRPr="00685A54" w:rsidRDefault="00685A54" w:rsidP="00685A54">
      <w:pPr>
        <w:jc w:val="both"/>
        <w:rPr>
          <w:iCs/>
          <w:szCs w:val="22"/>
        </w:rPr>
      </w:pPr>
      <w:r w:rsidRPr="00685A54">
        <w:rPr>
          <w:iCs/>
          <w:szCs w:val="22"/>
        </w:rPr>
        <w:t>Au Royaume-Uni, l’environnement politique très incertain pesé sur l’activité en 2019 mais des éléments de soutien ont subsisté. La consommation des ménages a accéléré et les créations d’emploi se sont poursuivies. En revanche, face à une très forte incertitude, les entreprises compriment leurs investissements depuis un an et demi.</w:t>
      </w:r>
    </w:p>
    <w:p w14:paraId="7571DAD3" w14:textId="77777777" w:rsidR="00F66BD7" w:rsidRPr="00FD2FE6" w:rsidRDefault="00F66BD7" w:rsidP="00FD2FE6">
      <w:pPr>
        <w:jc w:val="both"/>
        <w:rPr>
          <w:iCs/>
          <w:szCs w:val="22"/>
        </w:rPr>
      </w:pPr>
    </w:p>
    <w:p w14:paraId="7BCFBDC3" w14:textId="564C68AB" w:rsidR="00685A54" w:rsidRPr="00685A54" w:rsidRDefault="00685A54" w:rsidP="00685A54">
      <w:pPr>
        <w:jc w:val="both"/>
        <w:rPr>
          <w:b/>
          <w:iCs/>
          <w:szCs w:val="22"/>
          <w:u w:val="single"/>
        </w:rPr>
      </w:pPr>
      <w:r w:rsidRPr="00685A54">
        <w:rPr>
          <w:b/>
          <w:iCs/>
          <w:szCs w:val="22"/>
          <w:u w:val="single"/>
        </w:rPr>
        <w:t>Plusieurs freins à la croissance française ont émaillé l’année 2019</w:t>
      </w:r>
    </w:p>
    <w:p w14:paraId="72133569" w14:textId="77777777" w:rsidR="00685A54" w:rsidRDefault="00685A54" w:rsidP="00685A54">
      <w:pPr>
        <w:jc w:val="both"/>
        <w:rPr>
          <w:iCs/>
          <w:szCs w:val="22"/>
        </w:rPr>
      </w:pPr>
    </w:p>
    <w:p w14:paraId="219AD18D" w14:textId="77777777" w:rsidR="00685A54" w:rsidRPr="00685A54" w:rsidRDefault="00685A54" w:rsidP="00685A54">
      <w:pPr>
        <w:jc w:val="both"/>
        <w:rPr>
          <w:iCs/>
          <w:szCs w:val="22"/>
        </w:rPr>
      </w:pPr>
      <w:r w:rsidRPr="00685A54">
        <w:rPr>
          <w:iCs/>
          <w:szCs w:val="22"/>
        </w:rPr>
        <w:t>La croissance de l’économie française a ralenti et s’est stabilisée autour de 1 % l’an en 2019, après 1,5 % en 2018. Malgré une progression assez soutenue de leur revenu après impôts, les Français se sont montrés prudents. Les ménages n’ont en effet pas consommé la totalité de surcroît de revenu lié aux mesures budgétaires et fiscales adoptées par le gouvernement fin 2018. Les exportations ont été affaiblies en 2019 par une demande mondiale quasiment atone. Les entreprises ont bénéficié de la coexistence du crédit d’impôt au titre du CICE de 2018 (versé avec un an de décalage) et de la baisse des cotisations sociales employeurs. Cela s’est traduit par une amélioration de leur situation financière et un investissement en équipement dynamique. Les créations d’emplois se sont poursuivies à un rythme relativement soutenu.</w:t>
      </w:r>
    </w:p>
    <w:p w14:paraId="676B3F56" w14:textId="77777777" w:rsidR="00F66BD7" w:rsidRPr="00FD2FE6" w:rsidRDefault="00F66BD7" w:rsidP="00FD2FE6">
      <w:pPr>
        <w:jc w:val="both"/>
        <w:rPr>
          <w:iCs/>
          <w:szCs w:val="22"/>
        </w:rPr>
      </w:pPr>
      <w:r w:rsidRPr="00FD2FE6">
        <w:rPr>
          <w:iCs/>
          <w:szCs w:val="22"/>
        </w:rPr>
        <w:br w:type="page"/>
      </w:r>
    </w:p>
    <w:p w14:paraId="1869AFAC" w14:textId="77777777" w:rsidR="00F66BD7" w:rsidRPr="00FD2FE6" w:rsidRDefault="00F66BD7" w:rsidP="00FD2FE6">
      <w:pPr>
        <w:jc w:val="both"/>
        <w:rPr>
          <w:iCs/>
          <w:szCs w:val="22"/>
        </w:rPr>
      </w:pPr>
    </w:p>
    <w:p w14:paraId="15C22F83" w14:textId="77777777" w:rsidR="00685A54" w:rsidRPr="00685A54" w:rsidRDefault="00685A54" w:rsidP="00685A54">
      <w:pPr>
        <w:jc w:val="both"/>
        <w:rPr>
          <w:b/>
          <w:iCs/>
          <w:szCs w:val="22"/>
          <w:u w:val="single"/>
        </w:rPr>
      </w:pPr>
      <w:r w:rsidRPr="00685A54">
        <w:rPr>
          <w:b/>
          <w:iCs/>
          <w:szCs w:val="22"/>
          <w:u w:val="single"/>
        </w:rPr>
        <w:t>Le cours du pétrole reste modéré</w:t>
      </w:r>
    </w:p>
    <w:p w14:paraId="65F4E465" w14:textId="77777777" w:rsidR="00685A54" w:rsidRDefault="00685A54" w:rsidP="00685A54">
      <w:pPr>
        <w:jc w:val="both"/>
        <w:rPr>
          <w:iCs/>
          <w:szCs w:val="22"/>
        </w:rPr>
      </w:pPr>
    </w:p>
    <w:p w14:paraId="71DD87C0" w14:textId="77777777" w:rsidR="00685A54" w:rsidRPr="00685A54" w:rsidRDefault="00685A54" w:rsidP="00685A54">
      <w:pPr>
        <w:jc w:val="both"/>
        <w:rPr>
          <w:iCs/>
          <w:szCs w:val="22"/>
        </w:rPr>
      </w:pPr>
      <w:r w:rsidRPr="00685A54">
        <w:rPr>
          <w:iCs/>
          <w:szCs w:val="22"/>
        </w:rPr>
        <w:t>Le cours du pétrole a nettement augmenté durant la première partie de l’année après la forte chute de la fin de l’année 2018. Le baril de Brent de la mer du Nord, qui valait moins de 54 dollars fin décembre 2018, a augmenté de 20 dollars environ pour atteindre presque 75 dollars en avril. Fin 2018, l’Opep et une dizaine d’autres pays, dont la Russie, ont décidé de réduire leurs quotas de production. Cette limitation de l’offre a été en partie compensée par l’augmentation de la production de pétrole aux Etats-Unis. Suite au regain de tensions commerciales entre la Chine et les Etats-Unis au printemps, les inquiétudes quant à l’évolution de la demande mondiale d’énergie ont pesé sur le cours du brut et le cours a fluctué autour de 60 dollars/baril pendant plusieurs mois. Les tensions sont pourtant restées vives au Moyen-Orient. En fin d’année, l’annonce d’une intensification de la réduction de l’offre de l’OPEP et de ses alliés a entraîné une hausse du cours du baril qui a terminé l’année à 66 dollars.</w:t>
      </w:r>
    </w:p>
    <w:p w14:paraId="58B33775" w14:textId="77777777" w:rsidR="00F66BD7" w:rsidRPr="00FD2FE6" w:rsidRDefault="00F66BD7" w:rsidP="00FD2FE6">
      <w:pPr>
        <w:jc w:val="both"/>
        <w:rPr>
          <w:iCs/>
          <w:szCs w:val="22"/>
        </w:rPr>
      </w:pPr>
    </w:p>
    <w:p w14:paraId="24C034D6" w14:textId="77777777" w:rsidR="00685A54" w:rsidRPr="00685A54" w:rsidRDefault="00685A54" w:rsidP="00685A54">
      <w:pPr>
        <w:jc w:val="both"/>
        <w:rPr>
          <w:b/>
          <w:iCs/>
          <w:szCs w:val="22"/>
          <w:u w:val="single"/>
        </w:rPr>
      </w:pPr>
      <w:r w:rsidRPr="00685A54">
        <w:rPr>
          <w:b/>
          <w:iCs/>
          <w:szCs w:val="22"/>
          <w:u w:val="single"/>
        </w:rPr>
        <w:t xml:space="preserve">Remontée de l’inflation en zone euro en lien avec la hausse des prix de l’énergie </w:t>
      </w:r>
    </w:p>
    <w:p w14:paraId="7EEADC37" w14:textId="77777777" w:rsidR="00685A54" w:rsidRDefault="00685A54" w:rsidP="00685A54">
      <w:pPr>
        <w:jc w:val="both"/>
        <w:rPr>
          <w:iCs/>
          <w:szCs w:val="22"/>
        </w:rPr>
      </w:pPr>
    </w:p>
    <w:p w14:paraId="4A6755CC" w14:textId="77777777" w:rsidR="00685A54" w:rsidRPr="00685A54" w:rsidRDefault="00685A54" w:rsidP="00685A54">
      <w:pPr>
        <w:jc w:val="both"/>
        <w:rPr>
          <w:iCs/>
          <w:szCs w:val="22"/>
        </w:rPr>
      </w:pPr>
      <w:r w:rsidRPr="00685A54">
        <w:rPr>
          <w:iCs/>
          <w:szCs w:val="22"/>
        </w:rPr>
        <w:t>L’inflation est restée faible en zone euro en 2019, autour de 1 % sur un an. L’inflation sous-jacente (hors énergie et produits alimentaires) est également demeurée modérée. Elle a cependant légèrement augmenté en fin d’année. Cette accélération des prix s’explique surtout par une hausse de l’inflation sous-jacente un peu plus marquée en Allemagne où elle a gagné environ 0,5 point en un an et demi, en lien avec la progression soutenue des salaires. En France, l’inflation est légèrement plus faible qu’en zone euro.</w:t>
      </w:r>
    </w:p>
    <w:p w14:paraId="7709B7BF" w14:textId="77777777" w:rsidR="00685A54" w:rsidRDefault="00685A54" w:rsidP="00685A54">
      <w:pPr>
        <w:jc w:val="both"/>
        <w:rPr>
          <w:b/>
          <w:iCs/>
          <w:szCs w:val="22"/>
          <w:u w:val="single"/>
        </w:rPr>
      </w:pPr>
    </w:p>
    <w:p w14:paraId="05844AF2" w14:textId="77777777" w:rsidR="00685A54" w:rsidRPr="00685A54" w:rsidRDefault="00685A54" w:rsidP="00685A54">
      <w:pPr>
        <w:jc w:val="both"/>
        <w:rPr>
          <w:b/>
          <w:iCs/>
          <w:szCs w:val="22"/>
          <w:u w:val="single"/>
        </w:rPr>
      </w:pPr>
      <w:r w:rsidRPr="00685A54">
        <w:rPr>
          <w:b/>
          <w:iCs/>
          <w:szCs w:val="22"/>
          <w:u w:val="single"/>
        </w:rPr>
        <w:t>Baisse marquée des taux d’intérêt</w:t>
      </w:r>
    </w:p>
    <w:p w14:paraId="130F2EE8" w14:textId="77777777" w:rsidR="00685A54" w:rsidRDefault="00685A54" w:rsidP="00685A54">
      <w:pPr>
        <w:jc w:val="both"/>
        <w:rPr>
          <w:iCs/>
          <w:szCs w:val="22"/>
        </w:rPr>
      </w:pPr>
    </w:p>
    <w:p w14:paraId="4B324ED6" w14:textId="77777777" w:rsidR="00685A54" w:rsidRPr="00685A54" w:rsidRDefault="00685A54" w:rsidP="00685A54">
      <w:pPr>
        <w:jc w:val="both"/>
        <w:rPr>
          <w:iCs/>
          <w:szCs w:val="22"/>
        </w:rPr>
      </w:pPr>
      <w:r w:rsidRPr="00685A54">
        <w:rPr>
          <w:iCs/>
          <w:szCs w:val="22"/>
        </w:rPr>
        <w:t>Alors qu’au début de l’année, une large majorité des banques centrales étaient, soit engagées dans une phase de normalisation de leur politique monétaire, soit dans l’attente d’une opportunité de l’initier, elles ont opéré un changement de ton important au printemps et leurs politiques monétaires ont pris un tour résolument accommodant à l’été. La Réserve fédérale aux Etats-Unis a ainsi procédé à trois baisses de son taux directeur. En zone euro, la BCE a également diminué en septembre un de ses taux directeurs et a relancé son programme de rachats d’actifs. De plus, conséquence de cet environnement international très incertain, les investisseurs se sont réfugiés sur les actifs qu’ils considèrent comme les plus sûrs. Les taux d’intérêt des emprunts d’État à 10 ans ont atteint un niveau extrêmement bas, voire négatif, dans de nombreux pays européens au cours de l’été avant de légèrement remonter.</w:t>
      </w:r>
    </w:p>
    <w:p w14:paraId="640756B6" w14:textId="77777777" w:rsidR="00685A54" w:rsidRDefault="00685A54" w:rsidP="00685A54">
      <w:pPr>
        <w:jc w:val="both"/>
        <w:rPr>
          <w:iCs/>
          <w:szCs w:val="22"/>
        </w:rPr>
      </w:pPr>
      <w:r w:rsidRPr="00685A54">
        <w:rPr>
          <w:iCs/>
          <w:szCs w:val="22"/>
        </w:rPr>
        <w:t xml:space="preserve">Aux Etats-Unis, le taux à 10 ans des emprunts d’Etat de référence (T-Notes) a perdu 80 points de base sur l’année, à 1,9 % en décembre. En France, le taux à 10 ans des emprunts d’Etat de référence (OAT 10 ans) a également reculé de près de 60 points de base, alors que son équivalent allemand a perdu plus de 40 points de base. Ce dernier est resté en territoire négatif depuis le début du mois de mai. L’OAT 10 ans est devenu négatif à la fin du mois de juin, avant de repasser en territoire positif à la fin de l’année. Il s’établissait fin 2019 autour de 0,05 %. Ce repli des taux longs a entraîné un net rapprochement des taux d’intérêt de court terme et de long terme. Au sein de l’Union européenne, la réduction des écarts de taux s’est poursuivie. </w:t>
      </w:r>
    </w:p>
    <w:p w14:paraId="2C28CB5D" w14:textId="77777777" w:rsidR="00685A54" w:rsidRPr="00685A54" w:rsidRDefault="00685A54" w:rsidP="00685A54">
      <w:pPr>
        <w:jc w:val="both"/>
        <w:rPr>
          <w:iCs/>
          <w:szCs w:val="22"/>
        </w:rPr>
      </w:pPr>
    </w:p>
    <w:p w14:paraId="08965E56" w14:textId="77777777" w:rsidR="00685A54" w:rsidRDefault="00685A54" w:rsidP="00685A54">
      <w:pPr>
        <w:jc w:val="both"/>
        <w:rPr>
          <w:iCs/>
          <w:szCs w:val="22"/>
        </w:rPr>
      </w:pPr>
      <w:r w:rsidRPr="00685A54">
        <w:rPr>
          <w:iCs/>
          <w:szCs w:val="22"/>
        </w:rPr>
        <w:t>De leur côté, les taux d’intérêt interbancaires de la zone euro ont baissé du fait des décisions de politique monétaire prises par la BCE en septembre. Cette dernière a en effet baissé de 10 points de base (à 0,5 %) son taux d’intérêt sur les dépôts des banques commerciales à la banque centrale, le véritable taux directeur pour la zone euro actuellement. En conséquence, l’Eonia a baissé de 10 points de base à 0,45 %. De son côté l’Euribor 3 mois (le taux auquel les grandes banques se prêtent pour une durée de trois mois) a baissé à 0,40 %.</w:t>
      </w:r>
    </w:p>
    <w:p w14:paraId="340E6CFA" w14:textId="77777777" w:rsidR="00685A54" w:rsidRPr="00685A54" w:rsidRDefault="00685A54" w:rsidP="00685A54">
      <w:pPr>
        <w:jc w:val="both"/>
        <w:rPr>
          <w:iCs/>
          <w:szCs w:val="22"/>
        </w:rPr>
      </w:pPr>
    </w:p>
    <w:p w14:paraId="0BADB108" w14:textId="77777777" w:rsidR="00685A54" w:rsidRDefault="00685A54" w:rsidP="00685A54">
      <w:pPr>
        <w:jc w:val="both"/>
        <w:rPr>
          <w:iCs/>
          <w:szCs w:val="22"/>
        </w:rPr>
      </w:pPr>
      <w:r w:rsidRPr="00685A54">
        <w:rPr>
          <w:iCs/>
          <w:szCs w:val="22"/>
        </w:rPr>
        <w:t>Enfin, les taux des livrets réglementés (Livret A, Livret de développement durable, Livret d’épargne populaire, compte épargne logement) sont restés stables. Le taux du Livret A a été maintenu à 0,75 %. De même, le taux de rémunération du PEL (Plan d’épargne logement) est resté à 1 %.</w:t>
      </w:r>
    </w:p>
    <w:p w14:paraId="228A0605" w14:textId="77777777" w:rsidR="00685A54" w:rsidRDefault="00685A54" w:rsidP="00685A54">
      <w:pPr>
        <w:jc w:val="both"/>
        <w:rPr>
          <w:iCs/>
          <w:szCs w:val="22"/>
        </w:rPr>
      </w:pPr>
    </w:p>
    <w:p w14:paraId="2415BDFE" w14:textId="77777777" w:rsidR="00685A54" w:rsidRDefault="00685A54" w:rsidP="00685A54">
      <w:pPr>
        <w:jc w:val="both"/>
        <w:rPr>
          <w:iCs/>
          <w:szCs w:val="22"/>
        </w:rPr>
      </w:pPr>
    </w:p>
    <w:p w14:paraId="74BC934E" w14:textId="77777777" w:rsidR="00685A54" w:rsidRPr="00685A54" w:rsidRDefault="00685A54" w:rsidP="00685A54">
      <w:pPr>
        <w:jc w:val="both"/>
        <w:rPr>
          <w:iCs/>
          <w:szCs w:val="22"/>
        </w:rPr>
      </w:pPr>
    </w:p>
    <w:p w14:paraId="373C48B9" w14:textId="77777777" w:rsidR="00685A54" w:rsidRPr="00685A54" w:rsidRDefault="00685A54" w:rsidP="00685A54">
      <w:pPr>
        <w:jc w:val="both"/>
        <w:rPr>
          <w:b/>
          <w:iCs/>
          <w:szCs w:val="22"/>
          <w:u w:val="single"/>
        </w:rPr>
      </w:pPr>
      <w:r w:rsidRPr="00685A54">
        <w:rPr>
          <w:b/>
          <w:iCs/>
          <w:szCs w:val="22"/>
          <w:u w:val="single"/>
        </w:rPr>
        <w:t>Remontée des cours sur les places financières</w:t>
      </w:r>
    </w:p>
    <w:p w14:paraId="488736C0" w14:textId="77777777" w:rsidR="00685A54" w:rsidRDefault="00685A54" w:rsidP="00FD2FE6">
      <w:pPr>
        <w:jc w:val="both"/>
        <w:rPr>
          <w:iCs/>
          <w:szCs w:val="22"/>
        </w:rPr>
      </w:pPr>
    </w:p>
    <w:p w14:paraId="2528B574" w14:textId="77777777" w:rsidR="00685A54" w:rsidRPr="00685A54" w:rsidRDefault="00685A54" w:rsidP="00685A54">
      <w:pPr>
        <w:shd w:val="clear" w:color="auto" w:fill="FFFFFF"/>
        <w:jc w:val="both"/>
        <w:rPr>
          <w:iCs/>
          <w:szCs w:val="22"/>
        </w:rPr>
      </w:pPr>
      <w:r w:rsidRPr="00685A54">
        <w:rPr>
          <w:iCs/>
          <w:szCs w:val="22"/>
        </w:rPr>
        <w:t>A la faveur notamment de l’avancée des discussions commerciales sino-américaines, les Bourses mondiales ont connu un vif rebond au début de l’année 2019, avec un point culminant atteint fin avril. En mai, l’enlisement voire la brusque détérioration des relations sino-américaines a suscité d’abord la prudence puis la défiance des investisseurs. L’été a été mouvementé et les cours ont évolué au gré des annonces concernant les tensions commerciales entre Washington et Pékin. En fin d’année, le contexte d’apaisement des relations entre les deux puissances économiques a entraîné un regain d’appétit pour le risque des investisseurs. Les indices américains ont notamment atteint des niveaux record. En un an, le CAC 40, proche de 6 000 points, a progressé de plus de 26 %.</w:t>
      </w:r>
    </w:p>
    <w:p w14:paraId="50FFCB1E" w14:textId="77777777" w:rsidR="00F66BD7" w:rsidRPr="00FD2FE6" w:rsidRDefault="00F66BD7" w:rsidP="00FD2FE6">
      <w:pPr>
        <w:shd w:val="clear" w:color="auto" w:fill="FFFFFF"/>
        <w:jc w:val="both"/>
        <w:rPr>
          <w:iCs/>
          <w:szCs w:val="22"/>
        </w:rPr>
      </w:pPr>
    </w:p>
    <w:p w14:paraId="45996358" w14:textId="77777777" w:rsidR="00FD2FE6" w:rsidRDefault="00FD2FE6" w:rsidP="00FD2FE6">
      <w:pPr>
        <w:shd w:val="clear" w:color="auto" w:fill="FFFFFF"/>
        <w:jc w:val="both"/>
        <w:rPr>
          <w:iCs/>
          <w:szCs w:val="22"/>
        </w:rPr>
      </w:pPr>
    </w:p>
    <w:p w14:paraId="42E5DA1C" w14:textId="77777777" w:rsidR="00685A54" w:rsidRPr="00685A54" w:rsidRDefault="00685A54" w:rsidP="00685A54">
      <w:pPr>
        <w:numPr>
          <w:ilvl w:val="2"/>
          <w:numId w:val="6"/>
        </w:numPr>
        <w:shd w:val="clear" w:color="auto" w:fill="FFFFFF"/>
        <w:jc w:val="both"/>
        <w:rPr>
          <w:b/>
          <w:bCs/>
          <w:iCs/>
        </w:rPr>
      </w:pPr>
      <w:r w:rsidRPr="00685A54">
        <w:rPr>
          <w:b/>
          <w:bCs/>
          <w:iCs/>
        </w:rPr>
        <w:t>Activité de la Société en 2019</w:t>
      </w:r>
    </w:p>
    <w:p w14:paraId="28850AA0" w14:textId="77777777" w:rsidR="00FD2FE6" w:rsidRPr="00FD2FE6" w:rsidRDefault="00FD2FE6" w:rsidP="00FD2FE6">
      <w:pPr>
        <w:shd w:val="clear" w:color="auto" w:fill="FFFFFF"/>
        <w:jc w:val="both"/>
        <w:rPr>
          <w:iCs/>
          <w:szCs w:val="22"/>
        </w:rPr>
      </w:pPr>
    </w:p>
    <w:p w14:paraId="7B4DDC3D" w14:textId="77777777" w:rsidR="007F5308" w:rsidRPr="007F5308" w:rsidRDefault="007F5308" w:rsidP="00B52490">
      <w:pPr>
        <w:spacing w:after="120"/>
        <w:jc w:val="both"/>
        <w:rPr>
          <w:iCs/>
          <w:szCs w:val="22"/>
        </w:rPr>
      </w:pPr>
      <w:r w:rsidRPr="007F5308">
        <w:rPr>
          <w:iCs/>
          <w:szCs w:val="22"/>
        </w:rPr>
        <w:t>Le résultat net après impôt de l’exercice 2018 a été affecté au poste report à nouveau.</w:t>
      </w:r>
      <w:r w:rsidRPr="007F5308" w:rsidDel="001F4260">
        <w:rPr>
          <w:iCs/>
          <w:szCs w:val="22"/>
        </w:rPr>
        <w:t xml:space="preserve"> </w:t>
      </w:r>
    </w:p>
    <w:p w14:paraId="75071C6C" w14:textId="77777777" w:rsidR="007F5308" w:rsidRPr="007F5308" w:rsidRDefault="007F5308" w:rsidP="00B52490">
      <w:pPr>
        <w:spacing w:after="120"/>
        <w:jc w:val="both"/>
        <w:rPr>
          <w:iCs/>
          <w:szCs w:val="22"/>
        </w:rPr>
      </w:pPr>
      <w:r w:rsidRPr="007F5308">
        <w:rPr>
          <w:iCs/>
          <w:szCs w:val="22"/>
        </w:rPr>
        <w:t>Sur 2019, les soldes fin de mois des comptes à vue sont les suivants :</w:t>
      </w:r>
    </w:p>
    <w:p w14:paraId="5001482B" w14:textId="77777777" w:rsidR="00C3442E" w:rsidRDefault="00C3442E" w:rsidP="00B52490">
      <w:pPr>
        <w:spacing w:after="120"/>
        <w:jc w:val="both"/>
        <w:rPr>
          <w:szCs w:val="22"/>
        </w:rPr>
      </w:pPr>
    </w:p>
    <w:p w14:paraId="28989AE1" w14:textId="0BD567A1" w:rsidR="007F5308" w:rsidRDefault="007F5308" w:rsidP="00B52490">
      <w:pPr>
        <w:spacing w:after="120"/>
        <w:jc w:val="center"/>
        <w:rPr>
          <w:szCs w:val="22"/>
        </w:rPr>
      </w:pPr>
      <w:r w:rsidRPr="003F027A">
        <w:rPr>
          <w:noProof/>
        </w:rPr>
        <w:drawing>
          <wp:inline distT="0" distB="0" distL="0" distR="0" wp14:anchorId="14F53B5F" wp14:editId="1EF3619D">
            <wp:extent cx="5374005" cy="29413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4005" cy="2941320"/>
                    </a:xfrm>
                    <a:prstGeom prst="rect">
                      <a:avLst/>
                    </a:prstGeom>
                    <a:noFill/>
                    <a:ln>
                      <a:noFill/>
                    </a:ln>
                  </pic:spPr>
                </pic:pic>
              </a:graphicData>
            </a:graphic>
          </wp:inline>
        </w:drawing>
      </w:r>
    </w:p>
    <w:p w14:paraId="36E2B379" w14:textId="77777777" w:rsidR="007F5308" w:rsidRPr="000439D3" w:rsidRDefault="007F5308" w:rsidP="00B52490">
      <w:pPr>
        <w:spacing w:after="120"/>
        <w:jc w:val="center"/>
        <w:rPr>
          <w:rFonts w:cs="Arial"/>
          <w:i/>
          <w:iCs/>
          <w:sz w:val="18"/>
          <w:szCs w:val="22"/>
        </w:rPr>
      </w:pPr>
      <w:r w:rsidRPr="000439D3">
        <w:rPr>
          <w:rFonts w:cs="Arial"/>
          <w:i/>
          <w:iCs/>
          <w:sz w:val="18"/>
          <w:szCs w:val="22"/>
        </w:rPr>
        <w:t>(Hors gage-espèces de 25 000 000 €)</w:t>
      </w:r>
    </w:p>
    <w:p w14:paraId="43D4B889" w14:textId="77777777" w:rsidR="00B52490" w:rsidRDefault="00B52490" w:rsidP="00B52490">
      <w:pPr>
        <w:spacing w:after="120"/>
        <w:jc w:val="both"/>
        <w:rPr>
          <w:szCs w:val="22"/>
        </w:rPr>
      </w:pPr>
    </w:p>
    <w:p w14:paraId="1E377913" w14:textId="77777777" w:rsidR="007F5308" w:rsidRPr="00B52490" w:rsidRDefault="007F5308" w:rsidP="00B52490">
      <w:pPr>
        <w:spacing w:after="120"/>
        <w:jc w:val="both"/>
        <w:rPr>
          <w:iCs/>
          <w:szCs w:val="22"/>
        </w:rPr>
      </w:pPr>
      <w:r w:rsidRPr="00B52490">
        <w:rPr>
          <w:iCs/>
          <w:szCs w:val="22"/>
        </w:rPr>
        <w:t>Fin 2019, la Société a renouvelé son adhésion à la fondation « the Covered Bond Label Foundation », dont l’objectif est de promouvoir des standards de qualité et de transparence sur le marché européen des obligations sécurisées. La société publie tous les mois un reporting au format harmonisé avec les autres émetteurs sur son site internet.</w:t>
      </w:r>
    </w:p>
    <w:p w14:paraId="50BD06F3" w14:textId="4977E774" w:rsidR="007F5308" w:rsidRPr="00B52490" w:rsidRDefault="007F5308" w:rsidP="00B52490">
      <w:pPr>
        <w:spacing w:after="120"/>
        <w:jc w:val="both"/>
        <w:rPr>
          <w:iCs/>
          <w:szCs w:val="22"/>
        </w:rPr>
      </w:pPr>
      <w:r w:rsidRPr="00B52490">
        <w:rPr>
          <w:iCs/>
          <w:szCs w:val="22"/>
        </w:rPr>
        <w:t>Dans le cadre du programme et en application de l’article R.513-16, IV du Code monétaire et financier, le Conseil d’administration a fixé le montant maximum des programmes trimestriels d’émissions comme suit :</w:t>
      </w:r>
    </w:p>
    <w:p w14:paraId="3637F7B5" w14:textId="77777777" w:rsidR="007F5308" w:rsidRPr="00B52490" w:rsidRDefault="007F5308" w:rsidP="00B52490">
      <w:pPr>
        <w:pStyle w:val="Paragraphedeliste"/>
        <w:numPr>
          <w:ilvl w:val="0"/>
          <w:numId w:val="33"/>
        </w:numPr>
        <w:spacing w:after="120"/>
        <w:jc w:val="both"/>
        <w:rPr>
          <w:iCs/>
          <w:szCs w:val="22"/>
        </w:rPr>
      </w:pPr>
      <w:r w:rsidRPr="00B52490">
        <w:rPr>
          <w:iCs/>
          <w:szCs w:val="22"/>
        </w:rPr>
        <w:t>4 500 millions d’euros ou contre-valeur en euros des émissions en devises pour le 1er trimestre 2019 ;</w:t>
      </w:r>
    </w:p>
    <w:p w14:paraId="1C26BDD0" w14:textId="77777777" w:rsidR="007F5308" w:rsidRPr="00B52490" w:rsidRDefault="007F5308" w:rsidP="00B52490">
      <w:pPr>
        <w:pStyle w:val="Paragraphedeliste"/>
        <w:numPr>
          <w:ilvl w:val="0"/>
          <w:numId w:val="33"/>
        </w:numPr>
        <w:spacing w:after="120"/>
        <w:jc w:val="both"/>
        <w:rPr>
          <w:iCs/>
          <w:szCs w:val="22"/>
        </w:rPr>
      </w:pPr>
      <w:r w:rsidRPr="00B52490">
        <w:rPr>
          <w:iCs/>
          <w:szCs w:val="22"/>
        </w:rPr>
        <w:t>2 410 millions d’euros ou contre-valeur en euros des émissions en devises pour le 2ème trimestre 2019 ;</w:t>
      </w:r>
    </w:p>
    <w:p w14:paraId="154C8CFD" w14:textId="77777777" w:rsidR="007F5308" w:rsidRPr="00B52490" w:rsidRDefault="007F5308" w:rsidP="00B52490">
      <w:pPr>
        <w:pStyle w:val="Paragraphedeliste"/>
        <w:numPr>
          <w:ilvl w:val="0"/>
          <w:numId w:val="33"/>
        </w:numPr>
        <w:spacing w:after="120"/>
        <w:jc w:val="both"/>
        <w:rPr>
          <w:iCs/>
          <w:szCs w:val="22"/>
        </w:rPr>
      </w:pPr>
      <w:r w:rsidRPr="00B52490">
        <w:rPr>
          <w:iCs/>
          <w:szCs w:val="22"/>
        </w:rPr>
        <w:t>2 330 millions d’euros ou contre-valeur en euros des émissions en devises pour le 3ème trimestre 2019 ;</w:t>
      </w:r>
    </w:p>
    <w:p w14:paraId="34C970C5" w14:textId="77777777" w:rsidR="007F5308" w:rsidRPr="00B52490" w:rsidRDefault="007F5308" w:rsidP="00B52490">
      <w:pPr>
        <w:pStyle w:val="Paragraphedeliste"/>
        <w:numPr>
          <w:ilvl w:val="0"/>
          <w:numId w:val="33"/>
        </w:numPr>
        <w:spacing w:after="120"/>
        <w:jc w:val="both"/>
        <w:rPr>
          <w:iCs/>
          <w:szCs w:val="22"/>
        </w:rPr>
      </w:pPr>
      <w:r w:rsidRPr="00B52490">
        <w:rPr>
          <w:iCs/>
          <w:szCs w:val="22"/>
        </w:rPr>
        <w:t>1 830 millions d’euros ou contre-valeur en euros des émissions en devises pour le 4ème trimestre 2019.</w:t>
      </w:r>
    </w:p>
    <w:p w14:paraId="42B0F7C1" w14:textId="77777777" w:rsidR="007F5308" w:rsidRPr="00B52490" w:rsidRDefault="007F5308" w:rsidP="00B52490">
      <w:pPr>
        <w:spacing w:after="120"/>
        <w:jc w:val="both"/>
        <w:rPr>
          <w:iCs/>
          <w:szCs w:val="22"/>
        </w:rPr>
      </w:pPr>
    </w:p>
    <w:p w14:paraId="2EF80B83" w14:textId="317DD068" w:rsidR="007F5308" w:rsidRPr="00B52490" w:rsidRDefault="007F5308" w:rsidP="00B52490">
      <w:pPr>
        <w:spacing w:after="120"/>
        <w:jc w:val="both"/>
        <w:rPr>
          <w:iCs/>
          <w:szCs w:val="22"/>
        </w:rPr>
      </w:pPr>
      <w:r w:rsidRPr="00B52490">
        <w:rPr>
          <w:iCs/>
          <w:szCs w:val="22"/>
        </w:rPr>
        <w:t>En 2019, la société a émis pour 4 170 millions d’euros d’obligations de financement de l’habitat dans le cadre de son programme de Covered Bonds, sous format EMTN ou Namens. Cela s’est traduit par la mise au marché de :</w:t>
      </w:r>
    </w:p>
    <w:p w14:paraId="3D61C1A3" w14:textId="77777777" w:rsidR="00F4395D" w:rsidRPr="00B52490" w:rsidRDefault="00F4395D" w:rsidP="00B52490">
      <w:pPr>
        <w:spacing w:after="120"/>
        <w:jc w:val="both"/>
        <w:rPr>
          <w:iCs/>
          <w:szCs w:val="22"/>
        </w:rPr>
      </w:pPr>
    </w:p>
    <w:p w14:paraId="7CDE612D" w14:textId="77777777" w:rsidR="007F5308" w:rsidRPr="00B52490" w:rsidRDefault="007F5308" w:rsidP="00B52490">
      <w:pPr>
        <w:pStyle w:val="Paragraphedeliste"/>
        <w:numPr>
          <w:ilvl w:val="0"/>
          <w:numId w:val="33"/>
        </w:numPr>
        <w:spacing w:after="120"/>
        <w:jc w:val="both"/>
        <w:rPr>
          <w:iCs/>
          <w:szCs w:val="22"/>
        </w:rPr>
      </w:pPr>
      <w:r w:rsidRPr="00B52490">
        <w:rPr>
          <w:iCs/>
          <w:szCs w:val="22"/>
        </w:rPr>
        <w:t>deux émissions publiques de 750 millions d’euros et de 1 000 millions d’euros respectivement à 7 ans et 10 ans au format EMTN ;</w:t>
      </w:r>
    </w:p>
    <w:p w14:paraId="7A42EB36" w14:textId="77777777" w:rsidR="007F5308" w:rsidRPr="00B52490" w:rsidRDefault="007F5308" w:rsidP="00B52490">
      <w:pPr>
        <w:pStyle w:val="Paragraphedeliste"/>
        <w:numPr>
          <w:ilvl w:val="0"/>
          <w:numId w:val="33"/>
        </w:numPr>
        <w:spacing w:after="120"/>
        <w:jc w:val="both"/>
        <w:rPr>
          <w:iCs/>
          <w:szCs w:val="22"/>
        </w:rPr>
      </w:pPr>
      <w:r w:rsidRPr="00B52490">
        <w:rPr>
          <w:iCs/>
          <w:szCs w:val="22"/>
        </w:rPr>
        <w:t>un abondement de 250 millions d’euros sur une souche de maturité octobre 2028 (format EMTN) ;</w:t>
      </w:r>
    </w:p>
    <w:p w14:paraId="74467E29" w14:textId="77777777" w:rsidR="007F5308" w:rsidRPr="00B52490" w:rsidRDefault="007F5308" w:rsidP="00B52490">
      <w:pPr>
        <w:pStyle w:val="Paragraphedeliste"/>
        <w:numPr>
          <w:ilvl w:val="0"/>
          <w:numId w:val="33"/>
        </w:numPr>
        <w:spacing w:after="120"/>
        <w:jc w:val="both"/>
        <w:rPr>
          <w:iCs/>
          <w:szCs w:val="22"/>
        </w:rPr>
      </w:pPr>
      <w:r w:rsidRPr="00B52490">
        <w:rPr>
          <w:iCs/>
          <w:szCs w:val="22"/>
        </w:rPr>
        <w:t>quatre émissions retained de 500 millions d’euro de maturités allant de 4 à 6 ans au format EMTN</w:t>
      </w:r>
    </w:p>
    <w:p w14:paraId="4F62DB5C" w14:textId="77777777" w:rsidR="007F5308" w:rsidRPr="00B52490" w:rsidRDefault="007F5308" w:rsidP="00B52490">
      <w:pPr>
        <w:pStyle w:val="Paragraphedeliste"/>
        <w:numPr>
          <w:ilvl w:val="0"/>
          <w:numId w:val="33"/>
        </w:numPr>
        <w:spacing w:after="120"/>
        <w:jc w:val="both"/>
        <w:rPr>
          <w:iCs/>
          <w:szCs w:val="22"/>
        </w:rPr>
      </w:pPr>
      <w:r w:rsidRPr="00B52490">
        <w:rPr>
          <w:iCs/>
          <w:szCs w:val="22"/>
        </w:rPr>
        <w:t>deux placements privés pour un total de 70 millions d’euros à 20 ans chacune au format EMTN ;</w:t>
      </w:r>
    </w:p>
    <w:p w14:paraId="1E864AFD" w14:textId="77777777" w:rsidR="007F5308" w:rsidRPr="00B52490" w:rsidRDefault="007F5308" w:rsidP="00B52490">
      <w:pPr>
        <w:pStyle w:val="Paragraphedeliste"/>
        <w:numPr>
          <w:ilvl w:val="0"/>
          <w:numId w:val="33"/>
        </w:numPr>
        <w:spacing w:after="120"/>
        <w:jc w:val="both"/>
        <w:rPr>
          <w:iCs/>
          <w:szCs w:val="22"/>
        </w:rPr>
      </w:pPr>
      <w:r w:rsidRPr="00B52490">
        <w:rPr>
          <w:iCs/>
          <w:szCs w:val="22"/>
        </w:rPr>
        <w:t>2 placements privés au format NAMENS pour un cumul de 100 millions d’euros avec des maturités de 20 et 25 ans.</w:t>
      </w:r>
    </w:p>
    <w:p w14:paraId="74AAF39B" w14:textId="77777777" w:rsidR="001433DA" w:rsidRPr="00B52490" w:rsidRDefault="001433DA" w:rsidP="00B52490">
      <w:pPr>
        <w:pStyle w:val="Paragraphedeliste"/>
        <w:spacing w:after="120"/>
        <w:ind w:left="567"/>
        <w:contextualSpacing w:val="0"/>
        <w:jc w:val="both"/>
        <w:rPr>
          <w:iCs/>
          <w:szCs w:val="22"/>
        </w:rPr>
      </w:pPr>
    </w:p>
    <w:p w14:paraId="48A7B696" w14:textId="6EB668EC" w:rsidR="00C3442E" w:rsidRPr="00B52490" w:rsidRDefault="007F5308" w:rsidP="00B52490">
      <w:pPr>
        <w:spacing w:after="120"/>
        <w:jc w:val="center"/>
        <w:rPr>
          <w:iCs/>
          <w:szCs w:val="22"/>
        </w:rPr>
      </w:pPr>
      <w:r w:rsidRPr="00B52490">
        <w:rPr>
          <w:iCs/>
          <w:noProof/>
          <w:szCs w:val="22"/>
        </w:rPr>
        <w:drawing>
          <wp:inline distT="0" distB="0" distL="0" distR="0" wp14:anchorId="66E41095" wp14:editId="565CFEDE">
            <wp:extent cx="5760720" cy="2205496"/>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205496"/>
                    </a:xfrm>
                    <a:prstGeom prst="rect">
                      <a:avLst/>
                    </a:prstGeom>
                    <a:noFill/>
                    <a:ln>
                      <a:noFill/>
                    </a:ln>
                  </pic:spPr>
                </pic:pic>
              </a:graphicData>
            </a:graphic>
          </wp:inline>
        </w:drawing>
      </w:r>
    </w:p>
    <w:p w14:paraId="5AACA5D3" w14:textId="77777777" w:rsidR="007F5308" w:rsidRPr="00B52490" w:rsidRDefault="007F5308" w:rsidP="00B52490">
      <w:pPr>
        <w:spacing w:after="120"/>
        <w:jc w:val="both"/>
        <w:rPr>
          <w:iCs/>
          <w:szCs w:val="22"/>
        </w:rPr>
      </w:pPr>
    </w:p>
    <w:p w14:paraId="43978ECF" w14:textId="77777777" w:rsidR="007F5308" w:rsidRPr="00B52490" w:rsidRDefault="007F5308" w:rsidP="00B52490">
      <w:pPr>
        <w:spacing w:after="120"/>
        <w:jc w:val="both"/>
        <w:rPr>
          <w:iCs/>
          <w:szCs w:val="22"/>
        </w:rPr>
      </w:pPr>
      <w:r w:rsidRPr="00B52490">
        <w:rPr>
          <w:iCs/>
          <w:szCs w:val="22"/>
        </w:rPr>
        <w:t>En relation avec les émissions d’obligations sécurisées au fil de l’année, le cover pool a été régulièrement rechargé de crédits immobiliers en 2019 afin de conserver des taux de couverture suffisants. Ainsi, les ratios de couverture se sont révélés bien au-delà des attendus réglementaire (105 %) et contractuel (108,1 %) en 2019. Le ratio ACT et le ratio de couverture réglementaire sont tous deux supérieurs à 134 % au 31/12/2019. Leurs niveaux sont restitués sur le site internet de la société selon le format HTT du Label European Covered Bond Company.</w:t>
      </w:r>
    </w:p>
    <w:p w14:paraId="284E7AE2" w14:textId="77777777" w:rsidR="007F5308" w:rsidRPr="00B52490" w:rsidRDefault="007F5308" w:rsidP="00B52490">
      <w:pPr>
        <w:spacing w:after="120"/>
        <w:jc w:val="both"/>
        <w:rPr>
          <w:iCs/>
          <w:szCs w:val="22"/>
        </w:rPr>
      </w:pPr>
    </w:p>
    <w:p w14:paraId="65CD0837" w14:textId="751B1388" w:rsidR="007F5308" w:rsidRPr="00B52490" w:rsidRDefault="007F5308" w:rsidP="00B52490">
      <w:pPr>
        <w:spacing w:after="120"/>
        <w:jc w:val="both"/>
        <w:rPr>
          <w:iCs/>
          <w:szCs w:val="22"/>
        </w:rPr>
      </w:pPr>
      <w:r w:rsidRPr="00B52490">
        <w:rPr>
          <w:iCs/>
          <w:szCs w:val="22"/>
        </w:rPr>
        <w:t>Par ailleurs, l’encours total émis depuis début de l’année 2020 est de 1 250 MEUR</w:t>
      </w:r>
      <w:r w:rsidR="00135F66">
        <w:rPr>
          <w:iCs/>
          <w:szCs w:val="22"/>
        </w:rPr>
        <w:t xml:space="preserve"> </w:t>
      </w:r>
      <w:r w:rsidRPr="00B52490">
        <w:rPr>
          <w:iCs/>
          <w:szCs w:val="22"/>
        </w:rPr>
        <w:t>sous la forme des 2 émissions suivantes :</w:t>
      </w:r>
    </w:p>
    <w:p w14:paraId="05C11733" w14:textId="77777777" w:rsidR="007F5308" w:rsidRPr="00B52490" w:rsidRDefault="007F5308" w:rsidP="00B52490">
      <w:pPr>
        <w:numPr>
          <w:ilvl w:val="0"/>
          <w:numId w:val="43"/>
        </w:numPr>
        <w:spacing w:after="120" w:line="276" w:lineRule="auto"/>
        <w:ind w:left="737"/>
        <w:contextualSpacing/>
        <w:jc w:val="both"/>
        <w:rPr>
          <w:iCs/>
          <w:szCs w:val="22"/>
        </w:rPr>
      </w:pPr>
      <w:r w:rsidRPr="00B52490">
        <w:rPr>
          <w:iCs/>
          <w:szCs w:val="22"/>
        </w:rPr>
        <w:t>1 émission publique de 750 MEUR ;</w:t>
      </w:r>
    </w:p>
    <w:p w14:paraId="5BA3C49C" w14:textId="77777777" w:rsidR="007F5308" w:rsidRPr="00B52490" w:rsidRDefault="007F5308" w:rsidP="00B52490">
      <w:pPr>
        <w:numPr>
          <w:ilvl w:val="0"/>
          <w:numId w:val="43"/>
        </w:numPr>
        <w:spacing w:after="120" w:line="276" w:lineRule="auto"/>
        <w:ind w:left="737"/>
        <w:contextualSpacing/>
        <w:jc w:val="both"/>
        <w:rPr>
          <w:iCs/>
          <w:szCs w:val="22"/>
        </w:rPr>
      </w:pPr>
      <w:r w:rsidRPr="00B52490">
        <w:rPr>
          <w:iCs/>
          <w:szCs w:val="22"/>
        </w:rPr>
        <w:t>1 émission « retained » de 500 MEUR.</w:t>
      </w:r>
    </w:p>
    <w:p w14:paraId="2C6282F8" w14:textId="77777777" w:rsidR="007F5308" w:rsidRDefault="007F5308" w:rsidP="007F5308">
      <w:pPr>
        <w:rPr>
          <w:szCs w:val="22"/>
        </w:rPr>
      </w:pPr>
    </w:p>
    <w:p w14:paraId="1C968490" w14:textId="471AE16A" w:rsidR="007F5308" w:rsidRDefault="007F5308" w:rsidP="007F5308">
      <w:pPr>
        <w:jc w:val="center"/>
        <w:rPr>
          <w:szCs w:val="22"/>
        </w:rPr>
      </w:pPr>
      <w:r w:rsidRPr="00B8171B">
        <w:rPr>
          <w:noProof/>
        </w:rPr>
        <w:drawing>
          <wp:inline distT="0" distB="0" distL="0" distR="0" wp14:anchorId="6D466B42" wp14:editId="418DB551">
            <wp:extent cx="6228080" cy="777928"/>
            <wp:effectExtent l="0" t="0" r="127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8080" cy="777928"/>
                    </a:xfrm>
                    <a:prstGeom prst="rect">
                      <a:avLst/>
                    </a:prstGeom>
                    <a:noFill/>
                    <a:ln>
                      <a:noFill/>
                    </a:ln>
                  </pic:spPr>
                </pic:pic>
              </a:graphicData>
            </a:graphic>
          </wp:inline>
        </w:drawing>
      </w:r>
    </w:p>
    <w:p w14:paraId="5A473A1C" w14:textId="77777777" w:rsidR="007F5308" w:rsidRDefault="007F5308" w:rsidP="007F5308">
      <w:pPr>
        <w:jc w:val="center"/>
        <w:rPr>
          <w:szCs w:val="22"/>
        </w:rPr>
      </w:pPr>
    </w:p>
    <w:p w14:paraId="5D506EA1" w14:textId="77777777" w:rsidR="001433DA" w:rsidRDefault="001433DA" w:rsidP="00C3442E">
      <w:pPr>
        <w:jc w:val="both"/>
        <w:rPr>
          <w:szCs w:val="22"/>
        </w:rPr>
      </w:pPr>
    </w:p>
    <w:p w14:paraId="7471C574" w14:textId="77777777" w:rsidR="007F5308" w:rsidRDefault="007F5308" w:rsidP="00C3442E">
      <w:pPr>
        <w:jc w:val="both"/>
        <w:rPr>
          <w:szCs w:val="22"/>
        </w:rPr>
      </w:pPr>
    </w:p>
    <w:p w14:paraId="4BB0FBF6" w14:textId="77777777" w:rsidR="007F5308" w:rsidRDefault="007F5308" w:rsidP="00C3442E">
      <w:pPr>
        <w:jc w:val="both"/>
        <w:rPr>
          <w:szCs w:val="22"/>
        </w:rPr>
      </w:pPr>
    </w:p>
    <w:p w14:paraId="7F640C32" w14:textId="77777777" w:rsidR="00B52490" w:rsidRDefault="00B52490" w:rsidP="00C3442E">
      <w:pPr>
        <w:jc w:val="both"/>
        <w:rPr>
          <w:szCs w:val="22"/>
        </w:rPr>
      </w:pPr>
    </w:p>
    <w:p w14:paraId="50D0F1D3" w14:textId="5CF5D7E8" w:rsidR="00610BC9" w:rsidRPr="00605D13" w:rsidRDefault="00610BC9" w:rsidP="00D032FF">
      <w:pPr>
        <w:pStyle w:val="Titre1"/>
        <w:keepNext w:val="0"/>
        <w:numPr>
          <w:ilvl w:val="0"/>
          <w:numId w:val="21"/>
        </w:numPr>
        <w:ind w:left="567" w:hanging="567"/>
        <w:jc w:val="both"/>
        <w:rPr>
          <w:sz w:val="28"/>
          <w:szCs w:val="28"/>
        </w:rPr>
      </w:pPr>
      <w:r w:rsidRPr="00605D13">
        <w:rPr>
          <w:sz w:val="28"/>
          <w:szCs w:val="28"/>
        </w:rPr>
        <w:t>PRINCIPA</w:t>
      </w:r>
      <w:r w:rsidR="00605D13" w:rsidRPr="00605D13">
        <w:rPr>
          <w:sz w:val="28"/>
          <w:szCs w:val="28"/>
        </w:rPr>
        <w:t>UX RISQUES ET INCERTITUDES, DISPOSITIF DE GESTION DES RISQUES</w:t>
      </w:r>
    </w:p>
    <w:p w14:paraId="2C963ED3" w14:textId="4E1F37A3" w:rsidR="007F5308" w:rsidRPr="00605D13" w:rsidRDefault="007F5308" w:rsidP="00D032FF">
      <w:pPr>
        <w:pStyle w:val="Titre2"/>
        <w:numPr>
          <w:ilvl w:val="1"/>
          <w:numId w:val="21"/>
        </w:numPr>
        <w:rPr>
          <w:rFonts w:ascii="Times New Roman" w:hAnsi="Times New Roman" w:cs="Times New Roman"/>
          <w:sz w:val="26"/>
          <w:szCs w:val="26"/>
        </w:rPr>
      </w:pPr>
      <w:r w:rsidRPr="00605D13">
        <w:rPr>
          <w:rFonts w:ascii="Times New Roman" w:hAnsi="Times New Roman" w:cs="Times New Roman"/>
          <w:sz w:val="26"/>
          <w:szCs w:val="26"/>
        </w:rPr>
        <w:t>Informations c</w:t>
      </w:r>
      <w:r>
        <w:rPr>
          <w:rFonts w:ascii="Times New Roman" w:hAnsi="Times New Roman" w:cs="Times New Roman"/>
          <w:sz w:val="26"/>
          <w:szCs w:val="26"/>
        </w:rPr>
        <w:t>lés sur les principaux risques</w:t>
      </w:r>
    </w:p>
    <w:p w14:paraId="11441138" w14:textId="77777777" w:rsidR="00605D13" w:rsidRDefault="00605D13" w:rsidP="00605D13"/>
    <w:p w14:paraId="5E64D2BF" w14:textId="72F5F9DA" w:rsidR="00605D13" w:rsidRPr="00F4395D" w:rsidRDefault="007F5308" w:rsidP="004C5963">
      <w:pPr>
        <w:spacing w:after="120"/>
        <w:jc w:val="both"/>
        <w:rPr>
          <w:bCs/>
        </w:rPr>
      </w:pPr>
      <w:r w:rsidRPr="007F5308">
        <w:rPr>
          <w:bCs/>
        </w:rPr>
        <w:t xml:space="preserve">Les facteurs de risques auxquels est exposée la SFH sont décrits dans le prospectus de base daté du </w:t>
      </w:r>
      <w:r w:rsidR="0079367D">
        <w:rPr>
          <w:bCs/>
        </w:rPr>
        <w:t xml:space="preserve">12 avril </w:t>
      </w:r>
      <w:r w:rsidRPr="007F5308">
        <w:rPr>
          <w:bCs/>
        </w:rPr>
        <w:t>2019</w:t>
      </w:r>
      <w:r w:rsidR="005F5172">
        <w:rPr>
          <w:bCs/>
        </w:rPr>
        <w:t xml:space="preserve"> </w:t>
      </w:r>
      <w:r w:rsidR="00E15691">
        <w:rPr>
          <w:bCs/>
        </w:rPr>
        <w:t>en page 57 et suivantes</w:t>
      </w:r>
      <w:r w:rsidR="00E15691">
        <w:rPr>
          <w:rStyle w:val="Appelnotedebasdep"/>
          <w:bCs/>
        </w:rPr>
        <w:footnoteReference w:id="11"/>
      </w:r>
      <w:r w:rsidR="00E15691">
        <w:rPr>
          <w:bCs/>
        </w:rPr>
        <w:t>.</w:t>
      </w:r>
    </w:p>
    <w:p w14:paraId="36E13A88" w14:textId="77777777" w:rsidR="006A5B93" w:rsidRPr="00E77689" w:rsidRDefault="006A5B93" w:rsidP="00CB1E76">
      <w:pPr>
        <w:jc w:val="both"/>
        <w:rPr>
          <w:szCs w:val="22"/>
        </w:rPr>
      </w:pPr>
    </w:p>
    <w:p w14:paraId="1A56A42D" w14:textId="4A948576" w:rsidR="00610BC9" w:rsidRPr="007A46F3" w:rsidRDefault="007A46F3" w:rsidP="00D032FF">
      <w:pPr>
        <w:pStyle w:val="Titre1"/>
        <w:keepNext w:val="0"/>
        <w:numPr>
          <w:ilvl w:val="0"/>
          <w:numId w:val="21"/>
        </w:numPr>
        <w:ind w:left="567" w:hanging="567"/>
        <w:jc w:val="both"/>
        <w:rPr>
          <w:sz w:val="28"/>
          <w:szCs w:val="28"/>
        </w:rPr>
      </w:pPr>
      <w:r>
        <w:rPr>
          <w:sz w:val="28"/>
          <w:szCs w:val="28"/>
        </w:rPr>
        <w:t>PRINCIPALES CARACTERISTIQUES DES PROCEDURES DE CONTROLE INTERNE ET</w:t>
      </w:r>
      <w:r w:rsidR="00EB44E4">
        <w:rPr>
          <w:sz w:val="28"/>
          <w:szCs w:val="28"/>
        </w:rPr>
        <w:t xml:space="preserve"> DE GESTION DES RISQUES</w:t>
      </w:r>
    </w:p>
    <w:p w14:paraId="08E52200" w14:textId="77777777" w:rsidR="00610BC9" w:rsidRPr="00CB1DAC" w:rsidRDefault="00610BC9" w:rsidP="00610BC9">
      <w:pPr>
        <w:rPr>
          <w:szCs w:val="22"/>
        </w:rPr>
      </w:pPr>
    </w:p>
    <w:p w14:paraId="595610B2" w14:textId="6895A529" w:rsidR="00610BC9" w:rsidRPr="007A46F3" w:rsidRDefault="007A46F3" w:rsidP="00D032FF">
      <w:pPr>
        <w:pStyle w:val="Titre2"/>
        <w:keepNext w:val="0"/>
        <w:numPr>
          <w:ilvl w:val="1"/>
          <w:numId w:val="21"/>
        </w:numPr>
        <w:spacing w:before="0" w:after="0"/>
        <w:ind w:left="578" w:hanging="578"/>
        <w:jc w:val="both"/>
        <w:rPr>
          <w:rFonts w:ascii="Times New Roman" w:hAnsi="Times New Roman" w:cs="Times New Roman"/>
          <w:sz w:val="24"/>
          <w:szCs w:val="24"/>
        </w:rPr>
      </w:pPr>
      <w:r>
        <w:rPr>
          <w:rFonts w:ascii="Times New Roman" w:hAnsi="Times New Roman" w:cs="Times New Roman"/>
          <w:sz w:val="24"/>
          <w:szCs w:val="24"/>
        </w:rPr>
        <w:t>Textes de référence en matière de contrôle interne</w:t>
      </w:r>
    </w:p>
    <w:p w14:paraId="62F2704F" w14:textId="77777777" w:rsidR="00EB44E4" w:rsidRDefault="00EB44E4" w:rsidP="00EB44E4">
      <w:pPr>
        <w:rPr>
          <w:rFonts w:cs="Arial"/>
          <w:szCs w:val="22"/>
        </w:rPr>
      </w:pPr>
    </w:p>
    <w:p w14:paraId="4BCBC286" w14:textId="4B106C11" w:rsidR="00EB44E4" w:rsidRPr="000439D3" w:rsidRDefault="00EB44E4" w:rsidP="00F4395D">
      <w:pPr>
        <w:spacing w:after="120"/>
        <w:rPr>
          <w:rFonts w:cs="Arial"/>
          <w:szCs w:val="22"/>
        </w:rPr>
      </w:pPr>
      <w:r w:rsidRPr="000439D3">
        <w:rPr>
          <w:rFonts w:cs="Arial"/>
          <w:szCs w:val="22"/>
        </w:rPr>
        <w:t>Le contrôle interne de La Banque Postale Home Loan SFH est organisé à partir des dispositions du Code monétaire et financier, de l’arrêté du 3 novembre 2014 relatif au contrôle interne et de la réglementation prudentielle</w:t>
      </w:r>
      <w:r>
        <w:rPr>
          <w:rFonts w:cs="Arial"/>
          <w:szCs w:val="22"/>
        </w:rPr>
        <w:t>, applicables aux établissements de crédit ainsi que par les textes spécifiques au régime des sociétés de financement de l’habitat</w:t>
      </w:r>
      <w:r w:rsidRPr="000439D3">
        <w:rPr>
          <w:rFonts w:cs="Arial"/>
          <w:szCs w:val="22"/>
        </w:rPr>
        <w:t>.</w:t>
      </w:r>
    </w:p>
    <w:p w14:paraId="5E28D2ED" w14:textId="5B89A875" w:rsidR="00EB44E4" w:rsidRPr="000439D3" w:rsidRDefault="00EB44E4" w:rsidP="00F4395D">
      <w:pPr>
        <w:spacing w:after="120"/>
        <w:rPr>
          <w:rFonts w:cs="Arial"/>
          <w:szCs w:val="22"/>
        </w:rPr>
      </w:pPr>
      <w:r w:rsidRPr="000439D3">
        <w:rPr>
          <w:rFonts w:cs="Arial"/>
          <w:szCs w:val="22"/>
        </w:rPr>
        <w:t>La Société étant intégrée au système de contrôle interne de La Banque Postale, ses fondements réglementaires sont formalisés et complétés par des documents internes à La Banque Postale ; soit en matière de contrôle périodique, par la « Charte de l’Inspection Générale », soit en matière de contrôle permanent, par la note de référence « Les éléments clés de contrôle » et « La Politique de Maîtrise des Risques ».</w:t>
      </w:r>
    </w:p>
    <w:p w14:paraId="6CC0A4A7" w14:textId="6A4E5E6F" w:rsidR="00EB44E4" w:rsidRPr="000439D3" w:rsidRDefault="00EB44E4" w:rsidP="00F4395D">
      <w:pPr>
        <w:spacing w:after="120"/>
        <w:rPr>
          <w:rFonts w:cs="Arial"/>
          <w:szCs w:val="22"/>
        </w:rPr>
      </w:pPr>
      <w:r w:rsidRPr="000439D3">
        <w:rPr>
          <w:rFonts w:cs="Arial"/>
          <w:szCs w:val="22"/>
        </w:rPr>
        <w:t>Ces documents sont eux-mêmes déclinés en processus et procédures opérationnels de contrôle.</w:t>
      </w:r>
    </w:p>
    <w:p w14:paraId="20C7416F" w14:textId="77777777" w:rsidR="00EB44E4" w:rsidRPr="00EB44E4" w:rsidRDefault="00EB44E4" w:rsidP="00F4395D">
      <w:pPr>
        <w:spacing w:after="120"/>
        <w:rPr>
          <w:rFonts w:cs="Arial"/>
          <w:szCs w:val="22"/>
        </w:rPr>
      </w:pPr>
      <w:r w:rsidRPr="00EB44E4">
        <w:rPr>
          <w:rFonts w:cs="Arial"/>
          <w:szCs w:val="22"/>
        </w:rPr>
        <w:t>En complément, la Convention d’externalisation et de fourniture de services</w:t>
      </w:r>
      <w:r w:rsidRPr="00EB44E4">
        <w:rPr>
          <w:rFonts w:cs="Arial"/>
          <w:szCs w:val="22"/>
          <w:vertAlign w:val="superscript"/>
        </w:rPr>
        <w:footnoteReference w:id="12"/>
      </w:r>
      <w:r w:rsidRPr="00EB44E4">
        <w:rPr>
          <w:rFonts w:cs="Arial"/>
          <w:szCs w:val="22"/>
        </w:rPr>
        <w:t>, conclue entre la Société et La Banque Postale le 16 juillet 2013 et validée par le Conseil d’administration de la Société :</w:t>
      </w:r>
    </w:p>
    <w:p w14:paraId="17261079" w14:textId="77777777" w:rsidR="00EB44E4" w:rsidRDefault="00EB44E4" w:rsidP="00D032FF">
      <w:pPr>
        <w:numPr>
          <w:ilvl w:val="0"/>
          <w:numId w:val="33"/>
        </w:numPr>
        <w:spacing w:after="120"/>
        <w:rPr>
          <w:rFonts w:cs="Arial"/>
          <w:iCs/>
          <w:szCs w:val="22"/>
        </w:rPr>
      </w:pPr>
      <w:r w:rsidRPr="00EB44E4">
        <w:rPr>
          <w:rFonts w:cs="Arial"/>
          <w:iCs/>
          <w:szCs w:val="22"/>
        </w:rPr>
        <w:t xml:space="preserve">décrit les modalités d’exécution par La Banque Postale des obligations réglementaires de la Société qui résultent de sa qualité d’établissement de crédit spécialisé ; </w:t>
      </w:r>
    </w:p>
    <w:p w14:paraId="646C59B6" w14:textId="77777777" w:rsidR="00EB44E4" w:rsidRPr="00EB44E4" w:rsidRDefault="00EB44E4" w:rsidP="00F4395D">
      <w:pPr>
        <w:spacing w:after="120"/>
        <w:ind w:left="360"/>
        <w:rPr>
          <w:rFonts w:cs="Arial"/>
          <w:iCs/>
          <w:szCs w:val="22"/>
        </w:rPr>
      </w:pPr>
    </w:p>
    <w:p w14:paraId="2A52C0EF" w14:textId="77777777" w:rsidR="00EB44E4" w:rsidRPr="00EB44E4" w:rsidRDefault="00EB44E4" w:rsidP="00D032FF">
      <w:pPr>
        <w:numPr>
          <w:ilvl w:val="0"/>
          <w:numId w:val="33"/>
        </w:numPr>
        <w:spacing w:after="120"/>
        <w:rPr>
          <w:rFonts w:cs="Arial"/>
          <w:iCs/>
          <w:szCs w:val="22"/>
        </w:rPr>
      </w:pPr>
      <w:r w:rsidRPr="00EB44E4">
        <w:rPr>
          <w:rFonts w:cs="Arial"/>
          <w:iCs/>
          <w:szCs w:val="22"/>
        </w:rPr>
        <w:t>prévoit les modalités de contrôles par la Société, le cas échéant par un tiers, sur les prestations de services essentielles confiées à La Banque Postale, en conformité des articles 21 et 231 et suivants de l’arrêté du 3 novembre 2014 relatif au contrôle interne des entreprises du secteur de la banque.</w:t>
      </w:r>
    </w:p>
    <w:p w14:paraId="49692FB8" w14:textId="77777777" w:rsidR="00610BC9" w:rsidRPr="008117C3" w:rsidRDefault="00610BC9" w:rsidP="00610BC9">
      <w:pPr>
        <w:rPr>
          <w:szCs w:val="22"/>
        </w:rPr>
      </w:pPr>
    </w:p>
    <w:p w14:paraId="63589389" w14:textId="571B7BB1" w:rsidR="00610BC9" w:rsidRPr="008A3FEF" w:rsidRDefault="00610BC9" w:rsidP="00D032FF">
      <w:pPr>
        <w:pStyle w:val="Titre2"/>
        <w:keepNext w:val="0"/>
        <w:numPr>
          <w:ilvl w:val="1"/>
          <w:numId w:val="21"/>
        </w:numPr>
        <w:spacing w:before="0" w:after="0"/>
        <w:ind w:left="578" w:hanging="578"/>
        <w:jc w:val="both"/>
        <w:rPr>
          <w:rFonts w:ascii="Times New Roman" w:hAnsi="Times New Roman" w:cs="Times New Roman"/>
          <w:sz w:val="24"/>
          <w:szCs w:val="24"/>
        </w:rPr>
      </w:pPr>
      <w:r w:rsidRPr="008A3FEF">
        <w:rPr>
          <w:rFonts w:ascii="Times New Roman" w:hAnsi="Times New Roman" w:cs="Times New Roman"/>
          <w:sz w:val="24"/>
          <w:szCs w:val="24"/>
        </w:rPr>
        <w:t>Pr</w:t>
      </w:r>
      <w:r w:rsidR="008A3FEF">
        <w:rPr>
          <w:rFonts w:ascii="Times New Roman" w:hAnsi="Times New Roman" w:cs="Times New Roman"/>
          <w:sz w:val="24"/>
          <w:szCs w:val="24"/>
        </w:rPr>
        <w:t>incipes fondamentaux</w:t>
      </w:r>
    </w:p>
    <w:p w14:paraId="5820EBF9" w14:textId="77777777" w:rsidR="00610BC9" w:rsidRDefault="00CB1E76" w:rsidP="00CB1E76">
      <w:pPr>
        <w:keepNext/>
        <w:keepLines/>
        <w:tabs>
          <w:tab w:val="left" w:pos="2495"/>
        </w:tabs>
      </w:pPr>
      <w:r>
        <w:tab/>
      </w:r>
    </w:p>
    <w:p w14:paraId="36470355" w14:textId="048B61BB" w:rsidR="00A840E6" w:rsidRPr="00EB44E4" w:rsidRDefault="00EB44E4" w:rsidP="00F4395D">
      <w:pPr>
        <w:spacing w:after="120"/>
        <w:rPr>
          <w:szCs w:val="22"/>
        </w:rPr>
      </w:pPr>
      <w:r w:rsidRPr="00EB44E4">
        <w:rPr>
          <w:szCs w:val="22"/>
        </w:rPr>
        <w:t>Le dispositif de contrôle interne et de gestion des risques de la Société s’inscrit dans les principes fixés par le Groupe La Banque Postale, à partir desquels chaque ligne métier et filiale décline ses priorités d’actions et le dispositif de maîtrise des risques associé. Ces fondamentaux sont décrits dans l’Appétence pour le risque du Groupe et dans la Politique de Maîtrise des Risques.</w:t>
      </w:r>
    </w:p>
    <w:p w14:paraId="2EE29A99" w14:textId="4651BA8B" w:rsidR="00A840E6" w:rsidRPr="00EB44E4" w:rsidRDefault="00EB44E4" w:rsidP="00F4395D">
      <w:pPr>
        <w:spacing w:after="120"/>
        <w:rPr>
          <w:szCs w:val="22"/>
        </w:rPr>
      </w:pPr>
      <w:r w:rsidRPr="00EB44E4">
        <w:rPr>
          <w:szCs w:val="22"/>
        </w:rPr>
        <w:t>Le contrôle interne de la Société s’appuie essentiellement sur le dispositif de contrôle interne de La Banque Postale (cf. infra les acteurs ou structure exerçant les activités de contrôle), lequel repose sur :</w:t>
      </w:r>
    </w:p>
    <w:p w14:paraId="6109DEED" w14:textId="2FE5B0AB" w:rsidR="00EB44E4" w:rsidRPr="00EB44E4" w:rsidRDefault="00EB44E4" w:rsidP="00D032FF">
      <w:pPr>
        <w:numPr>
          <w:ilvl w:val="0"/>
          <w:numId w:val="33"/>
        </w:numPr>
        <w:spacing w:after="120"/>
        <w:rPr>
          <w:iCs/>
          <w:szCs w:val="22"/>
        </w:rPr>
      </w:pPr>
      <w:r w:rsidRPr="00EB44E4">
        <w:rPr>
          <w:iCs/>
          <w:szCs w:val="22"/>
        </w:rPr>
        <w:t>la responsabilité de tous les acteurs, fondement d’un dispositif de maîtrise et de contrôle efficace ;</w:t>
      </w:r>
    </w:p>
    <w:p w14:paraId="52BA17B8" w14:textId="56A1DF47" w:rsidR="00EB44E4" w:rsidRPr="00EB44E4" w:rsidRDefault="00EB44E4" w:rsidP="00D032FF">
      <w:pPr>
        <w:numPr>
          <w:ilvl w:val="0"/>
          <w:numId w:val="33"/>
        </w:numPr>
        <w:spacing w:after="120"/>
        <w:rPr>
          <w:iCs/>
          <w:szCs w:val="22"/>
        </w:rPr>
      </w:pPr>
      <w:r w:rsidRPr="00EB44E4">
        <w:rPr>
          <w:iCs/>
          <w:szCs w:val="22"/>
        </w:rPr>
        <w:t>la proportionnalité des contrôles au niveau du risque à maîtriser ;</w:t>
      </w:r>
    </w:p>
    <w:p w14:paraId="28B1590A" w14:textId="77777777" w:rsidR="00EB44E4" w:rsidRDefault="00EB44E4" w:rsidP="00D032FF">
      <w:pPr>
        <w:numPr>
          <w:ilvl w:val="0"/>
          <w:numId w:val="33"/>
        </w:numPr>
        <w:spacing w:after="120"/>
        <w:rPr>
          <w:iCs/>
          <w:szCs w:val="22"/>
        </w:rPr>
      </w:pPr>
      <w:r w:rsidRPr="00EB44E4">
        <w:rPr>
          <w:iCs/>
          <w:szCs w:val="22"/>
        </w:rPr>
        <w:t>l’exhaustivité du périmètre du dispositif de contrôle. Toutes les activités du Groupe La Banque Postale sont couvertes par le dispositif de contrôle interne ainsi que les prestations de services essentielles externalisées.</w:t>
      </w:r>
    </w:p>
    <w:p w14:paraId="77770771" w14:textId="77777777" w:rsidR="00EB44E4" w:rsidRPr="00EB44E4" w:rsidRDefault="00EB44E4" w:rsidP="00EB44E4">
      <w:pPr>
        <w:rPr>
          <w:iCs/>
          <w:szCs w:val="22"/>
        </w:rPr>
      </w:pPr>
    </w:p>
    <w:p w14:paraId="135B9A9F" w14:textId="7BB71154" w:rsidR="00610BC9" w:rsidRDefault="00EB44E4" w:rsidP="00EB44E4">
      <w:pPr>
        <w:rPr>
          <w:szCs w:val="22"/>
        </w:rPr>
      </w:pPr>
      <w:r w:rsidRPr="00EB44E4">
        <w:rPr>
          <w:szCs w:val="22"/>
        </w:rPr>
        <w:t>La mise en œuvre du contrôle interne est essentiellement réalisée par La Banque Postale. Depuis l’exercice 2017, une partie du contrôle de deuxième niveau portant sur les activités de la Société est confiée à un tiers. Ce tiers est également en charge de l’assurance de la réalisation par La Banque Postale de contrôles de deuxième niveau qui lui reviennent.</w:t>
      </w:r>
    </w:p>
    <w:p w14:paraId="3920D0FB" w14:textId="77777777" w:rsidR="00EB44E4" w:rsidRPr="00EB44E4" w:rsidRDefault="00EB44E4" w:rsidP="00EB44E4">
      <w:pPr>
        <w:rPr>
          <w:szCs w:val="22"/>
        </w:rPr>
      </w:pPr>
    </w:p>
    <w:p w14:paraId="7696B8FC" w14:textId="77777777" w:rsidR="00EB44E4" w:rsidRPr="00EB44E4" w:rsidRDefault="00EB44E4" w:rsidP="00D032FF">
      <w:pPr>
        <w:pStyle w:val="Titre2"/>
        <w:keepNext w:val="0"/>
        <w:numPr>
          <w:ilvl w:val="1"/>
          <w:numId w:val="21"/>
        </w:numPr>
        <w:spacing w:before="0" w:after="0"/>
        <w:ind w:left="578" w:hanging="578"/>
        <w:jc w:val="both"/>
        <w:rPr>
          <w:rFonts w:ascii="Times New Roman" w:hAnsi="Times New Roman" w:cs="Times New Roman"/>
          <w:sz w:val="24"/>
          <w:szCs w:val="24"/>
        </w:rPr>
      </w:pPr>
      <w:r w:rsidRPr="00EB44E4">
        <w:rPr>
          <w:rFonts w:ascii="Times New Roman" w:hAnsi="Times New Roman" w:cs="Times New Roman"/>
          <w:sz w:val="24"/>
          <w:szCs w:val="24"/>
        </w:rPr>
        <w:t>Organisation du contrôle interne</w:t>
      </w:r>
    </w:p>
    <w:p w14:paraId="1BCC78CD" w14:textId="77777777" w:rsidR="00610BC9" w:rsidRDefault="00610BC9" w:rsidP="00610BC9">
      <w:pPr>
        <w:rPr>
          <w:szCs w:val="22"/>
        </w:rPr>
      </w:pPr>
    </w:p>
    <w:p w14:paraId="50CDBE33" w14:textId="50237A2B" w:rsidR="00EB44E4" w:rsidRPr="000439D3" w:rsidRDefault="00EB44E4" w:rsidP="00F4395D">
      <w:pPr>
        <w:spacing w:after="120"/>
        <w:rPr>
          <w:rFonts w:cs="Arial"/>
          <w:szCs w:val="22"/>
        </w:rPr>
      </w:pPr>
      <w:r w:rsidRPr="000439D3">
        <w:rPr>
          <w:rFonts w:cs="Arial"/>
          <w:szCs w:val="22"/>
        </w:rPr>
        <w:t>Le Directeur Général de La Banque Postale Home Loan SFH, également Directeur de la Banque de Financement et d’Investissement de La Banque Postale, est responsable de la mise en œuvre du contrôle interne, sous le contrôle d</w:t>
      </w:r>
      <w:r w:rsidR="000B2EEF">
        <w:rPr>
          <w:rFonts w:cs="Arial"/>
          <w:szCs w:val="22"/>
        </w:rPr>
        <w:t>u Conseil d’Administration de</w:t>
      </w:r>
      <w:r w:rsidRPr="000439D3">
        <w:rPr>
          <w:rFonts w:cs="Arial"/>
          <w:szCs w:val="22"/>
        </w:rPr>
        <w:t xml:space="preserve"> </w:t>
      </w:r>
      <w:r w:rsidR="00933591">
        <w:rPr>
          <w:rFonts w:cs="Arial"/>
          <w:szCs w:val="22"/>
        </w:rPr>
        <w:t xml:space="preserve">La Banque Postale Home Loan </w:t>
      </w:r>
      <w:r w:rsidRPr="000439D3">
        <w:rPr>
          <w:rFonts w:cs="Arial"/>
          <w:szCs w:val="22"/>
        </w:rPr>
        <w:t xml:space="preserve">SFH qui à cet effet, est informé des travaux du Comité des Risques. Il est assisté dans cette fonction par les Directeurs Généraux Délégués et par le </w:t>
      </w:r>
      <w:r>
        <w:rPr>
          <w:rFonts w:cs="Arial"/>
          <w:szCs w:val="22"/>
        </w:rPr>
        <w:t xml:space="preserve">responsable de la gestion des risques </w:t>
      </w:r>
      <w:r w:rsidRPr="000439D3">
        <w:rPr>
          <w:rFonts w:cs="Arial"/>
          <w:szCs w:val="22"/>
        </w:rPr>
        <w:t xml:space="preserve">de </w:t>
      </w:r>
      <w:r w:rsidR="00F71948">
        <w:rPr>
          <w:rFonts w:cs="Arial"/>
          <w:szCs w:val="22"/>
        </w:rPr>
        <w:t>La Banque Postale Home Loan</w:t>
      </w:r>
      <w:r w:rsidR="000B2EEF">
        <w:rPr>
          <w:rFonts w:cs="Arial"/>
          <w:szCs w:val="22"/>
        </w:rPr>
        <w:t xml:space="preserve"> </w:t>
      </w:r>
      <w:r w:rsidRPr="000439D3">
        <w:rPr>
          <w:rFonts w:cs="Arial"/>
          <w:szCs w:val="22"/>
        </w:rPr>
        <w:t>SFH</w:t>
      </w:r>
      <w:r>
        <w:rPr>
          <w:rFonts w:cs="Arial"/>
          <w:szCs w:val="22"/>
        </w:rPr>
        <w:t xml:space="preserve"> également responsable de la gestion des risques</w:t>
      </w:r>
      <w:r>
        <w:rPr>
          <w:rStyle w:val="Appelnotedebasdep"/>
          <w:rFonts w:cs="Arial"/>
          <w:szCs w:val="22"/>
        </w:rPr>
        <w:footnoteReference w:id="13"/>
      </w:r>
      <w:r>
        <w:rPr>
          <w:rFonts w:cs="Arial"/>
          <w:szCs w:val="22"/>
        </w:rPr>
        <w:t xml:space="preserve"> de la BFI</w:t>
      </w:r>
      <w:r w:rsidRPr="000439D3">
        <w:rPr>
          <w:rFonts w:cs="Arial"/>
          <w:szCs w:val="22"/>
        </w:rPr>
        <w:t>. Ainsi, le dispositif de contrôle interne de la Société se structure autour :</w:t>
      </w:r>
    </w:p>
    <w:p w14:paraId="7C09BECA" w14:textId="77777777" w:rsidR="00EB44E4" w:rsidRPr="00EB44E4" w:rsidRDefault="00EB44E4" w:rsidP="00D032FF">
      <w:pPr>
        <w:numPr>
          <w:ilvl w:val="0"/>
          <w:numId w:val="33"/>
        </w:numPr>
        <w:spacing w:after="120"/>
        <w:jc w:val="both"/>
        <w:rPr>
          <w:iCs/>
          <w:szCs w:val="22"/>
        </w:rPr>
      </w:pPr>
      <w:r w:rsidRPr="00EB44E4">
        <w:rPr>
          <w:iCs/>
          <w:szCs w:val="22"/>
        </w:rPr>
        <w:t>d’un dispositif de contrôle permanent de 1er et 2ème niveau (celui-ci réalisé en partie avec le concours d’un un prestataire externe), ainsi que d’un contrôle périodique mis en œuvre par la Banque ;</w:t>
      </w:r>
    </w:p>
    <w:p w14:paraId="1CE94631" w14:textId="52E0B453" w:rsidR="00EB44E4" w:rsidRPr="00EB44E4" w:rsidRDefault="00EB44E4" w:rsidP="00D032FF">
      <w:pPr>
        <w:numPr>
          <w:ilvl w:val="0"/>
          <w:numId w:val="33"/>
        </w:numPr>
        <w:spacing w:after="120"/>
        <w:jc w:val="both"/>
        <w:rPr>
          <w:iCs/>
          <w:szCs w:val="22"/>
        </w:rPr>
      </w:pPr>
      <w:r w:rsidRPr="00EB44E4">
        <w:rPr>
          <w:iCs/>
          <w:szCs w:val="22"/>
        </w:rPr>
        <w:t xml:space="preserve">d’un Comité de Coordination du Contrôle Interne et Déontologie dédié à la Société présidé par le Directeur Général de </w:t>
      </w:r>
      <w:r w:rsidR="00933591">
        <w:rPr>
          <w:iCs/>
          <w:szCs w:val="22"/>
        </w:rPr>
        <w:t>La Banque Postale Home Loan SFH</w:t>
      </w:r>
      <w:r w:rsidRPr="00EB44E4">
        <w:rPr>
          <w:iCs/>
          <w:szCs w:val="22"/>
        </w:rPr>
        <w:t xml:space="preserve"> et chargé de la coordination entre les différents acteurs du contrôle interne de La Banque Postale. Ce Comité :</w:t>
      </w:r>
    </w:p>
    <w:p w14:paraId="3FBEEB8F" w14:textId="10255697" w:rsidR="008A3FEF" w:rsidRPr="00EB44E4" w:rsidRDefault="00EB44E4" w:rsidP="00D032FF">
      <w:pPr>
        <w:numPr>
          <w:ilvl w:val="0"/>
          <w:numId w:val="33"/>
        </w:numPr>
        <w:spacing w:after="120"/>
        <w:jc w:val="both"/>
        <w:rPr>
          <w:iCs/>
          <w:szCs w:val="22"/>
        </w:rPr>
      </w:pPr>
      <w:r w:rsidRPr="00EB44E4">
        <w:rPr>
          <w:iCs/>
          <w:szCs w:val="22"/>
        </w:rPr>
        <w:t>examine les principaux risques de toute nature auxquels est exposée la Société ;</w:t>
      </w:r>
    </w:p>
    <w:p w14:paraId="7F53508F" w14:textId="77777777" w:rsidR="00EB44E4" w:rsidRPr="00EB44E4" w:rsidRDefault="00EB44E4" w:rsidP="00D032FF">
      <w:pPr>
        <w:numPr>
          <w:ilvl w:val="0"/>
          <w:numId w:val="33"/>
        </w:numPr>
        <w:spacing w:after="120"/>
        <w:jc w:val="both"/>
        <w:rPr>
          <w:iCs/>
          <w:szCs w:val="22"/>
        </w:rPr>
      </w:pPr>
      <w:r w:rsidRPr="00EB44E4">
        <w:rPr>
          <w:iCs/>
          <w:szCs w:val="22"/>
        </w:rPr>
        <w:t>suit la mise en œuvre du plan de contrôle permanent et des mesures correctives au titre des activités externalisées auprès de La Banque Postale ;</w:t>
      </w:r>
    </w:p>
    <w:p w14:paraId="3A466E31" w14:textId="77777777" w:rsidR="00EB44E4" w:rsidRPr="00EB44E4" w:rsidRDefault="00EB44E4" w:rsidP="00D032FF">
      <w:pPr>
        <w:numPr>
          <w:ilvl w:val="0"/>
          <w:numId w:val="33"/>
        </w:numPr>
        <w:spacing w:after="120"/>
        <w:jc w:val="both"/>
        <w:rPr>
          <w:iCs/>
          <w:szCs w:val="22"/>
        </w:rPr>
      </w:pPr>
      <w:r w:rsidRPr="00EB44E4">
        <w:rPr>
          <w:iCs/>
          <w:szCs w:val="22"/>
        </w:rPr>
        <w:t>suit la mise en œuvre des engagements pris par La Banque Postale à la suite des missions d’audit internes et externes.</w:t>
      </w:r>
    </w:p>
    <w:p w14:paraId="3AFE2B89" w14:textId="1172C1B3" w:rsidR="00EB44E4" w:rsidRPr="00EB44E4" w:rsidRDefault="00EB44E4" w:rsidP="00F4395D">
      <w:pPr>
        <w:spacing w:after="120"/>
        <w:jc w:val="both"/>
        <w:rPr>
          <w:szCs w:val="22"/>
        </w:rPr>
      </w:pPr>
      <w:r w:rsidRPr="00EB44E4">
        <w:rPr>
          <w:szCs w:val="22"/>
        </w:rPr>
        <w:t xml:space="preserve">Le dispositif de contrôle permanent couvre les risques identifiés et évalués sur les six processus de </w:t>
      </w:r>
      <w:r w:rsidR="00933591">
        <w:rPr>
          <w:szCs w:val="22"/>
        </w:rPr>
        <w:t>La Banque Postale Home Loan</w:t>
      </w:r>
      <w:r w:rsidR="00933591" w:rsidRPr="00EB44E4">
        <w:rPr>
          <w:szCs w:val="22"/>
        </w:rPr>
        <w:t xml:space="preserve"> </w:t>
      </w:r>
      <w:r w:rsidRPr="00EB44E4">
        <w:rPr>
          <w:szCs w:val="22"/>
        </w:rPr>
        <w:t>SFH dont :</w:t>
      </w:r>
    </w:p>
    <w:p w14:paraId="43D90986" w14:textId="77777777" w:rsidR="00EB44E4" w:rsidRPr="00EB44E4" w:rsidRDefault="00EB44E4" w:rsidP="00D032FF">
      <w:pPr>
        <w:numPr>
          <w:ilvl w:val="0"/>
          <w:numId w:val="33"/>
        </w:numPr>
        <w:spacing w:after="120"/>
        <w:jc w:val="both"/>
        <w:rPr>
          <w:iCs/>
          <w:szCs w:val="22"/>
        </w:rPr>
      </w:pPr>
      <w:r w:rsidRPr="00EB44E4">
        <w:rPr>
          <w:iCs/>
          <w:szCs w:val="22"/>
        </w:rPr>
        <w:t>deux sont spécifiques à son activité : gestion du cover pool et production des reportings réglementaires et contractuels dont le rapport sur la qualité des actifs ;</w:t>
      </w:r>
    </w:p>
    <w:p w14:paraId="784F42F3" w14:textId="77777777" w:rsidR="00EB44E4" w:rsidRDefault="00EB44E4" w:rsidP="00D032FF">
      <w:pPr>
        <w:numPr>
          <w:ilvl w:val="0"/>
          <w:numId w:val="33"/>
        </w:numPr>
        <w:spacing w:after="120"/>
        <w:jc w:val="both"/>
        <w:rPr>
          <w:iCs/>
          <w:szCs w:val="22"/>
        </w:rPr>
      </w:pPr>
      <w:r w:rsidRPr="00EB44E4">
        <w:rPr>
          <w:iCs/>
          <w:szCs w:val="22"/>
        </w:rPr>
        <w:t xml:space="preserve">quatre sont intégrés dans les processus de La Banque Postale : gouvernance, gestion opérationnelle, gestion financière et intermédiation financière. </w:t>
      </w:r>
    </w:p>
    <w:p w14:paraId="6E71C08A" w14:textId="77777777" w:rsidR="00F4395D" w:rsidRDefault="00F4395D" w:rsidP="00F4395D">
      <w:pPr>
        <w:rPr>
          <w:rFonts w:cs="Arial"/>
          <w:szCs w:val="22"/>
        </w:rPr>
      </w:pPr>
      <w:r w:rsidRPr="000439D3">
        <w:rPr>
          <w:rFonts w:cs="Arial"/>
          <w:szCs w:val="22"/>
        </w:rPr>
        <w:t>La fréquence des contrôles est arrêtée en fonction de l’évaluation du niveau de risque qui est réalisée dans le cadre de la revue des processus réalisées à tout le moins annuellement.</w:t>
      </w:r>
    </w:p>
    <w:p w14:paraId="65A09086" w14:textId="77777777" w:rsidR="00F4395D" w:rsidRPr="000439D3" w:rsidRDefault="00F4395D" w:rsidP="00F4395D">
      <w:pPr>
        <w:rPr>
          <w:rFonts w:cs="Arial"/>
          <w:szCs w:val="22"/>
        </w:rPr>
      </w:pPr>
    </w:p>
    <w:p w14:paraId="5BD54BA1" w14:textId="4339CDE8" w:rsidR="00F4395D" w:rsidRPr="000439D3" w:rsidRDefault="00F4395D" w:rsidP="00F4395D">
      <w:pPr>
        <w:spacing w:after="120"/>
        <w:rPr>
          <w:rFonts w:cs="Arial"/>
          <w:szCs w:val="22"/>
        </w:rPr>
      </w:pPr>
      <w:r w:rsidRPr="000439D3">
        <w:rPr>
          <w:rFonts w:cs="Arial"/>
          <w:szCs w:val="22"/>
        </w:rPr>
        <w:t xml:space="preserve">La détermination de l’ACT permet de s’assurer périodiquement de la valeur du cover pool respecte les limites contractuelles et légales de surdimensionnement. Des traitements préalables sont mis en place et visent à s’assurer que les prêts apportés en garantie respectent les critères légaux et contractuels d’éligibilité. La valeur des biens apportés en garantie est également réévaluée lors de ces traitements périodiques. </w:t>
      </w:r>
    </w:p>
    <w:p w14:paraId="20C34F5C" w14:textId="3D011EA2" w:rsidR="00F4395D" w:rsidRPr="000439D3" w:rsidRDefault="00F4395D" w:rsidP="00F4395D">
      <w:pPr>
        <w:spacing w:after="120"/>
        <w:rPr>
          <w:rFonts w:cs="Arial"/>
          <w:szCs w:val="22"/>
        </w:rPr>
      </w:pPr>
      <w:r w:rsidRPr="000439D3">
        <w:rPr>
          <w:rFonts w:cs="Arial"/>
          <w:szCs w:val="22"/>
        </w:rPr>
        <w:t>Les contrôles visent également à s’assurer de de la cohérence entre la durée de vie moyenne des émissions et la durée de vie moyenne résiduelle des prêts apportés en garantie.</w:t>
      </w:r>
    </w:p>
    <w:p w14:paraId="33693199" w14:textId="77777777" w:rsidR="00F4395D" w:rsidRPr="000439D3" w:rsidRDefault="00F4395D" w:rsidP="00F4395D">
      <w:pPr>
        <w:spacing w:after="120"/>
        <w:rPr>
          <w:rFonts w:cs="Arial"/>
          <w:szCs w:val="22"/>
        </w:rPr>
      </w:pPr>
      <w:r w:rsidRPr="000439D3">
        <w:rPr>
          <w:rFonts w:cs="Arial"/>
          <w:szCs w:val="22"/>
        </w:rPr>
        <w:t>Les reportings réglementaires et contractuels spécifiques à un établissement de financement à l’habitat sont réalisés conformément aux attentes et dans les délais définis par l’ACPR, les agences de notation ou encore le Cover Bond label.</w:t>
      </w:r>
    </w:p>
    <w:p w14:paraId="456A2E64" w14:textId="77777777" w:rsidR="00F4395D" w:rsidRDefault="00F4395D" w:rsidP="00F4395D">
      <w:pPr>
        <w:spacing w:after="120"/>
        <w:jc w:val="both"/>
        <w:rPr>
          <w:iCs/>
          <w:szCs w:val="22"/>
        </w:rPr>
      </w:pPr>
    </w:p>
    <w:p w14:paraId="46028632" w14:textId="70D3A1D4" w:rsidR="008A3FEF" w:rsidRPr="00A23722" w:rsidRDefault="008A3FEF" w:rsidP="00FC60A3">
      <w:pPr>
        <w:pStyle w:val="Titre2"/>
        <w:keepNext w:val="0"/>
        <w:numPr>
          <w:ilvl w:val="0"/>
          <w:numId w:val="15"/>
        </w:numPr>
        <w:spacing w:before="0" w:after="0"/>
        <w:ind w:left="567" w:hanging="567"/>
        <w:jc w:val="both"/>
        <w:rPr>
          <w:rFonts w:ascii="Times New Roman" w:hAnsi="Times New Roman"/>
          <w:b w:val="0"/>
          <w:sz w:val="24"/>
          <w:szCs w:val="24"/>
        </w:rPr>
      </w:pPr>
      <w:r>
        <w:rPr>
          <w:rFonts w:ascii="Times New Roman" w:hAnsi="Times New Roman"/>
          <w:sz w:val="24"/>
          <w:szCs w:val="24"/>
        </w:rPr>
        <w:t>Contrôle permanent de 1</w:t>
      </w:r>
      <w:r w:rsidRPr="008A3FEF">
        <w:rPr>
          <w:rFonts w:ascii="Times New Roman" w:hAnsi="Times New Roman"/>
          <w:sz w:val="24"/>
          <w:szCs w:val="24"/>
          <w:vertAlign w:val="superscript"/>
        </w:rPr>
        <w:t>er</w:t>
      </w:r>
      <w:r>
        <w:rPr>
          <w:rFonts w:ascii="Times New Roman" w:hAnsi="Times New Roman"/>
          <w:sz w:val="24"/>
          <w:szCs w:val="24"/>
        </w:rPr>
        <w:t xml:space="preserve"> niveau</w:t>
      </w:r>
    </w:p>
    <w:p w14:paraId="0879DC3B" w14:textId="77777777" w:rsidR="008A3FEF" w:rsidRDefault="008A3FEF" w:rsidP="008A3FEF">
      <w:pPr>
        <w:jc w:val="both"/>
        <w:rPr>
          <w:szCs w:val="22"/>
        </w:rPr>
      </w:pPr>
    </w:p>
    <w:p w14:paraId="012FEC89" w14:textId="77777777" w:rsidR="00F4395D" w:rsidRPr="00F4395D" w:rsidRDefault="00F4395D" w:rsidP="00F4395D">
      <w:pPr>
        <w:spacing w:after="120"/>
        <w:jc w:val="both"/>
        <w:rPr>
          <w:szCs w:val="22"/>
        </w:rPr>
      </w:pPr>
      <w:r w:rsidRPr="00F4395D">
        <w:rPr>
          <w:szCs w:val="22"/>
        </w:rPr>
        <w:t>Les contrôles permanents de 1</w:t>
      </w:r>
      <w:r w:rsidRPr="00F4395D">
        <w:rPr>
          <w:szCs w:val="22"/>
          <w:vertAlign w:val="superscript"/>
        </w:rPr>
        <w:t>er</w:t>
      </w:r>
      <w:r w:rsidRPr="00F4395D">
        <w:rPr>
          <w:szCs w:val="22"/>
        </w:rPr>
        <w:t xml:space="preserve"> niveau sont assurés par les opérationnels (Front Office, Middle Office et Back Office) de La Banque Postale dans le cadre de la prise en charge des traitements comptables, administratifs, réglementaires et informatiques nécessaires au fonctionnement de la Société. Les contrôles sont effectués dans le cadre d’autocontrôles, de contrôles hiérarchiques, de contrôles croisés ou automatiques.</w:t>
      </w:r>
    </w:p>
    <w:p w14:paraId="4E035A58" w14:textId="33F6714F" w:rsidR="008A3FEF" w:rsidRDefault="00F4395D" w:rsidP="00F4395D">
      <w:pPr>
        <w:spacing w:after="120"/>
        <w:jc w:val="both"/>
        <w:rPr>
          <w:szCs w:val="22"/>
        </w:rPr>
      </w:pPr>
      <w:r w:rsidRPr="00F4395D">
        <w:rPr>
          <w:szCs w:val="22"/>
        </w:rPr>
        <w:t>Le résultat des contrôles de premier niveau est présenté dans le cadre du Comité Opérationnel.</w:t>
      </w:r>
    </w:p>
    <w:p w14:paraId="1065A0C5" w14:textId="77777777" w:rsidR="00F4395D" w:rsidRDefault="00F4395D" w:rsidP="00F4395D">
      <w:pPr>
        <w:spacing w:after="120"/>
        <w:jc w:val="both"/>
        <w:rPr>
          <w:szCs w:val="22"/>
        </w:rPr>
      </w:pPr>
    </w:p>
    <w:p w14:paraId="42996CE6" w14:textId="22A98076" w:rsidR="008A3FEF" w:rsidRDefault="008A3FEF" w:rsidP="00FC60A3">
      <w:pPr>
        <w:pStyle w:val="Titre2"/>
        <w:keepNext w:val="0"/>
        <w:numPr>
          <w:ilvl w:val="0"/>
          <w:numId w:val="15"/>
        </w:numPr>
        <w:spacing w:before="0" w:after="0"/>
        <w:ind w:left="567" w:hanging="567"/>
        <w:jc w:val="both"/>
        <w:rPr>
          <w:rFonts w:ascii="Times New Roman" w:hAnsi="Times New Roman"/>
          <w:sz w:val="24"/>
          <w:szCs w:val="24"/>
        </w:rPr>
      </w:pPr>
      <w:r>
        <w:rPr>
          <w:rFonts w:ascii="Times New Roman" w:hAnsi="Times New Roman"/>
          <w:sz w:val="24"/>
          <w:szCs w:val="24"/>
        </w:rPr>
        <w:t>Contrôle permanent de 2</w:t>
      </w:r>
      <w:r w:rsidRPr="008A3FEF">
        <w:rPr>
          <w:rFonts w:ascii="Times New Roman" w:hAnsi="Times New Roman"/>
          <w:sz w:val="24"/>
          <w:szCs w:val="24"/>
          <w:vertAlign w:val="superscript"/>
        </w:rPr>
        <w:t>ème</w:t>
      </w:r>
      <w:r>
        <w:rPr>
          <w:rFonts w:ascii="Times New Roman" w:hAnsi="Times New Roman"/>
          <w:sz w:val="24"/>
          <w:szCs w:val="24"/>
        </w:rPr>
        <w:t xml:space="preserve"> niveau</w:t>
      </w:r>
    </w:p>
    <w:p w14:paraId="5BB1EABC" w14:textId="77777777" w:rsidR="008A3FEF" w:rsidRDefault="008A3FEF" w:rsidP="008A3FEF"/>
    <w:p w14:paraId="2FF66EB9" w14:textId="77777777" w:rsidR="00F4395D" w:rsidRPr="00F4395D" w:rsidRDefault="00F4395D" w:rsidP="00F4395D">
      <w:pPr>
        <w:spacing w:after="120"/>
      </w:pPr>
      <w:r w:rsidRPr="00F4395D">
        <w:t>Les contrôles permanents de 2</w:t>
      </w:r>
      <w:r w:rsidRPr="00F4395D">
        <w:rPr>
          <w:vertAlign w:val="superscript"/>
        </w:rPr>
        <w:t>ème</w:t>
      </w:r>
      <w:r w:rsidRPr="00F4395D">
        <w:t xml:space="preserve"> niveau intègrent sous la responsabilité de La Banque Postale les contrôles réalisés de manière indépendante par :</w:t>
      </w:r>
    </w:p>
    <w:p w14:paraId="1C027950" w14:textId="77777777" w:rsidR="00F4395D" w:rsidRPr="00F4395D" w:rsidRDefault="00F4395D" w:rsidP="00D032FF">
      <w:pPr>
        <w:numPr>
          <w:ilvl w:val="0"/>
          <w:numId w:val="33"/>
        </w:numPr>
        <w:spacing w:after="120"/>
        <w:rPr>
          <w:iCs/>
        </w:rPr>
      </w:pPr>
      <w:r w:rsidRPr="00F4395D">
        <w:rPr>
          <w:iCs/>
        </w:rPr>
        <w:t>la Direction des risques groupe qui d’une part, s’assure de la fiabilité des informations communiquées dans les reportings réglementaires spécifiques et prudentiels de la Société, et d’autre part, intègre dans sa surveillance des risques financiers, les risques de taux et de liquidité de la Société ;</w:t>
      </w:r>
    </w:p>
    <w:p w14:paraId="25F4BE31" w14:textId="77777777" w:rsidR="00F4395D" w:rsidRPr="00F4395D" w:rsidRDefault="00F4395D" w:rsidP="00D032FF">
      <w:pPr>
        <w:numPr>
          <w:ilvl w:val="0"/>
          <w:numId w:val="33"/>
        </w:numPr>
        <w:spacing w:after="120"/>
        <w:rPr>
          <w:iCs/>
        </w:rPr>
      </w:pPr>
      <w:r w:rsidRPr="00F4395D">
        <w:rPr>
          <w:iCs/>
        </w:rPr>
        <w:t>d’autres fonctions transverses internes à La Banque Postale, en particulier :</w:t>
      </w:r>
    </w:p>
    <w:p w14:paraId="39312642" w14:textId="77777777" w:rsidR="00F4395D" w:rsidRPr="00F4395D" w:rsidRDefault="00F4395D" w:rsidP="00D032FF">
      <w:pPr>
        <w:numPr>
          <w:ilvl w:val="0"/>
          <w:numId w:val="33"/>
        </w:numPr>
        <w:spacing w:after="120"/>
        <w:rPr>
          <w:iCs/>
        </w:rPr>
      </w:pPr>
      <w:r w:rsidRPr="00F4395D">
        <w:rPr>
          <w:iCs/>
        </w:rPr>
        <w:t>la Direction des comptabilités pour la supervision comptable et le reporting réglementaire auprès de l’ACPR (hors ratios spécifiques aux SFH) ;</w:t>
      </w:r>
    </w:p>
    <w:p w14:paraId="2D957E41" w14:textId="77777777" w:rsidR="00F4395D" w:rsidRPr="00F4395D" w:rsidRDefault="00F4395D" w:rsidP="00D032FF">
      <w:pPr>
        <w:numPr>
          <w:ilvl w:val="0"/>
          <w:numId w:val="33"/>
        </w:numPr>
        <w:spacing w:after="120"/>
        <w:rPr>
          <w:iCs/>
        </w:rPr>
      </w:pPr>
      <w:r w:rsidRPr="00F4395D">
        <w:rPr>
          <w:iCs/>
        </w:rPr>
        <w:t>la Direction de la conformité (y compris la direction du contrôle permanent des services d’investissement) pour le contrôle de la conformité (y compris la lutte contre le blanchiment et le financement du terrorisme).</w:t>
      </w:r>
    </w:p>
    <w:p w14:paraId="5B195A01" w14:textId="77777777" w:rsidR="00F4395D" w:rsidRPr="00F4395D" w:rsidRDefault="00F4395D" w:rsidP="00D032FF">
      <w:pPr>
        <w:numPr>
          <w:ilvl w:val="0"/>
          <w:numId w:val="33"/>
        </w:numPr>
        <w:spacing w:after="120"/>
        <w:rPr>
          <w:iCs/>
        </w:rPr>
      </w:pPr>
      <w:r w:rsidRPr="00F4395D">
        <w:rPr>
          <w:iCs/>
        </w:rPr>
        <w:t>par un prestataire externe dont le rôle est de s’assurer que l’ensemble des contrôles de 2</w:t>
      </w:r>
      <w:r w:rsidRPr="00F4395D">
        <w:rPr>
          <w:iCs/>
          <w:vertAlign w:val="superscript"/>
        </w:rPr>
        <w:t>ème</w:t>
      </w:r>
      <w:r w:rsidRPr="00F4395D">
        <w:rPr>
          <w:iCs/>
        </w:rPr>
        <w:t xml:space="preserve"> niveau devant être réalisé par les équipes de la Banque l’ont effectué et qui prend à sa charge la réalisation d’une partie des contrôle de 2</w:t>
      </w:r>
      <w:r w:rsidRPr="00F4395D">
        <w:rPr>
          <w:iCs/>
          <w:vertAlign w:val="superscript"/>
        </w:rPr>
        <w:t>ème</w:t>
      </w:r>
      <w:r w:rsidRPr="00F4395D">
        <w:rPr>
          <w:iCs/>
        </w:rPr>
        <w:t xml:space="preserve"> niveau.</w:t>
      </w:r>
    </w:p>
    <w:p w14:paraId="769EC2C2" w14:textId="77777777" w:rsidR="00F4395D" w:rsidRPr="00F4395D" w:rsidRDefault="00F4395D" w:rsidP="00F4395D">
      <w:pPr>
        <w:spacing w:after="120"/>
      </w:pPr>
      <w:r w:rsidRPr="00F4395D">
        <w:t xml:space="preserve">Les contrôles permanents de deuxième de niveau comprennent deux volets : </w:t>
      </w:r>
    </w:p>
    <w:p w14:paraId="43A289FB" w14:textId="77777777" w:rsidR="00F4395D" w:rsidRPr="00F4395D" w:rsidRDefault="00F4395D" w:rsidP="00D032FF">
      <w:pPr>
        <w:numPr>
          <w:ilvl w:val="0"/>
          <w:numId w:val="33"/>
        </w:numPr>
        <w:spacing w:after="120"/>
        <w:rPr>
          <w:iCs/>
        </w:rPr>
      </w:pPr>
      <w:r w:rsidRPr="00F4395D">
        <w:rPr>
          <w:iCs/>
        </w:rPr>
        <w:t>les contrôles à distance, sur site et sur pièces ;</w:t>
      </w:r>
    </w:p>
    <w:p w14:paraId="4D94459D" w14:textId="77777777" w:rsidR="00F4395D" w:rsidRPr="00F4395D" w:rsidRDefault="00F4395D" w:rsidP="00D032FF">
      <w:pPr>
        <w:numPr>
          <w:ilvl w:val="0"/>
          <w:numId w:val="33"/>
        </w:numPr>
        <w:spacing w:after="120"/>
        <w:rPr>
          <w:iCs/>
        </w:rPr>
      </w:pPr>
      <w:r w:rsidRPr="00F4395D">
        <w:rPr>
          <w:iCs/>
        </w:rPr>
        <w:t>l'analyse de la qualité et des résultats des contrôles permanents transmis par les responsables de service et le suivi des plans d'actions sur les anomalies les plus importantes ou récurrentes.</w:t>
      </w:r>
    </w:p>
    <w:p w14:paraId="4C3F734C" w14:textId="77777777" w:rsidR="00F4395D" w:rsidRPr="00F4395D" w:rsidRDefault="00F4395D" w:rsidP="00F4395D">
      <w:pPr>
        <w:spacing w:after="120"/>
      </w:pPr>
      <w:r w:rsidRPr="00F4395D">
        <w:t xml:space="preserve">Les résultats des contrôles par les Directions de La Banque Postale en charge des contrôles permanents de deuxième niveau sont consolidés dans un tableau de bord trimestriel. Chaque thème de contrôle fait l’objet d’une cotation du risque en fonction des derniers résultats et des correctifs mis en œuvre. Les résultats sont commentés si besoin et les recommandations sont précisés. </w:t>
      </w:r>
    </w:p>
    <w:p w14:paraId="39370D97" w14:textId="77777777" w:rsidR="00F4395D" w:rsidRPr="00F4395D" w:rsidRDefault="00F4395D" w:rsidP="00F4395D">
      <w:pPr>
        <w:spacing w:after="120"/>
      </w:pPr>
      <w:r w:rsidRPr="00F4395D">
        <w:t xml:space="preserve">Le tableau de bord du contrôle permanent est communiqué à la Direction Générale et analysé dans le cadre du Comité de Coordination du Contrôle Interne et de déontologie de la SFH. Cette instance dont la présidence est exercée par le Directeur général (cf. supra), décide et suit les plans d’action visant à remédier à tout dysfonctionnement dans la mise en œuvre des obligations de conformité. </w:t>
      </w:r>
    </w:p>
    <w:p w14:paraId="101131AD" w14:textId="77777777" w:rsidR="00F4395D" w:rsidRPr="00F4395D" w:rsidRDefault="00F4395D" w:rsidP="00F4395D">
      <w:pPr>
        <w:spacing w:after="120"/>
      </w:pPr>
      <w:r w:rsidRPr="00F4395D">
        <w:t xml:space="preserve">Les résultats des contrôles et le suivi des plans d’action sont examinés par le Comité des Risques de la SFH à partir du tableau de bord. </w:t>
      </w:r>
    </w:p>
    <w:p w14:paraId="4C4C3F04" w14:textId="77777777" w:rsidR="008A3FEF" w:rsidRPr="008A3FEF" w:rsidRDefault="008A3FEF" w:rsidP="008A3FEF"/>
    <w:p w14:paraId="61B6BCC8" w14:textId="02CDD8DF" w:rsidR="00A9403E" w:rsidRDefault="00A9403E" w:rsidP="00FC60A3">
      <w:pPr>
        <w:pStyle w:val="Titre2"/>
        <w:keepNext w:val="0"/>
        <w:numPr>
          <w:ilvl w:val="0"/>
          <w:numId w:val="15"/>
        </w:numPr>
        <w:spacing w:before="0" w:after="0"/>
        <w:ind w:left="567" w:hanging="567"/>
        <w:jc w:val="both"/>
        <w:rPr>
          <w:rFonts w:ascii="Times New Roman" w:hAnsi="Times New Roman"/>
          <w:sz w:val="24"/>
          <w:szCs w:val="24"/>
        </w:rPr>
      </w:pPr>
      <w:r>
        <w:rPr>
          <w:rFonts w:ascii="Times New Roman" w:hAnsi="Times New Roman"/>
          <w:sz w:val="24"/>
          <w:szCs w:val="24"/>
        </w:rPr>
        <w:t>Contrôle périodique</w:t>
      </w:r>
    </w:p>
    <w:p w14:paraId="39C983B0" w14:textId="77777777" w:rsidR="00A9403E" w:rsidRDefault="00A9403E" w:rsidP="00F4395D">
      <w:pPr>
        <w:spacing w:after="120"/>
      </w:pPr>
    </w:p>
    <w:p w14:paraId="2DA06DDC" w14:textId="77777777" w:rsidR="00F4395D" w:rsidRPr="00F4395D" w:rsidRDefault="00F4395D" w:rsidP="00F4395D">
      <w:pPr>
        <w:spacing w:after="120"/>
        <w:jc w:val="both"/>
        <w:rPr>
          <w:szCs w:val="22"/>
        </w:rPr>
      </w:pPr>
      <w:r w:rsidRPr="00F4395D">
        <w:rPr>
          <w:szCs w:val="22"/>
        </w:rPr>
        <w:t>La Société étant rattachée en tant que structure auditable au pôle Activités Transverses de la Banque de Financement et d’Investissement, la fonction de contrôle périodique est assurée par l’Inspection Générale de La Banque Postale. L’Inspection Générale a pour mission principale de s’assurer, sur l’ensemble des activités du Groupe La Banque Postale, de</w:t>
      </w:r>
      <w:r w:rsidRPr="00F4395D">
        <w:rPr>
          <w:iCs/>
          <w:szCs w:val="22"/>
        </w:rPr>
        <w:t> </w:t>
      </w:r>
      <w:r w:rsidRPr="00F4395D">
        <w:rPr>
          <w:szCs w:val="22"/>
        </w:rPr>
        <w:t>:</w:t>
      </w:r>
    </w:p>
    <w:p w14:paraId="7EA35F98" w14:textId="77777777" w:rsidR="00F4395D" w:rsidRPr="00F4395D" w:rsidRDefault="00F4395D" w:rsidP="00D032FF">
      <w:pPr>
        <w:numPr>
          <w:ilvl w:val="0"/>
          <w:numId w:val="33"/>
        </w:numPr>
        <w:spacing w:after="120"/>
        <w:jc w:val="both"/>
        <w:rPr>
          <w:iCs/>
          <w:szCs w:val="22"/>
        </w:rPr>
      </w:pPr>
      <w:r w:rsidRPr="00F4395D">
        <w:rPr>
          <w:iCs/>
          <w:szCs w:val="22"/>
        </w:rPr>
        <w:t>l’existence, de la qualité, de l’efficacité et du caractère approprié du dispositif de contrôle interne ;</w:t>
      </w:r>
    </w:p>
    <w:p w14:paraId="5C973FC8" w14:textId="77777777" w:rsidR="00F4395D" w:rsidRPr="00F4395D" w:rsidRDefault="00F4395D" w:rsidP="00D032FF">
      <w:pPr>
        <w:numPr>
          <w:ilvl w:val="0"/>
          <w:numId w:val="33"/>
        </w:numPr>
        <w:spacing w:after="120"/>
        <w:jc w:val="both"/>
        <w:rPr>
          <w:iCs/>
          <w:szCs w:val="22"/>
        </w:rPr>
      </w:pPr>
      <w:r w:rsidRPr="00F4395D">
        <w:rPr>
          <w:iCs/>
          <w:szCs w:val="22"/>
        </w:rPr>
        <w:t>la fiabilité et de l’intégrité des traitements et des contrôles concernant les informations comptables et les informations de gestion ;</w:t>
      </w:r>
    </w:p>
    <w:p w14:paraId="3176B559" w14:textId="77777777" w:rsidR="00F4395D" w:rsidRPr="00F4395D" w:rsidRDefault="00F4395D" w:rsidP="00D032FF">
      <w:pPr>
        <w:numPr>
          <w:ilvl w:val="0"/>
          <w:numId w:val="33"/>
        </w:numPr>
        <w:spacing w:after="120"/>
        <w:jc w:val="both"/>
        <w:rPr>
          <w:iCs/>
          <w:szCs w:val="22"/>
        </w:rPr>
      </w:pPr>
      <w:r w:rsidRPr="00F4395D">
        <w:rPr>
          <w:iCs/>
          <w:szCs w:val="22"/>
        </w:rPr>
        <w:t>l’analyse, la mesure et la maîtrise des risques ainsi que du niveau des risques effectivement encouru ;</w:t>
      </w:r>
    </w:p>
    <w:p w14:paraId="11BB6DCD" w14:textId="4F03C73C" w:rsidR="00A9403E" w:rsidRDefault="00F4395D" w:rsidP="00D032FF">
      <w:pPr>
        <w:numPr>
          <w:ilvl w:val="0"/>
          <w:numId w:val="33"/>
        </w:numPr>
        <w:spacing w:after="120"/>
        <w:jc w:val="both"/>
        <w:rPr>
          <w:iCs/>
          <w:szCs w:val="22"/>
        </w:rPr>
      </w:pPr>
      <w:r w:rsidRPr="00F4395D">
        <w:rPr>
          <w:iCs/>
          <w:szCs w:val="22"/>
        </w:rPr>
        <w:t>la conformité vis-à-vis des lois, règlements, règles internes et instructions ainsi que de la déontologie et des usages professionnels.</w:t>
      </w:r>
    </w:p>
    <w:p w14:paraId="5EFF1BD1" w14:textId="77777777" w:rsidR="00F4395D" w:rsidRPr="00F4395D" w:rsidRDefault="00F4395D" w:rsidP="00F4395D">
      <w:pPr>
        <w:spacing w:after="120"/>
        <w:ind w:left="720"/>
        <w:jc w:val="both"/>
        <w:rPr>
          <w:iCs/>
          <w:szCs w:val="22"/>
        </w:rPr>
      </w:pPr>
    </w:p>
    <w:p w14:paraId="6B756548" w14:textId="3FD87767" w:rsidR="00A9403E" w:rsidRDefault="00A9403E" w:rsidP="00FC60A3">
      <w:pPr>
        <w:pStyle w:val="Titre2"/>
        <w:keepNext w:val="0"/>
        <w:numPr>
          <w:ilvl w:val="0"/>
          <w:numId w:val="15"/>
        </w:numPr>
        <w:spacing w:before="0" w:after="0"/>
        <w:ind w:left="567" w:hanging="567"/>
        <w:jc w:val="both"/>
        <w:rPr>
          <w:rFonts w:ascii="Times New Roman" w:hAnsi="Times New Roman"/>
          <w:sz w:val="24"/>
          <w:szCs w:val="24"/>
        </w:rPr>
      </w:pPr>
      <w:r>
        <w:rPr>
          <w:rFonts w:ascii="Times New Roman" w:hAnsi="Times New Roman"/>
          <w:sz w:val="24"/>
          <w:szCs w:val="24"/>
        </w:rPr>
        <w:t>Comités de gouvernance relatifs au contrôle interne</w:t>
      </w:r>
    </w:p>
    <w:p w14:paraId="188BA227" w14:textId="77777777" w:rsidR="00A9403E" w:rsidRDefault="00A9403E" w:rsidP="00A9403E"/>
    <w:p w14:paraId="51BC9D6D" w14:textId="77777777" w:rsidR="00F4395D" w:rsidRPr="00F4395D" w:rsidRDefault="00F4395D" w:rsidP="00F4395D">
      <w:pPr>
        <w:spacing w:after="120"/>
        <w:rPr>
          <w:szCs w:val="22"/>
        </w:rPr>
      </w:pPr>
      <w:r w:rsidRPr="00F4395D">
        <w:rPr>
          <w:szCs w:val="22"/>
        </w:rPr>
        <w:t xml:space="preserve">La Société a mis en place un Comité des risques du conseil d’administration, ainsi que d’un </w:t>
      </w:r>
      <w:r w:rsidRPr="00F4395D">
        <w:rPr>
          <w:bCs/>
          <w:szCs w:val="22"/>
        </w:rPr>
        <w:t>Comité d’audit</w:t>
      </w:r>
      <w:r w:rsidRPr="00F4395D">
        <w:rPr>
          <w:szCs w:val="22"/>
        </w:rPr>
        <w:t xml:space="preserve"> en charge de vérifier la clarté des informations fournies et d’apprécier la pertinence des méthodes comptables adoptées par la Banque et la qualité du contrôle interne ;</w:t>
      </w:r>
    </w:p>
    <w:p w14:paraId="4BF04F70" w14:textId="77777777" w:rsidR="00F4395D" w:rsidRPr="00F4395D" w:rsidRDefault="00F4395D" w:rsidP="00F4395D">
      <w:pPr>
        <w:spacing w:after="120"/>
        <w:rPr>
          <w:szCs w:val="22"/>
        </w:rPr>
      </w:pPr>
      <w:r w:rsidRPr="00F4395D">
        <w:rPr>
          <w:szCs w:val="22"/>
        </w:rPr>
        <w:t>Elle et s’est dotée d’un Comité de Coordination du Contrôle Interne et Déontologie. Ce</w:t>
      </w:r>
      <w:r w:rsidRPr="00F4395D">
        <w:rPr>
          <w:bCs/>
          <w:szCs w:val="22"/>
        </w:rPr>
        <w:t xml:space="preserve"> Comité </w:t>
      </w:r>
      <w:r w:rsidRPr="00F4395D">
        <w:rPr>
          <w:szCs w:val="22"/>
        </w:rPr>
        <w:t>réunit</w:t>
      </w:r>
      <w:r w:rsidRPr="00F4395D">
        <w:rPr>
          <w:b/>
          <w:bCs/>
          <w:szCs w:val="22"/>
        </w:rPr>
        <w:t xml:space="preserve"> </w:t>
      </w:r>
      <w:r w:rsidRPr="00F4395D">
        <w:rPr>
          <w:szCs w:val="22"/>
        </w:rPr>
        <w:t>autour du Directeur général et des Directeurs généraux délégués, les responsables en charge du contrôle interne pour lui permettre d’assurer la cohérence de celui-ci et son efficacité. Ce comité se réunit avant tout Comité des Risques pour :</w:t>
      </w:r>
    </w:p>
    <w:p w14:paraId="5D246AA8" w14:textId="77777777" w:rsidR="00F4395D" w:rsidRPr="00F4395D" w:rsidRDefault="00F4395D" w:rsidP="00D032FF">
      <w:pPr>
        <w:pStyle w:val="Paragraphedeliste"/>
        <w:numPr>
          <w:ilvl w:val="0"/>
          <w:numId w:val="44"/>
        </w:numPr>
        <w:spacing w:after="120"/>
        <w:rPr>
          <w:iCs/>
          <w:szCs w:val="22"/>
        </w:rPr>
      </w:pPr>
      <w:r w:rsidRPr="00F4395D">
        <w:rPr>
          <w:iCs/>
          <w:szCs w:val="22"/>
        </w:rPr>
        <w:t>faire un point sur le dispositif de contrôle interne et le système de contrôle mis en œuvre ;</w:t>
      </w:r>
    </w:p>
    <w:p w14:paraId="591C893E" w14:textId="77777777" w:rsidR="00F4395D" w:rsidRPr="00F4395D" w:rsidRDefault="00F4395D" w:rsidP="00D032FF">
      <w:pPr>
        <w:pStyle w:val="Paragraphedeliste"/>
        <w:numPr>
          <w:ilvl w:val="0"/>
          <w:numId w:val="44"/>
        </w:numPr>
        <w:spacing w:after="120"/>
        <w:rPr>
          <w:iCs/>
          <w:szCs w:val="22"/>
        </w:rPr>
      </w:pPr>
      <w:r w:rsidRPr="00F4395D">
        <w:rPr>
          <w:iCs/>
          <w:szCs w:val="22"/>
        </w:rPr>
        <w:t>restituer les résultats de contrôles de 2</w:t>
      </w:r>
      <w:r w:rsidRPr="00F4395D">
        <w:rPr>
          <w:iCs/>
          <w:szCs w:val="22"/>
          <w:vertAlign w:val="superscript"/>
        </w:rPr>
        <w:t>ème</w:t>
      </w:r>
      <w:r w:rsidRPr="00F4395D">
        <w:rPr>
          <w:iCs/>
          <w:szCs w:val="22"/>
        </w:rPr>
        <w:t xml:space="preserve"> niveau réalisés; </w:t>
      </w:r>
    </w:p>
    <w:p w14:paraId="36CA040A" w14:textId="77777777" w:rsidR="00F4395D" w:rsidRPr="00F4395D" w:rsidRDefault="00F4395D" w:rsidP="00D032FF">
      <w:pPr>
        <w:pStyle w:val="Paragraphedeliste"/>
        <w:numPr>
          <w:ilvl w:val="0"/>
          <w:numId w:val="44"/>
        </w:numPr>
        <w:spacing w:after="120"/>
        <w:rPr>
          <w:iCs/>
          <w:szCs w:val="22"/>
        </w:rPr>
      </w:pPr>
      <w:r w:rsidRPr="00F4395D">
        <w:rPr>
          <w:iCs/>
          <w:szCs w:val="22"/>
        </w:rPr>
        <w:t>procéder à l’examen des principaux risques de toute nature auxquels est exposée l’entité et des évolutions intervenues dans les systèmes de mesure des risques et des résultats ;</w:t>
      </w:r>
    </w:p>
    <w:p w14:paraId="7F09B86A" w14:textId="77777777" w:rsidR="00F4395D" w:rsidRPr="00F4395D" w:rsidRDefault="00F4395D" w:rsidP="00D032FF">
      <w:pPr>
        <w:pStyle w:val="Paragraphedeliste"/>
        <w:numPr>
          <w:ilvl w:val="0"/>
          <w:numId w:val="44"/>
        </w:numPr>
        <w:spacing w:after="120"/>
        <w:rPr>
          <w:iCs/>
          <w:szCs w:val="22"/>
        </w:rPr>
      </w:pPr>
      <w:r w:rsidRPr="00F4395D">
        <w:rPr>
          <w:iCs/>
          <w:szCs w:val="22"/>
        </w:rPr>
        <w:t>prendre toute décision nécessaire pour remédier aux faiblesses du contrôle interne ;</w:t>
      </w:r>
    </w:p>
    <w:p w14:paraId="32F4B0F8" w14:textId="77777777" w:rsidR="00F4395D" w:rsidRPr="00F4395D" w:rsidRDefault="00F4395D" w:rsidP="00D032FF">
      <w:pPr>
        <w:pStyle w:val="Paragraphedeliste"/>
        <w:numPr>
          <w:ilvl w:val="0"/>
          <w:numId w:val="44"/>
        </w:numPr>
        <w:spacing w:after="120"/>
        <w:rPr>
          <w:iCs/>
          <w:szCs w:val="22"/>
        </w:rPr>
      </w:pPr>
      <w:r w:rsidRPr="00F4395D">
        <w:rPr>
          <w:iCs/>
          <w:szCs w:val="22"/>
        </w:rPr>
        <w:t>suivre la mise en œuvre des engagements pris à la suite des missions d’audit internes et externes ;</w:t>
      </w:r>
    </w:p>
    <w:p w14:paraId="7035FAAC" w14:textId="77777777" w:rsidR="00F4395D" w:rsidRPr="00F4395D" w:rsidRDefault="00F4395D" w:rsidP="00D032FF">
      <w:pPr>
        <w:pStyle w:val="Paragraphedeliste"/>
        <w:numPr>
          <w:ilvl w:val="0"/>
          <w:numId w:val="44"/>
        </w:numPr>
        <w:spacing w:after="120"/>
        <w:rPr>
          <w:iCs/>
          <w:szCs w:val="22"/>
        </w:rPr>
      </w:pPr>
      <w:r w:rsidRPr="00F4395D">
        <w:rPr>
          <w:iCs/>
          <w:szCs w:val="22"/>
        </w:rPr>
        <w:t>décider des mesures correctives des carences relevées par les missions d’audit ainsi que par les reportings d’activité et de contrôle dont disposent les responsables des fonctions de contrôle ou le management.</w:t>
      </w:r>
    </w:p>
    <w:p w14:paraId="341C73F6" w14:textId="77777777" w:rsidR="008A3FEF" w:rsidRPr="00CB1DAC" w:rsidRDefault="008A3FEF" w:rsidP="00610BC9">
      <w:pPr>
        <w:rPr>
          <w:szCs w:val="22"/>
        </w:rPr>
      </w:pPr>
    </w:p>
    <w:p w14:paraId="45E6D3D2" w14:textId="74E4B466" w:rsidR="00610BC9" w:rsidRPr="00CB1DAC" w:rsidRDefault="00967254" w:rsidP="00D032FF">
      <w:pPr>
        <w:pStyle w:val="Titre2"/>
        <w:keepNext w:val="0"/>
        <w:numPr>
          <w:ilvl w:val="1"/>
          <w:numId w:val="21"/>
        </w:numPr>
        <w:spacing w:before="0" w:after="0"/>
        <w:ind w:left="578" w:hanging="578"/>
        <w:jc w:val="both"/>
        <w:rPr>
          <w:rFonts w:ascii="Times New Roman" w:hAnsi="Times New Roman"/>
          <w:b w:val="0"/>
          <w:sz w:val="22"/>
          <w:szCs w:val="22"/>
        </w:rPr>
      </w:pPr>
      <w:r>
        <w:rPr>
          <w:rFonts w:ascii="Times New Roman" w:hAnsi="Times New Roman" w:cs="Times New Roman"/>
          <w:sz w:val="24"/>
          <w:szCs w:val="24"/>
        </w:rPr>
        <w:t>Rôle du Conseil d’administration en matière de contrôle interne</w:t>
      </w:r>
    </w:p>
    <w:p w14:paraId="435906D7" w14:textId="77777777" w:rsidR="00610BC9" w:rsidRPr="00CB1DAC" w:rsidRDefault="00610BC9" w:rsidP="00610BC9">
      <w:pPr>
        <w:rPr>
          <w:szCs w:val="22"/>
        </w:rPr>
      </w:pPr>
    </w:p>
    <w:p w14:paraId="6BD56125" w14:textId="7973DC87" w:rsidR="00967254" w:rsidRDefault="00967254" w:rsidP="00FC60A3">
      <w:pPr>
        <w:pStyle w:val="Titre2"/>
        <w:keepNext w:val="0"/>
        <w:numPr>
          <w:ilvl w:val="0"/>
          <w:numId w:val="15"/>
        </w:numPr>
        <w:spacing w:before="0" w:after="0"/>
        <w:ind w:left="567" w:hanging="567"/>
        <w:jc w:val="both"/>
        <w:rPr>
          <w:rFonts w:ascii="Times New Roman" w:hAnsi="Times New Roman"/>
          <w:sz w:val="24"/>
          <w:szCs w:val="24"/>
        </w:rPr>
      </w:pPr>
      <w:r>
        <w:rPr>
          <w:rFonts w:ascii="Times New Roman" w:hAnsi="Times New Roman"/>
          <w:sz w:val="24"/>
          <w:szCs w:val="24"/>
        </w:rPr>
        <w:t>Conseil d’administration</w:t>
      </w:r>
    </w:p>
    <w:p w14:paraId="04E9ADA3" w14:textId="77777777" w:rsidR="00967254" w:rsidRDefault="00967254" w:rsidP="00B52490">
      <w:pPr>
        <w:jc w:val="both"/>
        <w:rPr>
          <w:szCs w:val="22"/>
        </w:rPr>
      </w:pPr>
    </w:p>
    <w:p w14:paraId="7DEFB09D" w14:textId="77777777" w:rsidR="00F4395D" w:rsidRPr="00F4395D" w:rsidRDefault="00F4395D" w:rsidP="00B52490">
      <w:pPr>
        <w:spacing w:after="120"/>
        <w:jc w:val="both"/>
        <w:rPr>
          <w:szCs w:val="22"/>
        </w:rPr>
      </w:pPr>
      <w:r w:rsidRPr="00F4395D">
        <w:rPr>
          <w:szCs w:val="22"/>
        </w:rPr>
        <w:t xml:space="preserve">Le Conseil d’administration qui se réunit au moins une fois par trimestre est informé par le Directeur général, à partir de son rapport d’activité, de l’organisation, de l’activité et des résultats du contrôle interne. </w:t>
      </w:r>
    </w:p>
    <w:p w14:paraId="6F576600" w14:textId="77777777" w:rsidR="00F4395D" w:rsidRPr="00F4395D" w:rsidRDefault="00F4395D" w:rsidP="00B52490">
      <w:pPr>
        <w:spacing w:after="120"/>
        <w:jc w:val="both"/>
        <w:rPr>
          <w:szCs w:val="22"/>
        </w:rPr>
      </w:pPr>
      <w:r w:rsidRPr="00F4395D">
        <w:rPr>
          <w:szCs w:val="22"/>
        </w:rPr>
        <w:t xml:space="preserve">Par ailleurs, le Conseil d’administration qui décide des programmes trimestriels d’émission et qui autorise à émettre, est informé des principaux risques encourus par la Société. Il est également régulièrement informé des niveaux d’utilisation des montants et des modalités d’émission. </w:t>
      </w:r>
    </w:p>
    <w:p w14:paraId="06F10EA8" w14:textId="77777777" w:rsidR="00F4395D" w:rsidRPr="00F4395D" w:rsidRDefault="00F4395D" w:rsidP="00B52490">
      <w:pPr>
        <w:spacing w:after="120"/>
        <w:jc w:val="both"/>
        <w:rPr>
          <w:szCs w:val="22"/>
        </w:rPr>
      </w:pPr>
      <w:r w:rsidRPr="00F4395D">
        <w:rPr>
          <w:szCs w:val="22"/>
        </w:rPr>
        <w:t xml:space="preserve">Le Conseil d’administration procède au moins une fois par an, et notamment lors du Conseil d’administration d’arrêté des comptes annuels, à l’examen de l’activité et des résultats du contrôle permanent et périodique sur la base du rapport de gestion et du rapport sur le contrôle interne (établi en application des articles </w:t>
      </w:r>
      <w:r w:rsidRPr="00F4395D">
        <w:rPr>
          <w:iCs/>
          <w:szCs w:val="22"/>
        </w:rPr>
        <w:t>258 à 266 de l’arrêté du 3 novembre 2014 relatif au contrôle interne des entreprises du secteur de la banque</w:t>
      </w:r>
      <w:r w:rsidRPr="00F4395D">
        <w:rPr>
          <w:szCs w:val="22"/>
        </w:rPr>
        <w:t xml:space="preserve">). </w:t>
      </w:r>
    </w:p>
    <w:p w14:paraId="68CBF1DC" w14:textId="77777777" w:rsidR="00F4395D" w:rsidRPr="00F4395D" w:rsidRDefault="00F4395D" w:rsidP="00B52490">
      <w:pPr>
        <w:spacing w:after="120"/>
        <w:jc w:val="both"/>
        <w:rPr>
          <w:szCs w:val="22"/>
        </w:rPr>
      </w:pPr>
      <w:r w:rsidRPr="00F4395D">
        <w:rPr>
          <w:szCs w:val="22"/>
        </w:rPr>
        <w:t xml:space="preserve">Le seuil d’alerte d’incident significatif au sens de l’article 98 </w:t>
      </w:r>
      <w:r w:rsidRPr="00F4395D">
        <w:rPr>
          <w:iCs/>
          <w:szCs w:val="22"/>
        </w:rPr>
        <w:t>de l’arrêté du 3 novembre 2014 relatif au contrôle interne des entreprises du secteur de la banque</w:t>
      </w:r>
      <w:r w:rsidRPr="00F4395D" w:rsidDel="001D6AD4">
        <w:rPr>
          <w:szCs w:val="22"/>
        </w:rPr>
        <w:t xml:space="preserve"> </w:t>
      </w:r>
      <w:r w:rsidRPr="00F4395D">
        <w:rPr>
          <w:szCs w:val="22"/>
        </w:rPr>
        <w:t>est de 1 000 000 euros, soit 0,5% des fonds propres de base. Ce seuil a été validé par le Conseil d’administration le 11 février 2014. En complément à ce seuil de déclaration à l’ACPR, le Conseil a instauré, pour sa propre information, un seuil de remontée des incidents de plus de 50 000 euros.</w:t>
      </w:r>
    </w:p>
    <w:p w14:paraId="730A72EA" w14:textId="77777777" w:rsidR="00F4395D" w:rsidRPr="00F4395D" w:rsidRDefault="00F4395D" w:rsidP="00B52490">
      <w:pPr>
        <w:spacing w:after="120"/>
        <w:jc w:val="both"/>
        <w:rPr>
          <w:szCs w:val="22"/>
        </w:rPr>
      </w:pPr>
      <w:r w:rsidRPr="00F4395D">
        <w:rPr>
          <w:szCs w:val="22"/>
        </w:rPr>
        <w:t>En 2019, les procédures de contrôle interne n’ont révélé aucun incident significatif.</w:t>
      </w:r>
    </w:p>
    <w:p w14:paraId="72E76DB8" w14:textId="77777777" w:rsidR="00F4395D" w:rsidRPr="00F4395D" w:rsidRDefault="00F4395D" w:rsidP="00B52490">
      <w:pPr>
        <w:spacing w:after="120"/>
        <w:jc w:val="both"/>
        <w:rPr>
          <w:szCs w:val="22"/>
        </w:rPr>
      </w:pPr>
      <w:r w:rsidRPr="00F4395D">
        <w:rPr>
          <w:szCs w:val="22"/>
        </w:rPr>
        <w:t>Enfin, le Contrôleur Spécifique de La Banque Postale Home Loan SFH qui est convoqué à toutes les assemblées d’actionnaires, ainsi qu’à tous les Conseils d’administration et Comités des Risques :</w:t>
      </w:r>
    </w:p>
    <w:p w14:paraId="33692FA5" w14:textId="77777777" w:rsidR="00F4395D" w:rsidRPr="00F4395D" w:rsidRDefault="00F4395D" w:rsidP="00B52490">
      <w:pPr>
        <w:numPr>
          <w:ilvl w:val="0"/>
          <w:numId w:val="33"/>
        </w:numPr>
        <w:spacing w:after="120"/>
        <w:jc w:val="both"/>
        <w:rPr>
          <w:iCs/>
          <w:szCs w:val="22"/>
        </w:rPr>
      </w:pPr>
      <w:r w:rsidRPr="00F4395D">
        <w:rPr>
          <w:iCs/>
          <w:szCs w:val="22"/>
        </w:rPr>
        <w:t>atteste auprès du Conseil du respect du ratio de couverture lors des programmes trimestriels d’émissions obligataires ou des émissions dépassant 500 MEUR ;</w:t>
      </w:r>
    </w:p>
    <w:p w14:paraId="655593E6" w14:textId="77777777" w:rsidR="00F4395D" w:rsidRPr="00F4395D" w:rsidRDefault="00F4395D" w:rsidP="00B52490">
      <w:pPr>
        <w:numPr>
          <w:ilvl w:val="0"/>
          <w:numId w:val="33"/>
        </w:numPr>
        <w:spacing w:after="120"/>
        <w:jc w:val="both"/>
        <w:rPr>
          <w:iCs/>
          <w:szCs w:val="22"/>
        </w:rPr>
      </w:pPr>
      <w:r w:rsidRPr="00F4395D">
        <w:rPr>
          <w:iCs/>
          <w:szCs w:val="22"/>
        </w:rPr>
        <w:t xml:space="preserve">joint à la publication des comptes annuels de la Société un avis sur les procédures d’évaluation et de réévaluation des gages immobiliers et la conformité des résultats publiés à ces procédures ; </w:t>
      </w:r>
    </w:p>
    <w:p w14:paraId="1F17B8EC" w14:textId="77777777" w:rsidR="00F4395D" w:rsidRPr="00F4395D" w:rsidRDefault="00F4395D" w:rsidP="00B52490">
      <w:pPr>
        <w:numPr>
          <w:ilvl w:val="0"/>
          <w:numId w:val="33"/>
        </w:numPr>
        <w:spacing w:after="120"/>
        <w:jc w:val="both"/>
        <w:rPr>
          <w:iCs/>
          <w:szCs w:val="22"/>
        </w:rPr>
      </w:pPr>
      <w:r w:rsidRPr="00F4395D">
        <w:rPr>
          <w:iCs/>
          <w:szCs w:val="22"/>
        </w:rPr>
        <w:t>établit, pour les dirigeants et les instances délibérantes, un rapport annuel sur l’accomplissement de sa mission.</w:t>
      </w:r>
    </w:p>
    <w:p w14:paraId="3F9236C7" w14:textId="77777777" w:rsidR="00610BC9" w:rsidRDefault="00610BC9" w:rsidP="00610BC9">
      <w:pPr>
        <w:rPr>
          <w:szCs w:val="22"/>
        </w:rPr>
      </w:pPr>
    </w:p>
    <w:p w14:paraId="42972417" w14:textId="3BC886DD" w:rsidR="00967254" w:rsidRDefault="00967254" w:rsidP="00FC60A3">
      <w:pPr>
        <w:pStyle w:val="Titre2"/>
        <w:keepNext w:val="0"/>
        <w:numPr>
          <w:ilvl w:val="0"/>
          <w:numId w:val="15"/>
        </w:numPr>
        <w:spacing w:before="0" w:after="0"/>
        <w:ind w:left="567" w:hanging="567"/>
        <w:jc w:val="both"/>
        <w:rPr>
          <w:rFonts w:ascii="Times New Roman" w:hAnsi="Times New Roman"/>
          <w:sz w:val="24"/>
          <w:szCs w:val="24"/>
        </w:rPr>
      </w:pPr>
      <w:r>
        <w:rPr>
          <w:rFonts w:ascii="Times New Roman" w:hAnsi="Times New Roman"/>
          <w:sz w:val="24"/>
          <w:szCs w:val="24"/>
        </w:rPr>
        <w:t>Rôle de l’organe exécutif</w:t>
      </w:r>
    </w:p>
    <w:p w14:paraId="26593198" w14:textId="77777777" w:rsidR="00967254" w:rsidRDefault="00967254" w:rsidP="00610BC9">
      <w:pPr>
        <w:rPr>
          <w:szCs w:val="22"/>
        </w:rPr>
      </w:pPr>
    </w:p>
    <w:p w14:paraId="2B936CBF" w14:textId="77777777" w:rsidR="00083D7A" w:rsidRPr="00083D7A" w:rsidRDefault="00083D7A" w:rsidP="00B52490">
      <w:pPr>
        <w:spacing w:after="120"/>
        <w:jc w:val="both"/>
        <w:rPr>
          <w:szCs w:val="22"/>
        </w:rPr>
      </w:pPr>
      <w:r w:rsidRPr="00083D7A">
        <w:rPr>
          <w:szCs w:val="22"/>
        </w:rPr>
        <w:t>Le Directeur général est responsable et impliqué directement dans l’organisation et le fonctionnement du dispositif de contrôle interne de la Société. Il est assisté par les Directeurs généraux délégués.</w:t>
      </w:r>
    </w:p>
    <w:p w14:paraId="51BFAF28" w14:textId="77777777" w:rsidR="00083D7A" w:rsidRPr="00083D7A" w:rsidRDefault="00083D7A" w:rsidP="00B52490">
      <w:pPr>
        <w:spacing w:after="120"/>
        <w:jc w:val="both"/>
        <w:rPr>
          <w:szCs w:val="22"/>
        </w:rPr>
      </w:pPr>
      <w:r w:rsidRPr="00083D7A">
        <w:rPr>
          <w:szCs w:val="22"/>
        </w:rPr>
        <w:t>Ainsi, un Comité de Gestion assiste la Direction générale dans la prise des décisions relatives à la gestion de l'actif et du passif de la Société. Ce comité lui permet de suivre l’évolution du Cover Pool et de s’assurer que les limites sont compatibles avec le niveau des fonds propres, le niveau de surdimensionnement et l’écart de durée de vie moyenne entre les émissions sécurisées et le Cover Pool reçu en garanti.</w:t>
      </w:r>
    </w:p>
    <w:p w14:paraId="41AF6E38" w14:textId="77777777" w:rsidR="00083D7A" w:rsidRPr="00083D7A" w:rsidRDefault="00083D7A" w:rsidP="00B52490">
      <w:pPr>
        <w:spacing w:after="120"/>
        <w:jc w:val="both"/>
        <w:rPr>
          <w:szCs w:val="22"/>
        </w:rPr>
      </w:pPr>
      <w:r w:rsidRPr="00083D7A">
        <w:rPr>
          <w:szCs w:val="22"/>
        </w:rPr>
        <w:t>Par ailleurs, un Comité Opérationnel permet aux équipes opérationnelles, d’une part de restituer sous forme de synthèse les résultats de contrôles de premier niveau effectués et, d’autre part d’établir et de suivre les plans d’actions engagés sur les différents projets concernant la Société.</w:t>
      </w:r>
    </w:p>
    <w:p w14:paraId="02242846" w14:textId="77777777" w:rsidR="00083D7A" w:rsidRPr="00083D7A" w:rsidRDefault="00083D7A" w:rsidP="00B52490">
      <w:pPr>
        <w:spacing w:after="120"/>
        <w:jc w:val="both"/>
        <w:rPr>
          <w:szCs w:val="22"/>
        </w:rPr>
      </w:pPr>
      <w:r w:rsidRPr="00083D7A">
        <w:rPr>
          <w:szCs w:val="22"/>
        </w:rPr>
        <w:t xml:space="preserve">Un contrôle de second niveau est également réalisé par la Direction des risques groupe et par un prestataire externe. </w:t>
      </w:r>
    </w:p>
    <w:p w14:paraId="4029B54F" w14:textId="77777777" w:rsidR="00083D7A" w:rsidRPr="00083D7A" w:rsidRDefault="00083D7A" w:rsidP="00B52490">
      <w:pPr>
        <w:spacing w:after="120"/>
        <w:jc w:val="both"/>
        <w:rPr>
          <w:szCs w:val="22"/>
        </w:rPr>
      </w:pPr>
      <w:r w:rsidRPr="00083D7A">
        <w:rPr>
          <w:szCs w:val="22"/>
        </w:rPr>
        <w:t>La Direction générale est informée des principaux dysfonctionnements que le dispositif de contrôle interne permet d’identifier et des mesures correctrices proposées.</w:t>
      </w:r>
    </w:p>
    <w:p w14:paraId="7F85C327" w14:textId="25A8D5C5" w:rsidR="00967254" w:rsidRDefault="00967254">
      <w:pPr>
        <w:rPr>
          <w:szCs w:val="22"/>
        </w:rPr>
      </w:pPr>
    </w:p>
    <w:p w14:paraId="674C3659" w14:textId="13B8CA50" w:rsidR="00610BC9" w:rsidRPr="00CB1DAC" w:rsidRDefault="00967254" w:rsidP="00D032FF">
      <w:pPr>
        <w:pStyle w:val="Titre2"/>
        <w:keepNext w:val="0"/>
        <w:numPr>
          <w:ilvl w:val="1"/>
          <w:numId w:val="21"/>
        </w:numPr>
        <w:spacing w:before="0" w:after="0"/>
        <w:ind w:left="578" w:hanging="578"/>
        <w:jc w:val="both"/>
        <w:rPr>
          <w:rFonts w:ascii="Times New Roman" w:hAnsi="Times New Roman"/>
          <w:b w:val="0"/>
          <w:sz w:val="22"/>
          <w:szCs w:val="22"/>
        </w:rPr>
      </w:pPr>
      <w:r>
        <w:rPr>
          <w:rFonts w:ascii="Times New Roman" w:hAnsi="Times New Roman" w:cs="Times New Roman"/>
          <w:sz w:val="24"/>
          <w:szCs w:val="24"/>
        </w:rPr>
        <w:t>Description synthétique du dispositif de contrôle interne et de maîtrise des risques</w:t>
      </w:r>
    </w:p>
    <w:p w14:paraId="71CDEE2A" w14:textId="77777777" w:rsidR="00610BC9" w:rsidRPr="00CB1DAC" w:rsidRDefault="00610BC9" w:rsidP="00610BC9">
      <w:pPr>
        <w:rPr>
          <w:szCs w:val="22"/>
        </w:rPr>
      </w:pPr>
    </w:p>
    <w:p w14:paraId="2EEEE768" w14:textId="3F060376" w:rsidR="00967254" w:rsidRDefault="00967254" w:rsidP="00FC60A3">
      <w:pPr>
        <w:pStyle w:val="Titre2"/>
        <w:keepNext w:val="0"/>
        <w:numPr>
          <w:ilvl w:val="0"/>
          <w:numId w:val="15"/>
        </w:numPr>
        <w:spacing w:before="0" w:after="0"/>
        <w:ind w:left="567" w:hanging="567"/>
        <w:jc w:val="both"/>
        <w:rPr>
          <w:rFonts w:ascii="Times New Roman" w:hAnsi="Times New Roman"/>
          <w:sz w:val="24"/>
          <w:szCs w:val="24"/>
        </w:rPr>
      </w:pPr>
      <w:r>
        <w:rPr>
          <w:rFonts w:ascii="Times New Roman" w:hAnsi="Times New Roman"/>
          <w:sz w:val="24"/>
          <w:szCs w:val="24"/>
        </w:rPr>
        <w:t>Mesure et surveillance des risques</w:t>
      </w:r>
    </w:p>
    <w:p w14:paraId="3336183C" w14:textId="77777777" w:rsidR="00967254" w:rsidRDefault="00967254" w:rsidP="00CB1E76">
      <w:pPr>
        <w:jc w:val="both"/>
        <w:rPr>
          <w:szCs w:val="22"/>
        </w:rPr>
      </w:pPr>
    </w:p>
    <w:p w14:paraId="55BEB2BF" w14:textId="77777777" w:rsidR="00083D7A" w:rsidRPr="00083D7A" w:rsidRDefault="00083D7A" w:rsidP="00083D7A">
      <w:pPr>
        <w:spacing w:after="120"/>
        <w:jc w:val="both"/>
        <w:rPr>
          <w:szCs w:val="22"/>
        </w:rPr>
      </w:pPr>
      <w:r w:rsidRPr="00083D7A">
        <w:rPr>
          <w:szCs w:val="22"/>
        </w:rPr>
        <w:t xml:space="preserve">La Société appartenant au Groupe La Banque Postale, son dispositif de contrôle interne respecte les principes édictés par </w:t>
      </w:r>
      <w:r w:rsidRPr="00083D7A">
        <w:rPr>
          <w:iCs/>
          <w:szCs w:val="22"/>
        </w:rPr>
        <w:t>l’arrêté du 3 novembre 2014 relatif au contrôle interne des entreprises du secteur de la banque</w:t>
      </w:r>
      <w:r w:rsidRPr="00083D7A" w:rsidDel="001D6AD4">
        <w:rPr>
          <w:szCs w:val="22"/>
        </w:rPr>
        <w:t xml:space="preserve"> </w:t>
      </w:r>
      <w:r w:rsidRPr="00083D7A">
        <w:rPr>
          <w:szCs w:val="22"/>
        </w:rPr>
        <w:t>et par le Groupe La Banque Postale. Ce dispositif tient compte de la forme juridique de la Société, à savoir une société anonyme avec un Conseil d’administration, et de l’absence de moyens humains, matériels et techniques propres.</w:t>
      </w:r>
    </w:p>
    <w:p w14:paraId="0FDC3ECD" w14:textId="77777777" w:rsidR="00083D7A" w:rsidRPr="00083D7A" w:rsidRDefault="00083D7A" w:rsidP="00083D7A">
      <w:pPr>
        <w:spacing w:after="120"/>
        <w:jc w:val="both"/>
        <w:rPr>
          <w:szCs w:val="22"/>
        </w:rPr>
      </w:pPr>
      <w:r w:rsidRPr="00083D7A">
        <w:rPr>
          <w:szCs w:val="22"/>
        </w:rPr>
        <w:t xml:space="preserve">L’exécution de ses obligations réglementaires qui résultent de sa qualité d’établissement de crédit spécialisé, par La Banque Postale, s’opère selon les conditions et modalités décrites dans la Convention d’externalisation et de fourniture de services. L’externalisation de ces services essentiels ou importants à l’activité de la Société au sens de l’article 10 de </w:t>
      </w:r>
      <w:r w:rsidRPr="00083D7A">
        <w:rPr>
          <w:iCs/>
          <w:szCs w:val="22"/>
        </w:rPr>
        <w:t>l’arrêté du 3 novembre 2014 relatif au contrôle interne des entreprises du secteur de la banque</w:t>
      </w:r>
      <w:r w:rsidRPr="00083D7A">
        <w:rPr>
          <w:szCs w:val="22"/>
        </w:rPr>
        <w:t xml:space="preserve"> s’effectue en conformité des articles 21 et 231 et suivants de l’arrêté. En conséquence, la Société demeure seule juridiquement responsable des missions confiées à son prestataire de services essentiels, La Banque Postale, vis-à-vis des autorités compétentes et, plus généralement, du respect par elle de la réglementation qui lui est applicable. A cette fin, la Société exerce un contrôle sur la correcte exécution des prestations externalisées. Les activités de la Société sont totalement intégrées au processus de contrôle de La Banque Postale. Leur traitement ne se distingue pas à cet égard de celui qui prévaudrait dans une entité de la maison mère. </w:t>
      </w:r>
    </w:p>
    <w:p w14:paraId="0F620A27" w14:textId="77777777" w:rsidR="00083D7A" w:rsidRPr="00083D7A" w:rsidRDefault="00083D7A" w:rsidP="00083D7A">
      <w:pPr>
        <w:spacing w:after="120"/>
        <w:jc w:val="both"/>
        <w:rPr>
          <w:szCs w:val="22"/>
        </w:rPr>
      </w:pPr>
      <w:r w:rsidRPr="00083D7A">
        <w:rPr>
          <w:szCs w:val="22"/>
        </w:rPr>
        <w:t>De ce fait, La Banque Postale met en œuvre, sur le périmètre de La Banque Postale Home Loan SFH, des processus et dispositifs de mesure, de surveillance et de maîtrise des risques (risques de crédit et de contrepartie, de marché, de règlement, de taux d’intérêt global, de liquidité, comptables, opérationnels) adaptés aux activités et intégrés au dispositif de contrôle interne de La Banque Postale.</w:t>
      </w:r>
    </w:p>
    <w:p w14:paraId="3F2C3F2D" w14:textId="77777777" w:rsidR="00083D7A" w:rsidRPr="00083D7A" w:rsidRDefault="00083D7A" w:rsidP="00083D7A">
      <w:pPr>
        <w:spacing w:after="120"/>
        <w:jc w:val="both"/>
        <w:rPr>
          <w:szCs w:val="22"/>
        </w:rPr>
      </w:pPr>
      <w:r w:rsidRPr="00083D7A">
        <w:rPr>
          <w:szCs w:val="22"/>
        </w:rPr>
        <w:t>Les principaux facteurs de risques auxquels est exposée la Société, à savoir le risque de crédit et de contrepartie, le risque de marché, le risque de taux et de change, le risque de liquidité, le risque comptable, les risques opérationnels ont fait l’objet d’un suivi particulier. Une cartographie des risques opérationnels est tenue à jour pour tenir compte des évolutions constatées à la fois sur LBP et LBP HL SFH (résultats de contrôle, avancée des plans de maîtrise des risques, évolutions du cadre règlementaires…).</w:t>
      </w:r>
    </w:p>
    <w:p w14:paraId="1F80865A" w14:textId="77777777" w:rsidR="00083D7A" w:rsidRPr="00083D7A" w:rsidRDefault="00083D7A" w:rsidP="00083D7A">
      <w:pPr>
        <w:spacing w:after="120"/>
        <w:jc w:val="both"/>
        <w:rPr>
          <w:szCs w:val="22"/>
        </w:rPr>
      </w:pPr>
      <w:r w:rsidRPr="00083D7A">
        <w:rPr>
          <w:szCs w:val="22"/>
        </w:rPr>
        <w:t>Les éléments détaillés relatifs à la mesure et au suivi des risques sont présentés dans le rapport de gestion.</w:t>
      </w:r>
    </w:p>
    <w:p w14:paraId="4B30EA65" w14:textId="77777777" w:rsidR="00967254" w:rsidRDefault="00967254" w:rsidP="00967254">
      <w:pPr>
        <w:jc w:val="both"/>
        <w:rPr>
          <w:szCs w:val="22"/>
        </w:rPr>
      </w:pPr>
    </w:p>
    <w:p w14:paraId="595D1C85" w14:textId="77777777" w:rsidR="00967254" w:rsidRPr="00967254" w:rsidRDefault="00967254" w:rsidP="00D032FF">
      <w:pPr>
        <w:pStyle w:val="NormalWeb"/>
        <w:widowControl/>
        <w:numPr>
          <w:ilvl w:val="0"/>
          <w:numId w:val="18"/>
        </w:numPr>
        <w:spacing w:before="0" w:beforeAutospacing="0" w:after="0" w:afterAutospacing="0"/>
        <w:ind w:left="567" w:hanging="567"/>
        <w:jc w:val="left"/>
        <w:rPr>
          <w:rFonts w:cs="Arial"/>
          <w:b/>
          <w:bCs/>
          <w:iCs/>
          <w:sz w:val="24"/>
        </w:rPr>
      </w:pPr>
      <w:r w:rsidRPr="00967254">
        <w:rPr>
          <w:rFonts w:cs="Arial"/>
          <w:b/>
          <w:bCs/>
          <w:iCs/>
          <w:sz w:val="24"/>
        </w:rPr>
        <w:t>Dispositif de contrôle permanent</w:t>
      </w:r>
    </w:p>
    <w:p w14:paraId="2E9CF7CA" w14:textId="77777777" w:rsidR="00967254" w:rsidRPr="00967254" w:rsidRDefault="00967254" w:rsidP="00967254">
      <w:pPr>
        <w:jc w:val="both"/>
        <w:rPr>
          <w:szCs w:val="22"/>
        </w:rPr>
      </w:pPr>
    </w:p>
    <w:p w14:paraId="6F4EA9D6" w14:textId="77777777" w:rsidR="00083D7A" w:rsidRPr="00083D7A" w:rsidRDefault="00083D7A" w:rsidP="00083D7A">
      <w:pPr>
        <w:spacing w:after="120"/>
        <w:jc w:val="both"/>
        <w:rPr>
          <w:szCs w:val="22"/>
        </w:rPr>
      </w:pPr>
      <w:r w:rsidRPr="00083D7A">
        <w:rPr>
          <w:szCs w:val="22"/>
        </w:rPr>
        <w:t>La Société a confié à La Banque Postale, aux termes de la Convention d’externalisation de prestations de services, l’exécution des tâches de contrôle dans le cadre du système de contrôle permanent mis en œuvre par La Banque Postale. Ainsi, les contrôles permanents de premier niveau sont assurés par les entités opérationnelles (Front Office, Middle Office, Back Office) de La Banque Postale. Ils portent en particulier sur le respect des limites et des pouvoirs conférés au Directeur général par le Conseil d’administration (respect de l’enveloppe autorisée et des conditions financières des émissions), la validation des opérations conformément aux règles et aux procédures et leur correct dénouement, etc. ; le contrôle permanent de deuxième niveau est essentiellement assuré par les fonctions de contrôle permanent indépendantes de La Banque Postale (Risques, Finance, Conformité). Un prestataire externe assure une partie des contrôles de 2</w:t>
      </w:r>
      <w:r w:rsidRPr="00083D7A">
        <w:rPr>
          <w:szCs w:val="22"/>
          <w:vertAlign w:val="superscript"/>
        </w:rPr>
        <w:t>ème</w:t>
      </w:r>
      <w:r w:rsidRPr="00083D7A">
        <w:rPr>
          <w:szCs w:val="22"/>
        </w:rPr>
        <w:t xml:space="preserve"> niveau. Les résultats des contrôles permanents sont transmis à la Société.</w:t>
      </w:r>
    </w:p>
    <w:p w14:paraId="3D4C7FFA" w14:textId="3A168ECD" w:rsidR="00967254" w:rsidRDefault="00967254">
      <w:pPr>
        <w:rPr>
          <w:szCs w:val="22"/>
        </w:rPr>
      </w:pPr>
      <w:r>
        <w:rPr>
          <w:szCs w:val="22"/>
        </w:rPr>
        <w:br w:type="page"/>
      </w:r>
    </w:p>
    <w:p w14:paraId="0E712CF6" w14:textId="77777777" w:rsidR="00967254" w:rsidRDefault="00967254" w:rsidP="00CB1E76">
      <w:pPr>
        <w:jc w:val="both"/>
        <w:rPr>
          <w:szCs w:val="22"/>
        </w:rPr>
      </w:pPr>
    </w:p>
    <w:p w14:paraId="278B31CE" w14:textId="01AC56A5" w:rsidR="00967254" w:rsidRDefault="00967254" w:rsidP="00D032FF">
      <w:pPr>
        <w:pStyle w:val="NormalWeb"/>
        <w:widowControl/>
        <w:numPr>
          <w:ilvl w:val="0"/>
          <w:numId w:val="18"/>
        </w:numPr>
        <w:spacing w:before="0" w:beforeAutospacing="0" w:after="0" w:afterAutospacing="0"/>
        <w:ind w:left="567" w:hanging="567"/>
        <w:jc w:val="left"/>
        <w:rPr>
          <w:rFonts w:cs="Arial"/>
          <w:b/>
          <w:bCs/>
          <w:iCs/>
          <w:sz w:val="24"/>
        </w:rPr>
      </w:pPr>
      <w:r w:rsidRPr="00967254">
        <w:rPr>
          <w:rFonts w:cs="Arial"/>
          <w:b/>
          <w:bCs/>
          <w:iCs/>
          <w:sz w:val="24"/>
        </w:rPr>
        <w:t xml:space="preserve">Dispositif de contrôle </w:t>
      </w:r>
      <w:r>
        <w:rPr>
          <w:rFonts w:cs="Arial"/>
          <w:b/>
          <w:bCs/>
          <w:iCs/>
          <w:sz w:val="24"/>
        </w:rPr>
        <w:t>des risques de non-conformité</w:t>
      </w:r>
    </w:p>
    <w:p w14:paraId="5567942D" w14:textId="77777777" w:rsidR="00967254" w:rsidRDefault="00967254" w:rsidP="00967254">
      <w:pPr>
        <w:pStyle w:val="NormalWeb"/>
        <w:widowControl/>
        <w:spacing w:before="0" w:beforeAutospacing="0" w:after="0" w:afterAutospacing="0"/>
        <w:jc w:val="left"/>
        <w:rPr>
          <w:rFonts w:cs="Arial"/>
          <w:b/>
          <w:bCs/>
          <w:iCs/>
          <w:sz w:val="24"/>
        </w:rPr>
      </w:pPr>
    </w:p>
    <w:p w14:paraId="6FD42FBA" w14:textId="77777777" w:rsidR="00083D7A" w:rsidRPr="00083D7A" w:rsidRDefault="00083D7A" w:rsidP="00083D7A">
      <w:pPr>
        <w:spacing w:after="120"/>
        <w:jc w:val="both"/>
        <w:rPr>
          <w:szCs w:val="22"/>
        </w:rPr>
      </w:pPr>
      <w:r w:rsidRPr="00083D7A">
        <w:rPr>
          <w:szCs w:val="22"/>
        </w:rPr>
        <w:t>Les contrôles des risques de non-conformité de La Banque Postale Home Loan SFH aux lois, règlements et normes internes, qui lui sont applicables, sont assurés par La Banque Postale, sous la responsabilité du responsable de la conformité de la Société, conformément à la Convention d’externalisation et de fourniture de services. Le Responsable de la conformité de la Société est le Déontologue/RCSI de La Banque Postale.</w:t>
      </w:r>
    </w:p>
    <w:p w14:paraId="3A37E97B" w14:textId="77777777" w:rsidR="00083D7A" w:rsidRPr="00083D7A" w:rsidRDefault="00083D7A" w:rsidP="00083D7A">
      <w:pPr>
        <w:spacing w:after="120"/>
        <w:jc w:val="both"/>
        <w:rPr>
          <w:szCs w:val="22"/>
        </w:rPr>
      </w:pPr>
      <w:r w:rsidRPr="00083D7A">
        <w:rPr>
          <w:szCs w:val="22"/>
        </w:rPr>
        <w:t xml:space="preserve">Ainsi, la Société bénéficie des moyens d’encadrement et de surveillance mis en œuvre au sein de La Banque Postale : formation du personnel, veille réglementaire, contrôle du respect des règles écrites internes à l’exemple du Recueil de Déontologie, droit d’alerte, prévention et gestion des conflits d’intérêts, barrières à l’information, lutte contre le blanchiment des capitaux et de financement du terrorisme </w:t>
      </w:r>
    </w:p>
    <w:p w14:paraId="0E04F7B7" w14:textId="77777777" w:rsidR="00083D7A" w:rsidRPr="00083D7A" w:rsidRDefault="00083D7A" w:rsidP="00083D7A">
      <w:pPr>
        <w:spacing w:after="120"/>
        <w:jc w:val="both"/>
        <w:rPr>
          <w:szCs w:val="22"/>
        </w:rPr>
      </w:pPr>
      <w:r w:rsidRPr="00083D7A">
        <w:rPr>
          <w:szCs w:val="22"/>
        </w:rPr>
        <w:t>La Banque Postale rend compte de sa mission au titre du contrôle de la conformité au responsable de la conformité de la Société.</w:t>
      </w:r>
    </w:p>
    <w:p w14:paraId="6F9FEDC3" w14:textId="77777777" w:rsidR="00083D7A" w:rsidRPr="00083D7A" w:rsidRDefault="00083D7A" w:rsidP="00083D7A">
      <w:pPr>
        <w:spacing w:after="120"/>
        <w:jc w:val="both"/>
        <w:rPr>
          <w:szCs w:val="22"/>
        </w:rPr>
      </w:pPr>
      <w:r w:rsidRPr="00083D7A">
        <w:rPr>
          <w:szCs w:val="22"/>
        </w:rPr>
        <w:t>Au titre de l’année 2019, il n’a pas été identifié de dysfonctionnement dans la mise en œuvre des obligations de conformité.</w:t>
      </w:r>
    </w:p>
    <w:p w14:paraId="65713A37" w14:textId="77777777" w:rsidR="00083D7A" w:rsidRPr="00083D7A" w:rsidRDefault="00083D7A" w:rsidP="00083D7A">
      <w:pPr>
        <w:spacing w:after="120"/>
        <w:jc w:val="both"/>
        <w:rPr>
          <w:szCs w:val="22"/>
        </w:rPr>
      </w:pPr>
      <w:r w:rsidRPr="00083D7A">
        <w:rPr>
          <w:szCs w:val="22"/>
        </w:rPr>
        <w:t>Pour l’exercice 2019, la Société a recouru à une ressource externe pour exécuter le plan de contrôle permanent et a modifié en conséquence la Convention d’externalisation et de fourniture de services conclue avec La Banque Postale.</w:t>
      </w:r>
    </w:p>
    <w:p w14:paraId="4B84B8AE" w14:textId="77777777" w:rsidR="00967254" w:rsidRPr="00967254" w:rsidRDefault="00967254" w:rsidP="00967254">
      <w:pPr>
        <w:pStyle w:val="NormalWeb"/>
        <w:widowControl/>
        <w:spacing w:before="0" w:beforeAutospacing="0" w:after="0" w:afterAutospacing="0"/>
        <w:jc w:val="left"/>
        <w:rPr>
          <w:rFonts w:cs="Arial"/>
          <w:b/>
          <w:bCs/>
          <w:iCs/>
          <w:sz w:val="24"/>
        </w:rPr>
      </w:pPr>
    </w:p>
    <w:p w14:paraId="102DE8E9" w14:textId="3FC83428" w:rsidR="00967254" w:rsidRDefault="00967254" w:rsidP="00D032FF">
      <w:pPr>
        <w:pStyle w:val="NormalWeb"/>
        <w:widowControl/>
        <w:numPr>
          <w:ilvl w:val="0"/>
          <w:numId w:val="18"/>
        </w:numPr>
        <w:spacing w:before="0" w:beforeAutospacing="0" w:after="0" w:afterAutospacing="0"/>
        <w:ind w:left="567" w:hanging="567"/>
        <w:jc w:val="left"/>
        <w:rPr>
          <w:rFonts w:cs="Arial"/>
          <w:b/>
          <w:bCs/>
          <w:iCs/>
          <w:sz w:val="24"/>
        </w:rPr>
      </w:pPr>
      <w:r w:rsidRPr="00967254">
        <w:rPr>
          <w:rFonts w:cs="Arial"/>
          <w:b/>
          <w:bCs/>
          <w:iCs/>
          <w:sz w:val="24"/>
        </w:rPr>
        <w:t xml:space="preserve">Dispositif de contrôle </w:t>
      </w:r>
      <w:r w:rsidR="000903FC">
        <w:rPr>
          <w:rFonts w:cs="Arial"/>
          <w:b/>
          <w:bCs/>
          <w:iCs/>
          <w:sz w:val="24"/>
        </w:rPr>
        <w:t>sur les systèmes d’information et les plans de continuité d’activités</w:t>
      </w:r>
    </w:p>
    <w:p w14:paraId="3AD66CEB" w14:textId="77777777" w:rsidR="00967254" w:rsidRDefault="00967254" w:rsidP="00CB1E76">
      <w:pPr>
        <w:jc w:val="both"/>
        <w:rPr>
          <w:szCs w:val="22"/>
        </w:rPr>
      </w:pPr>
    </w:p>
    <w:p w14:paraId="40BDAC0A" w14:textId="77777777" w:rsidR="000903FC" w:rsidRPr="000903FC" w:rsidRDefault="000903FC" w:rsidP="00083D7A">
      <w:pPr>
        <w:spacing w:after="120"/>
        <w:jc w:val="both"/>
        <w:rPr>
          <w:szCs w:val="22"/>
        </w:rPr>
      </w:pPr>
      <w:r w:rsidRPr="000903FC">
        <w:rPr>
          <w:szCs w:val="22"/>
        </w:rPr>
        <w:t>Dans le cadre de la Convention d’externalisation et de fourniture de services, les procédures de sécurité informatique et de continuité d’activité de la Société s’appuient sur le dispositif en vigueur à La Banque Postale décrit ci-dessous.</w:t>
      </w:r>
    </w:p>
    <w:p w14:paraId="477DCC55" w14:textId="77777777" w:rsidR="000903FC" w:rsidRPr="000903FC" w:rsidRDefault="000903FC" w:rsidP="000903FC">
      <w:pPr>
        <w:jc w:val="both"/>
        <w:rPr>
          <w:szCs w:val="22"/>
        </w:rPr>
      </w:pPr>
    </w:p>
    <w:p w14:paraId="4014A468" w14:textId="77777777" w:rsidR="000903FC" w:rsidRPr="000903FC" w:rsidRDefault="000903FC" w:rsidP="000903FC">
      <w:pPr>
        <w:autoSpaceDE w:val="0"/>
        <w:autoSpaceDN w:val="0"/>
        <w:adjustRightInd w:val="0"/>
        <w:jc w:val="both"/>
        <w:rPr>
          <w:b/>
          <w:bCs/>
          <w:szCs w:val="22"/>
          <w:u w:val="single"/>
        </w:rPr>
      </w:pPr>
      <w:r w:rsidRPr="000903FC">
        <w:rPr>
          <w:b/>
          <w:bCs/>
          <w:szCs w:val="22"/>
          <w:u w:val="single"/>
        </w:rPr>
        <w:t>Plan d’urgence et de poursuite d’activité (PUPA)</w:t>
      </w:r>
    </w:p>
    <w:p w14:paraId="72F40737" w14:textId="77777777" w:rsidR="000903FC" w:rsidRPr="000903FC" w:rsidRDefault="000903FC" w:rsidP="000903FC">
      <w:pPr>
        <w:autoSpaceDE w:val="0"/>
        <w:autoSpaceDN w:val="0"/>
        <w:adjustRightInd w:val="0"/>
        <w:jc w:val="both"/>
        <w:rPr>
          <w:szCs w:val="22"/>
        </w:rPr>
      </w:pPr>
    </w:p>
    <w:p w14:paraId="512AF217" w14:textId="77777777" w:rsidR="00083D7A" w:rsidRPr="00083D7A" w:rsidRDefault="00083D7A" w:rsidP="00083D7A">
      <w:pPr>
        <w:autoSpaceDE w:val="0"/>
        <w:autoSpaceDN w:val="0"/>
        <w:adjustRightInd w:val="0"/>
        <w:spacing w:after="120"/>
        <w:jc w:val="both"/>
        <w:rPr>
          <w:szCs w:val="22"/>
        </w:rPr>
      </w:pPr>
      <w:r w:rsidRPr="00083D7A">
        <w:rPr>
          <w:szCs w:val="22"/>
        </w:rPr>
        <w:t>Le Groupe La Banque Postale se conforme à la définition du Plan d’Urgence et de Poursuite de l’Activité (PUPA) de l’arrêté du 3 novembre 2014 relatif au contrôle interne des entreprises du secteur de la banque, des services de paiement et des services d’investissements soumis au contrôle de l’ACPR.</w:t>
      </w:r>
    </w:p>
    <w:p w14:paraId="77962B8D" w14:textId="77777777" w:rsidR="00083D7A" w:rsidRDefault="00083D7A" w:rsidP="00083D7A">
      <w:pPr>
        <w:autoSpaceDE w:val="0"/>
        <w:autoSpaceDN w:val="0"/>
        <w:adjustRightInd w:val="0"/>
        <w:spacing w:after="120"/>
        <w:jc w:val="both"/>
        <w:rPr>
          <w:szCs w:val="22"/>
        </w:rPr>
      </w:pPr>
      <w:r w:rsidRPr="00083D7A">
        <w:rPr>
          <w:szCs w:val="22"/>
        </w:rPr>
        <w:t>A La Banque Postale, le plan d'urgence et de poursuite d’activité comprend la gestion de crise.</w:t>
      </w:r>
    </w:p>
    <w:p w14:paraId="427BBC94" w14:textId="732A1A50" w:rsidR="00083D7A" w:rsidRPr="00083D7A" w:rsidRDefault="00083D7A" w:rsidP="00D032FF">
      <w:pPr>
        <w:pStyle w:val="Listenumros"/>
        <w:numPr>
          <w:ilvl w:val="0"/>
          <w:numId w:val="45"/>
        </w:numPr>
        <w:spacing w:after="120"/>
        <w:jc w:val="both"/>
        <w:rPr>
          <w:b/>
        </w:rPr>
      </w:pPr>
      <w:r w:rsidRPr="00083D7A">
        <w:rPr>
          <w:b/>
        </w:rPr>
        <w:t>Cadre de référence</w:t>
      </w:r>
    </w:p>
    <w:p w14:paraId="104D56F9" w14:textId="77777777" w:rsidR="00083D7A" w:rsidRPr="00083D7A" w:rsidRDefault="00083D7A" w:rsidP="00083D7A">
      <w:pPr>
        <w:autoSpaceDE w:val="0"/>
        <w:autoSpaceDN w:val="0"/>
        <w:adjustRightInd w:val="0"/>
        <w:spacing w:after="120"/>
        <w:rPr>
          <w:szCs w:val="22"/>
        </w:rPr>
      </w:pPr>
      <w:r w:rsidRPr="00083D7A">
        <w:rPr>
          <w:szCs w:val="22"/>
        </w:rPr>
        <w:t>La Politique Générale et Gouvernance du PUPA a pour objet de fournir un cadre de référence en définissant l’organisation, les missions et les responsabilités en matière de PUPA, ainsi que les principes et les règles à respecter au sein du Groupe et s’inscrit dans le cadre de la Politique de Maîtrise des Risques du Groupe. Les objectifs de cette politique sont :</w:t>
      </w:r>
    </w:p>
    <w:p w14:paraId="020E3FD7"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la maîtrise des impacts lors de la survenance d’événements majeurs :</w:t>
      </w:r>
    </w:p>
    <w:p w14:paraId="77B3C31D"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par la mise en place et la maîtrise de solutions élaborées ;</w:t>
      </w:r>
    </w:p>
    <w:p w14:paraId="46512F97"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par la mobilisation de chaque acteur du Groupe La Banque Postale ;</w:t>
      </w:r>
    </w:p>
    <w:p w14:paraId="339B8E98"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 xml:space="preserve">la mise en place d’une gouvernance et d’un dispositif de gestion de la continuité d’activité homogène dont les actions sont formalisées, tracées et partagées avec le management, la Direction des risques groupe, le Directoire. </w:t>
      </w:r>
    </w:p>
    <w:p w14:paraId="71BA35C8" w14:textId="77777777" w:rsidR="00083D7A" w:rsidRPr="00083D7A" w:rsidRDefault="00083D7A" w:rsidP="00083D7A">
      <w:pPr>
        <w:keepNext/>
        <w:keepLines/>
        <w:autoSpaceDE w:val="0"/>
        <w:autoSpaceDN w:val="0"/>
        <w:adjustRightInd w:val="0"/>
        <w:spacing w:after="120"/>
        <w:rPr>
          <w:szCs w:val="22"/>
        </w:rPr>
      </w:pPr>
      <w:r w:rsidRPr="00083D7A">
        <w:rPr>
          <w:szCs w:val="22"/>
        </w:rPr>
        <w:t>Les principes retenus dans la Politique Générale et Gouvernance du PUPA :</w:t>
      </w:r>
    </w:p>
    <w:p w14:paraId="0FAE2E53"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la gestion de la continuité d’activité fait partie intégrante de toutes les activités bancaires, non bancaires et financières du Groupe La Banque Postale lequel regroupe la société La Banque Postale, les filiales qui lui sont rattachées et la Direction des services financiers de La Poste ;</w:t>
      </w:r>
    </w:p>
    <w:p w14:paraId="2833D296"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 xml:space="preserve">la politique et la gouvernance explicitées dans la politique s’imposent à tout le personnel du Groupe La Poste agissant au nom et pour le compte de La Banque Postale ; </w:t>
      </w:r>
    </w:p>
    <w:p w14:paraId="67229351"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tous les partenaires et prestataires concourant aux activités bancaires et financières ou non de la Banque et agissant au nom et pour le compte de La Banque Postale, quelle que soit leur localisation doivent s’engager sur des clauses de continuité d’activité conformes à la politique ;</w:t>
      </w:r>
    </w:p>
    <w:p w14:paraId="347A6790"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il incombe à chaque entité</w:t>
      </w:r>
      <w:r w:rsidRPr="00083D7A">
        <w:rPr>
          <w:sz w:val="24"/>
          <w:szCs w:val="22"/>
          <w:lang w:eastAsia="fr-FR"/>
        </w:rPr>
        <w:footnoteReference w:id="14"/>
      </w:r>
      <w:r w:rsidRPr="00083D7A">
        <w:rPr>
          <w:sz w:val="24"/>
          <w:szCs w:val="22"/>
          <w:lang w:eastAsia="fr-FR"/>
        </w:rPr>
        <w:t xml:space="preserve"> soumise à cette politique de mettre en œuvre l’organisation et les moyens nécessaires à la réalisation de ces principes ;</w:t>
      </w:r>
    </w:p>
    <w:p w14:paraId="56E3D0AF"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la Direction des risques groupe fixe le cadre, édicte les règles à respecter, émet un avis sur les politiques de continuité d’activité spécifiques à certains métiers, apporte l’assistance nécessaire aux métiers, surveille l’efficacité globale du dispositif, et rend compte au comité de Pilotage des Risques Groupe ou au Directoire autant que nécessaire ;</w:t>
      </w:r>
    </w:p>
    <w:p w14:paraId="7CC9AD73" w14:textId="77777777" w:rsidR="00083D7A" w:rsidRPr="00083D7A" w:rsidRDefault="00083D7A" w:rsidP="00083D7A">
      <w:pPr>
        <w:pStyle w:val="Listepuces"/>
        <w:tabs>
          <w:tab w:val="clear" w:pos="340"/>
        </w:tabs>
        <w:spacing w:before="0" w:after="120" w:line="240" w:lineRule="auto"/>
        <w:ind w:left="720" w:hanging="360"/>
        <w:jc w:val="both"/>
        <w:rPr>
          <w:sz w:val="24"/>
          <w:szCs w:val="22"/>
          <w:lang w:eastAsia="fr-FR"/>
        </w:rPr>
      </w:pPr>
      <w:r w:rsidRPr="00083D7A">
        <w:rPr>
          <w:sz w:val="24"/>
          <w:szCs w:val="22"/>
          <w:lang w:eastAsia="fr-FR"/>
        </w:rPr>
        <w:t>au sein de la Direction des risques groupe, l’équipe Plan d’Urgence et Poursuite d’Activité, Sécurité des Personnes et des Biens s’assure que la Banque dispose bien de plans de poursuite de l’activité (PUPA) testés et opérationnels. De plus, cette équipe anime fonctionnellement un réseau de correspondants qui constitue la filière PUPA.</w:t>
      </w:r>
    </w:p>
    <w:p w14:paraId="601019D9" w14:textId="77777777" w:rsidR="00083D7A" w:rsidRDefault="00083D7A" w:rsidP="00083D7A">
      <w:pPr>
        <w:autoSpaceDE w:val="0"/>
        <w:autoSpaceDN w:val="0"/>
        <w:adjustRightInd w:val="0"/>
        <w:spacing w:after="120"/>
        <w:rPr>
          <w:szCs w:val="22"/>
        </w:rPr>
      </w:pPr>
      <w:r w:rsidRPr="00083D7A">
        <w:rPr>
          <w:szCs w:val="22"/>
        </w:rPr>
        <w:t>La Direction des risques groupe porte la responsabilité du pilotage et de la surveillance de la mise en œuvre de ces principes.</w:t>
      </w:r>
    </w:p>
    <w:p w14:paraId="182C45E1" w14:textId="77777777" w:rsidR="00083D7A" w:rsidRDefault="00083D7A" w:rsidP="00083D7A">
      <w:pPr>
        <w:autoSpaceDE w:val="0"/>
        <w:autoSpaceDN w:val="0"/>
        <w:adjustRightInd w:val="0"/>
        <w:rPr>
          <w:szCs w:val="22"/>
        </w:rPr>
      </w:pPr>
    </w:p>
    <w:p w14:paraId="75819A2F" w14:textId="74B7DA74" w:rsidR="00083D7A" w:rsidRPr="00083D7A" w:rsidRDefault="00083D7A" w:rsidP="00D032FF">
      <w:pPr>
        <w:pStyle w:val="Paragraphedeliste"/>
        <w:numPr>
          <w:ilvl w:val="0"/>
          <w:numId w:val="45"/>
        </w:numPr>
        <w:autoSpaceDE w:val="0"/>
        <w:autoSpaceDN w:val="0"/>
        <w:adjustRightInd w:val="0"/>
        <w:spacing w:after="120"/>
        <w:rPr>
          <w:b/>
          <w:szCs w:val="22"/>
        </w:rPr>
      </w:pPr>
      <w:r w:rsidRPr="00083D7A">
        <w:rPr>
          <w:b/>
          <w:szCs w:val="22"/>
        </w:rPr>
        <w:t>Les scénarios retenus</w:t>
      </w:r>
    </w:p>
    <w:p w14:paraId="6C55F3E0" w14:textId="77777777" w:rsidR="00083D7A" w:rsidRPr="00083D7A" w:rsidRDefault="00083D7A" w:rsidP="00083D7A">
      <w:pPr>
        <w:autoSpaceDE w:val="0"/>
        <w:autoSpaceDN w:val="0"/>
        <w:adjustRightInd w:val="0"/>
        <w:spacing w:after="120"/>
        <w:rPr>
          <w:szCs w:val="22"/>
        </w:rPr>
      </w:pPr>
      <w:r w:rsidRPr="00083D7A">
        <w:rPr>
          <w:szCs w:val="22"/>
        </w:rPr>
        <w:t xml:space="preserve">Le PUPA de La Banque Postale s’appuie sur plusieurs solution(s) technique(s) de secours des Systèmes d’Information, et un dispositif organisationnel complet comprenant une organisation, des modes de réaction, des actions de communication, etc. </w:t>
      </w:r>
    </w:p>
    <w:p w14:paraId="3879CB51" w14:textId="77777777" w:rsidR="00083D7A" w:rsidRPr="00083D7A" w:rsidRDefault="00083D7A" w:rsidP="00083D7A">
      <w:pPr>
        <w:autoSpaceDE w:val="0"/>
        <w:autoSpaceDN w:val="0"/>
        <w:adjustRightInd w:val="0"/>
        <w:spacing w:after="120"/>
        <w:rPr>
          <w:szCs w:val="22"/>
        </w:rPr>
      </w:pPr>
      <w:r w:rsidRPr="00083D7A">
        <w:rPr>
          <w:szCs w:val="22"/>
        </w:rPr>
        <w:t>Il vise à couvrir des situations de chocs extrêmes et est conçu pour faire face a minima aux scénarios de crises retenus par La Banque Postale, classés en quatre catégories :</w:t>
      </w:r>
    </w:p>
    <w:p w14:paraId="3379AE7B" w14:textId="0E7FE535"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sinistres bâtiments ;</w:t>
      </w:r>
    </w:p>
    <w:p w14:paraId="5E27662B" w14:textId="1DEF7D82"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défaillance des systèmes d’information et/ou des systèmes techniques ;</w:t>
      </w:r>
    </w:p>
    <w:p w14:paraId="28877662" w14:textId="029F54F7"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collaborateurs absents ;</w:t>
      </w:r>
    </w:p>
    <w:p w14:paraId="6FD5639E" w14:textId="1829AB2A"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prestataires essentiels indisponibles.</w:t>
      </w:r>
    </w:p>
    <w:p w14:paraId="685B9251" w14:textId="77777777" w:rsidR="00083D7A" w:rsidRPr="00083D7A" w:rsidRDefault="00083D7A" w:rsidP="00083D7A">
      <w:pPr>
        <w:autoSpaceDE w:val="0"/>
        <w:autoSpaceDN w:val="0"/>
        <w:adjustRightInd w:val="0"/>
        <w:spacing w:after="120"/>
        <w:rPr>
          <w:szCs w:val="22"/>
        </w:rPr>
      </w:pPr>
      <w:r w:rsidRPr="00083D7A">
        <w:rPr>
          <w:szCs w:val="22"/>
        </w:rPr>
        <w:t>Les scénarios intègrent notamment les huit scénarios retenus par la Place :</w:t>
      </w:r>
    </w:p>
    <w:p w14:paraId="1C091940" w14:textId="65F83262"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grève générale des transports ;</w:t>
      </w:r>
    </w:p>
    <w:p w14:paraId="241A6E57" w14:textId="3A31A512"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crue centennale ;</w:t>
      </w:r>
    </w:p>
    <w:p w14:paraId="2507BB07" w14:textId="038CA88A"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pandémie ;</w:t>
      </w:r>
    </w:p>
    <w:p w14:paraId="349EB098" w14:textId="33DFA034"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attentats multiples à l’explosif ;</w:t>
      </w:r>
    </w:p>
    <w:p w14:paraId="46E981C6" w14:textId="1DA05556"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black-out électrique ;</w:t>
      </w:r>
    </w:p>
    <w:p w14:paraId="07245882" w14:textId="285DA24F"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accident ou attentat NRBC (Nucléaire, Radiologique, Biologique, Chimique) ;</w:t>
      </w:r>
    </w:p>
    <w:p w14:paraId="186422F5" w14:textId="73F20F50"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défaillance d’un prestataire de place essentiel ;</w:t>
      </w:r>
    </w:p>
    <w:p w14:paraId="549DDF87" w14:textId="24F05376"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cyber-attaque.</w:t>
      </w:r>
    </w:p>
    <w:p w14:paraId="13CD3520" w14:textId="77777777" w:rsidR="00083D7A" w:rsidRPr="00083D7A" w:rsidRDefault="00083D7A" w:rsidP="00083D7A">
      <w:pPr>
        <w:autoSpaceDE w:val="0"/>
        <w:autoSpaceDN w:val="0"/>
        <w:adjustRightInd w:val="0"/>
        <w:spacing w:after="120"/>
        <w:jc w:val="both"/>
        <w:rPr>
          <w:szCs w:val="22"/>
        </w:rPr>
      </w:pPr>
    </w:p>
    <w:p w14:paraId="36B15AD9" w14:textId="1715C8B6" w:rsidR="00083D7A" w:rsidRPr="00083D7A" w:rsidRDefault="00083D7A" w:rsidP="00D032FF">
      <w:pPr>
        <w:pStyle w:val="Paragraphedeliste"/>
        <w:numPr>
          <w:ilvl w:val="0"/>
          <w:numId w:val="45"/>
        </w:numPr>
        <w:autoSpaceDE w:val="0"/>
        <w:autoSpaceDN w:val="0"/>
        <w:adjustRightInd w:val="0"/>
        <w:spacing w:after="120"/>
        <w:rPr>
          <w:b/>
          <w:szCs w:val="22"/>
        </w:rPr>
      </w:pPr>
      <w:r w:rsidRPr="00083D7A">
        <w:rPr>
          <w:b/>
          <w:szCs w:val="22"/>
        </w:rPr>
        <w:t>Organisation</w:t>
      </w:r>
    </w:p>
    <w:p w14:paraId="6640C20E" w14:textId="77777777" w:rsidR="00083D7A" w:rsidRDefault="00083D7A" w:rsidP="000E60A7">
      <w:pPr>
        <w:autoSpaceDE w:val="0"/>
        <w:autoSpaceDN w:val="0"/>
        <w:adjustRightInd w:val="0"/>
        <w:jc w:val="both"/>
        <w:rPr>
          <w:b/>
          <w:bCs/>
          <w:szCs w:val="22"/>
          <w:u w:val="single"/>
        </w:rPr>
      </w:pPr>
    </w:p>
    <w:p w14:paraId="6741DC6C" w14:textId="77777777" w:rsidR="00083D7A" w:rsidRPr="00083D7A" w:rsidRDefault="00083D7A" w:rsidP="00083D7A">
      <w:pPr>
        <w:autoSpaceDE w:val="0"/>
        <w:autoSpaceDN w:val="0"/>
        <w:adjustRightInd w:val="0"/>
        <w:spacing w:after="120"/>
        <w:rPr>
          <w:szCs w:val="22"/>
        </w:rPr>
      </w:pPr>
      <w:r w:rsidRPr="00083D7A">
        <w:rPr>
          <w:szCs w:val="22"/>
        </w:rPr>
        <w:t xml:space="preserve">La Société est intégrée à l’organisation de la Banque de Financement et d’Investissement (BFI) au sein du Groupe La Banque Postale pour assurer la mise en œuvre et le maintien en condition opérationnelle du PUPA. </w:t>
      </w:r>
    </w:p>
    <w:p w14:paraId="64B20CF9" w14:textId="77777777" w:rsidR="00083D7A" w:rsidRPr="00083D7A" w:rsidRDefault="00083D7A" w:rsidP="00083D7A">
      <w:pPr>
        <w:autoSpaceDE w:val="0"/>
        <w:autoSpaceDN w:val="0"/>
        <w:adjustRightInd w:val="0"/>
        <w:spacing w:after="120"/>
        <w:rPr>
          <w:szCs w:val="22"/>
        </w:rPr>
      </w:pPr>
      <w:r w:rsidRPr="00083D7A">
        <w:rPr>
          <w:szCs w:val="22"/>
        </w:rPr>
        <w:t>Pour la Société, celle-ci repose sur :</w:t>
      </w:r>
    </w:p>
    <w:p w14:paraId="1DA8A252" w14:textId="3E206A3B"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un Correspondant des Plans d’Urgence et de Poursuite d’Activité (C-PUPA BFI), responsable sur le périmètre des activités de marché de la BFI de la déclinaison opérationnelle du PUPA de La Banque Postale, de son suivi et du reporting associé ;</w:t>
      </w:r>
    </w:p>
    <w:p w14:paraId="6967F2E9" w14:textId="79EA3966"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le Relais Continuité d’Activité (RLCA SFH) qui est le relais du C-PUPA dans la Société. Le RLCA assure la collecte des informations relatives aux activités critiques et s’assure de la mise en œuvre du PUPA.</w:t>
      </w:r>
    </w:p>
    <w:p w14:paraId="5FD1E248" w14:textId="404BFF00" w:rsidR="00083D7A" w:rsidRDefault="00083D7A" w:rsidP="00D032FF">
      <w:pPr>
        <w:autoSpaceDE w:val="0"/>
        <w:autoSpaceDN w:val="0"/>
        <w:adjustRightInd w:val="0"/>
        <w:spacing w:after="120"/>
        <w:rPr>
          <w:b/>
          <w:bCs/>
          <w:szCs w:val="22"/>
          <w:u w:val="single"/>
        </w:rPr>
      </w:pPr>
      <w:r w:rsidRPr="00083D7A">
        <w:rPr>
          <w:szCs w:val="22"/>
        </w:rPr>
        <w:t>Le C-PUPA de la BFI est garant d’une organisation dédiée à la gestion de crise permettant de qualifier tout événement mettant en risque les activités critiques y compris La Banque Postale Home Loan SFH. La cellule décisionnelle est dotée d’une procédure et d’outils lui permettant d’informer et de réunir si besoin l’ensemble des membres.</w:t>
      </w:r>
    </w:p>
    <w:p w14:paraId="412B276D" w14:textId="4FC6F2AC" w:rsidR="000E60A7" w:rsidRPr="000E60A7" w:rsidRDefault="000E60A7" w:rsidP="000E60A7">
      <w:pPr>
        <w:autoSpaceDE w:val="0"/>
        <w:autoSpaceDN w:val="0"/>
        <w:adjustRightInd w:val="0"/>
        <w:jc w:val="both"/>
        <w:rPr>
          <w:b/>
          <w:bCs/>
          <w:szCs w:val="22"/>
          <w:u w:val="single"/>
        </w:rPr>
      </w:pPr>
      <w:r w:rsidRPr="000E60A7">
        <w:rPr>
          <w:b/>
          <w:bCs/>
          <w:szCs w:val="22"/>
          <w:u w:val="single"/>
        </w:rPr>
        <w:t>Sécurité des systèmes d’information</w:t>
      </w:r>
    </w:p>
    <w:p w14:paraId="2F946AB3" w14:textId="77777777" w:rsidR="000E60A7" w:rsidRPr="000E60A7" w:rsidRDefault="000E60A7" w:rsidP="000E60A7">
      <w:pPr>
        <w:autoSpaceDE w:val="0"/>
        <w:autoSpaceDN w:val="0"/>
        <w:adjustRightInd w:val="0"/>
        <w:jc w:val="both"/>
        <w:rPr>
          <w:szCs w:val="22"/>
        </w:rPr>
      </w:pPr>
    </w:p>
    <w:p w14:paraId="15BAEEBD" w14:textId="77777777" w:rsidR="00083D7A" w:rsidRPr="00083D7A" w:rsidRDefault="00083D7A" w:rsidP="00083D7A">
      <w:pPr>
        <w:autoSpaceDE w:val="0"/>
        <w:autoSpaceDN w:val="0"/>
        <w:adjustRightInd w:val="0"/>
        <w:spacing w:after="120"/>
        <w:rPr>
          <w:szCs w:val="22"/>
        </w:rPr>
      </w:pPr>
      <w:r w:rsidRPr="00083D7A">
        <w:rPr>
          <w:szCs w:val="22"/>
        </w:rPr>
        <w:t>La sécurité du Système d’Information se définit comme un dispositif global de couverture des risques qui garantit un niveau approprié de protection de cette information et des actifs liés dans le but d’en garantir :</w:t>
      </w:r>
    </w:p>
    <w:p w14:paraId="3F657817" w14:textId="609EE7A0"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la disponibilité, afin de garantir que les utilisateurs habilités ont accès à l'information et aux ressources associées au moment voulu ;</w:t>
      </w:r>
    </w:p>
    <w:p w14:paraId="32BCE35F" w14:textId="788821EF"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l’intégrité, afin de garantir l'exactitude et la fidélité de l'information et des méthodes de traitement des données ;</w:t>
      </w:r>
    </w:p>
    <w:p w14:paraId="136B8543" w14:textId="75DBF105"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 xml:space="preserve">la confidentialité, afin de garantir que seules les personnes habilitées peuvent accéder à l´information ; et </w:t>
      </w:r>
    </w:p>
    <w:p w14:paraId="1EE41556" w14:textId="5E546CEF" w:rsidR="00083D7A" w:rsidRPr="00083D7A" w:rsidRDefault="00083D7A" w:rsidP="00D032FF">
      <w:pPr>
        <w:pStyle w:val="Paragraphedeliste"/>
        <w:numPr>
          <w:ilvl w:val="0"/>
          <w:numId w:val="33"/>
        </w:numPr>
        <w:autoSpaceDE w:val="0"/>
        <w:autoSpaceDN w:val="0"/>
        <w:adjustRightInd w:val="0"/>
        <w:spacing w:after="120"/>
        <w:rPr>
          <w:szCs w:val="22"/>
        </w:rPr>
      </w:pPr>
      <w:r w:rsidRPr="00083D7A">
        <w:rPr>
          <w:szCs w:val="22"/>
        </w:rPr>
        <w:t>la traçabilité, afin d’avoir la connaissance des personnes qui ont accédé à l’information et quand elles l’ont fait.</w:t>
      </w:r>
    </w:p>
    <w:p w14:paraId="2F134E59" w14:textId="77777777" w:rsidR="00083D7A" w:rsidRPr="00083D7A" w:rsidRDefault="00083D7A" w:rsidP="00083D7A">
      <w:pPr>
        <w:autoSpaceDE w:val="0"/>
        <w:autoSpaceDN w:val="0"/>
        <w:adjustRightInd w:val="0"/>
        <w:spacing w:after="120"/>
        <w:rPr>
          <w:szCs w:val="22"/>
        </w:rPr>
      </w:pPr>
      <w:r w:rsidRPr="00083D7A">
        <w:rPr>
          <w:szCs w:val="22"/>
        </w:rPr>
        <w:t>Le Comité de Pilotage des Risques Groupe a validé en juin 2014 une gouvernance de la Sécurité des Systèmes d’Information qui place le processus de sécurisation des Systèmes d’Information sous responsabilité des Métiers et sous pilotage du Responsable de la Sécurité des Systèmes d’Informations (RSSI) Groupe. Ce processus traite, de manière transverse, la sécurité de l’information dans toutes les activités du Groupe La Banque Postale.</w:t>
      </w:r>
    </w:p>
    <w:p w14:paraId="12B17876" w14:textId="77777777" w:rsidR="00083D7A" w:rsidRPr="00083D7A" w:rsidRDefault="00083D7A" w:rsidP="00083D7A">
      <w:pPr>
        <w:autoSpaceDE w:val="0"/>
        <w:autoSpaceDN w:val="0"/>
        <w:adjustRightInd w:val="0"/>
        <w:spacing w:after="120"/>
        <w:rPr>
          <w:szCs w:val="22"/>
        </w:rPr>
      </w:pPr>
      <w:r w:rsidRPr="00083D7A">
        <w:rPr>
          <w:szCs w:val="22"/>
        </w:rPr>
        <w:t xml:space="preserve">Le processus s’appuie sur quatre axes majeurs : </w:t>
      </w:r>
    </w:p>
    <w:p w14:paraId="3D670F53" w14:textId="5F9CF08E" w:rsidR="00083D7A" w:rsidRPr="00D032FF" w:rsidRDefault="00083D7A" w:rsidP="00D032FF">
      <w:pPr>
        <w:pStyle w:val="Paragraphedeliste"/>
        <w:numPr>
          <w:ilvl w:val="0"/>
          <w:numId w:val="46"/>
        </w:numPr>
        <w:autoSpaceDE w:val="0"/>
        <w:autoSpaceDN w:val="0"/>
        <w:adjustRightInd w:val="0"/>
        <w:spacing w:after="120"/>
        <w:rPr>
          <w:szCs w:val="22"/>
        </w:rPr>
      </w:pPr>
      <w:r w:rsidRPr="00D032FF">
        <w:rPr>
          <w:szCs w:val="22"/>
        </w:rPr>
        <w:t>la définition de la Stratégie SSI de La Banque Postale, issue de la Politique de Maîtrise des Risques. Elle est composée de la Politique Générale de Sécurité des SI, de Politiques thématiques, de Directives Techniques de Sécurité, de procédures opérationnelles et des chartes informatiques ;</w:t>
      </w:r>
    </w:p>
    <w:p w14:paraId="35C3AF6E" w14:textId="65DA278F" w:rsidR="00083D7A" w:rsidRPr="00D032FF" w:rsidRDefault="00083D7A" w:rsidP="00D032FF">
      <w:pPr>
        <w:pStyle w:val="Paragraphedeliste"/>
        <w:numPr>
          <w:ilvl w:val="0"/>
          <w:numId w:val="46"/>
        </w:numPr>
        <w:autoSpaceDE w:val="0"/>
        <w:autoSpaceDN w:val="0"/>
        <w:adjustRightInd w:val="0"/>
        <w:spacing w:after="120"/>
        <w:rPr>
          <w:szCs w:val="22"/>
        </w:rPr>
      </w:pPr>
      <w:r w:rsidRPr="00D032FF">
        <w:rPr>
          <w:szCs w:val="22"/>
        </w:rPr>
        <w:t>la surveillance de la déclinaison opérationnelle de cette stratégie SSI, et l’alerte en cas de dérive ;</w:t>
      </w:r>
    </w:p>
    <w:p w14:paraId="2F2DE55B" w14:textId="0BF28A32" w:rsidR="00083D7A" w:rsidRPr="00D032FF" w:rsidRDefault="00083D7A" w:rsidP="00D032FF">
      <w:pPr>
        <w:pStyle w:val="Paragraphedeliste"/>
        <w:numPr>
          <w:ilvl w:val="0"/>
          <w:numId w:val="46"/>
        </w:numPr>
        <w:autoSpaceDE w:val="0"/>
        <w:autoSpaceDN w:val="0"/>
        <w:adjustRightInd w:val="0"/>
        <w:spacing w:after="120"/>
        <w:rPr>
          <w:szCs w:val="22"/>
        </w:rPr>
      </w:pPr>
      <w:r w:rsidRPr="00D032FF">
        <w:rPr>
          <w:szCs w:val="22"/>
        </w:rPr>
        <w:t>l’accompagnement des métiers, dans le respect de la stratégie SSI, dans leur démarche de couverture des risques liés au SI, notamment par :</w:t>
      </w:r>
    </w:p>
    <w:p w14:paraId="0EC49819" w14:textId="7F702734" w:rsidR="00083D7A" w:rsidRPr="00D032FF" w:rsidRDefault="00083D7A" w:rsidP="00D032FF">
      <w:pPr>
        <w:pStyle w:val="Paragraphedeliste"/>
        <w:numPr>
          <w:ilvl w:val="0"/>
          <w:numId w:val="47"/>
        </w:numPr>
        <w:autoSpaceDE w:val="0"/>
        <w:autoSpaceDN w:val="0"/>
        <w:adjustRightInd w:val="0"/>
        <w:spacing w:after="120"/>
        <w:rPr>
          <w:szCs w:val="22"/>
        </w:rPr>
      </w:pPr>
      <w:r w:rsidRPr="00D032FF">
        <w:rPr>
          <w:szCs w:val="22"/>
        </w:rPr>
        <w:t>le challenge de leurs analyses de risques sur l’aspect SI ;</w:t>
      </w:r>
    </w:p>
    <w:p w14:paraId="270BA7DD" w14:textId="4991C851" w:rsidR="00083D7A" w:rsidRPr="00D032FF" w:rsidRDefault="00083D7A" w:rsidP="00D032FF">
      <w:pPr>
        <w:pStyle w:val="Paragraphedeliste"/>
        <w:numPr>
          <w:ilvl w:val="0"/>
          <w:numId w:val="47"/>
        </w:numPr>
        <w:autoSpaceDE w:val="0"/>
        <w:autoSpaceDN w:val="0"/>
        <w:adjustRightInd w:val="0"/>
        <w:spacing w:after="120"/>
        <w:rPr>
          <w:szCs w:val="22"/>
        </w:rPr>
      </w:pPr>
      <w:r w:rsidRPr="00D032FF">
        <w:rPr>
          <w:szCs w:val="22"/>
        </w:rPr>
        <w:t>la sensibilisation des collaborateurs à l’évolution des Risques de Sécurité SI ;</w:t>
      </w:r>
    </w:p>
    <w:p w14:paraId="05338648" w14:textId="27631511" w:rsidR="00083D7A" w:rsidRPr="00D032FF" w:rsidRDefault="00083D7A" w:rsidP="00D032FF">
      <w:pPr>
        <w:pStyle w:val="Paragraphedeliste"/>
        <w:numPr>
          <w:ilvl w:val="0"/>
          <w:numId w:val="47"/>
        </w:numPr>
        <w:autoSpaceDE w:val="0"/>
        <w:autoSpaceDN w:val="0"/>
        <w:adjustRightInd w:val="0"/>
        <w:spacing w:after="120"/>
        <w:rPr>
          <w:szCs w:val="22"/>
        </w:rPr>
      </w:pPr>
      <w:r w:rsidRPr="00D032FF">
        <w:rPr>
          <w:szCs w:val="22"/>
        </w:rPr>
        <w:t>la synthèse des expositions aux risques SSI du Groupe La Banque Postale en vue d’alimenter la Direction des risques groupe dans son éclairage des Instances de Direction générale sur l’exposition aux risques.</w:t>
      </w:r>
    </w:p>
    <w:p w14:paraId="24B32617" w14:textId="77777777" w:rsidR="00083D7A" w:rsidRPr="00083D7A" w:rsidRDefault="00083D7A" w:rsidP="00083D7A">
      <w:pPr>
        <w:autoSpaceDE w:val="0"/>
        <w:autoSpaceDN w:val="0"/>
        <w:adjustRightInd w:val="0"/>
        <w:spacing w:after="120"/>
        <w:rPr>
          <w:szCs w:val="22"/>
        </w:rPr>
      </w:pPr>
      <w:r w:rsidRPr="00083D7A">
        <w:rPr>
          <w:szCs w:val="22"/>
        </w:rPr>
        <w:t>Un Comité de Sécurité, coprésidé par les Directeur des systèmes d’information et Directeur des risques groupe, se réunit bimestriellement et permet notamment de valider les évolutions des cadres de sécurité, veiller à leur déploiement, fixer des objectifs de maitrise des risques opérationnels de sécurité des SI, suivre des événements liés à la sécurité susceptibles d’induire un risque majeur pour le Groupe La Banque Postale.</w:t>
      </w:r>
    </w:p>
    <w:p w14:paraId="7DE773AD" w14:textId="5AEB7380" w:rsidR="000E60A7" w:rsidRPr="000E60A7" w:rsidRDefault="000E60A7" w:rsidP="000E60A7">
      <w:pPr>
        <w:jc w:val="both"/>
        <w:rPr>
          <w:b/>
          <w:bCs/>
          <w:szCs w:val="22"/>
        </w:rPr>
      </w:pPr>
    </w:p>
    <w:p w14:paraId="4F5AF912" w14:textId="77777777" w:rsidR="00610BC9" w:rsidRDefault="00610BC9" w:rsidP="00610BC9">
      <w:pPr>
        <w:rPr>
          <w:szCs w:val="22"/>
        </w:rPr>
      </w:pPr>
    </w:p>
    <w:p w14:paraId="0CAFA15A" w14:textId="499A5399" w:rsidR="000E60A7" w:rsidRDefault="000E60A7" w:rsidP="00D032FF">
      <w:pPr>
        <w:pStyle w:val="NormalWeb"/>
        <w:widowControl/>
        <w:numPr>
          <w:ilvl w:val="0"/>
          <w:numId w:val="18"/>
        </w:numPr>
        <w:spacing w:before="0" w:beforeAutospacing="0" w:after="0" w:afterAutospacing="0"/>
        <w:ind w:left="567" w:hanging="567"/>
        <w:jc w:val="left"/>
        <w:rPr>
          <w:rFonts w:cs="Arial"/>
          <w:b/>
          <w:bCs/>
          <w:iCs/>
          <w:sz w:val="24"/>
        </w:rPr>
      </w:pPr>
      <w:r>
        <w:rPr>
          <w:rFonts w:cs="Arial"/>
          <w:b/>
          <w:bCs/>
          <w:iCs/>
          <w:sz w:val="24"/>
        </w:rPr>
        <w:t>Dispositif de contrôle interne de l’information comptable et financière</w:t>
      </w:r>
    </w:p>
    <w:p w14:paraId="72A80206" w14:textId="77777777" w:rsidR="000E60A7" w:rsidRDefault="000E60A7" w:rsidP="00610BC9">
      <w:pPr>
        <w:rPr>
          <w:szCs w:val="22"/>
        </w:rPr>
      </w:pPr>
    </w:p>
    <w:p w14:paraId="08306B19" w14:textId="6C9FB84A" w:rsidR="00D032FF" w:rsidRPr="00D032FF" w:rsidRDefault="00D032FF" w:rsidP="00D032FF">
      <w:pPr>
        <w:spacing w:after="120"/>
        <w:jc w:val="both"/>
        <w:rPr>
          <w:szCs w:val="22"/>
        </w:rPr>
      </w:pPr>
      <w:r w:rsidRPr="00D032FF">
        <w:rPr>
          <w:szCs w:val="22"/>
        </w:rPr>
        <w:t xml:space="preserve">Conformément à la Convention d’externalisation et de fourniture de service, la comptabilité de la Société est réalisée par La Banque Postale. A cet effet, la responsabilité de la production des comptes de la Société est confiée à la Direction des comptabilités de La Banque Postale. </w:t>
      </w:r>
    </w:p>
    <w:p w14:paraId="44894E09" w14:textId="628392B3" w:rsidR="00D032FF" w:rsidRPr="00D032FF" w:rsidRDefault="00D032FF" w:rsidP="00D032FF">
      <w:pPr>
        <w:spacing w:after="120"/>
        <w:jc w:val="both"/>
        <w:rPr>
          <w:szCs w:val="22"/>
        </w:rPr>
      </w:pPr>
      <w:r w:rsidRPr="00D032FF">
        <w:rPr>
          <w:szCs w:val="22"/>
        </w:rPr>
        <w:t>Dans ce cadre, l’organisation de la Direction des comptabilités de La Banque Postale fait apparaître de manière visible les ressources dédiées à la tenue de la comptabilité des filiales du Groupe et autres activités de comptabilité métier pour garantir les moyens nécessaires à l’exploitation et aux contraintes de production des données comptables. Tout en garantissant la continuité d’activité des processus comptables par la polyvalence et le professionnalisme des équipes.</w:t>
      </w:r>
    </w:p>
    <w:p w14:paraId="6100A6CB" w14:textId="77777777" w:rsidR="00D032FF" w:rsidRPr="00D032FF" w:rsidRDefault="00D032FF" w:rsidP="00D032FF">
      <w:pPr>
        <w:spacing w:after="120"/>
        <w:jc w:val="both"/>
        <w:rPr>
          <w:szCs w:val="22"/>
        </w:rPr>
      </w:pPr>
      <w:r w:rsidRPr="00D032FF">
        <w:rPr>
          <w:szCs w:val="22"/>
        </w:rPr>
        <w:t>La tenue de la comptabilité de la Société est intégrée dans le département des comptabilités filiales et métiers. Elle bénéficie ainsi de tout le dispositif de séparation des fonctions et de dispositif de contrôle comptable en place au sein de la Banque. Les fonctions de « paiement » sont séparées des activités « comptables ». Les comptables en charge de la Société n’ont pas accès aux moyens de paiement. Par ailleurs, la tenue de la comptabilité est assurée quotidiennement et la production des comptes de la Société est révisée mensuellement par le contrôle de second niveau comptable qui restitue chaque mois à travers un tableau de bord de la qualité comptable les résultats de ces contrôles et rédige quatre fois par an une synthèse destinée aux auditeurs.</w:t>
      </w:r>
    </w:p>
    <w:p w14:paraId="710BB1DA" w14:textId="77777777" w:rsidR="00D032FF" w:rsidRPr="00D032FF" w:rsidRDefault="00D032FF" w:rsidP="00D032FF">
      <w:pPr>
        <w:spacing w:after="120"/>
        <w:jc w:val="both"/>
        <w:rPr>
          <w:szCs w:val="22"/>
        </w:rPr>
      </w:pPr>
      <w:r w:rsidRPr="00D032FF">
        <w:rPr>
          <w:szCs w:val="22"/>
        </w:rPr>
        <w:t>Le périmètre des activités comptables sous traitées correspondent à la production des états financiers sociaux, à la production des états financiers au standards internationaux et à leur intégration dans le processus de consolidation du Groupe La Banque Postale et également au processus des déclarations réglementaires auprès de l’ACPR (hors ratios spécifiques aux qui sont du ressort de la Banque de Financement et d’Investissement) et de la Banque de France (Balance des paiements).</w:t>
      </w:r>
    </w:p>
    <w:p w14:paraId="68B2FEEA" w14:textId="77777777" w:rsidR="00D032FF" w:rsidRPr="00D032FF" w:rsidRDefault="00D032FF" w:rsidP="00D032FF">
      <w:pPr>
        <w:spacing w:after="120"/>
        <w:jc w:val="both"/>
        <w:rPr>
          <w:szCs w:val="22"/>
        </w:rPr>
      </w:pPr>
      <w:r w:rsidRPr="00D032FF">
        <w:rPr>
          <w:szCs w:val="22"/>
        </w:rPr>
        <w:t>Le collège des Commissaires aux comptes est composé des sociétés KPMG et PricewaterhouseCoopers Audit.</w:t>
      </w:r>
    </w:p>
    <w:p w14:paraId="35EA47A0" w14:textId="77777777" w:rsidR="00D032FF" w:rsidRPr="00D032FF" w:rsidRDefault="00D032FF" w:rsidP="00D032FF">
      <w:pPr>
        <w:spacing w:after="120"/>
        <w:jc w:val="both"/>
        <w:rPr>
          <w:szCs w:val="22"/>
        </w:rPr>
      </w:pPr>
      <w:r w:rsidRPr="00D032FF">
        <w:rPr>
          <w:szCs w:val="22"/>
        </w:rPr>
        <w:t>La Direction des comptabilités n’a aucune recommandation du contrôle permanent ouverte ni des auditeurs externes.</w:t>
      </w:r>
    </w:p>
    <w:p w14:paraId="1F4A241E" w14:textId="77777777" w:rsidR="000E60A7" w:rsidRDefault="000E60A7" w:rsidP="00610BC9">
      <w:pPr>
        <w:rPr>
          <w:szCs w:val="22"/>
        </w:rPr>
      </w:pPr>
    </w:p>
    <w:p w14:paraId="7E28FF66" w14:textId="37AF93DE" w:rsidR="000E60A7" w:rsidRDefault="000E60A7" w:rsidP="00D032FF">
      <w:pPr>
        <w:pStyle w:val="NormalWeb"/>
        <w:widowControl/>
        <w:numPr>
          <w:ilvl w:val="0"/>
          <w:numId w:val="18"/>
        </w:numPr>
        <w:spacing w:before="0" w:beforeAutospacing="0" w:after="0" w:afterAutospacing="0"/>
        <w:ind w:left="567" w:hanging="567"/>
        <w:jc w:val="left"/>
        <w:rPr>
          <w:rFonts w:cs="Arial"/>
          <w:b/>
          <w:bCs/>
          <w:iCs/>
          <w:sz w:val="24"/>
        </w:rPr>
      </w:pPr>
      <w:r>
        <w:rPr>
          <w:rFonts w:cs="Arial"/>
          <w:b/>
          <w:bCs/>
          <w:iCs/>
          <w:sz w:val="24"/>
        </w:rPr>
        <w:t>Dispositif de contrôle périodique</w:t>
      </w:r>
    </w:p>
    <w:p w14:paraId="19D15A78" w14:textId="77777777" w:rsidR="000E60A7" w:rsidRDefault="000E60A7" w:rsidP="00D032FF">
      <w:pPr>
        <w:spacing w:after="120"/>
        <w:jc w:val="both"/>
        <w:rPr>
          <w:szCs w:val="22"/>
        </w:rPr>
      </w:pPr>
    </w:p>
    <w:p w14:paraId="71184907" w14:textId="77777777" w:rsidR="00D032FF" w:rsidRPr="00D032FF" w:rsidRDefault="00D032FF" w:rsidP="00D032FF">
      <w:pPr>
        <w:spacing w:after="120"/>
        <w:jc w:val="both"/>
        <w:rPr>
          <w:szCs w:val="22"/>
        </w:rPr>
      </w:pPr>
      <w:r w:rsidRPr="00D032FF">
        <w:rPr>
          <w:szCs w:val="22"/>
        </w:rPr>
        <w:t xml:space="preserve">Le dispositif de contrôle périodique de La Banque Postale Home Loan SFH est intégré au dispositif de contrôle périodique de La Banque Postale. </w:t>
      </w:r>
    </w:p>
    <w:p w14:paraId="4BB686CE" w14:textId="77777777" w:rsidR="00D032FF" w:rsidRPr="00D032FF" w:rsidRDefault="00D032FF" w:rsidP="00D032FF">
      <w:pPr>
        <w:spacing w:after="120"/>
        <w:jc w:val="both"/>
        <w:rPr>
          <w:szCs w:val="22"/>
        </w:rPr>
      </w:pPr>
      <w:r w:rsidRPr="00D032FF">
        <w:rPr>
          <w:szCs w:val="22"/>
        </w:rPr>
        <w:t>L’Inspection générale de La Banque Postale n’a pas effectué en 2019 de mission spécifique sur la SFH, mais trois des missions réalisées couvre le périmètre de la Société (Conformité aux Réglementations LCB-FT sur les Personnes Morales, Abus de Marché et Fonctions Middle Office et Back Office de la BFI.</w:t>
      </w:r>
    </w:p>
    <w:p w14:paraId="345E7104" w14:textId="77777777" w:rsidR="00D032FF" w:rsidRPr="00D032FF" w:rsidRDefault="00D032FF" w:rsidP="00D032FF">
      <w:pPr>
        <w:spacing w:after="120"/>
        <w:jc w:val="both"/>
        <w:rPr>
          <w:szCs w:val="22"/>
        </w:rPr>
      </w:pPr>
      <w:r w:rsidRPr="00D032FF">
        <w:rPr>
          <w:szCs w:val="22"/>
        </w:rPr>
        <w:t>Conformément à la Convention d’externalisation et de fourniture de services, il est prévu au terme de ses propres missions de contrôle que La Banque Postale remette semestriellement des extraits de ses rapports généraux ou thématiques des lors que leur objet inclut les activités externalisées par la Société. La Société sera informée de la mise en œuvre de l’ensemble des recommandations émises.</w:t>
      </w:r>
    </w:p>
    <w:p w14:paraId="29B85947" w14:textId="77777777" w:rsidR="000E60A7" w:rsidRDefault="000E60A7" w:rsidP="00610BC9">
      <w:pPr>
        <w:rPr>
          <w:szCs w:val="22"/>
        </w:rPr>
      </w:pPr>
    </w:p>
    <w:p w14:paraId="7C6CC1D2" w14:textId="77777777" w:rsidR="000E60A7" w:rsidRPr="00CB1DAC" w:rsidRDefault="000E60A7" w:rsidP="00610BC9">
      <w:pPr>
        <w:rPr>
          <w:szCs w:val="22"/>
        </w:rPr>
      </w:pPr>
    </w:p>
    <w:p w14:paraId="67FFA03A" w14:textId="46FB9599" w:rsidR="00605F93" w:rsidRDefault="00605F93">
      <w:pPr>
        <w:rPr>
          <w:szCs w:val="22"/>
        </w:rPr>
      </w:pPr>
      <w:r>
        <w:rPr>
          <w:szCs w:val="22"/>
        </w:rPr>
        <w:br w:type="page"/>
      </w:r>
    </w:p>
    <w:p w14:paraId="3CA6EF04" w14:textId="77777777" w:rsidR="00610BC9" w:rsidRPr="00CB1DAC" w:rsidRDefault="00610BC9" w:rsidP="00610BC9">
      <w:pPr>
        <w:rPr>
          <w:szCs w:val="22"/>
        </w:rPr>
      </w:pPr>
    </w:p>
    <w:p w14:paraId="54B2BFE3" w14:textId="2858CB96" w:rsidR="00610BC9" w:rsidRDefault="00610BC9" w:rsidP="00D032FF">
      <w:pPr>
        <w:pStyle w:val="Titre1"/>
        <w:keepNext w:val="0"/>
        <w:numPr>
          <w:ilvl w:val="0"/>
          <w:numId w:val="21"/>
        </w:numPr>
        <w:ind w:left="567" w:hanging="567"/>
        <w:rPr>
          <w:sz w:val="28"/>
          <w:szCs w:val="28"/>
        </w:rPr>
      </w:pPr>
      <w:r w:rsidRPr="00605F93">
        <w:rPr>
          <w:sz w:val="28"/>
          <w:szCs w:val="28"/>
        </w:rPr>
        <w:t>RE</w:t>
      </w:r>
      <w:r w:rsidR="00605F93">
        <w:rPr>
          <w:sz w:val="28"/>
          <w:szCs w:val="28"/>
        </w:rPr>
        <w:t>SULTATS – AFFECTATION – DIVIDENDES ANTERIEUREMENT DISTRIBUES</w:t>
      </w:r>
    </w:p>
    <w:p w14:paraId="7186FFB3" w14:textId="77777777" w:rsidR="00605F93" w:rsidRPr="00605F93" w:rsidRDefault="00605F93" w:rsidP="00605F93"/>
    <w:p w14:paraId="6B831C42" w14:textId="2E322703" w:rsidR="00605F93" w:rsidRPr="00CB1DAC" w:rsidRDefault="00DF6CE5" w:rsidP="00D032FF">
      <w:pPr>
        <w:pStyle w:val="Titre2"/>
        <w:keepNext w:val="0"/>
        <w:numPr>
          <w:ilvl w:val="1"/>
          <w:numId w:val="21"/>
        </w:numPr>
        <w:spacing w:before="0" w:after="0"/>
        <w:ind w:left="578" w:hanging="578"/>
        <w:jc w:val="both"/>
        <w:rPr>
          <w:rFonts w:ascii="Times New Roman" w:hAnsi="Times New Roman"/>
          <w:b w:val="0"/>
          <w:sz w:val="22"/>
          <w:szCs w:val="22"/>
        </w:rPr>
      </w:pPr>
      <w:r>
        <w:rPr>
          <w:rFonts w:ascii="Times New Roman" w:hAnsi="Times New Roman" w:cs="Times New Roman"/>
          <w:sz w:val="24"/>
          <w:szCs w:val="24"/>
        </w:rPr>
        <w:t>Présentation des comptes annuels</w:t>
      </w:r>
    </w:p>
    <w:p w14:paraId="68785A1A" w14:textId="77777777" w:rsidR="00610BC9" w:rsidRPr="00CB1DAC" w:rsidRDefault="00610BC9" w:rsidP="00610BC9">
      <w:pPr>
        <w:keepNext/>
        <w:keepLines/>
        <w:rPr>
          <w:szCs w:val="22"/>
        </w:rPr>
      </w:pPr>
    </w:p>
    <w:p w14:paraId="5DFECDB9" w14:textId="77777777" w:rsidR="00FE3CDA" w:rsidRPr="00FE3CDA" w:rsidRDefault="00FE3CDA" w:rsidP="00FE3CDA">
      <w:pPr>
        <w:spacing w:after="120"/>
        <w:rPr>
          <w:szCs w:val="22"/>
        </w:rPr>
      </w:pPr>
      <w:r w:rsidRPr="00FE3CDA">
        <w:rPr>
          <w:szCs w:val="22"/>
        </w:rPr>
        <w:t>Les comptes annuels de l'exercice clos le 31 décembre 2019 que nous soumettons à votre approbation ont été établis conformément aux règles de présentation et aux méthodes d'évaluation prévues par la réglementation en vigueur.</w:t>
      </w:r>
    </w:p>
    <w:p w14:paraId="1327266D" w14:textId="77777777" w:rsidR="00FE3CDA" w:rsidRPr="00FE3CDA" w:rsidRDefault="00FE3CDA" w:rsidP="00FE3CDA">
      <w:pPr>
        <w:spacing w:after="120"/>
        <w:rPr>
          <w:szCs w:val="22"/>
        </w:rPr>
      </w:pPr>
      <w:r w:rsidRPr="00FE3CDA">
        <w:rPr>
          <w:szCs w:val="22"/>
        </w:rPr>
        <w:t>Les prêts collatéralisés consentis par la Société à La Banque Postale sont adossés en nominal et en maturité aux ressources privilégiées : une marge fixe est appliquée au taux fixe des prêts visant à couvrir les frais fixes de la Société sur la base d’un programme d’émissions de 20 Mds€. Les frais primaires et secondaires rattachés aux émissions sécurisées sont mirorisés sur les prêts collatéralisés.</w:t>
      </w:r>
    </w:p>
    <w:p w14:paraId="5FF9CC82" w14:textId="77777777" w:rsidR="00FE3CDA" w:rsidRPr="00FE3CDA" w:rsidRDefault="00FE3CDA" w:rsidP="00FE3CDA">
      <w:pPr>
        <w:spacing w:after="120"/>
        <w:rPr>
          <w:szCs w:val="22"/>
        </w:rPr>
      </w:pPr>
      <w:r w:rsidRPr="00FE3CDA">
        <w:rPr>
          <w:szCs w:val="22"/>
        </w:rPr>
        <w:t>Les prestations réalisées par La Banque Postale pour le compte de la Société sont refacturées à la Société sur la base de leur prix coutant.</w:t>
      </w:r>
    </w:p>
    <w:p w14:paraId="0D2777D0" w14:textId="77777777" w:rsidR="00FE3CDA" w:rsidRPr="00FE3CDA" w:rsidRDefault="00FE3CDA" w:rsidP="00FE3CDA">
      <w:pPr>
        <w:spacing w:after="120"/>
        <w:rPr>
          <w:szCs w:val="22"/>
        </w:rPr>
      </w:pPr>
      <w:r w:rsidRPr="00FE3CDA">
        <w:rPr>
          <w:szCs w:val="22"/>
        </w:rPr>
        <w:t>Le résultat brut d’exploitation de l’exercice 2019 s’élève à 2 355 K€ et provient :</w:t>
      </w:r>
    </w:p>
    <w:p w14:paraId="3E2C1F35" w14:textId="77777777" w:rsidR="00FE3CDA" w:rsidRPr="00FE3CDA" w:rsidRDefault="00FE3CDA" w:rsidP="00FE3CDA">
      <w:pPr>
        <w:numPr>
          <w:ilvl w:val="0"/>
          <w:numId w:val="33"/>
        </w:numPr>
        <w:spacing w:after="120"/>
        <w:rPr>
          <w:szCs w:val="22"/>
        </w:rPr>
      </w:pPr>
      <w:r w:rsidRPr="00FE3CDA">
        <w:rPr>
          <w:szCs w:val="22"/>
        </w:rPr>
        <w:t xml:space="preserve">d’un PNB de 4 530K€ </w:t>
      </w:r>
    </w:p>
    <w:p w14:paraId="3DB61A62" w14:textId="77777777" w:rsidR="00FE3CDA" w:rsidRPr="00FE3CDA" w:rsidRDefault="00FE3CDA" w:rsidP="00FE3CDA">
      <w:pPr>
        <w:numPr>
          <w:ilvl w:val="0"/>
          <w:numId w:val="33"/>
        </w:numPr>
        <w:spacing w:after="120"/>
        <w:rPr>
          <w:szCs w:val="22"/>
        </w:rPr>
      </w:pPr>
      <w:r w:rsidRPr="00FE3CDA">
        <w:rPr>
          <w:szCs w:val="22"/>
        </w:rPr>
        <w:t>des charges générales d’exploitation pour 2 175 K€.</w:t>
      </w:r>
    </w:p>
    <w:p w14:paraId="0E1EEB2F" w14:textId="77777777" w:rsidR="00FE3CDA" w:rsidRPr="00FE3CDA" w:rsidRDefault="00FE3CDA" w:rsidP="00FE3CDA">
      <w:pPr>
        <w:spacing w:after="120"/>
        <w:rPr>
          <w:szCs w:val="22"/>
        </w:rPr>
      </w:pPr>
      <w:r w:rsidRPr="00FE3CDA">
        <w:rPr>
          <w:szCs w:val="22"/>
        </w:rPr>
        <w:t>Le résultat courant avant impôt s’inscrit au même niveau que le résultat brut d’exploitation. L’impôt sur les bénéfices s’élève à 911 K€. Compte tenu de ces éléments, le résultat net de l’exercice se solde par un bénéfice de 1 444K€. Au 31 décembre 2019, le total du bilan de la Société s’élevait à 11 586 201 K€ et les capitaux propres à 213 649 K€.</w:t>
      </w:r>
    </w:p>
    <w:p w14:paraId="53312BC9" w14:textId="77777777" w:rsidR="00FE3CDA" w:rsidRPr="00FE3CDA" w:rsidRDefault="00FE3CDA" w:rsidP="00FE3CDA">
      <w:pPr>
        <w:spacing w:after="120"/>
        <w:rPr>
          <w:szCs w:val="22"/>
        </w:rPr>
      </w:pPr>
      <w:r w:rsidRPr="00FE3CDA">
        <w:rPr>
          <w:szCs w:val="22"/>
        </w:rPr>
        <w:t>Est joint en Annexe 1 au présent rapport, le tableau des résultats prévu à l’article R.225-102 du Code de commerce.</w:t>
      </w:r>
    </w:p>
    <w:p w14:paraId="78B352EC" w14:textId="77777777" w:rsidR="00610BC9" w:rsidRDefault="00610BC9" w:rsidP="00610BC9">
      <w:pPr>
        <w:rPr>
          <w:szCs w:val="22"/>
        </w:rPr>
      </w:pPr>
    </w:p>
    <w:p w14:paraId="08CE68FD" w14:textId="3F2FE1B2" w:rsidR="00DF6CE5" w:rsidRPr="00CB1DAC" w:rsidRDefault="00DF6CE5" w:rsidP="00D032FF">
      <w:pPr>
        <w:pStyle w:val="Titre2"/>
        <w:keepNext w:val="0"/>
        <w:numPr>
          <w:ilvl w:val="1"/>
          <w:numId w:val="21"/>
        </w:numPr>
        <w:spacing w:before="0" w:after="0"/>
        <w:ind w:left="578" w:hanging="578"/>
        <w:jc w:val="both"/>
        <w:rPr>
          <w:rFonts w:ascii="Times New Roman" w:hAnsi="Times New Roman"/>
          <w:b w:val="0"/>
          <w:sz w:val="22"/>
          <w:szCs w:val="22"/>
        </w:rPr>
      </w:pPr>
      <w:r>
        <w:rPr>
          <w:rFonts w:ascii="Times New Roman" w:hAnsi="Times New Roman" w:cs="Times New Roman"/>
          <w:sz w:val="24"/>
          <w:szCs w:val="24"/>
        </w:rPr>
        <w:t>Proposition d’affectation du résultat</w:t>
      </w:r>
    </w:p>
    <w:p w14:paraId="1281253E" w14:textId="77777777" w:rsidR="00610BC9" w:rsidRDefault="00610BC9" w:rsidP="00610BC9">
      <w:pPr>
        <w:rPr>
          <w:szCs w:val="22"/>
        </w:rPr>
      </w:pPr>
    </w:p>
    <w:p w14:paraId="15AB5051" w14:textId="0F657808" w:rsidR="00FE3CDA" w:rsidRDefault="00FE3CDA" w:rsidP="00FE3CDA">
      <w:pPr>
        <w:spacing w:after="120"/>
        <w:jc w:val="both"/>
        <w:rPr>
          <w:iCs/>
          <w:szCs w:val="22"/>
        </w:rPr>
      </w:pPr>
      <w:r w:rsidRPr="00FE3CDA">
        <w:rPr>
          <w:iCs/>
          <w:szCs w:val="22"/>
        </w:rPr>
        <w:t>Il sera proposé aux actionnaires d’affecter le bénéfice distribuable de l’exercice clos le 31 décembre</w:t>
      </w:r>
      <w:r w:rsidR="00ED55D4">
        <w:rPr>
          <w:iCs/>
          <w:szCs w:val="22"/>
        </w:rPr>
        <w:t xml:space="preserve"> 2019, qui s’établit à 3 198 769,16</w:t>
      </w:r>
      <w:r w:rsidRPr="00FE3CDA">
        <w:rPr>
          <w:iCs/>
          <w:szCs w:val="22"/>
        </w:rPr>
        <w:t xml:space="preserve"> euros, de la manière suivante :</w:t>
      </w:r>
    </w:p>
    <w:p w14:paraId="49BA0A66" w14:textId="77777777" w:rsidR="00FE3CDA" w:rsidRPr="00FE3CDA" w:rsidRDefault="00FE3CDA" w:rsidP="00FE3CDA">
      <w:pPr>
        <w:spacing w:after="120"/>
        <w:jc w:val="both"/>
        <w:rPr>
          <w:iCs/>
          <w:szCs w:val="22"/>
        </w:rPr>
      </w:pPr>
    </w:p>
    <w:tbl>
      <w:tblPr>
        <w:tblpPr w:leftFromText="141" w:rightFromText="141" w:vertAnchor="text" w:horzAnchor="page" w:tblpX="2266" w:tblpY="103"/>
        <w:tblW w:w="8801" w:type="dxa"/>
        <w:tblLayout w:type="fixed"/>
        <w:tblCellMar>
          <w:left w:w="70" w:type="dxa"/>
          <w:right w:w="70" w:type="dxa"/>
        </w:tblCellMar>
        <w:tblLook w:val="04A0" w:firstRow="1" w:lastRow="0" w:firstColumn="1" w:lastColumn="0" w:noHBand="0" w:noVBand="1"/>
      </w:tblPr>
      <w:tblGrid>
        <w:gridCol w:w="4819"/>
        <w:gridCol w:w="2766"/>
        <w:gridCol w:w="1216"/>
      </w:tblGrid>
      <w:tr w:rsidR="00FE3CDA" w:rsidRPr="00FE3CDA" w14:paraId="095ED6A0" w14:textId="77777777" w:rsidTr="00FE3CDA">
        <w:trPr>
          <w:gridAfter w:val="1"/>
          <w:wAfter w:w="1216" w:type="dxa"/>
          <w:trHeight w:val="340"/>
        </w:trPr>
        <w:tc>
          <w:tcPr>
            <w:tcW w:w="4819" w:type="dxa"/>
            <w:vAlign w:val="center"/>
            <w:hideMark/>
          </w:tcPr>
          <w:p w14:paraId="05E97C4B" w14:textId="77777777" w:rsidR="00FE3CDA" w:rsidRPr="00FE3CDA" w:rsidRDefault="00FE3CDA" w:rsidP="00FE3CDA">
            <w:pPr>
              <w:rPr>
                <w:b/>
              </w:rPr>
            </w:pPr>
            <w:r w:rsidRPr="00FE3CDA">
              <w:rPr>
                <w:b/>
              </w:rPr>
              <w:t>Bénéfice de l'exercice</w:t>
            </w:r>
          </w:p>
        </w:tc>
        <w:tc>
          <w:tcPr>
            <w:tcW w:w="2766" w:type="dxa"/>
            <w:vAlign w:val="center"/>
            <w:hideMark/>
          </w:tcPr>
          <w:p w14:paraId="6951FCDF" w14:textId="77777777" w:rsidR="00FE3CDA" w:rsidRPr="00FE3CDA" w:rsidRDefault="00FE3CDA" w:rsidP="00FE3CDA">
            <w:pPr>
              <w:rPr>
                <w:b/>
              </w:rPr>
            </w:pPr>
            <w:r w:rsidRPr="00FE3CDA">
              <w:rPr>
                <w:b/>
                <w:iCs/>
              </w:rPr>
              <w:t xml:space="preserve">1 443 820,37 </w:t>
            </w:r>
            <w:r w:rsidRPr="00FE3CDA">
              <w:rPr>
                <w:b/>
              </w:rPr>
              <w:t>euros</w:t>
            </w:r>
          </w:p>
        </w:tc>
      </w:tr>
      <w:tr w:rsidR="00FE3CDA" w:rsidRPr="00FE3CDA" w14:paraId="63654E29" w14:textId="77777777" w:rsidTr="00FE3CDA">
        <w:trPr>
          <w:trHeight w:val="340"/>
        </w:trPr>
        <w:tc>
          <w:tcPr>
            <w:tcW w:w="4819" w:type="dxa"/>
            <w:vAlign w:val="center"/>
            <w:hideMark/>
          </w:tcPr>
          <w:p w14:paraId="165C62E9" w14:textId="77777777" w:rsidR="00FE3CDA" w:rsidRPr="00FE3CDA" w:rsidRDefault="00FE3CDA" w:rsidP="00FE3CDA">
            <w:pPr>
              <w:numPr>
                <w:ilvl w:val="0"/>
                <w:numId w:val="14"/>
              </w:numPr>
            </w:pPr>
            <w:r w:rsidRPr="00FE3CDA">
              <w:t>Dotation à la réserve légale</w:t>
            </w:r>
          </w:p>
        </w:tc>
        <w:tc>
          <w:tcPr>
            <w:tcW w:w="2766" w:type="dxa"/>
            <w:vAlign w:val="center"/>
            <w:hideMark/>
          </w:tcPr>
          <w:p w14:paraId="714B539E" w14:textId="77777777" w:rsidR="00FE3CDA" w:rsidRPr="00FE3CDA" w:rsidRDefault="00FE3CDA" w:rsidP="00FE3CDA">
            <w:r w:rsidRPr="00FE3CDA">
              <w:rPr>
                <w:iCs/>
              </w:rPr>
              <w:t xml:space="preserve">     72 191,02 euros</w:t>
            </w:r>
          </w:p>
        </w:tc>
        <w:tc>
          <w:tcPr>
            <w:tcW w:w="1216" w:type="dxa"/>
            <w:vAlign w:val="bottom"/>
          </w:tcPr>
          <w:p w14:paraId="71D3BF78" w14:textId="77777777" w:rsidR="00FE3CDA" w:rsidRPr="00FE3CDA" w:rsidRDefault="00FE3CDA" w:rsidP="00FE3CDA"/>
        </w:tc>
      </w:tr>
      <w:tr w:rsidR="00FE3CDA" w:rsidRPr="00FE3CDA" w14:paraId="3D745276" w14:textId="77777777" w:rsidTr="00FE3CDA">
        <w:trPr>
          <w:gridAfter w:val="1"/>
          <w:wAfter w:w="1216" w:type="dxa"/>
          <w:trHeight w:val="340"/>
        </w:trPr>
        <w:tc>
          <w:tcPr>
            <w:tcW w:w="4819" w:type="dxa"/>
            <w:vAlign w:val="center"/>
            <w:hideMark/>
          </w:tcPr>
          <w:p w14:paraId="40746691" w14:textId="77777777" w:rsidR="00FE3CDA" w:rsidRPr="00FE3CDA" w:rsidRDefault="00FE3CDA" w:rsidP="00FE3CDA">
            <w:r w:rsidRPr="00FE3CDA">
              <w:t>+</w:t>
            </w:r>
            <w:r w:rsidRPr="00FE3CDA">
              <w:tab/>
              <w:t>Report à nouveau antérieur</w:t>
            </w:r>
          </w:p>
        </w:tc>
        <w:tc>
          <w:tcPr>
            <w:tcW w:w="2766" w:type="dxa"/>
            <w:vAlign w:val="center"/>
            <w:hideMark/>
          </w:tcPr>
          <w:p w14:paraId="4C8FA330" w14:textId="77777777" w:rsidR="00FE3CDA" w:rsidRPr="00FE3CDA" w:rsidRDefault="00FE3CDA" w:rsidP="00FE3CDA">
            <w:r w:rsidRPr="00FE3CDA">
              <w:t>1 827 139,81 euros</w:t>
            </w:r>
          </w:p>
        </w:tc>
      </w:tr>
      <w:tr w:rsidR="00FE3CDA" w:rsidRPr="00FE3CDA" w14:paraId="1A22AAC9" w14:textId="77777777" w:rsidTr="00FE3CDA">
        <w:trPr>
          <w:gridAfter w:val="1"/>
          <w:wAfter w:w="1216" w:type="dxa"/>
          <w:trHeight w:val="340"/>
        </w:trPr>
        <w:tc>
          <w:tcPr>
            <w:tcW w:w="4819" w:type="dxa"/>
            <w:vAlign w:val="center"/>
            <w:hideMark/>
          </w:tcPr>
          <w:p w14:paraId="328C5388" w14:textId="77777777" w:rsidR="00FE3CDA" w:rsidRPr="00FE3CDA" w:rsidRDefault="00FE3CDA" w:rsidP="00FE3CDA">
            <w:pPr>
              <w:rPr>
                <w:b/>
              </w:rPr>
            </w:pPr>
            <w:r w:rsidRPr="00FE3CDA">
              <w:rPr>
                <w:b/>
              </w:rPr>
              <w:t>Bénéfice distribuable</w:t>
            </w:r>
          </w:p>
        </w:tc>
        <w:tc>
          <w:tcPr>
            <w:tcW w:w="2766" w:type="dxa"/>
            <w:vAlign w:val="center"/>
            <w:hideMark/>
          </w:tcPr>
          <w:p w14:paraId="4C6D5A01" w14:textId="77777777" w:rsidR="00FE3CDA" w:rsidRPr="00FE3CDA" w:rsidRDefault="00FE3CDA" w:rsidP="00FE3CDA">
            <w:pPr>
              <w:rPr>
                <w:b/>
                <w:iCs/>
              </w:rPr>
            </w:pPr>
            <w:r w:rsidRPr="00FE3CDA">
              <w:rPr>
                <w:b/>
                <w:iCs/>
              </w:rPr>
              <w:t xml:space="preserve">  3 198 769,16 </w:t>
            </w:r>
            <w:r w:rsidRPr="00FE3CDA">
              <w:rPr>
                <w:b/>
              </w:rPr>
              <w:t>euros</w:t>
            </w:r>
          </w:p>
        </w:tc>
      </w:tr>
      <w:tr w:rsidR="00FE3CDA" w:rsidRPr="00FE3CDA" w14:paraId="7E6C528A" w14:textId="77777777" w:rsidTr="00FE3CDA">
        <w:trPr>
          <w:gridAfter w:val="1"/>
          <w:wAfter w:w="1216" w:type="dxa"/>
          <w:trHeight w:val="340"/>
        </w:trPr>
        <w:tc>
          <w:tcPr>
            <w:tcW w:w="4819" w:type="dxa"/>
            <w:vAlign w:val="center"/>
            <w:hideMark/>
          </w:tcPr>
          <w:p w14:paraId="3EFEB35E" w14:textId="77777777" w:rsidR="00FE3CDA" w:rsidRPr="00FE3CDA" w:rsidRDefault="00FE3CDA" w:rsidP="00FE3CDA">
            <w:r w:rsidRPr="00FE3CDA">
              <w:t xml:space="preserve">Affectation : </w:t>
            </w:r>
          </w:p>
        </w:tc>
        <w:tc>
          <w:tcPr>
            <w:tcW w:w="2766" w:type="dxa"/>
            <w:vAlign w:val="center"/>
          </w:tcPr>
          <w:p w14:paraId="4C33E887" w14:textId="77777777" w:rsidR="00FE3CDA" w:rsidRPr="00FE3CDA" w:rsidRDefault="00FE3CDA" w:rsidP="00FE3CDA"/>
        </w:tc>
      </w:tr>
      <w:tr w:rsidR="00FE3CDA" w:rsidRPr="00FE3CDA" w14:paraId="55FE6008" w14:textId="77777777" w:rsidTr="00FE3CDA">
        <w:trPr>
          <w:gridAfter w:val="1"/>
          <w:wAfter w:w="1216" w:type="dxa"/>
          <w:trHeight w:val="340"/>
        </w:trPr>
        <w:tc>
          <w:tcPr>
            <w:tcW w:w="4819" w:type="dxa"/>
            <w:vAlign w:val="center"/>
            <w:hideMark/>
          </w:tcPr>
          <w:p w14:paraId="1CA76D9F" w14:textId="77777777" w:rsidR="00FE3CDA" w:rsidRPr="00FE3CDA" w:rsidRDefault="00FE3CDA" w:rsidP="00FE3CDA">
            <w:pPr>
              <w:numPr>
                <w:ilvl w:val="0"/>
                <w:numId w:val="13"/>
              </w:numPr>
            </w:pPr>
            <w:r w:rsidRPr="00FE3CDA">
              <w:t>à titre de dividendes</w:t>
            </w:r>
          </w:p>
        </w:tc>
        <w:tc>
          <w:tcPr>
            <w:tcW w:w="2766" w:type="dxa"/>
            <w:vAlign w:val="center"/>
            <w:hideMark/>
          </w:tcPr>
          <w:p w14:paraId="5E253F68" w14:textId="77777777" w:rsidR="00FE3CDA" w:rsidRPr="00FE3CDA" w:rsidRDefault="00FE3CDA" w:rsidP="00FE3CDA">
            <w:r w:rsidRPr="00FE3CDA">
              <w:t>0 euro</w:t>
            </w:r>
          </w:p>
        </w:tc>
      </w:tr>
      <w:tr w:rsidR="00FE3CDA" w:rsidRPr="00FE3CDA" w14:paraId="101A2501" w14:textId="77777777" w:rsidTr="00FE3CDA">
        <w:trPr>
          <w:gridAfter w:val="1"/>
          <w:wAfter w:w="1216" w:type="dxa"/>
          <w:trHeight w:val="340"/>
        </w:trPr>
        <w:tc>
          <w:tcPr>
            <w:tcW w:w="4819" w:type="dxa"/>
            <w:vAlign w:val="center"/>
            <w:hideMark/>
          </w:tcPr>
          <w:p w14:paraId="1AB6F849" w14:textId="77777777" w:rsidR="00FE3CDA" w:rsidRPr="00FE3CDA" w:rsidRDefault="00FE3CDA" w:rsidP="00FE3CDA">
            <w:pPr>
              <w:numPr>
                <w:ilvl w:val="0"/>
                <w:numId w:val="13"/>
              </w:numPr>
            </w:pPr>
            <w:r w:rsidRPr="00FE3CDA">
              <w:t>le solde au poste « Report à nouveau»</w:t>
            </w:r>
          </w:p>
        </w:tc>
        <w:tc>
          <w:tcPr>
            <w:tcW w:w="2766" w:type="dxa"/>
            <w:vAlign w:val="center"/>
            <w:hideMark/>
          </w:tcPr>
          <w:p w14:paraId="785FD924" w14:textId="77777777" w:rsidR="00FE3CDA" w:rsidRPr="00FE3CDA" w:rsidRDefault="00FE3CDA" w:rsidP="00FE3CDA">
            <w:r w:rsidRPr="00FE3CDA">
              <w:t>3 198 769,16 euros</w:t>
            </w:r>
          </w:p>
        </w:tc>
      </w:tr>
      <w:tr w:rsidR="00FE3CDA" w:rsidRPr="00FE3CDA" w14:paraId="228F679A" w14:textId="77777777" w:rsidTr="00FE3CDA">
        <w:trPr>
          <w:gridAfter w:val="1"/>
          <w:wAfter w:w="1216" w:type="dxa"/>
          <w:trHeight w:val="340"/>
        </w:trPr>
        <w:tc>
          <w:tcPr>
            <w:tcW w:w="4819" w:type="dxa"/>
            <w:vAlign w:val="center"/>
          </w:tcPr>
          <w:p w14:paraId="560A52A1" w14:textId="77777777" w:rsidR="00FE3CDA" w:rsidRPr="00FE3CDA" w:rsidRDefault="00FE3CDA" w:rsidP="00FE3CDA">
            <w:pPr>
              <w:rPr>
                <w:b/>
              </w:rPr>
            </w:pPr>
          </w:p>
          <w:p w14:paraId="6510DE53" w14:textId="77777777" w:rsidR="00FE3CDA" w:rsidRPr="00FE3CDA" w:rsidRDefault="00FE3CDA" w:rsidP="00FE3CDA">
            <w:pPr>
              <w:rPr>
                <w:b/>
              </w:rPr>
            </w:pPr>
          </w:p>
          <w:p w14:paraId="532E0F4F" w14:textId="77777777" w:rsidR="00FE3CDA" w:rsidRPr="00FE3CDA" w:rsidRDefault="00FE3CDA" w:rsidP="00FE3CDA">
            <w:pPr>
              <w:rPr>
                <w:b/>
              </w:rPr>
            </w:pPr>
          </w:p>
        </w:tc>
        <w:tc>
          <w:tcPr>
            <w:tcW w:w="2766" w:type="dxa"/>
            <w:vAlign w:val="center"/>
            <w:hideMark/>
          </w:tcPr>
          <w:p w14:paraId="290E3EE4" w14:textId="77777777" w:rsidR="00FE3CDA" w:rsidRPr="00FE3CDA" w:rsidRDefault="00FE3CDA" w:rsidP="00FE3CDA">
            <w:pPr>
              <w:rPr>
                <w:b/>
                <w:iCs/>
              </w:rPr>
            </w:pPr>
          </w:p>
        </w:tc>
      </w:tr>
    </w:tbl>
    <w:p w14:paraId="256B024A" w14:textId="77777777" w:rsidR="00FE3CDA" w:rsidRDefault="00FE3CDA" w:rsidP="00FE3CDA">
      <w:pPr>
        <w:rPr>
          <w:b/>
          <w:bCs/>
          <w:iCs/>
        </w:rPr>
      </w:pPr>
    </w:p>
    <w:p w14:paraId="15438D5A" w14:textId="77777777" w:rsidR="00FE3CDA" w:rsidRDefault="00FE3CDA" w:rsidP="00FE3CDA">
      <w:pPr>
        <w:rPr>
          <w:b/>
          <w:bCs/>
          <w:iCs/>
        </w:rPr>
      </w:pPr>
    </w:p>
    <w:p w14:paraId="5B927F93" w14:textId="77777777" w:rsidR="00FE3CDA" w:rsidRDefault="00FE3CDA" w:rsidP="00FE3CDA">
      <w:pPr>
        <w:rPr>
          <w:b/>
          <w:bCs/>
          <w:iCs/>
        </w:rPr>
      </w:pPr>
    </w:p>
    <w:p w14:paraId="1E3507FD" w14:textId="77777777" w:rsidR="00FE3CDA" w:rsidRDefault="00FE3CDA" w:rsidP="00FE3CDA">
      <w:pPr>
        <w:rPr>
          <w:b/>
          <w:bCs/>
          <w:iCs/>
        </w:rPr>
      </w:pPr>
    </w:p>
    <w:p w14:paraId="738049BA" w14:textId="77777777" w:rsidR="00FE3CDA" w:rsidRDefault="00FE3CDA" w:rsidP="00FE3CDA">
      <w:pPr>
        <w:rPr>
          <w:b/>
          <w:bCs/>
          <w:iCs/>
        </w:rPr>
      </w:pPr>
    </w:p>
    <w:p w14:paraId="1B995617" w14:textId="77777777" w:rsidR="00FE3CDA" w:rsidRDefault="00FE3CDA" w:rsidP="00FE3CDA">
      <w:pPr>
        <w:rPr>
          <w:b/>
          <w:bCs/>
          <w:iCs/>
        </w:rPr>
      </w:pPr>
    </w:p>
    <w:p w14:paraId="64886B06" w14:textId="77777777" w:rsidR="00FE3CDA" w:rsidRDefault="00FE3CDA" w:rsidP="00FE3CDA">
      <w:pPr>
        <w:rPr>
          <w:b/>
          <w:bCs/>
          <w:iCs/>
        </w:rPr>
      </w:pPr>
    </w:p>
    <w:p w14:paraId="607EA7A2" w14:textId="77777777" w:rsidR="00FE3CDA" w:rsidRDefault="00FE3CDA" w:rsidP="00FE3CDA">
      <w:pPr>
        <w:rPr>
          <w:b/>
          <w:bCs/>
          <w:iCs/>
        </w:rPr>
      </w:pPr>
    </w:p>
    <w:p w14:paraId="75F1E59D" w14:textId="77777777" w:rsidR="00FE3CDA" w:rsidRDefault="00FE3CDA" w:rsidP="00FE3CDA">
      <w:pPr>
        <w:rPr>
          <w:b/>
          <w:bCs/>
          <w:iCs/>
        </w:rPr>
      </w:pPr>
    </w:p>
    <w:p w14:paraId="5C02AA39" w14:textId="77777777" w:rsidR="00FE3CDA" w:rsidRDefault="00FE3CDA" w:rsidP="00FE3CDA">
      <w:pPr>
        <w:rPr>
          <w:b/>
          <w:bCs/>
          <w:iCs/>
        </w:rPr>
      </w:pPr>
    </w:p>
    <w:p w14:paraId="6D494603" w14:textId="77777777" w:rsidR="00FE3CDA" w:rsidRDefault="00FE3CDA" w:rsidP="00FE3CDA">
      <w:pPr>
        <w:rPr>
          <w:b/>
          <w:bCs/>
          <w:iCs/>
        </w:rPr>
      </w:pPr>
    </w:p>
    <w:p w14:paraId="2F0FE437" w14:textId="77777777" w:rsidR="00FE3CDA" w:rsidRDefault="00FE3CDA" w:rsidP="00FE3CDA">
      <w:pPr>
        <w:rPr>
          <w:b/>
          <w:bCs/>
          <w:iCs/>
        </w:rPr>
      </w:pPr>
    </w:p>
    <w:p w14:paraId="0FB2E707" w14:textId="77777777" w:rsidR="00FE3CDA" w:rsidRDefault="00FE3CDA" w:rsidP="00FE3CDA">
      <w:pPr>
        <w:rPr>
          <w:b/>
          <w:bCs/>
          <w:iCs/>
        </w:rPr>
      </w:pPr>
    </w:p>
    <w:p w14:paraId="5D55B13C" w14:textId="77777777" w:rsidR="00FE3CDA" w:rsidRDefault="00FE3CDA" w:rsidP="00FE3CDA">
      <w:pPr>
        <w:rPr>
          <w:b/>
          <w:bCs/>
          <w:iCs/>
        </w:rPr>
      </w:pPr>
    </w:p>
    <w:p w14:paraId="5F130BC9" w14:textId="77777777" w:rsidR="00FE3CDA" w:rsidRDefault="00FE3CDA" w:rsidP="00FE3CDA">
      <w:pPr>
        <w:rPr>
          <w:b/>
          <w:bCs/>
          <w:iCs/>
        </w:rPr>
      </w:pPr>
    </w:p>
    <w:p w14:paraId="3B7D45C1" w14:textId="77777777" w:rsidR="00FE3CDA" w:rsidRDefault="00FE3CDA" w:rsidP="00FE3CDA">
      <w:pPr>
        <w:rPr>
          <w:b/>
          <w:bCs/>
          <w:iCs/>
        </w:rPr>
      </w:pPr>
    </w:p>
    <w:p w14:paraId="4FE9D9B9" w14:textId="77777777" w:rsidR="00FE3CDA" w:rsidRPr="00FE3CDA" w:rsidRDefault="00FE3CDA" w:rsidP="00FE3CDA"/>
    <w:p w14:paraId="74EEF3A0" w14:textId="5D13BAF4" w:rsidR="00DF6CE5" w:rsidRPr="00FE3CDA" w:rsidRDefault="00DF6CE5" w:rsidP="00FE3CDA">
      <w:pPr>
        <w:pStyle w:val="Titre2"/>
        <w:keepNext w:val="0"/>
        <w:numPr>
          <w:ilvl w:val="1"/>
          <w:numId w:val="21"/>
        </w:numPr>
        <w:spacing w:before="0" w:after="0"/>
        <w:ind w:left="578" w:hanging="578"/>
        <w:jc w:val="both"/>
        <w:rPr>
          <w:rFonts w:ascii="Times New Roman" w:hAnsi="Times New Roman" w:cs="Times New Roman"/>
          <w:sz w:val="24"/>
          <w:szCs w:val="24"/>
        </w:rPr>
      </w:pPr>
      <w:r w:rsidRPr="00FE3CDA">
        <w:rPr>
          <w:rFonts w:ascii="Times New Roman" w:hAnsi="Times New Roman" w:cs="Times New Roman"/>
          <w:sz w:val="24"/>
          <w:szCs w:val="24"/>
        </w:rPr>
        <w:t>Montant des dividendes antérieurement distribués</w:t>
      </w:r>
    </w:p>
    <w:p w14:paraId="7BF57642" w14:textId="77777777" w:rsidR="00DF6CE5" w:rsidRDefault="00DF6CE5" w:rsidP="00DF6CE5"/>
    <w:p w14:paraId="60AA8E72" w14:textId="77777777" w:rsidR="00FE3CDA" w:rsidRPr="00FE3CDA" w:rsidRDefault="00FE3CDA" w:rsidP="00FE3CDA">
      <w:pPr>
        <w:jc w:val="both"/>
      </w:pPr>
      <w:r w:rsidRPr="00FE3CDA">
        <w:t>Conformément à l'article 243 bis du Code Général des Impôts, nous vous rappelons qu’il a été distribué au titre des trois derniers exercices, les dividendes suivants qui étaient tous éligibles à l’abattement mentionné au 2</w:t>
      </w:r>
      <w:r w:rsidRPr="00FE3CDA">
        <w:rPr>
          <w:vertAlign w:val="superscript"/>
        </w:rPr>
        <w:t>ème</w:t>
      </w:r>
      <w:r w:rsidRPr="00FE3CDA">
        <w:t xml:space="preserve"> point du paragraphe 3 de l’article 158 du Code Général des Impôts :</w:t>
      </w:r>
    </w:p>
    <w:p w14:paraId="2EF1AB28" w14:textId="77777777" w:rsidR="00DF6CE5" w:rsidRPr="00DF6CE5" w:rsidRDefault="00DF6CE5" w:rsidP="00DF6CE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1"/>
        <w:gridCol w:w="2721"/>
        <w:gridCol w:w="2721"/>
      </w:tblGrid>
      <w:tr w:rsidR="00FE3CDA" w:rsidRPr="000439D3" w14:paraId="029ECD93" w14:textId="77777777" w:rsidTr="00FE3CDA">
        <w:trPr>
          <w:jc w:val="center"/>
        </w:trPr>
        <w:tc>
          <w:tcPr>
            <w:tcW w:w="2721" w:type="dxa"/>
            <w:tcBorders>
              <w:top w:val="single" w:sz="4" w:space="0" w:color="auto"/>
              <w:left w:val="single" w:sz="4" w:space="0" w:color="auto"/>
              <w:bottom w:val="single" w:sz="4" w:space="0" w:color="auto"/>
              <w:right w:val="single" w:sz="4" w:space="0" w:color="auto"/>
            </w:tcBorders>
            <w:shd w:val="clear" w:color="auto" w:fill="auto"/>
          </w:tcPr>
          <w:p w14:paraId="11B4068E" w14:textId="77777777" w:rsidR="00FE3CDA" w:rsidRPr="008D582C" w:rsidRDefault="00FE3CDA" w:rsidP="00FE3CDA">
            <w:pPr>
              <w:jc w:val="center"/>
              <w:rPr>
                <w:rFonts w:cs="Arial"/>
                <w:b/>
              </w:rPr>
            </w:pPr>
            <w:r w:rsidRPr="008D582C">
              <w:rPr>
                <w:rFonts w:cs="Arial"/>
                <w:b/>
              </w:rPr>
              <w:t>Exercice</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426C3CD8" w14:textId="77777777" w:rsidR="00FE3CDA" w:rsidRPr="008D582C" w:rsidRDefault="00FE3CDA" w:rsidP="00FE3CDA">
            <w:pPr>
              <w:jc w:val="center"/>
              <w:rPr>
                <w:rFonts w:cs="Arial"/>
                <w:b/>
              </w:rPr>
            </w:pPr>
            <w:r w:rsidRPr="008D582C">
              <w:rPr>
                <w:rFonts w:cs="Arial"/>
                <w:b/>
              </w:rPr>
              <w:t>Montant distribué</w:t>
            </w: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4D66FA58" w14:textId="77777777" w:rsidR="00FE3CDA" w:rsidRPr="008D582C" w:rsidRDefault="00FE3CDA" w:rsidP="00FE3CDA">
            <w:pPr>
              <w:jc w:val="center"/>
              <w:rPr>
                <w:rFonts w:cs="Arial"/>
                <w:b/>
              </w:rPr>
            </w:pPr>
            <w:r w:rsidRPr="008D582C">
              <w:rPr>
                <w:rFonts w:cs="Arial"/>
                <w:b/>
              </w:rPr>
              <w:t>Dividende par action</w:t>
            </w:r>
          </w:p>
        </w:tc>
      </w:tr>
      <w:tr w:rsidR="00FE3CDA" w:rsidRPr="000439D3" w14:paraId="0FE8ABE3" w14:textId="77777777" w:rsidTr="00FE3CDA">
        <w:trPr>
          <w:jc w:val="center"/>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21413E72" w14:textId="77777777" w:rsidR="00FE3CDA" w:rsidRPr="008D582C" w:rsidRDefault="00FE3CDA" w:rsidP="00FE3CDA">
            <w:pPr>
              <w:jc w:val="center"/>
              <w:rPr>
                <w:rFonts w:cs="Arial"/>
                <w:b/>
              </w:rPr>
            </w:pPr>
            <w:r w:rsidRPr="008D582C">
              <w:rPr>
                <w:rFonts w:cs="Arial"/>
                <w:b/>
              </w:rPr>
              <w:t>2016</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5F055E2D" w14:textId="77777777" w:rsidR="00FE3CDA" w:rsidRPr="000439D3" w:rsidRDefault="00FE3CDA" w:rsidP="00FE3CDA">
            <w:pPr>
              <w:tabs>
                <w:tab w:val="left" w:pos="2166"/>
              </w:tabs>
              <w:ind w:right="415"/>
              <w:jc w:val="right"/>
              <w:rPr>
                <w:rFonts w:cs="Arial"/>
              </w:rPr>
            </w:pPr>
            <w:r w:rsidRPr="000439D3">
              <w:rPr>
                <w:rFonts w:cs="Arial"/>
                <w:lang w:eastAsia="ko-KR"/>
              </w:rPr>
              <w:t>4 239 401,99 €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6BFACF1E" w14:textId="77777777" w:rsidR="00FE3CDA" w:rsidRPr="000439D3" w:rsidRDefault="00FE3CDA" w:rsidP="00FE3CDA">
            <w:pPr>
              <w:ind w:right="301"/>
              <w:jc w:val="right"/>
              <w:rPr>
                <w:rFonts w:cs="Arial"/>
              </w:rPr>
            </w:pPr>
            <w:r w:rsidRPr="000439D3">
              <w:rPr>
                <w:rFonts w:cs="Arial"/>
              </w:rPr>
              <w:t>0,202 €</w:t>
            </w:r>
          </w:p>
        </w:tc>
      </w:tr>
      <w:tr w:rsidR="00FE3CDA" w:rsidRPr="000439D3" w14:paraId="5716180A" w14:textId="77777777" w:rsidTr="00FE3CDA">
        <w:trPr>
          <w:jc w:val="center"/>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6C16CBD9" w14:textId="77777777" w:rsidR="00FE3CDA" w:rsidRPr="008D582C" w:rsidRDefault="00FE3CDA" w:rsidP="00FE3CDA">
            <w:pPr>
              <w:jc w:val="center"/>
              <w:rPr>
                <w:rFonts w:cs="Arial"/>
                <w:b/>
                <w:highlight w:val="yellow"/>
              </w:rPr>
            </w:pPr>
            <w:r w:rsidRPr="008D582C">
              <w:rPr>
                <w:rFonts w:cs="Arial"/>
                <w:b/>
              </w:rPr>
              <w:t>2017</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4197405D" w14:textId="77777777" w:rsidR="00FE3CDA" w:rsidRPr="000439D3" w:rsidRDefault="00FE3CDA" w:rsidP="00FE3CDA">
            <w:pPr>
              <w:tabs>
                <w:tab w:val="left" w:pos="2166"/>
              </w:tabs>
              <w:ind w:right="415"/>
              <w:jc w:val="right"/>
              <w:rPr>
                <w:rFonts w:cs="Arial"/>
                <w:highlight w:val="yellow"/>
                <w:lang w:eastAsia="ko-KR"/>
              </w:rPr>
            </w:pPr>
            <w:r w:rsidRPr="000439D3">
              <w:rPr>
                <w:rFonts w:cs="Arial"/>
                <w:lang w:eastAsia="ko-KR"/>
              </w:rPr>
              <w:t>1 114 104,90 €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628D056D" w14:textId="77777777" w:rsidR="00FE3CDA" w:rsidRPr="000439D3" w:rsidRDefault="00FE3CDA" w:rsidP="00FE3CDA">
            <w:pPr>
              <w:ind w:right="301"/>
              <w:jc w:val="right"/>
              <w:rPr>
                <w:rFonts w:cs="Arial"/>
                <w:highlight w:val="yellow"/>
              </w:rPr>
            </w:pPr>
            <w:r w:rsidRPr="000439D3">
              <w:rPr>
                <w:rFonts w:cs="Arial"/>
              </w:rPr>
              <w:t>0,053 €</w:t>
            </w:r>
          </w:p>
        </w:tc>
      </w:tr>
      <w:tr w:rsidR="00FE3CDA" w:rsidRPr="000439D3" w14:paraId="0160BB60" w14:textId="77777777" w:rsidTr="00FE3CDA">
        <w:trPr>
          <w:jc w:val="center"/>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05A511A0" w14:textId="77777777" w:rsidR="00FE3CDA" w:rsidRPr="008D582C" w:rsidRDefault="00FE3CDA" w:rsidP="00FE3CDA">
            <w:pPr>
              <w:jc w:val="center"/>
              <w:rPr>
                <w:rFonts w:cs="Arial"/>
                <w:b/>
              </w:rPr>
            </w:pPr>
            <w:r w:rsidRPr="008D582C">
              <w:rPr>
                <w:rFonts w:cs="Arial"/>
                <w:b/>
              </w:rPr>
              <w:t>2018</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28A1E05F" w14:textId="77777777" w:rsidR="00FE3CDA" w:rsidRPr="000439D3" w:rsidRDefault="00FE3CDA" w:rsidP="00FE3CDA">
            <w:pPr>
              <w:tabs>
                <w:tab w:val="left" w:pos="2166"/>
              </w:tabs>
              <w:ind w:right="415"/>
              <w:jc w:val="right"/>
              <w:rPr>
                <w:rFonts w:cs="Arial"/>
                <w:lang w:eastAsia="ko-KR"/>
              </w:rPr>
            </w:pPr>
            <w:r>
              <w:rPr>
                <w:rFonts w:cs="Arial"/>
                <w:lang w:eastAsia="ko-KR"/>
              </w:rPr>
              <w:t>-0</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65296DA8" w14:textId="77777777" w:rsidR="00FE3CDA" w:rsidRPr="000439D3" w:rsidRDefault="00FE3CDA" w:rsidP="00FE3CDA">
            <w:pPr>
              <w:ind w:right="301"/>
              <w:jc w:val="right"/>
              <w:rPr>
                <w:rFonts w:cs="Arial"/>
              </w:rPr>
            </w:pPr>
            <w:r>
              <w:rPr>
                <w:rFonts w:cs="Arial"/>
              </w:rPr>
              <w:t>-0</w:t>
            </w:r>
          </w:p>
        </w:tc>
      </w:tr>
    </w:tbl>
    <w:p w14:paraId="6C67E3CD" w14:textId="77777777" w:rsidR="00DF6CE5" w:rsidRPr="00DF6CE5" w:rsidRDefault="00DF6CE5" w:rsidP="00DF6CE5"/>
    <w:p w14:paraId="1E6F2E8F" w14:textId="579E14BF" w:rsidR="00DF6CE5" w:rsidRDefault="00DF6CE5" w:rsidP="00D032FF">
      <w:pPr>
        <w:pStyle w:val="Titre2"/>
        <w:keepNext w:val="0"/>
        <w:numPr>
          <w:ilvl w:val="1"/>
          <w:numId w:val="21"/>
        </w:numPr>
        <w:spacing w:before="0" w:after="0"/>
        <w:ind w:left="578" w:hanging="578"/>
        <w:jc w:val="both"/>
        <w:rPr>
          <w:rFonts w:ascii="Times New Roman" w:hAnsi="Times New Roman" w:cs="Times New Roman"/>
          <w:sz w:val="24"/>
          <w:szCs w:val="24"/>
        </w:rPr>
      </w:pPr>
      <w:r>
        <w:rPr>
          <w:rFonts w:ascii="Times New Roman" w:hAnsi="Times New Roman" w:cs="Times New Roman"/>
          <w:sz w:val="24"/>
          <w:szCs w:val="24"/>
        </w:rPr>
        <w:t>Dépenses non déductibles fiscalement</w:t>
      </w:r>
    </w:p>
    <w:p w14:paraId="216A2277" w14:textId="77777777" w:rsidR="00DF6CE5" w:rsidRDefault="00DF6CE5" w:rsidP="00610BC9">
      <w:pPr>
        <w:rPr>
          <w:szCs w:val="22"/>
        </w:rPr>
      </w:pPr>
    </w:p>
    <w:p w14:paraId="02C23828" w14:textId="77777777" w:rsidR="00FE3CDA" w:rsidRPr="00FE3CDA" w:rsidRDefault="00FE3CDA" w:rsidP="00FE3CDA">
      <w:pPr>
        <w:jc w:val="both"/>
        <w:rPr>
          <w:szCs w:val="22"/>
        </w:rPr>
      </w:pPr>
      <w:r w:rsidRPr="00FE3CDA">
        <w:rPr>
          <w:szCs w:val="22"/>
        </w:rPr>
        <w:t xml:space="preserve">Conformément aux dispositions des articles 223 </w:t>
      </w:r>
      <w:r w:rsidRPr="00FE3CDA">
        <w:rPr>
          <w:i/>
          <w:szCs w:val="22"/>
        </w:rPr>
        <w:t xml:space="preserve">quater </w:t>
      </w:r>
      <w:r w:rsidRPr="00FE3CDA">
        <w:rPr>
          <w:szCs w:val="22"/>
        </w:rPr>
        <w:t xml:space="preserve">et 223 </w:t>
      </w:r>
      <w:r w:rsidRPr="00FE3CDA">
        <w:rPr>
          <w:i/>
          <w:szCs w:val="22"/>
        </w:rPr>
        <w:t>quinquies</w:t>
      </w:r>
      <w:r w:rsidRPr="00FE3CDA">
        <w:rPr>
          <w:szCs w:val="22"/>
        </w:rPr>
        <w:t xml:space="preserve"> du Code général des impôts, nous vous précisons qu’il n’y a pas eu au cours de l’exercice écoulé de dépenses et charges non déductibles fiscalement visées à l’article 39-4 dudit Code ni de réintégration de frais généraux en application de l’article 39-5 du même Code.</w:t>
      </w:r>
    </w:p>
    <w:p w14:paraId="668EC3F8" w14:textId="77777777" w:rsidR="00DF6CE5" w:rsidRDefault="00DF6CE5" w:rsidP="00610BC9">
      <w:pPr>
        <w:rPr>
          <w:szCs w:val="22"/>
        </w:rPr>
      </w:pPr>
    </w:p>
    <w:p w14:paraId="6DD74147" w14:textId="1A8D6452" w:rsidR="00DF6CE5" w:rsidRDefault="00DF6CE5" w:rsidP="00D032FF">
      <w:pPr>
        <w:pStyle w:val="Titre2"/>
        <w:keepNext w:val="0"/>
        <w:numPr>
          <w:ilvl w:val="1"/>
          <w:numId w:val="21"/>
        </w:numPr>
        <w:spacing w:before="0" w:after="0"/>
        <w:ind w:left="578" w:hanging="578"/>
        <w:jc w:val="both"/>
        <w:rPr>
          <w:rFonts w:ascii="Times New Roman" w:hAnsi="Times New Roman" w:cs="Times New Roman"/>
          <w:sz w:val="24"/>
          <w:szCs w:val="24"/>
        </w:rPr>
      </w:pPr>
      <w:r>
        <w:rPr>
          <w:rFonts w:ascii="Times New Roman" w:hAnsi="Times New Roman" w:cs="Times New Roman"/>
          <w:sz w:val="24"/>
          <w:szCs w:val="24"/>
        </w:rPr>
        <w:t>Informations sur les délais de paiement des fournisseurs et clients</w:t>
      </w:r>
    </w:p>
    <w:p w14:paraId="51CAD842" w14:textId="77777777" w:rsidR="00DF6CE5" w:rsidRDefault="00DF6CE5" w:rsidP="00FE3CDA">
      <w:pPr>
        <w:jc w:val="both"/>
        <w:rPr>
          <w:szCs w:val="22"/>
        </w:rPr>
      </w:pPr>
    </w:p>
    <w:p w14:paraId="1BDD728F" w14:textId="77777777" w:rsidR="00FE3CDA" w:rsidRPr="00FE3CDA" w:rsidRDefault="00FE3CDA" w:rsidP="00FE3CDA">
      <w:pPr>
        <w:jc w:val="both"/>
        <w:rPr>
          <w:szCs w:val="22"/>
        </w:rPr>
      </w:pPr>
      <w:r w:rsidRPr="00FE3CDA">
        <w:rPr>
          <w:szCs w:val="22"/>
        </w:rPr>
        <w:t xml:space="preserve">Vous trouverez ci-après, en application des dispositions des articles L.441-6 et D.441-4 du Code de commerce, les informations sur les délais de paiement des fournisseurs et des clients de la Société: </w:t>
      </w:r>
    </w:p>
    <w:p w14:paraId="4CB396E5" w14:textId="69242552" w:rsidR="00DF6CE5" w:rsidRPr="00DF6CE5" w:rsidRDefault="00FE3CDA" w:rsidP="00DF6CE5">
      <w:pPr>
        <w:jc w:val="center"/>
        <w:rPr>
          <w:szCs w:val="22"/>
        </w:rPr>
      </w:pPr>
      <w:r>
        <w:rPr>
          <w:rFonts w:ascii="Tms Rmn" w:hAnsi="Tms Rmn"/>
          <w:noProof/>
          <w:color w:val="1F497D"/>
        </w:rPr>
        <w:drawing>
          <wp:inline distT="0" distB="0" distL="0" distR="0" wp14:anchorId="2AB8BC1E" wp14:editId="0C159202">
            <wp:extent cx="5505450" cy="3419475"/>
            <wp:effectExtent l="0" t="0" r="0" b="9525"/>
            <wp:docPr id="39" name="Image 39" descr="cid:image002.jpg@01D5E8D7.0EDBD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id:image002.jpg@01D5E8D7.0EDBDB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505450" cy="3419475"/>
                    </a:xfrm>
                    <a:prstGeom prst="rect">
                      <a:avLst/>
                    </a:prstGeom>
                    <a:noFill/>
                    <a:ln>
                      <a:noFill/>
                    </a:ln>
                  </pic:spPr>
                </pic:pic>
              </a:graphicData>
            </a:graphic>
          </wp:inline>
        </w:drawing>
      </w:r>
    </w:p>
    <w:p w14:paraId="20B0A73C" w14:textId="77777777" w:rsidR="00DF6CE5" w:rsidRPr="00DF6CE5" w:rsidRDefault="00DF6CE5" w:rsidP="00DF6CE5">
      <w:pPr>
        <w:jc w:val="both"/>
        <w:rPr>
          <w:szCs w:val="22"/>
        </w:rPr>
      </w:pPr>
    </w:p>
    <w:p w14:paraId="340C6CAF" w14:textId="77777777" w:rsidR="00DF6CE5" w:rsidRPr="00DF6CE5" w:rsidRDefault="00DF6CE5" w:rsidP="00DF6CE5">
      <w:pPr>
        <w:jc w:val="both"/>
        <w:rPr>
          <w:szCs w:val="22"/>
        </w:rPr>
      </w:pPr>
      <w:r w:rsidRPr="00DF6CE5">
        <w:rPr>
          <w:szCs w:val="22"/>
        </w:rPr>
        <w:t>Ces informations n’incluent pas les opérations bancaires et opérations connexes.</w:t>
      </w:r>
    </w:p>
    <w:p w14:paraId="2F1BBBDE" w14:textId="77777777" w:rsidR="00DF6CE5" w:rsidRDefault="00DF6CE5" w:rsidP="00610BC9">
      <w:pPr>
        <w:rPr>
          <w:szCs w:val="22"/>
        </w:rPr>
      </w:pPr>
    </w:p>
    <w:p w14:paraId="6BC0DC0F" w14:textId="76FDA600" w:rsidR="00DF6CE5" w:rsidRDefault="00DF6CE5" w:rsidP="00610BC9">
      <w:pPr>
        <w:rPr>
          <w:szCs w:val="22"/>
        </w:rPr>
      </w:pPr>
      <w:r>
        <w:rPr>
          <w:szCs w:val="22"/>
        </w:rPr>
        <w:br w:type="page"/>
      </w:r>
    </w:p>
    <w:p w14:paraId="7F7E7896" w14:textId="4F1F4CFB" w:rsidR="00610BC9" w:rsidRPr="00DF6CE5" w:rsidRDefault="00DF6CE5" w:rsidP="00D032FF">
      <w:pPr>
        <w:pStyle w:val="Titre1"/>
        <w:keepNext w:val="0"/>
        <w:numPr>
          <w:ilvl w:val="0"/>
          <w:numId w:val="21"/>
        </w:numPr>
        <w:ind w:left="567" w:hanging="567"/>
        <w:jc w:val="both"/>
        <w:rPr>
          <w:sz w:val="28"/>
          <w:szCs w:val="28"/>
        </w:rPr>
      </w:pPr>
      <w:r>
        <w:rPr>
          <w:sz w:val="28"/>
          <w:szCs w:val="28"/>
        </w:rPr>
        <w:t>COVER POOL</w:t>
      </w:r>
    </w:p>
    <w:p w14:paraId="31E5141F" w14:textId="77777777" w:rsidR="00610BC9" w:rsidRPr="00FE3CDA" w:rsidRDefault="00610BC9" w:rsidP="00610BC9">
      <w:pPr>
        <w:rPr>
          <w:szCs w:val="22"/>
        </w:rPr>
      </w:pPr>
    </w:p>
    <w:p w14:paraId="5BBA25D6" w14:textId="77777777" w:rsidR="00FE3CDA" w:rsidRPr="00FE3CDA" w:rsidRDefault="00FE3CDA" w:rsidP="00FE3CDA">
      <w:pPr>
        <w:jc w:val="both"/>
        <w:rPr>
          <w:szCs w:val="22"/>
        </w:rPr>
      </w:pPr>
      <w:r w:rsidRPr="00FE3CDA">
        <w:rPr>
          <w:szCs w:val="22"/>
        </w:rPr>
        <w:t>Le passif privilégié de la Société est sécurisé par la remise en garantie par La Banque Postale d’un portefeuille de prêts à l’habitat, le Cover Pool. Le Cover Pool est enregistré en hors bilan en « autres valeurs reçues en garantie » pour un montant de 15 784 M€ au 31 décembre 2019. Les principales caractéristiques du Cover Pool sont présentées ci-dessous :</w:t>
      </w:r>
    </w:p>
    <w:p w14:paraId="0F4A67E6" w14:textId="77777777" w:rsidR="00FE3CDA" w:rsidRPr="00FE3CDA" w:rsidRDefault="00FE3CDA" w:rsidP="00FE3CDA">
      <w:pPr>
        <w:numPr>
          <w:ilvl w:val="0"/>
          <w:numId w:val="16"/>
        </w:numPr>
        <w:jc w:val="both"/>
        <w:rPr>
          <w:szCs w:val="22"/>
        </w:rPr>
      </w:pPr>
      <w:r w:rsidRPr="00FE3CDA">
        <w:rPr>
          <w:szCs w:val="22"/>
        </w:rPr>
        <w:t>capital restant dû : 15 784 M€ ;</w:t>
      </w:r>
    </w:p>
    <w:p w14:paraId="34809E46" w14:textId="77777777" w:rsidR="00FE3CDA" w:rsidRPr="00FE3CDA" w:rsidRDefault="00FE3CDA" w:rsidP="00FE3CDA">
      <w:pPr>
        <w:numPr>
          <w:ilvl w:val="0"/>
          <w:numId w:val="16"/>
        </w:numPr>
        <w:jc w:val="both"/>
        <w:rPr>
          <w:szCs w:val="22"/>
        </w:rPr>
      </w:pPr>
      <w:r w:rsidRPr="00FE3CDA">
        <w:rPr>
          <w:szCs w:val="22"/>
        </w:rPr>
        <w:t>nombre de prêts : 222 558 ;</w:t>
      </w:r>
    </w:p>
    <w:p w14:paraId="4544B45A" w14:textId="77777777" w:rsidR="00FE3CDA" w:rsidRPr="00FE3CDA" w:rsidRDefault="00FE3CDA" w:rsidP="00FE3CDA">
      <w:pPr>
        <w:numPr>
          <w:ilvl w:val="0"/>
          <w:numId w:val="16"/>
        </w:numPr>
        <w:jc w:val="both"/>
        <w:rPr>
          <w:szCs w:val="22"/>
        </w:rPr>
      </w:pPr>
      <w:r w:rsidRPr="00FE3CDA">
        <w:rPr>
          <w:szCs w:val="22"/>
        </w:rPr>
        <w:t>capital restant dû moyen : 70 922 euros.</w:t>
      </w:r>
    </w:p>
    <w:p w14:paraId="6EE61690" w14:textId="77777777" w:rsidR="00DF6CE5" w:rsidRPr="00DF6CE5" w:rsidRDefault="00DF6CE5" w:rsidP="00DF6CE5">
      <w:pPr>
        <w:jc w:val="both"/>
        <w:rPr>
          <w:szCs w:val="22"/>
        </w:rPr>
      </w:pPr>
    </w:p>
    <w:p w14:paraId="0BFC74FF" w14:textId="77777777" w:rsidR="00DF6CE5" w:rsidRDefault="00DF6CE5" w:rsidP="00DF6CE5">
      <w:pPr>
        <w:jc w:val="both"/>
        <w:rPr>
          <w:szCs w:val="22"/>
        </w:rPr>
      </w:pPr>
      <w:r w:rsidRPr="00DF6CE5">
        <w:rPr>
          <w:szCs w:val="22"/>
        </w:rPr>
        <w:t>La répartition par nature de sûreté est la suivante :</w:t>
      </w:r>
    </w:p>
    <w:p w14:paraId="16AF9EC0" w14:textId="77777777" w:rsidR="00FE3CDA" w:rsidRPr="00DF6CE5" w:rsidRDefault="00FE3CDA" w:rsidP="00DF6CE5">
      <w:pPr>
        <w:jc w:val="both"/>
        <w:rPr>
          <w:szCs w:val="22"/>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2754"/>
      </w:tblGrid>
      <w:tr w:rsidR="00FE3CDA" w:rsidRPr="002E7DE3" w14:paraId="33984A4A" w14:textId="77777777" w:rsidTr="00710CA1">
        <w:trPr>
          <w:cantSplit/>
          <w:trHeight w:val="283"/>
          <w:jc w:val="center"/>
        </w:trPr>
        <w:tc>
          <w:tcPr>
            <w:tcW w:w="3823" w:type="dxa"/>
            <w:shd w:val="clear" w:color="auto" w:fill="auto"/>
            <w:vAlign w:val="center"/>
          </w:tcPr>
          <w:p w14:paraId="605DA802" w14:textId="77777777" w:rsidR="00FE3CDA" w:rsidRPr="002E7DE3" w:rsidRDefault="00FE3CDA" w:rsidP="00FE3CDA">
            <w:pPr>
              <w:pStyle w:val="Tableauentte"/>
            </w:pPr>
            <w:r w:rsidRPr="002E7DE3">
              <w:t>Type de sûreté</w:t>
            </w:r>
          </w:p>
        </w:tc>
        <w:tc>
          <w:tcPr>
            <w:tcW w:w="2551" w:type="dxa"/>
            <w:shd w:val="clear" w:color="auto" w:fill="auto"/>
            <w:vAlign w:val="center"/>
          </w:tcPr>
          <w:p w14:paraId="040333AA" w14:textId="77777777" w:rsidR="00FE3CDA" w:rsidRPr="002E7DE3" w:rsidRDefault="00FE3CDA" w:rsidP="00FE3CDA">
            <w:pPr>
              <w:pStyle w:val="Tableauentte"/>
            </w:pPr>
            <w:r w:rsidRPr="002E7DE3">
              <w:t>Répartition en nombre</w:t>
            </w:r>
          </w:p>
        </w:tc>
        <w:tc>
          <w:tcPr>
            <w:tcW w:w="2754" w:type="dxa"/>
            <w:shd w:val="clear" w:color="auto" w:fill="auto"/>
            <w:vAlign w:val="center"/>
          </w:tcPr>
          <w:p w14:paraId="09E1B98F" w14:textId="77777777" w:rsidR="00FE3CDA" w:rsidRPr="002E7DE3" w:rsidRDefault="00FE3CDA" w:rsidP="00FE3CDA">
            <w:pPr>
              <w:pStyle w:val="Tableauentte"/>
            </w:pPr>
            <w:r w:rsidRPr="002E7DE3">
              <w:t>Répartition en encours</w:t>
            </w:r>
          </w:p>
        </w:tc>
      </w:tr>
      <w:tr w:rsidR="00FE3CDA" w:rsidRPr="002E7DE3" w14:paraId="14D34EC8" w14:textId="77777777" w:rsidTr="00710CA1">
        <w:trPr>
          <w:cantSplit/>
          <w:trHeight w:val="283"/>
          <w:jc w:val="center"/>
        </w:trPr>
        <w:tc>
          <w:tcPr>
            <w:tcW w:w="3823" w:type="dxa"/>
            <w:shd w:val="clear" w:color="auto" w:fill="auto"/>
            <w:vAlign w:val="center"/>
          </w:tcPr>
          <w:p w14:paraId="7466BA38" w14:textId="77777777" w:rsidR="00FE3CDA" w:rsidRPr="002E7DE3" w:rsidRDefault="00FE3CDA" w:rsidP="00FE3CDA">
            <w:pPr>
              <w:pStyle w:val="Tableau"/>
            </w:pPr>
            <w:r w:rsidRPr="002E7DE3">
              <w:t>Hypothèque de premier rang</w:t>
            </w:r>
          </w:p>
        </w:tc>
        <w:tc>
          <w:tcPr>
            <w:tcW w:w="2551" w:type="dxa"/>
            <w:shd w:val="clear" w:color="auto" w:fill="auto"/>
            <w:vAlign w:val="bottom"/>
          </w:tcPr>
          <w:p w14:paraId="2402DF2C" w14:textId="77777777" w:rsidR="00FE3CDA" w:rsidRPr="002E7DE3" w:rsidRDefault="00FE3CDA" w:rsidP="00FE3CDA">
            <w:pPr>
              <w:pStyle w:val="Tableau"/>
              <w:ind w:right="256"/>
              <w:jc w:val="right"/>
            </w:pPr>
            <w:r w:rsidRPr="002E7DE3">
              <w:t>5.4 %</w:t>
            </w:r>
          </w:p>
        </w:tc>
        <w:tc>
          <w:tcPr>
            <w:tcW w:w="2754" w:type="dxa"/>
            <w:shd w:val="clear" w:color="auto" w:fill="auto"/>
            <w:vAlign w:val="bottom"/>
          </w:tcPr>
          <w:p w14:paraId="1D3852F5" w14:textId="77777777" w:rsidR="00FE3CDA" w:rsidRPr="002E7DE3" w:rsidRDefault="00FE3CDA" w:rsidP="00FE3CDA">
            <w:pPr>
              <w:pStyle w:val="Tableau"/>
              <w:ind w:right="236"/>
              <w:jc w:val="right"/>
            </w:pPr>
            <w:r w:rsidRPr="002E7DE3">
              <w:t>5.4 %</w:t>
            </w:r>
          </w:p>
        </w:tc>
      </w:tr>
      <w:tr w:rsidR="00FE3CDA" w:rsidRPr="002E7DE3" w14:paraId="0646EEA3" w14:textId="77777777" w:rsidTr="00710CA1">
        <w:trPr>
          <w:cantSplit/>
          <w:trHeight w:val="283"/>
          <w:jc w:val="center"/>
        </w:trPr>
        <w:tc>
          <w:tcPr>
            <w:tcW w:w="3823" w:type="dxa"/>
            <w:shd w:val="clear" w:color="auto" w:fill="auto"/>
            <w:vAlign w:val="center"/>
          </w:tcPr>
          <w:p w14:paraId="098216F7" w14:textId="77777777" w:rsidR="00FE3CDA" w:rsidRPr="002E7DE3" w:rsidRDefault="00FE3CDA" w:rsidP="00FE3CDA">
            <w:pPr>
              <w:pStyle w:val="Tableau"/>
            </w:pPr>
            <w:r w:rsidRPr="002E7DE3">
              <w:t>Privilège Prêteur de Deniers</w:t>
            </w:r>
          </w:p>
        </w:tc>
        <w:tc>
          <w:tcPr>
            <w:tcW w:w="2551" w:type="dxa"/>
            <w:shd w:val="clear" w:color="auto" w:fill="auto"/>
            <w:vAlign w:val="bottom"/>
          </w:tcPr>
          <w:p w14:paraId="5EB7C012" w14:textId="77777777" w:rsidR="00FE3CDA" w:rsidRPr="002E7DE3" w:rsidRDefault="00FE3CDA" w:rsidP="00FE3CDA">
            <w:pPr>
              <w:pStyle w:val="Tableau"/>
              <w:ind w:right="256"/>
              <w:jc w:val="right"/>
            </w:pPr>
            <w:r w:rsidRPr="002E7DE3">
              <w:t>29.0 %</w:t>
            </w:r>
          </w:p>
        </w:tc>
        <w:tc>
          <w:tcPr>
            <w:tcW w:w="2754" w:type="dxa"/>
            <w:shd w:val="clear" w:color="auto" w:fill="auto"/>
            <w:vAlign w:val="bottom"/>
          </w:tcPr>
          <w:p w14:paraId="4A50512C" w14:textId="77777777" w:rsidR="00FE3CDA" w:rsidRPr="002E7DE3" w:rsidRDefault="00FE3CDA" w:rsidP="00FE3CDA">
            <w:pPr>
              <w:pStyle w:val="Tableau"/>
              <w:ind w:right="236"/>
              <w:jc w:val="right"/>
            </w:pPr>
            <w:r w:rsidRPr="002E7DE3">
              <w:t>33.4 %</w:t>
            </w:r>
          </w:p>
        </w:tc>
      </w:tr>
      <w:tr w:rsidR="00FE3CDA" w:rsidRPr="002E7DE3" w14:paraId="4648A0D1" w14:textId="77777777" w:rsidTr="00710CA1">
        <w:trPr>
          <w:cantSplit/>
          <w:trHeight w:val="283"/>
          <w:jc w:val="center"/>
        </w:trPr>
        <w:tc>
          <w:tcPr>
            <w:tcW w:w="3823" w:type="dxa"/>
            <w:shd w:val="clear" w:color="auto" w:fill="auto"/>
            <w:vAlign w:val="center"/>
          </w:tcPr>
          <w:p w14:paraId="6A3D9B09" w14:textId="77777777" w:rsidR="00FE3CDA" w:rsidRPr="002E7DE3" w:rsidRDefault="00FE3CDA" w:rsidP="00FE3CDA">
            <w:pPr>
              <w:pStyle w:val="Tableau"/>
            </w:pPr>
            <w:r w:rsidRPr="002E7DE3">
              <w:t>Caution Crédit Logement</w:t>
            </w:r>
          </w:p>
        </w:tc>
        <w:tc>
          <w:tcPr>
            <w:tcW w:w="2551" w:type="dxa"/>
            <w:shd w:val="clear" w:color="auto" w:fill="auto"/>
            <w:vAlign w:val="bottom"/>
          </w:tcPr>
          <w:p w14:paraId="58718E78" w14:textId="77777777" w:rsidR="00FE3CDA" w:rsidRPr="002E7DE3" w:rsidRDefault="00FE3CDA" w:rsidP="00FE3CDA">
            <w:pPr>
              <w:pStyle w:val="Tableau"/>
              <w:ind w:right="256"/>
              <w:jc w:val="right"/>
            </w:pPr>
            <w:r w:rsidRPr="002E7DE3">
              <w:t>65.6 %</w:t>
            </w:r>
          </w:p>
        </w:tc>
        <w:tc>
          <w:tcPr>
            <w:tcW w:w="2754" w:type="dxa"/>
            <w:shd w:val="clear" w:color="auto" w:fill="auto"/>
            <w:vAlign w:val="bottom"/>
          </w:tcPr>
          <w:p w14:paraId="17738882" w14:textId="77777777" w:rsidR="00FE3CDA" w:rsidRPr="002E7DE3" w:rsidRDefault="00FE3CDA" w:rsidP="00FE3CDA">
            <w:pPr>
              <w:pStyle w:val="Tableau"/>
              <w:ind w:right="236"/>
              <w:jc w:val="right"/>
            </w:pPr>
            <w:r w:rsidRPr="002E7DE3">
              <w:t>61.2 %</w:t>
            </w:r>
          </w:p>
        </w:tc>
      </w:tr>
    </w:tbl>
    <w:p w14:paraId="3D8B404C" w14:textId="77777777" w:rsidR="00610BC9" w:rsidRPr="00CB1DAC" w:rsidRDefault="00610BC9" w:rsidP="00610BC9">
      <w:pPr>
        <w:rPr>
          <w:szCs w:val="22"/>
        </w:rPr>
      </w:pPr>
    </w:p>
    <w:p w14:paraId="6AA6CC6F" w14:textId="61916F4D" w:rsidR="00610BC9" w:rsidRPr="00434933" w:rsidRDefault="00434933" w:rsidP="00D032FF">
      <w:pPr>
        <w:pStyle w:val="Titre1"/>
        <w:keepNext w:val="0"/>
        <w:numPr>
          <w:ilvl w:val="0"/>
          <w:numId w:val="21"/>
        </w:numPr>
        <w:ind w:left="567" w:hanging="567"/>
        <w:jc w:val="both"/>
        <w:rPr>
          <w:sz w:val="28"/>
          <w:szCs w:val="28"/>
        </w:rPr>
      </w:pPr>
      <w:r>
        <w:rPr>
          <w:sz w:val="28"/>
          <w:szCs w:val="28"/>
        </w:rPr>
        <w:t>RENDEMENT ANNUEL DES ACTIFS</w:t>
      </w:r>
    </w:p>
    <w:p w14:paraId="1BFDA1C2" w14:textId="77777777" w:rsidR="00610BC9" w:rsidRPr="00F227A9" w:rsidRDefault="00610BC9" w:rsidP="00610BC9">
      <w:pPr>
        <w:pStyle w:val="AJtitrechapitre"/>
        <w:widowControl/>
        <w:spacing w:before="0" w:after="0"/>
        <w:jc w:val="both"/>
        <w:rPr>
          <w:rFonts w:ascii="Times New Roman" w:hAnsi="Times New Roman" w:cs="Times New Roman"/>
          <w:b w:val="0"/>
          <w:sz w:val="22"/>
          <w:szCs w:val="22"/>
        </w:rPr>
      </w:pPr>
    </w:p>
    <w:p w14:paraId="60066368" w14:textId="79CD9E4A" w:rsidR="00FE3CDA" w:rsidRPr="00FE3CDA" w:rsidRDefault="00FE3CDA" w:rsidP="00FE3CDA">
      <w:pPr>
        <w:jc w:val="both"/>
        <w:rPr>
          <w:szCs w:val="22"/>
        </w:rPr>
      </w:pPr>
      <w:r w:rsidRPr="00FE3CDA">
        <w:rPr>
          <w:szCs w:val="22"/>
        </w:rPr>
        <w:t xml:space="preserve">Le rendement annuel des actifs calculé en divisant le résultat net qui s’élève à </w:t>
      </w:r>
      <w:r w:rsidRPr="00FE3CDA">
        <w:rPr>
          <w:iCs/>
          <w:szCs w:val="22"/>
        </w:rPr>
        <w:t>1 444 K€</w:t>
      </w:r>
      <w:r w:rsidRPr="00FE3CDA">
        <w:rPr>
          <w:szCs w:val="22"/>
        </w:rPr>
        <w:t xml:space="preserve"> par le total de bilan d’un montant de 11 586 201 K€, est de 0,012 %.</w:t>
      </w:r>
    </w:p>
    <w:p w14:paraId="09C81E74" w14:textId="10CB3D96" w:rsidR="00610BC9" w:rsidRDefault="00610BC9" w:rsidP="00FE3CDA">
      <w:pPr>
        <w:jc w:val="both"/>
        <w:rPr>
          <w:szCs w:val="22"/>
        </w:rPr>
      </w:pPr>
    </w:p>
    <w:p w14:paraId="5D44FE16" w14:textId="610800B2" w:rsidR="00610BC9" w:rsidRPr="00434933" w:rsidRDefault="00434933" w:rsidP="00D032FF">
      <w:pPr>
        <w:pStyle w:val="Titre1"/>
        <w:keepNext w:val="0"/>
        <w:numPr>
          <w:ilvl w:val="0"/>
          <w:numId w:val="21"/>
        </w:numPr>
        <w:ind w:left="567" w:hanging="567"/>
        <w:jc w:val="both"/>
        <w:rPr>
          <w:sz w:val="28"/>
          <w:szCs w:val="28"/>
        </w:rPr>
      </w:pPr>
      <w:r>
        <w:rPr>
          <w:sz w:val="28"/>
          <w:szCs w:val="28"/>
        </w:rPr>
        <w:t>EVENEMENTS IMPORTANTS INTERVENUS DEPUIS LA CLOTURE</w:t>
      </w:r>
    </w:p>
    <w:p w14:paraId="652F70C1" w14:textId="77777777" w:rsidR="00FE3CDA" w:rsidRDefault="00FE3CDA" w:rsidP="00FE3CDA">
      <w:pPr>
        <w:autoSpaceDE w:val="0"/>
        <w:autoSpaceDN w:val="0"/>
        <w:adjustRightInd w:val="0"/>
        <w:spacing w:after="120"/>
        <w:rPr>
          <w:szCs w:val="22"/>
        </w:rPr>
      </w:pPr>
    </w:p>
    <w:p w14:paraId="7EC72E32" w14:textId="3A443198" w:rsidR="00FE3CDA" w:rsidRPr="00FE3CDA" w:rsidRDefault="00FE3CDA" w:rsidP="00FE3CDA">
      <w:pPr>
        <w:autoSpaceDE w:val="0"/>
        <w:autoSpaceDN w:val="0"/>
        <w:adjustRightInd w:val="0"/>
        <w:spacing w:after="120"/>
        <w:rPr>
          <w:szCs w:val="22"/>
        </w:rPr>
      </w:pPr>
      <w:r w:rsidRPr="00FE3CDA">
        <w:rPr>
          <w:szCs w:val="22"/>
        </w:rPr>
        <w:t xml:space="preserve">La Société a effectué entre le 1er janvier 2020 et le 26 février 2020, </w:t>
      </w:r>
    </w:p>
    <w:p w14:paraId="544F704E" w14:textId="77777777" w:rsidR="00FE3CDA" w:rsidRPr="00FE3CDA" w:rsidRDefault="00FE3CDA" w:rsidP="00FE3CDA">
      <w:pPr>
        <w:pStyle w:val="Listepuces"/>
        <w:tabs>
          <w:tab w:val="clear" w:pos="340"/>
        </w:tabs>
        <w:spacing w:before="0" w:after="120" w:line="240" w:lineRule="auto"/>
        <w:ind w:left="720" w:hanging="360"/>
        <w:jc w:val="both"/>
        <w:rPr>
          <w:sz w:val="24"/>
          <w:szCs w:val="22"/>
          <w:lang w:eastAsia="fr-FR"/>
        </w:rPr>
      </w:pPr>
      <w:r w:rsidRPr="00FE3CDA">
        <w:rPr>
          <w:sz w:val="24"/>
          <w:szCs w:val="22"/>
          <w:lang w:eastAsia="fr-FR"/>
        </w:rPr>
        <w:t>Une émission retained de 500 MEUR de maturité mai 2024 ;</w:t>
      </w:r>
    </w:p>
    <w:p w14:paraId="06944D10" w14:textId="77777777" w:rsidR="00FE3CDA" w:rsidRPr="00FE3CDA" w:rsidRDefault="00FE3CDA" w:rsidP="00FE3CDA">
      <w:pPr>
        <w:pStyle w:val="Listepuces"/>
        <w:tabs>
          <w:tab w:val="clear" w:pos="340"/>
        </w:tabs>
        <w:spacing w:before="0" w:after="120" w:line="240" w:lineRule="auto"/>
        <w:ind w:left="720" w:hanging="360"/>
        <w:jc w:val="both"/>
        <w:rPr>
          <w:sz w:val="24"/>
          <w:szCs w:val="22"/>
          <w:lang w:eastAsia="fr-FR"/>
        </w:rPr>
      </w:pPr>
      <w:r w:rsidRPr="00FE3CDA">
        <w:rPr>
          <w:sz w:val="24"/>
          <w:szCs w:val="22"/>
          <w:lang w:eastAsia="fr-FR"/>
        </w:rPr>
        <w:t>Une émission publique de 750 MEUR de maturité février 2035.</w:t>
      </w:r>
    </w:p>
    <w:p w14:paraId="467FD2AF" w14:textId="77777777" w:rsidR="00610BC9" w:rsidRDefault="00610BC9" w:rsidP="00610BC9">
      <w:pPr>
        <w:rPr>
          <w:szCs w:val="22"/>
        </w:rPr>
      </w:pPr>
    </w:p>
    <w:p w14:paraId="2B91FCAA" w14:textId="366AEDB7" w:rsidR="00610BC9" w:rsidRPr="00434933" w:rsidRDefault="00434933" w:rsidP="00D032FF">
      <w:pPr>
        <w:pStyle w:val="Titre1"/>
        <w:keepNext w:val="0"/>
        <w:numPr>
          <w:ilvl w:val="0"/>
          <w:numId w:val="21"/>
        </w:numPr>
        <w:ind w:left="567" w:hanging="567"/>
        <w:jc w:val="both"/>
        <w:rPr>
          <w:sz w:val="28"/>
          <w:szCs w:val="28"/>
        </w:rPr>
      </w:pPr>
      <w:r>
        <w:rPr>
          <w:sz w:val="28"/>
          <w:szCs w:val="28"/>
        </w:rPr>
        <w:t>EVOLUTION PREVISIBLE ET</w:t>
      </w:r>
      <w:r w:rsidR="00FE3CDA">
        <w:rPr>
          <w:sz w:val="28"/>
          <w:szCs w:val="28"/>
        </w:rPr>
        <w:t xml:space="preserve"> PERSPECTIVES DE L’EXERCICE 2020</w:t>
      </w:r>
    </w:p>
    <w:p w14:paraId="1A96CEAA" w14:textId="77777777" w:rsidR="00610BC9" w:rsidRPr="00CB1DAC" w:rsidRDefault="00610BC9" w:rsidP="00610BC9">
      <w:pPr>
        <w:rPr>
          <w:szCs w:val="22"/>
        </w:rPr>
      </w:pPr>
    </w:p>
    <w:p w14:paraId="5E541A72" w14:textId="77777777" w:rsidR="00FE3CDA" w:rsidRPr="00FE3CDA" w:rsidRDefault="00FE3CDA" w:rsidP="00FE3CDA">
      <w:pPr>
        <w:spacing w:after="120"/>
        <w:rPr>
          <w:bCs/>
          <w:sz w:val="22"/>
          <w:szCs w:val="22"/>
        </w:rPr>
      </w:pPr>
      <w:r w:rsidRPr="00FE3CDA">
        <w:rPr>
          <w:bCs/>
          <w:sz w:val="22"/>
          <w:szCs w:val="22"/>
        </w:rPr>
        <w:t>Sur l’exercice 2020, la Société pourra émettre jusqu’à 6 milliards d’euros de ressources privilégiées, sous la forme d’Euro Medium Term Notes (EMTN) et de Namens.</w:t>
      </w:r>
    </w:p>
    <w:p w14:paraId="47194837" w14:textId="77777777" w:rsidR="00610BC9" w:rsidRDefault="00610BC9" w:rsidP="00610BC9">
      <w:pPr>
        <w:rPr>
          <w:szCs w:val="22"/>
        </w:rPr>
      </w:pPr>
    </w:p>
    <w:p w14:paraId="48668B48" w14:textId="09A7057F" w:rsidR="00610BC9" w:rsidRPr="004C4401" w:rsidRDefault="004C4401" w:rsidP="00D032FF">
      <w:pPr>
        <w:pStyle w:val="Titre1"/>
        <w:keepNext w:val="0"/>
        <w:numPr>
          <w:ilvl w:val="0"/>
          <w:numId w:val="21"/>
        </w:numPr>
        <w:ind w:left="567" w:hanging="567"/>
        <w:jc w:val="both"/>
        <w:rPr>
          <w:sz w:val="28"/>
          <w:szCs w:val="28"/>
        </w:rPr>
      </w:pPr>
      <w:r>
        <w:rPr>
          <w:sz w:val="28"/>
          <w:szCs w:val="28"/>
        </w:rPr>
        <w:t>SUCCURSALE – INFORMATIONS SUR LES PARTICIPATIONS</w:t>
      </w:r>
    </w:p>
    <w:p w14:paraId="20FA1356" w14:textId="77777777" w:rsidR="00610BC9" w:rsidRPr="00F227A9" w:rsidRDefault="00610BC9" w:rsidP="00610BC9">
      <w:pPr>
        <w:rPr>
          <w:szCs w:val="22"/>
        </w:rPr>
      </w:pPr>
    </w:p>
    <w:p w14:paraId="4A1BAAE1" w14:textId="55CB7213" w:rsidR="004C4401" w:rsidRDefault="004C4401" w:rsidP="00D032FF">
      <w:pPr>
        <w:pStyle w:val="Titre2"/>
        <w:keepNext w:val="0"/>
        <w:numPr>
          <w:ilvl w:val="1"/>
          <w:numId w:val="21"/>
        </w:numPr>
        <w:spacing w:before="0" w:after="0"/>
        <w:ind w:left="578" w:hanging="578"/>
        <w:jc w:val="both"/>
        <w:rPr>
          <w:rFonts w:ascii="Times New Roman" w:hAnsi="Times New Roman" w:cs="Times New Roman"/>
          <w:sz w:val="24"/>
          <w:szCs w:val="24"/>
        </w:rPr>
      </w:pPr>
      <w:r>
        <w:rPr>
          <w:rFonts w:ascii="Times New Roman" w:hAnsi="Times New Roman" w:cs="Times New Roman"/>
          <w:sz w:val="24"/>
          <w:szCs w:val="24"/>
        </w:rPr>
        <w:t>Succursales existantes</w:t>
      </w:r>
    </w:p>
    <w:p w14:paraId="0EAFA5D7" w14:textId="77777777" w:rsidR="00610BC9" w:rsidRDefault="00610BC9" w:rsidP="00CB1E76">
      <w:pPr>
        <w:jc w:val="both"/>
        <w:rPr>
          <w:szCs w:val="22"/>
        </w:rPr>
      </w:pPr>
    </w:p>
    <w:p w14:paraId="0E545F78" w14:textId="77777777" w:rsidR="004C4401" w:rsidRPr="004C4401" w:rsidRDefault="004C4401" w:rsidP="004C4401">
      <w:pPr>
        <w:rPr>
          <w:szCs w:val="22"/>
        </w:rPr>
      </w:pPr>
      <w:r w:rsidRPr="004C4401">
        <w:rPr>
          <w:szCs w:val="22"/>
        </w:rPr>
        <w:t>La Société n’a constitué aucune succursale.</w:t>
      </w:r>
    </w:p>
    <w:p w14:paraId="65F54B3D" w14:textId="77777777" w:rsidR="004C4401" w:rsidRDefault="004C4401" w:rsidP="00CB1E76">
      <w:pPr>
        <w:jc w:val="both"/>
        <w:rPr>
          <w:szCs w:val="22"/>
        </w:rPr>
      </w:pPr>
    </w:p>
    <w:p w14:paraId="219A89E0" w14:textId="5DE6444B" w:rsidR="004C4401" w:rsidRDefault="004C4401" w:rsidP="00D032FF">
      <w:pPr>
        <w:pStyle w:val="Titre2"/>
        <w:keepNext w:val="0"/>
        <w:numPr>
          <w:ilvl w:val="1"/>
          <w:numId w:val="21"/>
        </w:numPr>
        <w:spacing w:before="0" w:after="0"/>
        <w:ind w:left="578" w:hanging="578"/>
        <w:jc w:val="both"/>
        <w:rPr>
          <w:rFonts w:ascii="Times New Roman" w:hAnsi="Times New Roman" w:cs="Times New Roman"/>
          <w:sz w:val="24"/>
          <w:szCs w:val="24"/>
        </w:rPr>
      </w:pPr>
      <w:r>
        <w:rPr>
          <w:rFonts w:ascii="Times New Roman" w:hAnsi="Times New Roman" w:cs="Times New Roman"/>
          <w:sz w:val="24"/>
          <w:szCs w:val="24"/>
        </w:rPr>
        <w:t>Prises de participation</w:t>
      </w:r>
    </w:p>
    <w:p w14:paraId="0BE4A6F9" w14:textId="77777777" w:rsidR="004C4401" w:rsidRDefault="004C4401" w:rsidP="004C4401"/>
    <w:p w14:paraId="7F6B885C" w14:textId="77777777" w:rsidR="004C4401" w:rsidRPr="004C4401" w:rsidRDefault="004C4401" w:rsidP="004C4401">
      <w:pPr>
        <w:rPr>
          <w:szCs w:val="22"/>
        </w:rPr>
      </w:pPr>
      <w:r w:rsidRPr="004C4401">
        <w:rPr>
          <w:szCs w:val="22"/>
        </w:rPr>
        <w:t>Conformément aux dispositions légales, la Société ne détient pas de participation.</w:t>
      </w:r>
    </w:p>
    <w:p w14:paraId="55DF3F2E" w14:textId="77777777" w:rsidR="004C4401" w:rsidRPr="00CB1DAC" w:rsidRDefault="004C4401" w:rsidP="00CB1E76">
      <w:pPr>
        <w:jc w:val="both"/>
        <w:rPr>
          <w:szCs w:val="22"/>
        </w:rPr>
      </w:pPr>
    </w:p>
    <w:p w14:paraId="00786385" w14:textId="78BE4991" w:rsidR="004C4401" w:rsidRDefault="004C4401" w:rsidP="00D032FF">
      <w:pPr>
        <w:pStyle w:val="Titre2"/>
        <w:keepNext w:val="0"/>
        <w:numPr>
          <w:ilvl w:val="1"/>
          <w:numId w:val="21"/>
        </w:numPr>
        <w:spacing w:before="0" w:after="0"/>
        <w:ind w:left="578" w:hanging="578"/>
        <w:jc w:val="both"/>
        <w:rPr>
          <w:rFonts w:ascii="Times New Roman" w:hAnsi="Times New Roman" w:cs="Times New Roman"/>
          <w:sz w:val="24"/>
          <w:szCs w:val="24"/>
        </w:rPr>
      </w:pPr>
      <w:r>
        <w:rPr>
          <w:rFonts w:ascii="Times New Roman" w:hAnsi="Times New Roman" w:cs="Times New Roman"/>
          <w:sz w:val="24"/>
          <w:szCs w:val="24"/>
        </w:rPr>
        <w:t>Régularisation de participations croisées</w:t>
      </w:r>
    </w:p>
    <w:p w14:paraId="0379DF82" w14:textId="77777777" w:rsidR="00610BC9" w:rsidRDefault="00610BC9" w:rsidP="00610BC9">
      <w:pPr>
        <w:rPr>
          <w:szCs w:val="22"/>
        </w:rPr>
      </w:pPr>
    </w:p>
    <w:p w14:paraId="5B41F41D" w14:textId="77777777" w:rsidR="004C4401" w:rsidRPr="004C4401" w:rsidRDefault="004C4401" w:rsidP="004C4401">
      <w:pPr>
        <w:jc w:val="both"/>
        <w:rPr>
          <w:szCs w:val="22"/>
        </w:rPr>
      </w:pPr>
      <w:r w:rsidRPr="004C4401">
        <w:rPr>
          <w:szCs w:val="22"/>
        </w:rPr>
        <w:t>Nous vous informons, en application des dispositions de l'article R.233-19 du Code de commerce que la Société n'a réalisé aucune régularisation relevant des dispositions de l'article L.233-29 dudit Code.</w:t>
      </w:r>
    </w:p>
    <w:p w14:paraId="567FD0C1" w14:textId="77777777" w:rsidR="004C4401" w:rsidRDefault="004C4401" w:rsidP="00610BC9">
      <w:pPr>
        <w:rPr>
          <w:szCs w:val="22"/>
        </w:rPr>
      </w:pPr>
    </w:p>
    <w:p w14:paraId="75803841" w14:textId="77E9BDAB" w:rsidR="00610BC9" w:rsidRPr="004C4401" w:rsidRDefault="004C4401" w:rsidP="00D032FF">
      <w:pPr>
        <w:pStyle w:val="Titre1"/>
        <w:keepNext w:val="0"/>
        <w:numPr>
          <w:ilvl w:val="0"/>
          <w:numId w:val="21"/>
        </w:numPr>
        <w:ind w:left="567" w:hanging="567"/>
        <w:jc w:val="both"/>
        <w:rPr>
          <w:sz w:val="28"/>
          <w:szCs w:val="28"/>
        </w:rPr>
      </w:pPr>
      <w:r>
        <w:rPr>
          <w:sz w:val="28"/>
          <w:szCs w:val="28"/>
        </w:rPr>
        <w:t>REPARTITION DU CAPITAL SOCIAL</w:t>
      </w:r>
    </w:p>
    <w:p w14:paraId="52FB1CBF" w14:textId="77777777" w:rsidR="00610BC9" w:rsidRPr="00CB1DAC" w:rsidRDefault="00610BC9" w:rsidP="00610BC9">
      <w:pPr>
        <w:rPr>
          <w:szCs w:val="22"/>
        </w:rPr>
      </w:pPr>
    </w:p>
    <w:p w14:paraId="2F663F68" w14:textId="77777777" w:rsidR="00FE3CDA" w:rsidRPr="00FE3CDA" w:rsidRDefault="00FE3CDA" w:rsidP="00FE3CDA">
      <w:pPr>
        <w:jc w:val="both"/>
        <w:rPr>
          <w:szCs w:val="22"/>
        </w:rPr>
      </w:pPr>
      <w:r w:rsidRPr="00FE3CDA">
        <w:rPr>
          <w:szCs w:val="22"/>
        </w:rPr>
        <w:t>Au 31 décembre 2019, La Banque Postale détenait 20 999 999 actions sur les 21 000 000 actions composant le capital social de la Société, soit 99,99 % du capital social. Conformément aux dispositions de l’article L.225-1 du Code de commerce, un second actionnaire détient une action de la Société.</w:t>
      </w:r>
    </w:p>
    <w:p w14:paraId="0D992063" w14:textId="77777777" w:rsidR="00610BC9" w:rsidRPr="00CB1DAC" w:rsidRDefault="00610BC9" w:rsidP="00610BC9">
      <w:pPr>
        <w:rPr>
          <w:szCs w:val="22"/>
        </w:rPr>
      </w:pPr>
    </w:p>
    <w:p w14:paraId="467C2F0F" w14:textId="011BB3C6" w:rsidR="00610BC9" w:rsidRPr="004C4401" w:rsidRDefault="004C4401" w:rsidP="00D032FF">
      <w:pPr>
        <w:pStyle w:val="Titre1"/>
        <w:keepNext w:val="0"/>
        <w:numPr>
          <w:ilvl w:val="0"/>
          <w:numId w:val="21"/>
        </w:numPr>
        <w:ind w:left="567" w:hanging="567"/>
        <w:jc w:val="both"/>
        <w:rPr>
          <w:sz w:val="28"/>
          <w:szCs w:val="28"/>
        </w:rPr>
      </w:pPr>
      <w:r>
        <w:rPr>
          <w:sz w:val="28"/>
          <w:szCs w:val="28"/>
        </w:rPr>
        <w:t>EMISSIONS DE VALEURS MOBILIERES DONNANT ACCES AU CAPITAL</w:t>
      </w:r>
    </w:p>
    <w:p w14:paraId="25263C06" w14:textId="77777777" w:rsidR="00610BC9" w:rsidRPr="00CB1DAC" w:rsidRDefault="00610BC9" w:rsidP="00610BC9">
      <w:pPr>
        <w:rPr>
          <w:szCs w:val="22"/>
        </w:rPr>
      </w:pPr>
    </w:p>
    <w:p w14:paraId="1221D933" w14:textId="77777777" w:rsidR="00FE3CDA" w:rsidRPr="00FE3CDA" w:rsidRDefault="00FE3CDA" w:rsidP="00FE3CDA">
      <w:pPr>
        <w:rPr>
          <w:szCs w:val="22"/>
        </w:rPr>
      </w:pPr>
      <w:r w:rsidRPr="00FE3CDA">
        <w:rPr>
          <w:szCs w:val="22"/>
        </w:rPr>
        <w:t>Nous vous informons, en application des dispositions de l'article R.228-90 du Code de commerce, que la Société n'a pas émis de valeurs mobilières donnant accès au capital.</w:t>
      </w:r>
    </w:p>
    <w:p w14:paraId="2278D204" w14:textId="77777777" w:rsidR="00610BC9" w:rsidRDefault="00610BC9" w:rsidP="00610BC9">
      <w:pPr>
        <w:rPr>
          <w:szCs w:val="22"/>
        </w:rPr>
      </w:pPr>
    </w:p>
    <w:p w14:paraId="5E80E899" w14:textId="3E658654" w:rsidR="00610BC9" w:rsidRPr="00251CCC" w:rsidRDefault="004C4401" w:rsidP="00D032FF">
      <w:pPr>
        <w:pStyle w:val="Titre1"/>
        <w:keepNext w:val="0"/>
        <w:numPr>
          <w:ilvl w:val="0"/>
          <w:numId w:val="21"/>
        </w:numPr>
        <w:ind w:left="567" w:hanging="567"/>
        <w:jc w:val="both"/>
        <w:rPr>
          <w:b w:val="0"/>
          <w:i/>
          <w:sz w:val="18"/>
          <w:szCs w:val="22"/>
        </w:rPr>
      </w:pPr>
      <w:r>
        <w:rPr>
          <w:sz w:val="28"/>
          <w:szCs w:val="28"/>
        </w:rPr>
        <w:t>ACTIONNARIAT SALARIE</w:t>
      </w:r>
    </w:p>
    <w:p w14:paraId="12682FDE" w14:textId="77777777" w:rsidR="00610BC9" w:rsidRPr="00251CCC" w:rsidRDefault="00610BC9" w:rsidP="00610BC9">
      <w:pPr>
        <w:rPr>
          <w:szCs w:val="22"/>
        </w:rPr>
      </w:pPr>
    </w:p>
    <w:p w14:paraId="6F4C2C73" w14:textId="77777777" w:rsidR="00FE3CDA" w:rsidRPr="00FE3CDA" w:rsidRDefault="00FE3CDA" w:rsidP="00FE3CDA">
      <w:pPr>
        <w:jc w:val="both"/>
        <w:rPr>
          <w:szCs w:val="22"/>
        </w:rPr>
      </w:pPr>
      <w:r w:rsidRPr="00FE3CDA">
        <w:rPr>
          <w:szCs w:val="22"/>
        </w:rPr>
        <w:t>Conformément aux dispositions de l’article L.225-102 du Code de commerce, nous vous informons que la Société n’a aucun salarié et qu’à ce titre, il n’existe aucune participation salariale au capital social de la Société.</w:t>
      </w:r>
    </w:p>
    <w:p w14:paraId="25223044" w14:textId="647CB277" w:rsidR="004C4401" w:rsidRPr="004C4401" w:rsidRDefault="004C4401" w:rsidP="004C4401">
      <w:pPr>
        <w:jc w:val="both"/>
        <w:rPr>
          <w:szCs w:val="22"/>
        </w:rPr>
      </w:pPr>
    </w:p>
    <w:p w14:paraId="23455E22" w14:textId="77777777" w:rsidR="00610BC9" w:rsidRDefault="00610BC9" w:rsidP="00610BC9">
      <w:pPr>
        <w:rPr>
          <w:szCs w:val="22"/>
        </w:rPr>
      </w:pPr>
    </w:p>
    <w:p w14:paraId="1138CFB5" w14:textId="07CF2A06" w:rsidR="004C4401" w:rsidRDefault="004C4401" w:rsidP="00D032FF">
      <w:pPr>
        <w:pStyle w:val="Titre1"/>
        <w:keepNext w:val="0"/>
        <w:numPr>
          <w:ilvl w:val="0"/>
          <w:numId w:val="21"/>
        </w:numPr>
        <w:ind w:left="567" w:hanging="567"/>
        <w:jc w:val="both"/>
        <w:rPr>
          <w:sz w:val="28"/>
          <w:szCs w:val="28"/>
        </w:rPr>
      </w:pPr>
      <w:r>
        <w:rPr>
          <w:sz w:val="28"/>
          <w:szCs w:val="28"/>
        </w:rPr>
        <w:t>HONORAIRES DES COMMISSAIRES AUX COMPTES</w:t>
      </w:r>
    </w:p>
    <w:p w14:paraId="4C663369" w14:textId="77777777" w:rsidR="004C4401" w:rsidRDefault="004C4401" w:rsidP="004C4401"/>
    <w:p w14:paraId="4E6875DD" w14:textId="77777777" w:rsidR="00FE3CDA" w:rsidRPr="00FE3CDA" w:rsidRDefault="00FE3CDA" w:rsidP="00FE3CDA">
      <w:pPr>
        <w:spacing w:after="120"/>
        <w:rPr>
          <w:szCs w:val="22"/>
        </w:rPr>
      </w:pPr>
      <w:r w:rsidRPr="00FE3CDA">
        <w:rPr>
          <w:szCs w:val="22"/>
        </w:rPr>
        <w:t>Les honoraires des commissaires aux comptes pour l’exercice 2019 (en HT) se répartissent comme suit :</w:t>
      </w:r>
    </w:p>
    <w:p w14:paraId="187E8F75" w14:textId="77777777" w:rsidR="00FE3CDA" w:rsidRPr="00FE3CDA" w:rsidRDefault="00FE3CDA" w:rsidP="00FE3CDA">
      <w:pPr>
        <w:numPr>
          <w:ilvl w:val="0"/>
          <w:numId w:val="33"/>
        </w:numPr>
        <w:spacing w:after="120"/>
        <w:rPr>
          <w:szCs w:val="22"/>
        </w:rPr>
      </w:pPr>
      <w:r w:rsidRPr="00FE3CDA">
        <w:rPr>
          <w:szCs w:val="22"/>
        </w:rPr>
        <w:t>au titre de la mission légale d’audit des comptes : 34 000 euros ;</w:t>
      </w:r>
    </w:p>
    <w:p w14:paraId="4A522BC2" w14:textId="77777777" w:rsidR="00FE3CDA" w:rsidRPr="00FE3CDA" w:rsidRDefault="00FE3CDA" w:rsidP="00FE3CDA">
      <w:pPr>
        <w:numPr>
          <w:ilvl w:val="0"/>
          <w:numId w:val="33"/>
        </w:numPr>
        <w:spacing w:after="120"/>
        <w:rPr>
          <w:szCs w:val="22"/>
        </w:rPr>
      </w:pPr>
      <w:r w:rsidRPr="00FE3CDA">
        <w:rPr>
          <w:szCs w:val="22"/>
        </w:rPr>
        <w:t>au titre des autres missions : 18 000 euros.</w:t>
      </w:r>
    </w:p>
    <w:p w14:paraId="4D658A6A" w14:textId="77777777" w:rsidR="00FE3CDA" w:rsidRPr="00FE3CDA" w:rsidRDefault="00FE3CDA" w:rsidP="00FE3CDA">
      <w:pPr>
        <w:spacing w:after="120"/>
        <w:rPr>
          <w:szCs w:val="22"/>
        </w:rPr>
      </w:pPr>
      <w:r w:rsidRPr="00FE3CDA">
        <w:rPr>
          <w:szCs w:val="22"/>
        </w:rPr>
        <w:t>Les services autres que la certification des comptes que les commissaires aux comptes ont fournis à La Banque Postale Home Loan SFH au cours de l’exercice 2019 sont les suivants :</w:t>
      </w:r>
    </w:p>
    <w:p w14:paraId="4B7BF5A6" w14:textId="77777777" w:rsidR="00FE3CDA" w:rsidRPr="00FE3CDA" w:rsidRDefault="00FE3CDA" w:rsidP="00FE3CDA">
      <w:pPr>
        <w:spacing w:after="120"/>
        <w:rPr>
          <w:szCs w:val="22"/>
        </w:rPr>
      </w:pPr>
      <w:r w:rsidRPr="00FE3CDA">
        <w:rPr>
          <w:szCs w:val="22"/>
        </w:rPr>
        <w:t xml:space="preserve">Pour PricewaterhouseCoopers Audit : </w:t>
      </w:r>
    </w:p>
    <w:p w14:paraId="6D8BC5C8" w14:textId="77777777" w:rsidR="00FE3CDA" w:rsidRPr="00FE3CDA" w:rsidRDefault="00FE3CDA" w:rsidP="00FE3CDA">
      <w:pPr>
        <w:spacing w:after="120"/>
        <w:rPr>
          <w:szCs w:val="22"/>
        </w:rPr>
      </w:pPr>
      <w:r w:rsidRPr="00FE3CDA">
        <w:rPr>
          <w:szCs w:val="22"/>
        </w:rPr>
        <w:t>Lettre de confort relative à la mise à jour du Base Prospectus afférent au programme d’émission de La Banque Postale Home Loan SFH et lettre de confort relative à une émission.</w:t>
      </w:r>
    </w:p>
    <w:p w14:paraId="262F79C0" w14:textId="72B6D0E5" w:rsidR="00FE3CDA" w:rsidRPr="00FE3CDA" w:rsidRDefault="00FE3CDA" w:rsidP="00FE3CDA">
      <w:pPr>
        <w:spacing w:after="120"/>
        <w:rPr>
          <w:szCs w:val="22"/>
        </w:rPr>
      </w:pPr>
      <w:r w:rsidRPr="00FE3CDA">
        <w:rPr>
          <w:szCs w:val="22"/>
        </w:rPr>
        <w:t>Pour KPMG SA :</w:t>
      </w:r>
    </w:p>
    <w:p w14:paraId="065E8A67" w14:textId="77777777" w:rsidR="00FE3CDA" w:rsidRPr="00FE3CDA" w:rsidRDefault="00FE3CDA" w:rsidP="00FE3CDA">
      <w:pPr>
        <w:spacing w:after="120"/>
        <w:rPr>
          <w:szCs w:val="22"/>
        </w:rPr>
      </w:pPr>
      <w:r w:rsidRPr="00FE3CDA">
        <w:rPr>
          <w:szCs w:val="22"/>
        </w:rPr>
        <w:t>Lettre de confort relative à la mise à jour du Base Prospectus afférent au programme d’émission de La Banque Postale Home Loan SFH et lettre de confort relative à une émission.</w:t>
      </w:r>
    </w:p>
    <w:p w14:paraId="318BEAB8" w14:textId="77777777" w:rsidR="004C4401" w:rsidRDefault="004C4401" w:rsidP="004C4401"/>
    <w:p w14:paraId="43F0F0D0" w14:textId="74025AB2" w:rsidR="004C4401" w:rsidRDefault="004C4401" w:rsidP="00D032FF">
      <w:pPr>
        <w:pStyle w:val="Titre1"/>
        <w:keepNext w:val="0"/>
        <w:numPr>
          <w:ilvl w:val="0"/>
          <w:numId w:val="21"/>
        </w:numPr>
        <w:ind w:left="567" w:hanging="567"/>
        <w:jc w:val="both"/>
        <w:rPr>
          <w:sz w:val="28"/>
          <w:szCs w:val="28"/>
        </w:rPr>
      </w:pPr>
      <w:r>
        <w:rPr>
          <w:sz w:val="28"/>
          <w:szCs w:val="28"/>
        </w:rPr>
        <w:t>ACTIVITES EN MATIERE DE RECHERCHE ET DE DEVELOPPEMENT</w:t>
      </w:r>
    </w:p>
    <w:p w14:paraId="4BE6E595" w14:textId="77777777" w:rsidR="004C4401" w:rsidRDefault="004C4401" w:rsidP="004C4401"/>
    <w:p w14:paraId="657E995A" w14:textId="77777777" w:rsidR="00FE3CDA" w:rsidRPr="00FE3CDA" w:rsidRDefault="00FE3CDA" w:rsidP="00FE3CDA">
      <w:pPr>
        <w:rPr>
          <w:szCs w:val="22"/>
        </w:rPr>
      </w:pPr>
      <w:r w:rsidRPr="00FE3CDA">
        <w:rPr>
          <w:szCs w:val="22"/>
        </w:rPr>
        <w:t>En application des dispositions de l’article L.232-1 du Code de commerce, nous vous rappelons que notre Société n’exerce aucune activité en matière de recherche et de développement.</w:t>
      </w:r>
    </w:p>
    <w:p w14:paraId="195E4924" w14:textId="77777777" w:rsidR="004C4401" w:rsidRPr="004C4401" w:rsidRDefault="004C4401" w:rsidP="004C4401"/>
    <w:p w14:paraId="706293F1" w14:textId="73CA936A" w:rsidR="004C4401" w:rsidRDefault="004C4401" w:rsidP="00D032FF">
      <w:pPr>
        <w:pStyle w:val="Titre1"/>
        <w:keepNext w:val="0"/>
        <w:numPr>
          <w:ilvl w:val="0"/>
          <w:numId w:val="21"/>
        </w:numPr>
        <w:ind w:left="567" w:hanging="567"/>
        <w:jc w:val="both"/>
        <w:rPr>
          <w:sz w:val="28"/>
          <w:szCs w:val="28"/>
        </w:rPr>
      </w:pPr>
      <w:r>
        <w:rPr>
          <w:sz w:val="28"/>
          <w:szCs w:val="28"/>
        </w:rPr>
        <w:t>INJONCTIONS OU SANCTIONS PECUNIAIRES POUR DES PRATIQUES ANTICONCURRENTIELLES</w:t>
      </w:r>
    </w:p>
    <w:p w14:paraId="5F46F437" w14:textId="77777777" w:rsidR="004C4401" w:rsidRPr="00FE3CDA" w:rsidRDefault="004C4401" w:rsidP="004C4401">
      <w:pPr>
        <w:rPr>
          <w:szCs w:val="22"/>
        </w:rPr>
      </w:pPr>
    </w:p>
    <w:p w14:paraId="0115B54D" w14:textId="77777777" w:rsidR="00FE3CDA" w:rsidRPr="00FE3CDA" w:rsidRDefault="00FE3CDA" w:rsidP="00FE3CDA">
      <w:pPr>
        <w:rPr>
          <w:szCs w:val="22"/>
        </w:rPr>
      </w:pPr>
      <w:r w:rsidRPr="00FE3CDA">
        <w:rPr>
          <w:szCs w:val="22"/>
        </w:rPr>
        <w:t>Aucune injonction ou sanction pécuniaire pour pratiques anticoncurrentielles n’a été prononcée à l’encontre de la Société.</w:t>
      </w:r>
    </w:p>
    <w:p w14:paraId="6AA9C235" w14:textId="77777777" w:rsidR="003B13B0" w:rsidRDefault="003B13B0" w:rsidP="004C4401">
      <w:pPr>
        <w:jc w:val="both"/>
        <w:rPr>
          <w:szCs w:val="22"/>
        </w:rPr>
      </w:pPr>
    </w:p>
    <w:p w14:paraId="64B4321E" w14:textId="77777777" w:rsidR="00FE3CDA" w:rsidRDefault="00FE3CDA" w:rsidP="004C4401">
      <w:pPr>
        <w:jc w:val="both"/>
        <w:rPr>
          <w:szCs w:val="22"/>
        </w:rPr>
      </w:pPr>
    </w:p>
    <w:p w14:paraId="6FF3A86C" w14:textId="77777777" w:rsidR="00FE3CDA" w:rsidRDefault="00FE3CDA" w:rsidP="004C4401">
      <w:pPr>
        <w:jc w:val="both"/>
        <w:rPr>
          <w:szCs w:val="22"/>
        </w:rPr>
      </w:pPr>
    </w:p>
    <w:p w14:paraId="71913D47" w14:textId="77777777" w:rsidR="00FE3CDA" w:rsidRDefault="00FE3CDA" w:rsidP="004C4401">
      <w:pPr>
        <w:jc w:val="both"/>
        <w:rPr>
          <w:szCs w:val="22"/>
        </w:rPr>
      </w:pPr>
    </w:p>
    <w:p w14:paraId="0761DA25" w14:textId="77777777" w:rsidR="009A0265" w:rsidRDefault="009A0265" w:rsidP="004C4401">
      <w:pPr>
        <w:jc w:val="both"/>
        <w:rPr>
          <w:szCs w:val="22"/>
        </w:rPr>
      </w:pPr>
    </w:p>
    <w:p w14:paraId="08782B0F" w14:textId="1B9A37A6" w:rsidR="003B13B0" w:rsidRDefault="003B13B0" w:rsidP="00D032FF">
      <w:pPr>
        <w:pStyle w:val="Titre1"/>
        <w:keepNext w:val="0"/>
        <w:numPr>
          <w:ilvl w:val="0"/>
          <w:numId w:val="21"/>
        </w:numPr>
        <w:ind w:left="567" w:hanging="567"/>
        <w:jc w:val="both"/>
        <w:rPr>
          <w:sz w:val="28"/>
          <w:szCs w:val="28"/>
        </w:rPr>
      </w:pPr>
      <w:r>
        <w:rPr>
          <w:sz w:val="28"/>
          <w:szCs w:val="28"/>
        </w:rPr>
        <w:t>INFORMATIONS SOCIALES ET ENVIRONNEMENTALES</w:t>
      </w:r>
    </w:p>
    <w:p w14:paraId="0D8C580E" w14:textId="77777777" w:rsidR="003B13B0" w:rsidRPr="004C4401" w:rsidRDefault="003B13B0" w:rsidP="004C4401">
      <w:pPr>
        <w:jc w:val="both"/>
        <w:rPr>
          <w:szCs w:val="22"/>
        </w:rPr>
      </w:pPr>
    </w:p>
    <w:p w14:paraId="1FA32EAB" w14:textId="77777777" w:rsidR="003B13B0" w:rsidRPr="003B13B0" w:rsidRDefault="003B13B0" w:rsidP="003B13B0">
      <w:pPr>
        <w:jc w:val="both"/>
        <w:rPr>
          <w:szCs w:val="22"/>
        </w:rPr>
      </w:pPr>
      <w:r w:rsidRPr="003B13B0">
        <w:rPr>
          <w:szCs w:val="22"/>
        </w:rPr>
        <w:t>La gestion de la Société a été confiée aux services de La Banque Postale en tant que mandataire. Ceci implique que, le cas échéant, ses enjeux sociaux, environnementaux et sociétaux, sont sous le contrôle de cette entité.</w:t>
      </w:r>
    </w:p>
    <w:p w14:paraId="752DA973" w14:textId="77777777" w:rsidR="004C4401" w:rsidRPr="004C4401" w:rsidRDefault="004C4401" w:rsidP="004C4401"/>
    <w:p w14:paraId="7CC0603B" w14:textId="0135E286" w:rsidR="003B13B0" w:rsidRDefault="003B13B0" w:rsidP="00D032FF">
      <w:pPr>
        <w:pStyle w:val="Titre2"/>
        <w:keepNext w:val="0"/>
        <w:numPr>
          <w:ilvl w:val="1"/>
          <w:numId w:val="21"/>
        </w:numPr>
        <w:spacing w:before="0" w:after="0"/>
        <w:ind w:left="578" w:hanging="578"/>
        <w:jc w:val="both"/>
        <w:rPr>
          <w:rFonts w:ascii="Times New Roman" w:hAnsi="Times New Roman" w:cs="Times New Roman"/>
          <w:sz w:val="24"/>
          <w:szCs w:val="24"/>
        </w:rPr>
      </w:pPr>
      <w:r>
        <w:rPr>
          <w:rFonts w:ascii="Times New Roman" w:hAnsi="Times New Roman" w:cs="Times New Roman"/>
          <w:sz w:val="24"/>
          <w:szCs w:val="24"/>
        </w:rPr>
        <w:t>Informations sociales</w:t>
      </w:r>
    </w:p>
    <w:p w14:paraId="4987FE5C" w14:textId="77777777" w:rsidR="003B13B0" w:rsidRDefault="003B13B0" w:rsidP="003B13B0"/>
    <w:p w14:paraId="37DBFB29" w14:textId="77777777" w:rsidR="003B13B0" w:rsidRPr="003B13B0" w:rsidRDefault="003B13B0" w:rsidP="003B13B0">
      <w:pPr>
        <w:rPr>
          <w:szCs w:val="22"/>
        </w:rPr>
      </w:pPr>
      <w:r w:rsidRPr="003B13B0">
        <w:rPr>
          <w:szCs w:val="22"/>
        </w:rPr>
        <w:t>La Société ne dispose pas de salariés.</w:t>
      </w:r>
    </w:p>
    <w:p w14:paraId="0B3FCCA8" w14:textId="77777777" w:rsidR="003B13B0" w:rsidRPr="003B13B0" w:rsidRDefault="003B13B0" w:rsidP="003B13B0"/>
    <w:p w14:paraId="4D6114B5" w14:textId="7D5C7BFE" w:rsidR="003B13B0" w:rsidRDefault="003B13B0" w:rsidP="00D032FF">
      <w:pPr>
        <w:pStyle w:val="Titre2"/>
        <w:keepNext w:val="0"/>
        <w:numPr>
          <w:ilvl w:val="1"/>
          <w:numId w:val="21"/>
        </w:numPr>
        <w:spacing w:before="0" w:after="0"/>
        <w:ind w:left="578" w:hanging="578"/>
        <w:jc w:val="both"/>
        <w:rPr>
          <w:rFonts w:ascii="Times New Roman" w:hAnsi="Times New Roman" w:cs="Times New Roman"/>
          <w:sz w:val="24"/>
          <w:szCs w:val="24"/>
        </w:rPr>
      </w:pPr>
      <w:r>
        <w:rPr>
          <w:rFonts w:ascii="Times New Roman" w:hAnsi="Times New Roman" w:cs="Times New Roman"/>
          <w:sz w:val="24"/>
          <w:szCs w:val="24"/>
        </w:rPr>
        <w:t>Informations environnementales</w:t>
      </w:r>
    </w:p>
    <w:p w14:paraId="3FE989E9" w14:textId="77777777" w:rsidR="003B13B0" w:rsidRDefault="003B13B0" w:rsidP="003B13B0"/>
    <w:p w14:paraId="7526D64B" w14:textId="77777777" w:rsidR="003B13B0" w:rsidRPr="003B13B0" w:rsidRDefault="003B13B0" w:rsidP="00FE3CDA">
      <w:pPr>
        <w:spacing w:after="120"/>
        <w:jc w:val="both"/>
        <w:rPr>
          <w:szCs w:val="22"/>
        </w:rPr>
      </w:pPr>
      <w:r w:rsidRPr="003B13B0">
        <w:rPr>
          <w:szCs w:val="22"/>
        </w:rPr>
        <w:t xml:space="preserve">La Société ne dispose pas de locaux. Par ailleurs, l’activité sociale de la Société ne comporte aucune activité polluante ou classée à risque et ne la conduit pas à financer des activités polluantes. Enfin, la Société n’est concernée par aucun litige en matière d’environnement. </w:t>
      </w:r>
    </w:p>
    <w:p w14:paraId="6DF7E20C" w14:textId="14BBA84F" w:rsidR="003B13B0" w:rsidRPr="003B13B0" w:rsidRDefault="003B13B0" w:rsidP="00FE3CDA">
      <w:pPr>
        <w:spacing w:after="120"/>
        <w:jc w:val="both"/>
        <w:rPr>
          <w:szCs w:val="22"/>
        </w:rPr>
      </w:pPr>
      <w:r w:rsidRPr="003B13B0">
        <w:rPr>
          <w:szCs w:val="22"/>
        </w:rPr>
        <w:t>Pour l’ensemble des raisons mentionné</w:t>
      </w:r>
      <w:r>
        <w:rPr>
          <w:szCs w:val="22"/>
        </w:rPr>
        <w:t>e</w:t>
      </w:r>
      <w:r w:rsidRPr="003B13B0">
        <w:rPr>
          <w:szCs w:val="22"/>
        </w:rPr>
        <w:t>s au paragraphe ci-dessus, l’activité et l’usage des biens et services produi</w:t>
      </w:r>
      <w:r>
        <w:rPr>
          <w:szCs w:val="22"/>
        </w:rPr>
        <w:t>t</w:t>
      </w:r>
      <w:r w:rsidRPr="003B13B0">
        <w:rPr>
          <w:szCs w:val="22"/>
        </w:rPr>
        <w:t>s par la Société sont sans conséquence sur le changement climatique.</w:t>
      </w:r>
    </w:p>
    <w:p w14:paraId="600DC2FF" w14:textId="77777777" w:rsidR="003B13B0" w:rsidRPr="003B13B0" w:rsidRDefault="003B13B0" w:rsidP="003B13B0"/>
    <w:p w14:paraId="451D1463" w14:textId="5B4AFAB4" w:rsidR="003B13B0" w:rsidRDefault="003B13B0" w:rsidP="00D032FF">
      <w:pPr>
        <w:pStyle w:val="Titre2"/>
        <w:keepNext w:val="0"/>
        <w:numPr>
          <w:ilvl w:val="1"/>
          <w:numId w:val="21"/>
        </w:numPr>
        <w:spacing w:before="0" w:after="0"/>
        <w:ind w:left="578" w:hanging="578"/>
        <w:jc w:val="both"/>
        <w:rPr>
          <w:rFonts w:ascii="Times New Roman" w:hAnsi="Times New Roman" w:cs="Times New Roman"/>
          <w:sz w:val="24"/>
          <w:szCs w:val="24"/>
        </w:rPr>
      </w:pPr>
      <w:r>
        <w:rPr>
          <w:rFonts w:ascii="Times New Roman" w:hAnsi="Times New Roman" w:cs="Times New Roman"/>
          <w:sz w:val="24"/>
          <w:szCs w:val="24"/>
        </w:rPr>
        <w:t>Informations sociétales</w:t>
      </w:r>
    </w:p>
    <w:p w14:paraId="3640495B" w14:textId="77777777" w:rsidR="003B13B0" w:rsidRDefault="003B13B0" w:rsidP="003B13B0"/>
    <w:p w14:paraId="0C3A8653" w14:textId="77777777" w:rsidR="00FE3CDA" w:rsidRPr="00FE3CDA" w:rsidRDefault="00FE3CDA" w:rsidP="00FE3CDA">
      <w:pPr>
        <w:spacing w:after="120"/>
        <w:jc w:val="both"/>
        <w:rPr>
          <w:szCs w:val="22"/>
        </w:rPr>
      </w:pPr>
      <w:r w:rsidRPr="00FE3CDA">
        <w:rPr>
          <w:szCs w:val="22"/>
        </w:rPr>
        <w:t>En matière de loyauté des pratiques, le dispositif de déontologie, d’anti-corruption et d’intégrité de La Banque Postale, intégrant des sessions de formations dédiées s’applique aux opérations faites pour le compte de la Société. Plus d’informations sont disponibles dans la partie « Autres risques » du chapitre 4 du Document d’enregistrement universel au 30 juin 2019 de La Banque Postale.</w:t>
      </w:r>
    </w:p>
    <w:p w14:paraId="3C3FD573" w14:textId="77777777" w:rsidR="00FE3CDA" w:rsidRPr="00FE3CDA" w:rsidRDefault="00FE3CDA" w:rsidP="00FE3CDA">
      <w:pPr>
        <w:spacing w:after="120"/>
        <w:jc w:val="both"/>
        <w:rPr>
          <w:szCs w:val="22"/>
        </w:rPr>
      </w:pPr>
      <w:r w:rsidRPr="00FE3CDA">
        <w:rPr>
          <w:szCs w:val="22"/>
        </w:rPr>
        <w:t>La Société n’ayant pas de salariés, de fournisseurs ou de sous-traitants autres que les prestataires de services habituels intervenant dans le cadre des émissions, de partenariat ou de mécénat, ou encore de dialogue avec d’autres parties prenantes que les autres entités de La Banque Postale.</w:t>
      </w:r>
    </w:p>
    <w:p w14:paraId="6680B2A4" w14:textId="77777777" w:rsidR="003B13B0" w:rsidRPr="003B13B0" w:rsidRDefault="003B13B0" w:rsidP="003B13B0"/>
    <w:p w14:paraId="5ECEEBB6" w14:textId="77777777" w:rsidR="00105B20" w:rsidRDefault="00105B20">
      <w:pPr>
        <w:rPr>
          <w:szCs w:val="22"/>
        </w:rPr>
        <w:sectPr w:rsidR="00105B20" w:rsidSect="00363BE2">
          <w:headerReference w:type="even" r:id="rId14"/>
          <w:headerReference w:type="default" r:id="rId15"/>
          <w:footerReference w:type="even" r:id="rId16"/>
          <w:footerReference w:type="default" r:id="rId17"/>
          <w:headerReference w:type="first" r:id="rId18"/>
          <w:footerReference w:type="first" r:id="rId19"/>
          <w:pgSz w:w="11906" w:h="16838" w:code="9"/>
          <w:pgMar w:top="1418" w:right="424" w:bottom="1276" w:left="567" w:header="709" w:footer="365" w:gutter="0"/>
          <w:cols w:space="708"/>
          <w:docGrid w:linePitch="360"/>
        </w:sectPr>
      </w:pPr>
    </w:p>
    <w:p w14:paraId="37390DDA" w14:textId="7CEB0294" w:rsidR="00105B20" w:rsidRDefault="00105B20">
      <w:pPr>
        <w:rPr>
          <w:szCs w:val="22"/>
        </w:rPr>
      </w:pPr>
    </w:p>
    <w:p w14:paraId="66FC688F" w14:textId="77777777" w:rsidR="00610BC9" w:rsidRPr="00CB1DAC" w:rsidRDefault="00610BC9" w:rsidP="00610BC9">
      <w:pPr>
        <w:rPr>
          <w:szCs w:val="22"/>
        </w:rPr>
      </w:pPr>
    </w:p>
    <w:p w14:paraId="22D53352" w14:textId="77777777" w:rsidR="00610BC9" w:rsidRPr="007650FD" w:rsidRDefault="00610BC9" w:rsidP="00610BC9">
      <w:pPr>
        <w:pStyle w:val="CorpsA"/>
        <w:jc w:val="center"/>
        <w:rPr>
          <w:rFonts w:cs="Times New Roman"/>
          <w:b/>
          <w:bCs/>
          <w:caps/>
          <w:sz w:val="28"/>
          <w:szCs w:val="28"/>
        </w:rPr>
      </w:pPr>
      <w:r w:rsidRPr="007650FD">
        <w:rPr>
          <w:rFonts w:cs="Times New Roman"/>
          <w:b/>
          <w:bCs/>
          <w:caps/>
          <w:sz w:val="28"/>
          <w:szCs w:val="28"/>
        </w:rPr>
        <w:t>Deuxieme partie</w:t>
      </w:r>
    </w:p>
    <w:p w14:paraId="681EA36F" w14:textId="77777777" w:rsidR="00610BC9" w:rsidRPr="007650FD" w:rsidRDefault="00610BC9" w:rsidP="00610BC9">
      <w:pPr>
        <w:pStyle w:val="CorpsA"/>
        <w:jc w:val="center"/>
        <w:rPr>
          <w:rFonts w:cs="Times New Roman"/>
          <w:caps/>
          <w:sz w:val="28"/>
          <w:szCs w:val="28"/>
        </w:rPr>
      </w:pPr>
    </w:p>
    <w:p w14:paraId="7A70C092" w14:textId="46BDAE3D" w:rsidR="00610BC9" w:rsidRPr="007650FD" w:rsidRDefault="007F53CD" w:rsidP="00610BC9">
      <w:pPr>
        <w:pStyle w:val="CorpsA"/>
        <w:jc w:val="center"/>
        <w:rPr>
          <w:rFonts w:cs="Times New Roman"/>
          <w:b/>
          <w:bCs/>
          <w:caps/>
          <w:sz w:val="28"/>
          <w:szCs w:val="28"/>
        </w:rPr>
      </w:pPr>
      <w:r w:rsidRPr="007650FD">
        <w:rPr>
          <w:rFonts w:cs="Times New Roman"/>
          <w:b/>
          <w:bCs/>
          <w:caps/>
          <w:sz w:val="28"/>
          <w:szCs w:val="28"/>
        </w:rPr>
        <w:t>Rapport du conseil d’administration portant sur les autres points soumis à l’assemblée gé</w:t>
      </w:r>
      <w:r w:rsidRPr="007650FD">
        <w:rPr>
          <w:rFonts w:cs="Times New Roman"/>
          <w:b/>
          <w:bCs/>
          <w:caps/>
          <w:sz w:val="28"/>
          <w:szCs w:val="28"/>
          <w:lang w:val="it-IT"/>
        </w:rPr>
        <w:t>nerale mixte annuelle</w:t>
      </w:r>
    </w:p>
    <w:p w14:paraId="5298ACC8" w14:textId="77777777" w:rsidR="00610BC9" w:rsidRPr="007650FD" w:rsidRDefault="00610BC9" w:rsidP="00610BC9">
      <w:pPr>
        <w:rPr>
          <w:sz w:val="28"/>
          <w:szCs w:val="28"/>
        </w:rPr>
      </w:pPr>
    </w:p>
    <w:p w14:paraId="4629455B" w14:textId="791976E3" w:rsidR="00610BC9" w:rsidRPr="00251CCC" w:rsidRDefault="00610BC9" w:rsidP="00D032FF">
      <w:pPr>
        <w:pStyle w:val="Titre1"/>
        <w:keepNext w:val="0"/>
        <w:numPr>
          <w:ilvl w:val="0"/>
          <w:numId w:val="34"/>
        </w:numPr>
        <w:jc w:val="both"/>
        <w:rPr>
          <w:sz w:val="22"/>
          <w:szCs w:val="22"/>
        </w:rPr>
      </w:pPr>
      <w:r w:rsidRPr="00251CCC">
        <w:rPr>
          <w:sz w:val="22"/>
          <w:szCs w:val="22"/>
        </w:rPr>
        <w:t>RATIFICATION DE LA COOPTATION D</w:t>
      </w:r>
      <w:r w:rsidR="00F71948">
        <w:rPr>
          <w:sz w:val="22"/>
          <w:szCs w:val="22"/>
        </w:rPr>
        <w:t>E DEUX ADMINISTRATEURS</w:t>
      </w:r>
    </w:p>
    <w:p w14:paraId="38567F96" w14:textId="77777777" w:rsidR="00610BC9" w:rsidRDefault="00610BC9" w:rsidP="00610BC9">
      <w:pPr>
        <w:rPr>
          <w:szCs w:val="22"/>
        </w:rPr>
      </w:pPr>
    </w:p>
    <w:p w14:paraId="201408EE" w14:textId="079FD2AA" w:rsidR="007F53CD" w:rsidRPr="007F53CD" w:rsidRDefault="007F53CD" w:rsidP="007F53CD">
      <w:pPr>
        <w:jc w:val="both"/>
        <w:rPr>
          <w:szCs w:val="22"/>
        </w:rPr>
      </w:pPr>
      <w:r w:rsidRPr="007F53CD">
        <w:rPr>
          <w:szCs w:val="22"/>
        </w:rPr>
        <w:t>Nous vous informons que le Conseil d’administration en date du 25 septembre 2019 a décidé de coopter en qualité d’administrateur Monsieur François Géronde, en remplacement de Madame Florence Lustman, démissionnaire.</w:t>
      </w:r>
      <w:r w:rsidR="00135F66">
        <w:rPr>
          <w:szCs w:val="22"/>
        </w:rPr>
        <w:t xml:space="preserve"> </w:t>
      </w:r>
      <w:r>
        <w:rPr>
          <w:szCs w:val="22"/>
        </w:rPr>
        <w:t xml:space="preserve"> </w:t>
      </w:r>
      <w:r w:rsidRPr="007F53CD">
        <w:rPr>
          <w:szCs w:val="22"/>
        </w:rPr>
        <w:t>Il vous est proposé de ratifier cette cooptation pour la durée de son mandat à courir soit jusqu’à l’issue de l’Assemblée Générale qui statuera en 2026 sur les comptes de l’exercice clos le 31 décembre 2025.</w:t>
      </w:r>
    </w:p>
    <w:p w14:paraId="3BA7530D" w14:textId="77777777" w:rsidR="007F53CD" w:rsidRPr="007F53CD" w:rsidRDefault="007F53CD" w:rsidP="007F53CD">
      <w:pPr>
        <w:jc w:val="both"/>
        <w:rPr>
          <w:szCs w:val="22"/>
        </w:rPr>
      </w:pPr>
    </w:p>
    <w:p w14:paraId="3F36BA7E" w14:textId="319D56D4" w:rsidR="007F53CD" w:rsidRPr="007F53CD" w:rsidRDefault="007F53CD" w:rsidP="007F53CD">
      <w:pPr>
        <w:jc w:val="both"/>
        <w:rPr>
          <w:szCs w:val="22"/>
        </w:rPr>
      </w:pPr>
      <w:r w:rsidRPr="007F53CD">
        <w:rPr>
          <w:szCs w:val="22"/>
        </w:rPr>
        <w:t>Le Conseil d’administration en date du 19 novembre 2019 a également décidé de coopter en qualité d’administrateur Monsieur Pierre de Buhren, en remplacement de Monsieur Franck Oniga, démissionnaire. Il vous est proposé de ratifier cette cooptation pour la durée de son mandat à courir soit jusqu’à l’issue de l’Assemblée Générale qui statuera en 2026 sur les comptes de l’exercice clos le 31 décembre 2025.</w:t>
      </w:r>
    </w:p>
    <w:p w14:paraId="69BA4FCD" w14:textId="77777777" w:rsidR="00610BC9" w:rsidRDefault="00610BC9" w:rsidP="00610BC9">
      <w:pPr>
        <w:rPr>
          <w:szCs w:val="22"/>
        </w:rPr>
      </w:pPr>
    </w:p>
    <w:p w14:paraId="7FD775D4" w14:textId="1C6D5AA5" w:rsidR="00105B20" w:rsidRPr="00251CCC" w:rsidRDefault="007F53CD" w:rsidP="00D032FF">
      <w:pPr>
        <w:pStyle w:val="Titre1"/>
        <w:keepNext w:val="0"/>
        <w:numPr>
          <w:ilvl w:val="0"/>
          <w:numId w:val="34"/>
        </w:numPr>
        <w:jc w:val="both"/>
        <w:rPr>
          <w:sz w:val="22"/>
          <w:szCs w:val="22"/>
        </w:rPr>
      </w:pPr>
      <w:r>
        <w:rPr>
          <w:sz w:val="22"/>
          <w:szCs w:val="22"/>
        </w:rPr>
        <w:t>MODIFICATION DES STATUS</w:t>
      </w:r>
    </w:p>
    <w:p w14:paraId="2B946635" w14:textId="77777777" w:rsidR="00610BC9" w:rsidRDefault="00610BC9" w:rsidP="00610BC9">
      <w:pPr>
        <w:rPr>
          <w:szCs w:val="22"/>
        </w:rPr>
      </w:pPr>
    </w:p>
    <w:p w14:paraId="6C3B44E0" w14:textId="77777777" w:rsidR="007F53CD" w:rsidRDefault="007F53CD" w:rsidP="007F53CD">
      <w:pPr>
        <w:jc w:val="both"/>
        <w:rPr>
          <w:szCs w:val="22"/>
        </w:rPr>
      </w:pPr>
      <w:r w:rsidRPr="007F53CD">
        <w:rPr>
          <w:szCs w:val="22"/>
        </w:rPr>
        <w:t>Il vous est proposé dans la sixième résolution de mettre à jour les statuts des nouvelles dispositions législatives et réglementaires qui lui sont applicables, en particulier de la loi n°2019-486 du 22 mai 2019 relative à la croissance et la transformation des entreprises dite loi Pacte et de la loi n°2019-744 du 19 juillet 2019 de simplification, de clarification et d’actualisation du droit des sociétés dite loi Soilihi.</w:t>
      </w:r>
    </w:p>
    <w:p w14:paraId="39B31933" w14:textId="77777777" w:rsidR="007F53CD" w:rsidRPr="007F53CD" w:rsidRDefault="007F53CD" w:rsidP="007F53CD">
      <w:pPr>
        <w:jc w:val="both"/>
        <w:rPr>
          <w:szCs w:val="22"/>
        </w:rPr>
      </w:pPr>
    </w:p>
    <w:p w14:paraId="38CE2AE7" w14:textId="77777777" w:rsidR="007F53CD" w:rsidRPr="007F53CD" w:rsidRDefault="007F53CD" w:rsidP="007F53CD">
      <w:pPr>
        <w:jc w:val="both"/>
        <w:rPr>
          <w:szCs w:val="22"/>
        </w:rPr>
      </w:pPr>
      <w:r w:rsidRPr="007F53CD">
        <w:rPr>
          <w:iCs/>
          <w:szCs w:val="22"/>
        </w:rPr>
        <w:t>Nous espérons que les propositions qui précèdent recevront votre agrément et que vous voudrez bien voter les résolutions qui vous sont soumises.</w:t>
      </w:r>
    </w:p>
    <w:p w14:paraId="70D1973D" w14:textId="77777777" w:rsidR="00105B20" w:rsidRDefault="00105B20" w:rsidP="00105B20">
      <w:pPr>
        <w:jc w:val="both"/>
        <w:rPr>
          <w:szCs w:val="22"/>
        </w:rPr>
      </w:pPr>
    </w:p>
    <w:p w14:paraId="7721C6F5" w14:textId="77777777" w:rsidR="00610BC9" w:rsidRDefault="00610BC9" w:rsidP="00610BC9">
      <w:pPr>
        <w:rPr>
          <w:szCs w:val="22"/>
        </w:rPr>
      </w:pPr>
    </w:p>
    <w:p w14:paraId="65DA9EAF" w14:textId="77777777" w:rsidR="00610BC9" w:rsidRDefault="00610BC9" w:rsidP="00610BC9">
      <w:pPr>
        <w:rPr>
          <w:szCs w:val="22"/>
        </w:rPr>
      </w:pPr>
    </w:p>
    <w:p w14:paraId="0F069F2E" w14:textId="77777777" w:rsidR="00610BC9" w:rsidRDefault="00610BC9" w:rsidP="00610BC9">
      <w:pPr>
        <w:rPr>
          <w:szCs w:val="22"/>
        </w:rPr>
      </w:pPr>
    </w:p>
    <w:p w14:paraId="0C156801" w14:textId="126141C9" w:rsidR="00610BC9" w:rsidRPr="00CB1DAC" w:rsidRDefault="003B539F" w:rsidP="00610BC9">
      <w:pPr>
        <w:ind w:left="6237"/>
        <w:rPr>
          <w:szCs w:val="22"/>
        </w:rPr>
      </w:pPr>
      <w:r>
        <w:rPr>
          <w:szCs w:val="22"/>
        </w:rPr>
        <w:t>Le Conseil d’A</w:t>
      </w:r>
      <w:r w:rsidR="00610BC9">
        <w:rPr>
          <w:szCs w:val="22"/>
        </w:rPr>
        <w:t>dministration</w:t>
      </w:r>
    </w:p>
    <w:p w14:paraId="2C439BFF" w14:textId="77777777" w:rsidR="00610BC9" w:rsidRPr="00CB1DAC" w:rsidRDefault="00610BC9" w:rsidP="00610BC9">
      <w:r w:rsidRPr="00CB1DAC">
        <w:br w:type="page"/>
      </w:r>
    </w:p>
    <w:p w14:paraId="38C450DE" w14:textId="77777777" w:rsidR="00610BC9" w:rsidRPr="00CB1DAC" w:rsidRDefault="00610BC9" w:rsidP="00610BC9">
      <w:pPr>
        <w:jc w:val="center"/>
        <w:rPr>
          <w:b/>
        </w:rPr>
      </w:pPr>
      <w:r>
        <w:rPr>
          <w:b/>
        </w:rPr>
        <w:t>ANNEXE 1</w:t>
      </w:r>
    </w:p>
    <w:p w14:paraId="5E5F1636" w14:textId="77777777" w:rsidR="00610BC9" w:rsidRPr="00CB1DAC" w:rsidRDefault="00610BC9" w:rsidP="00610BC9">
      <w:pPr>
        <w:jc w:val="center"/>
        <w:rPr>
          <w:b/>
        </w:rPr>
      </w:pPr>
    </w:p>
    <w:p w14:paraId="00E3ECFD" w14:textId="77777777" w:rsidR="00610BC9" w:rsidRPr="00CB1DAC" w:rsidRDefault="00610BC9" w:rsidP="00610BC9">
      <w:pPr>
        <w:jc w:val="center"/>
      </w:pPr>
      <w:r w:rsidRPr="00CB1DAC">
        <w:rPr>
          <w:b/>
        </w:rPr>
        <w:t>TABLEAU DES CINQ DERNIERS EXERCICES</w:t>
      </w:r>
    </w:p>
    <w:p w14:paraId="43075172" w14:textId="77777777" w:rsidR="00610BC9" w:rsidRDefault="00610BC9" w:rsidP="00610BC9"/>
    <w:p w14:paraId="0ACC4A5A" w14:textId="77777777" w:rsidR="00610BC9" w:rsidRDefault="00610BC9" w:rsidP="00610BC9"/>
    <w:tbl>
      <w:tblPr>
        <w:tblW w:w="10340" w:type="dxa"/>
        <w:tblInd w:w="70" w:type="dxa"/>
        <w:tblCellMar>
          <w:left w:w="70" w:type="dxa"/>
          <w:right w:w="70" w:type="dxa"/>
        </w:tblCellMar>
        <w:tblLook w:val="04A0" w:firstRow="1" w:lastRow="0" w:firstColumn="1" w:lastColumn="0" w:noHBand="0" w:noVBand="1"/>
      </w:tblPr>
      <w:tblGrid>
        <w:gridCol w:w="4678"/>
        <w:gridCol w:w="1220"/>
        <w:gridCol w:w="1220"/>
        <w:gridCol w:w="1220"/>
        <w:gridCol w:w="1220"/>
        <w:gridCol w:w="1220"/>
      </w:tblGrid>
      <w:tr w:rsidR="007F53CD" w:rsidRPr="007F53CD" w14:paraId="47D257FF" w14:textId="77777777" w:rsidTr="00B52490">
        <w:trPr>
          <w:trHeight w:val="255"/>
        </w:trPr>
        <w:tc>
          <w:tcPr>
            <w:tcW w:w="4678" w:type="dxa"/>
            <w:tcBorders>
              <w:bottom w:val="single" w:sz="4" w:space="0" w:color="auto"/>
              <w:right w:val="single" w:sz="4" w:space="0" w:color="auto"/>
            </w:tcBorders>
            <w:shd w:val="clear" w:color="auto" w:fill="auto"/>
            <w:noWrap/>
            <w:vAlign w:val="bottom"/>
            <w:hideMark/>
          </w:tcPr>
          <w:p w14:paraId="0DEB3E71" w14:textId="77777777" w:rsidR="007F53CD" w:rsidRPr="007F53CD" w:rsidRDefault="007F53CD" w:rsidP="007F53CD">
            <w:pPr>
              <w:tabs>
                <w:tab w:val="left" w:pos="8150"/>
              </w:tabs>
            </w:pPr>
            <w:r w:rsidRPr="007F53CD">
              <w:t>en 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4C72D53" w14:textId="77777777" w:rsidR="007F53CD" w:rsidRPr="007F53CD" w:rsidRDefault="007F53CD" w:rsidP="007F53CD">
            <w:pPr>
              <w:tabs>
                <w:tab w:val="left" w:pos="8150"/>
              </w:tabs>
            </w:pPr>
            <w:r w:rsidRPr="007F53CD">
              <w:t>2015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8228C70" w14:textId="77777777" w:rsidR="007F53CD" w:rsidRPr="007F53CD" w:rsidRDefault="007F53CD" w:rsidP="007F53CD">
            <w:pPr>
              <w:tabs>
                <w:tab w:val="left" w:pos="8150"/>
              </w:tabs>
            </w:pPr>
            <w:r w:rsidRPr="007F53CD">
              <w:t>2016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07282E0" w14:textId="77777777" w:rsidR="007F53CD" w:rsidRPr="007F53CD" w:rsidRDefault="007F53CD" w:rsidP="007F53CD">
            <w:pPr>
              <w:tabs>
                <w:tab w:val="left" w:pos="8150"/>
              </w:tabs>
            </w:pPr>
            <w:r w:rsidRPr="007F53CD">
              <w:t>2017</w:t>
            </w:r>
          </w:p>
        </w:tc>
        <w:tc>
          <w:tcPr>
            <w:tcW w:w="1130" w:type="dxa"/>
            <w:tcBorders>
              <w:top w:val="single" w:sz="4" w:space="0" w:color="auto"/>
              <w:left w:val="nil"/>
              <w:bottom w:val="single" w:sz="4" w:space="0" w:color="auto"/>
              <w:right w:val="single" w:sz="4" w:space="0" w:color="auto"/>
            </w:tcBorders>
            <w:vAlign w:val="bottom"/>
          </w:tcPr>
          <w:p w14:paraId="64138B36" w14:textId="77777777" w:rsidR="007F53CD" w:rsidRPr="007F53CD" w:rsidRDefault="007F53CD" w:rsidP="007F53CD">
            <w:pPr>
              <w:tabs>
                <w:tab w:val="left" w:pos="8150"/>
              </w:tabs>
            </w:pPr>
            <w:r w:rsidRPr="007F53CD">
              <w:t>2018</w:t>
            </w:r>
          </w:p>
        </w:tc>
        <w:tc>
          <w:tcPr>
            <w:tcW w:w="1130" w:type="dxa"/>
            <w:tcBorders>
              <w:top w:val="single" w:sz="4" w:space="0" w:color="auto"/>
              <w:left w:val="nil"/>
              <w:bottom w:val="single" w:sz="4" w:space="0" w:color="auto"/>
              <w:right w:val="single" w:sz="4" w:space="0" w:color="auto"/>
            </w:tcBorders>
          </w:tcPr>
          <w:p w14:paraId="5CD08D87" w14:textId="77777777" w:rsidR="007F53CD" w:rsidRPr="007F53CD" w:rsidRDefault="007F53CD" w:rsidP="007F53CD">
            <w:pPr>
              <w:tabs>
                <w:tab w:val="left" w:pos="8150"/>
              </w:tabs>
            </w:pPr>
            <w:r w:rsidRPr="007F53CD">
              <w:t>2019</w:t>
            </w:r>
          </w:p>
        </w:tc>
      </w:tr>
      <w:tr w:rsidR="007F53CD" w:rsidRPr="007F53CD" w14:paraId="5C7D7F90" w14:textId="77777777" w:rsidTr="00B52490">
        <w:trPr>
          <w:trHeight w:val="255"/>
        </w:trPr>
        <w:tc>
          <w:tcPr>
            <w:tcW w:w="4678" w:type="dxa"/>
            <w:tcBorders>
              <w:top w:val="single" w:sz="4" w:space="0" w:color="auto"/>
              <w:left w:val="single" w:sz="4" w:space="0" w:color="auto"/>
              <w:bottom w:val="nil"/>
              <w:right w:val="single" w:sz="4" w:space="0" w:color="auto"/>
            </w:tcBorders>
            <w:shd w:val="clear" w:color="auto" w:fill="auto"/>
            <w:noWrap/>
            <w:vAlign w:val="bottom"/>
            <w:hideMark/>
          </w:tcPr>
          <w:p w14:paraId="6B86B750" w14:textId="77777777" w:rsidR="007F53CD" w:rsidRPr="007F53CD" w:rsidRDefault="007F53CD" w:rsidP="007F53CD">
            <w:pPr>
              <w:tabs>
                <w:tab w:val="left" w:pos="8150"/>
              </w:tabs>
              <w:rPr>
                <w:b/>
                <w:bCs/>
              </w:rPr>
            </w:pPr>
            <w:r w:rsidRPr="007F53CD">
              <w:rPr>
                <w:b/>
                <w:bCs/>
              </w:rPr>
              <w:t>Situation financière</w:t>
            </w:r>
          </w:p>
        </w:tc>
        <w:tc>
          <w:tcPr>
            <w:tcW w:w="1134" w:type="dxa"/>
            <w:tcBorders>
              <w:top w:val="nil"/>
              <w:left w:val="single" w:sz="4" w:space="0" w:color="auto"/>
              <w:bottom w:val="nil"/>
              <w:right w:val="single" w:sz="4" w:space="0" w:color="auto"/>
            </w:tcBorders>
            <w:shd w:val="clear" w:color="auto" w:fill="auto"/>
            <w:noWrap/>
            <w:vAlign w:val="bottom"/>
            <w:hideMark/>
          </w:tcPr>
          <w:p w14:paraId="2A33648F" w14:textId="77777777" w:rsidR="007F53CD" w:rsidRPr="007F53CD" w:rsidRDefault="007F53CD" w:rsidP="007F53CD">
            <w:pPr>
              <w:tabs>
                <w:tab w:val="left" w:pos="8150"/>
              </w:tabs>
            </w:pPr>
          </w:p>
        </w:tc>
        <w:tc>
          <w:tcPr>
            <w:tcW w:w="1134" w:type="dxa"/>
            <w:tcBorders>
              <w:top w:val="nil"/>
              <w:left w:val="nil"/>
              <w:bottom w:val="nil"/>
              <w:right w:val="single" w:sz="4" w:space="0" w:color="auto"/>
            </w:tcBorders>
            <w:shd w:val="clear" w:color="auto" w:fill="auto"/>
            <w:noWrap/>
            <w:vAlign w:val="bottom"/>
            <w:hideMark/>
          </w:tcPr>
          <w:p w14:paraId="10A59C64" w14:textId="77777777" w:rsidR="007F53CD" w:rsidRPr="007F53CD" w:rsidRDefault="007F53CD" w:rsidP="007F53CD">
            <w:pPr>
              <w:tabs>
                <w:tab w:val="left" w:pos="8150"/>
              </w:tabs>
            </w:pPr>
          </w:p>
        </w:tc>
        <w:tc>
          <w:tcPr>
            <w:tcW w:w="1134" w:type="dxa"/>
            <w:tcBorders>
              <w:top w:val="nil"/>
              <w:left w:val="nil"/>
              <w:bottom w:val="nil"/>
              <w:right w:val="single" w:sz="4" w:space="0" w:color="auto"/>
            </w:tcBorders>
            <w:shd w:val="clear" w:color="auto" w:fill="auto"/>
            <w:noWrap/>
            <w:vAlign w:val="bottom"/>
            <w:hideMark/>
          </w:tcPr>
          <w:p w14:paraId="3C6D6505" w14:textId="77777777" w:rsidR="007F53CD" w:rsidRPr="007F53CD" w:rsidRDefault="007F53CD" w:rsidP="007F53CD">
            <w:pPr>
              <w:tabs>
                <w:tab w:val="left" w:pos="8150"/>
              </w:tabs>
            </w:pPr>
          </w:p>
        </w:tc>
        <w:tc>
          <w:tcPr>
            <w:tcW w:w="1130" w:type="dxa"/>
            <w:tcBorders>
              <w:top w:val="nil"/>
              <w:left w:val="nil"/>
              <w:bottom w:val="nil"/>
              <w:right w:val="single" w:sz="4" w:space="0" w:color="auto"/>
            </w:tcBorders>
            <w:vAlign w:val="bottom"/>
          </w:tcPr>
          <w:p w14:paraId="4BC94F9A" w14:textId="77777777" w:rsidR="007F53CD" w:rsidRPr="007F53CD" w:rsidRDefault="007F53CD" w:rsidP="007F53CD">
            <w:pPr>
              <w:tabs>
                <w:tab w:val="left" w:pos="8150"/>
              </w:tabs>
            </w:pPr>
          </w:p>
        </w:tc>
        <w:tc>
          <w:tcPr>
            <w:tcW w:w="1130" w:type="dxa"/>
            <w:tcBorders>
              <w:top w:val="nil"/>
              <w:left w:val="nil"/>
              <w:bottom w:val="nil"/>
              <w:right w:val="single" w:sz="4" w:space="0" w:color="auto"/>
            </w:tcBorders>
          </w:tcPr>
          <w:p w14:paraId="04FF982C" w14:textId="77777777" w:rsidR="007F53CD" w:rsidRPr="007F53CD" w:rsidRDefault="007F53CD" w:rsidP="007F53CD">
            <w:pPr>
              <w:tabs>
                <w:tab w:val="left" w:pos="8150"/>
              </w:tabs>
            </w:pPr>
          </w:p>
        </w:tc>
      </w:tr>
      <w:tr w:rsidR="007F53CD" w:rsidRPr="007F53CD" w14:paraId="0D9E4016" w14:textId="77777777" w:rsidTr="00B52490">
        <w:trPr>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55939E43" w14:textId="77777777" w:rsidR="007F53CD" w:rsidRPr="007F53CD" w:rsidRDefault="007F53CD" w:rsidP="007F53CD">
            <w:pPr>
              <w:tabs>
                <w:tab w:val="left" w:pos="8150"/>
              </w:tabs>
            </w:pPr>
            <w:r w:rsidRPr="007F53CD">
              <w:t>Capital social</w:t>
            </w:r>
          </w:p>
        </w:tc>
        <w:tc>
          <w:tcPr>
            <w:tcW w:w="1134" w:type="dxa"/>
            <w:tcBorders>
              <w:top w:val="nil"/>
              <w:left w:val="nil"/>
              <w:bottom w:val="nil"/>
              <w:right w:val="single" w:sz="4" w:space="0" w:color="auto"/>
            </w:tcBorders>
            <w:shd w:val="clear" w:color="auto" w:fill="auto"/>
            <w:noWrap/>
            <w:vAlign w:val="bottom"/>
            <w:hideMark/>
          </w:tcPr>
          <w:p w14:paraId="1B2B6036" w14:textId="77777777" w:rsidR="007F53CD" w:rsidRPr="007F53CD" w:rsidRDefault="007F53CD" w:rsidP="007F53CD">
            <w:pPr>
              <w:tabs>
                <w:tab w:val="left" w:pos="8150"/>
              </w:tabs>
            </w:pPr>
            <w:r w:rsidRPr="007F53CD">
              <w:t>210 000</w:t>
            </w:r>
          </w:p>
        </w:tc>
        <w:tc>
          <w:tcPr>
            <w:tcW w:w="1134" w:type="dxa"/>
            <w:tcBorders>
              <w:top w:val="nil"/>
              <w:left w:val="nil"/>
              <w:bottom w:val="nil"/>
              <w:right w:val="single" w:sz="4" w:space="0" w:color="auto"/>
            </w:tcBorders>
            <w:shd w:val="clear" w:color="auto" w:fill="auto"/>
            <w:noWrap/>
            <w:vAlign w:val="bottom"/>
            <w:hideMark/>
          </w:tcPr>
          <w:p w14:paraId="6A16B25C" w14:textId="77777777" w:rsidR="007F53CD" w:rsidRPr="007F53CD" w:rsidRDefault="007F53CD" w:rsidP="007F53CD">
            <w:pPr>
              <w:tabs>
                <w:tab w:val="left" w:pos="8150"/>
              </w:tabs>
            </w:pPr>
            <w:r w:rsidRPr="007F53CD">
              <w:t>210 000</w:t>
            </w:r>
          </w:p>
        </w:tc>
        <w:tc>
          <w:tcPr>
            <w:tcW w:w="1134" w:type="dxa"/>
            <w:tcBorders>
              <w:top w:val="nil"/>
              <w:left w:val="nil"/>
              <w:bottom w:val="nil"/>
              <w:right w:val="single" w:sz="4" w:space="0" w:color="auto"/>
            </w:tcBorders>
            <w:shd w:val="clear" w:color="auto" w:fill="auto"/>
            <w:noWrap/>
            <w:vAlign w:val="bottom"/>
            <w:hideMark/>
          </w:tcPr>
          <w:p w14:paraId="03C55CDA" w14:textId="77777777" w:rsidR="007F53CD" w:rsidRPr="007F53CD" w:rsidRDefault="007F53CD" w:rsidP="007F53CD">
            <w:pPr>
              <w:tabs>
                <w:tab w:val="left" w:pos="8150"/>
              </w:tabs>
            </w:pPr>
            <w:r w:rsidRPr="007F53CD">
              <w:t>210 000</w:t>
            </w:r>
          </w:p>
        </w:tc>
        <w:tc>
          <w:tcPr>
            <w:tcW w:w="1130" w:type="dxa"/>
            <w:tcBorders>
              <w:top w:val="nil"/>
              <w:left w:val="nil"/>
              <w:bottom w:val="nil"/>
              <w:right w:val="single" w:sz="4" w:space="0" w:color="auto"/>
            </w:tcBorders>
            <w:vAlign w:val="bottom"/>
          </w:tcPr>
          <w:p w14:paraId="4587BA1D" w14:textId="77777777" w:rsidR="007F53CD" w:rsidRPr="007F53CD" w:rsidRDefault="007F53CD" w:rsidP="007F53CD">
            <w:pPr>
              <w:tabs>
                <w:tab w:val="left" w:pos="8150"/>
              </w:tabs>
            </w:pPr>
            <w:r w:rsidRPr="007F53CD">
              <w:t>210 000</w:t>
            </w:r>
          </w:p>
        </w:tc>
        <w:tc>
          <w:tcPr>
            <w:tcW w:w="1130" w:type="dxa"/>
            <w:tcBorders>
              <w:top w:val="nil"/>
              <w:left w:val="nil"/>
              <w:bottom w:val="nil"/>
              <w:right w:val="single" w:sz="4" w:space="0" w:color="auto"/>
            </w:tcBorders>
          </w:tcPr>
          <w:p w14:paraId="02FBB6BE" w14:textId="77777777" w:rsidR="007F53CD" w:rsidRPr="007F53CD" w:rsidRDefault="007F53CD" w:rsidP="007F53CD">
            <w:pPr>
              <w:tabs>
                <w:tab w:val="left" w:pos="8150"/>
              </w:tabs>
            </w:pPr>
            <w:r w:rsidRPr="007F53CD">
              <w:t>210 000</w:t>
            </w:r>
          </w:p>
        </w:tc>
      </w:tr>
      <w:tr w:rsidR="007F53CD" w:rsidRPr="007F53CD" w14:paraId="220921F3" w14:textId="77777777" w:rsidTr="00B52490">
        <w:trPr>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0B0D5427" w14:textId="77777777" w:rsidR="007F53CD" w:rsidRPr="007F53CD" w:rsidRDefault="007F53CD" w:rsidP="007F53CD">
            <w:pPr>
              <w:tabs>
                <w:tab w:val="left" w:pos="8150"/>
              </w:tabs>
            </w:pPr>
            <w:r w:rsidRPr="007F53CD">
              <w:t>Nombre d'actions</w:t>
            </w:r>
          </w:p>
        </w:tc>
        <w:tc>
          <w:tcPr>
            <w:tcW w:w="1134" w:type="dxa"/>
            <w:tcBorders>
              <w:top w:val="nil"/>
              <w:left w:val="nil"/>
              <w:bottom w:val="nil"/>
              <w:right w:val="single" w:sz="4" w:space="0" w:color="auto"/>
            </w:tcBorders>
            <w:shd w:val="clear" w:color="auto" w:fill="auto"/>
            <w:noWrap/>
            <w:vAlign w:val="bottom"/>
            <w:hideMark/>
          </w:tcPr>
          <w:p w14:paraId="19622394" w14:textId="77777777" w:rsidR="007F53CD" w:rsidRPr="007F53CD" w:rsidRDefault="007F53CD" w:rsidP="007F53CD">
            <w:pPr>
              <w:tabs>
                <w:tab w:val="left" w:pos="8150"/>
              </w:tabs>
            </w:pPr>
            <w:r w:rsidRPr="007F53CD">
              <w:t>21 000 000</w:t>
            </w:r>
          </w:p>
        </w:tc>
        <w:tc>
          <w:tcPr>
            <w:tcW w:w="1134" w:type="dxa"/>
            <w:tcBorders>
              <w:top w:val="nil"/>
              <w:left w:val="nil"/>
              <w:bottom w:val="nil"/>
              <w:right w:val="single" w:sz="4" w:space="0" w:color="auto"/>
            </w:tcBorders>
            <w:shd w:val="clear" w:color="auto" w:fill="auto"/>
            <w:noWrap/>
            <w:vAlign w:val="bottom"/>
            <w:hideMark/>
          </w:tcPr>
          <w:p w14:paraId="64FB9C36" w14:textId="77777777" w:rsidR="007F53CD" w:rsidRPr="007F53CD" w:rsidRDefault="007F53CD" w:rsidP="007F53CD">
            <w:pPr>
              <w:tabs>
                <w:tab w:val="left" w:pos="8150"/>
              </w:tabs>
            </w:pPr>
            <w:r w:rsidRPr="007F53CD">
              <w:t>21 000 000</w:t>
            </w:r>
          </w:p>
        </w:tc>
        <w:tc>
          <w:tcPr>
            <w:tcW w:w="1134" w:type="dxa"/>
            <w:tcBorders>
              <w:top w:val="nil"/>
              <w:left w:val="nil"/>
              <w:bottom w:val="nil"/>
              <w:right w:val="single" w:sz="4" w:space="0" w:color="auto"/>
            </w:tcBorders>
            <w:shd w:val="clear" w:color="auto" w:fill="auto"/>
            <w:noWrap/>
            <w:vAlign w:val="bottom"/>
            <w:hideMark/>
          </w:tcPr>
          <w:p w14:paraId="23A4AD58" w14:textId="77777777" w:rsidR="007F53CD" w:rsidRPr="007F53CD" w:rsidRDefault="007F53CD" w:rsidP="007F53CD">
            <w:pPr>
              <w:tabs>
                <w:tab w:val="left" w:pos="8150"/>
              </w:tabs>
            </w:pPr>
            <w:r w:rsidRPr="007F53CD">
              <w:t>21 000 000</w:t>
            </w:r>
          </w:p>
        </w:tc>
        <w:tc>
          <w:tcPr>
            <w:tcW w:w="1130" w:type="dxa"/>
            <w:tcBorders>
              <w:top w:val="nil"/>
              <w:left w:val="nil"/>
              <w:bottom w:val="nil"/>
              <w:right w:val="single" w:sz="4" w:space="0" w:color="auto"/>
            </w:tcBorders>
            <w:vAlign w:val="bottom"/>
          </w:tcPr>
          <w:p w14:paraId="7F9AC7C1" w14:textId="77777777" w:rsidR="007F53CD" w:rsidRPr="007F53CD" w:rsidRDefault="007F53CD" w:rsidP="007F53CD">
            <w:pPr>
              <w:tabs>
                <w:tab w:val="left" w:pos="8150"/>
              </w:tabs>
            </w:pPr>
            <w:r w:rsidRPr="007F53CD">
              <w:t>21 000 000</w:t>
            </w:r>
          </w:p>
        </w:tc>
        <w:tc>
          <w:tcPr>
            <w:tcW w:w="1130" w:type="dxa"/>
            <w:tcBorders>
              <w:top w:val="nil"/>
              <w:left w:val="nil"/>
              <w:bottom w:val="nil"/>
              <w:right w:val="single" w:sz="4" w:space="0" w:color="auto"/>
            </w:tcBorders>
          </w:tcPr>
          <w:p w14:paraId="6FEE3F8E" w14:textId="77777777" w:rsidR="007F53CD" w:rsidRPr="007F53CD" w:rsidRDefault="007F53CD" w:rsidP="007F53CD">
            <w:pPr>
              <w:tabs>
                <w:tab w:val="left" w:pos="8150"/>
              </w:tabs>
            </w:pPr>
            <w:r w:rsidRPr="007F53CD">
              <w:t>21 000 000</w:t>
            </w:r>
          </w:p>
        </w:tc>
      </w:tr>
      <w:tr w:rsidR="007F53CD" w:rsidRPr="007F53CD" w14:paraId="19C01135" w14:textId="77777777" w:rsidTr="00B52490">
        <w:trPr>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53682864" w14:textId="77777777" w:rsidR="007F53CD" w:rsidRPr="007F53CD" w:rsidRDefault="007F53CD" w:rsidP="007F53CD">
            <w:pPr>
              <w:tabs>
                <w:tab w:val="left" w:pos="8150"/>
              </w:tabs>
              <w:rPr>
                <w:b/>
                <w:bCs/>
              </w:rPr>
            </w:pPr>
            <w:r w:rsidRPr="007F53CD">
              <w:rPr>
                <w:b/>
                <w:bCs/>
              </w:rPr>
              <w:t>Résultat global</w:t>
            </w:r>
          </w:p>
        </w:tc>
        <w:tc>
          <w:tcPr>
            <w:tcW w:w="1134" w:type="dxa"/>
            <w:tcBorders>
              <w:top w:val="nil"/>
              <w:left w:val="single" w:sz="4" w:space="0" w:color="auto"/>
              <w:bottom w:val="nil"/>
              <w:right w:val="single" w:sz="4" w:space="0" w:color="auto"/>
            </w:tcBorders>
            <w:shd w:val="clear" w:color="auto" w:fill="auto"/>
            <w:noWrap/>
            <w:vAlign w:val="bottom"/>
            <w:hideMark/>
          </w:tcPr>
          <w:p w14:paraId="5DE2583F" w14:textId="77777777" w:rsidR="007F53CD" w:rsidRPr="007F53CD" w:rsidRDefault="007F53CD" w:rsidP="007F53CD">
            <w:pPr>
              <w:tabs>
                <w:tab w:val="left" w:pos="8150"/>
              </w:tabs>
            </w:pPr>
          </w:p>
        </w:tc>
        <w:tc>
          <w:tcPr>
            <w:tcW w:w="1134" w:type="dxa"/>
            <w:tcBorders>
              <w:top w:val="nil"/>
              <w:left w:val="nil"/>
              <w:bottom w:val="nil"/>
              <w:right w:val="single" w:sz="4" w:space="0" w:color="auto"/>
            </w:tcBorders>
            <w:shd w:val="clear" w:color="auto" w:fill="auto"/>
            <w:noWrap/>
            <w:vAlign w:val="bottom"/>
            <w:hideMark/>
          </w:tcPr>
          <w:p w14:paraId="4F605382" w14:textId="77777777" w:rsidR="007F53CD" w:rsidRPr="007F53CD" w:rsidRDefault="007F53CD" w:rsidP="007F53CD">
            <w:pPr>
              <w:tabs>
                <w:tab w:val="left" w:pos="8150"/>
              </w:tabs>
            </w:pPr>
          </w:p>
        </w:tc>
        <w:tc>
          <w:tcPr>
            <w:tcW w:w="1134" w:type="dxa"/>
            <w:tcBorders>
              <w:top w:val="nil"/>
              <w:left w:val="nil"/>
              <w:bottom w:val="nil"/>
              <w:right w:val="single" w:sz="4" w:space="0" w:color="auto"/>
            </w:tcBorders>
            <w:shd w:val="clear" w:color="auto" w:fill="auto"/>
            <w:noWrap/>
            <w:vAlign w:val="bottom"/>
            <w:hideMark/>
          </w:tcPr>
          <w:p w14:paraId="3D708E46" w14:textId="77777777" w:rsidR="007F53CD" w:rsidRPr="007F53CD" w:rsidRDefault="007F53CD" w:rsidP="007F53CD">
            <w:pPr>
              <w:tabs>
                <w:tab w:val="left" w:pos="8150"/>
              </w:tabs>
            </w:pPr>
          </w:p>
        </w:tc>
        <w:tc>
          <w:tcPr>
            <w:tcW w:w="1130" w:type="dxa"/>
            <w:tcBorders>
              <w:top w:val="nil"/>
              <w:left w:val="nil"/>
              <w:bottom w:val="nil"/>
              <w:right w:val="single" w:sz="4" w:space="0" w:color="auto"/>
            </w:tcBorders>
            <w:vAlign w:val="bottom"/>
          </w:tcPr>
          <w:p w14:paraId="220EEA6C" w14:textId="77777777" w:rsidR="007F53CD" w:rsidRPr="007F53CD" w:rsidRDefault="007F53CD" w:rsidP="007F53CD">
            <w:pPr>
              <w:tabs>
                <w:tab w:val="left" w:pos="8150"/>
              </w:tabs>
            </w:pPr>
          </w:p>
        </w:tc>
        <w:tc>
          <w:tcPr>
            <w:tcW w:w="1130" w:type="dxa"/>
            <w:tcBorders>
              <w:top w:val="nil"/>
              <w:left w:val="nil"/>
              <w:bottom w:val="nil"/>
              <w:right w:val="single" w:sz="4" w:space="0" w:color="auto"/>
            </w:tcBorders>
          </w:tcPr>
          <w:p w14:paraId="314406A7" w14:textId="77777777" w:rsidR="007F53CD" w:rsidRPr="007F53CD" w:rsidRDefault="007F53CD" w:rsidP="007F53CD">
            <w:pPr>
              <w:tabs>
                <w:tab w:val="left" w:pos="8150"/>
              </w:tabs>
            </w:pPr>
          </w:p>
        </w:tc>
      </w:tr>
      <w:tr w:rsidR="007F53CD" w:rsidRPr="007F53CD" w14:paraId="6300A4AB" w14:textId="77777777" w:rsidTr="00B52490">
        <w:trPr>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7860DE3D" w14:textId="77777777" w:rsidR="007F53CD" w:rsidRPr="007F53CD" w:rsidRDefault="007F53CD" w:rsidP="007F53CD">
            <w:pPr>
              <w:tabs>
                <w:tab w:val="left" w:pos="8150"/>
              </w:tabs>
            </w:pPr>
            <w:r w:rsidRPr="007F53CD">
              <w:t xml:space="preserve">Chiffre d'affaires </w:t>
            </w:r>
          </w:p>
        </w:tc>
        <w:tc>
          <w:tcPr>
            <w:tcW w:w="1134" w:type="dxa"/>
            <w:tcBorders>
              <w:top w:val="nil"/>
              <w:left w:val="nil"/>
              <w:bottom w:val="nil"/>
              <w:right w:val="single" w:sz="4" w:space="0" w:color="auto"/>
            </w:tcBorders>
            <w:shd w:val="clear" w:color="auto" w:fill="auto"/>
            <w:noWrap/>
            <w:vAlign w:val="bottom"/>
            <w:hideMark/>
          </w:tcPr>
          <w:p w14:paraId="373ACF02" w14:textId="77777777" w:rsidR="007F53CD" w:rsidRPr="007F53CD" w:rsidRDefault="007F53CD" w:rsidP="007F53CD">
            <w:pPr>
              <w:tabs>
                <w:tab w:val="left" w:pos="8150"/>
              </w:tabs>
            </w:pPr>
            <w:r w:rsidRPr="007F53CD">
              <w:t>53 506</w:t>
            </w:r>
          </w:p>
        </w:tc>
        <w:tc>
          <w:tcPr>
            <w:tcW w:w="1134" w:type="dxa"/>
            <w:tcBorders>
              <w:top w:val="nil"/>
              <w:left w:val="nil"/>
              <w:bottom w:val="nil"/>
              <w:right w:val="single" w:sz="4" w:space="0" w:color="auto"/>
            </w:tcBorders>
            <w:shd w:val="clear" w:color="auto" w:fill="auto"/>
            <w:noWrap/>
            <w:vAlign w:val="bottom"/>
            <w:hideMark/>
          </w:tcPr>
          <w:p w14:paraId="66245B83" w14:textId="77777777" w:rsidR="007F53CD" w:rsidRPr="007F53CD" w:rsidRDefault="007F53CD" w:rsidP="007F53CD">
            <w:pPr>
              <w:tabs>
                <w:tab w:val="left" w:pos="8150"/>
              </w:tabs>
            </w:pPr>
            <w:r w:rsidRPr="007F53CD">
              <w:t>60 194</w:t>
            </w:r>
          </w:p>
        </w:tc>
        <w:tc>
          <w:tcPr>
            <w:tcW w:w="1134" w:type="dxa"/>
            <w:tcBorders>
              <w:top w:val="nil"/>
              <w:left w:val="nil"/>
              <w:bottom w:val="nil"/>
              <w:right w:val="single" w:sz="4" w:space="0" w:color="auto"/>
            </w:tcBorders>
            <w:shd w:val="clear" w:color="auto" w:fill="auto"/>
            <w:noWrap/>
            <w:vAlign w:val="bottom"/>
            <w:hideMark/>
          </w:tcPr>
          <w:p w14:paraId="1BD79DFD" w14:textId="77777777" w:rsidR="007F53CD" w:rsidRPr="007F53CD" w:rsidRDefault="007F53CD" w:rsidP="007F53CD">
            <w:pPr>
              <w:tabs>
                <w:tab w:val="left" w:pos="8150"/>
              </w:tabs>
            </w:pPr>
            <w:r w:rsidRPr="007F53CD">
              <w:t>67 405</w:t>
            </w:r>
          </w:p>
        </w:tc>
        <w:tc>
          <w:tcPr>
            <w:tcW w:w="1130" w:type="dxa"/>
            <w:tcBorders>
              <w:top w:val="nil"/>
              <w:left w:val="nil"/>
              <w:bottom w:val="nil"/>
              <w:right w:val="single" w:sz="4" w:space="0" w:color="auto"/>
            </w:tcBorders>
            <w:vAlign w:val="bottom"/>
          </w:tcPr>
          <w:p w14:paraId="39D4ADE1" w14:textId="77777777" w:rsidR="007F53CD" w:rsidRPr="007F53CD" w:rsidRDefault="007F53CD" w:rsidP="007F53CD">
            <w:pPr>
              <w:tabs>
                <w:tab w:val="left" w:pos="8150"/>
              </w:tabs>
            </w:pPr>
            <w:r w:rsidRPr="007F53CD">
              <w:t>82 464</w:t>
            </w:r>
          </w:p>
        </w:tc>
        <w:tc>
          <w:tcPr>
            <w:tcW w:w="1130" w:type="dxa"/>
            <w:tcBorders>
              <w:top w:val="nil"/>
              <w:left w:val="nil"/>
              <w:bottom w:val="nil"/>
              <w:right w:val="single" w:sz="4" w:space="0" w:color="auto"/>
            </w:tcBorders>
          </w:tcPr>
          <w:p w14:paraId="2F1F68B5" w14:textId="77777777" w:rsidR="007F53CD" w:rsidRPr="007F53CD" w:rsidRDefault="007F53CD" w:rsidP="007F53CD">
            <w:pPr>
              <w:tabs>
                <w:tab w:val="left" w:pos="8150"/>
              </w:tabs>
            </w:pPr>
            <w:r w:rsidRPr="007F53CD">
              <w:t>102 917</w:t>
            </w:r>
          </w:p>
        </w:tc>
      </w:tr>
      <w:tr w:rsidR="007F53CD" w:rsidRPr="007F53CD" w14:paraId="00FDC8D3" w14:textId="77777777" w:rsidTr="00B52490">
        <w:trPr>
          <w:trHeight w:val="570"/>
        </w:trPr>
        <w:tc>
          <w:tcPr>
            <w:tcW w:w="4678" w:type="dxa"/>
            <w:tcBorders>
              <w:top w:val="nil"/>
              <w:left w:val="single" w:sz="4" w:space="0" w:color="auto"/>
              <w:bottom w:val="nil"/>
              <w:right w:val="single" w:sz="4" w:space="0" w:color="auto"/>
            </w:tcBorders>
            <w:shd w:val="clear" w:color="auto" w:fill="auto"/>
            <w:vAlign w:val="bottom"/>
            <w:hideMark/>
          </w:tcPr>
          <w:p w14:paraId="2ABA27D0" w14:textId="77777777" w:rsidR="007F53CD" w:rsidRPr="007F53CD" w:rsidRDefault="007F53CD" w:rsidP="007F53CD">
            <w:pPr>
              <w:tabs>
                <w:tab w:val="left" w:pos="8150"/>
              </w:tabs>
            </w:pPr>
            <w:r w:rsidRPr="007F53CD">
              <w:t>Résultat avant charges d'impôts société, dotations aux amortissements et dotations nettes aux provisions</w:t>
            </w:r>
          </w:p>
        </w:tc>
        <w:tc>
          <w:tcPr>
            <w:tcW w:w="1134" w:type="dxa"/>
            <w:tcBorders>
              <w:top w:val="nil"/>
              <w:left w:val="single" w:sz="4" w:space="0" w:color="auto"/>
              <w:bottom w:val="nil"/>
              <w:right w:val="single" w:sz="4" w:space="0" w:color="auto"/>
            </w:tcBorders>
            <w:shd w:val="clear" w:color="auto" w:fill="auto"/>
            <w:noWrap/>
            <w:vAlign w:val="bottom"/>
            <w:hideMark/>
          </w:tcPr>
          <w:p w14:paraId="42961B6C" w14:textId="77777777" w:rsidR="007F53CD" w:rsidRPr="007F53CD" w:rsidRDefault="007F53CD" w:rsidP="007F53CD">
            <w:pPr>
              <w:tabs>
                <w:tab w:val="left" w:pos="8150"/>
              </w:tabs>
            </w:pPr>
            <w:r w:rsidRPr="007F53CD">
              <w:t>2 488</w:t>
            </w:r>
          </w:p>
        </w:tc>
        <w:tc>
          <w:tcPr>
            <w:tcW w:w="1134" w:type="dxa"/>
            <w:tcBorders>
              <w:top w:val="nil"/>
              <w:left w:val="nil"/>
              <w:bottom w:val="nil"/>
              <w:right w:val="single" w:sz="4" w:space="0" w:color="auto"/>
            </w:tcBorders>
            <w:shd w:val="clear" w:color="auto" w:fill="auto"/>
            <w:noWrap/>
            <w:vAlign w:val="bottom"/>
            <w:hideMark/>
          </w:tcPr>
          <w:p w14:paraId="13A6D54E" w14:textId="77777777" w:rsidR="007F53CD" w:rsidRPr="007F53CD" w:rsidRDefault="007F53CD" w:rsidP="007F53CD">
            <w:pPr>
              <w:tabs>
                <w:tab w:val="left" w:pos="8150"/>
              </w:tabs>
            </w:pPr>
            <w:r w:rsidRPr="007F53CD">
              <w:t>2 194</w:t>
            </w:r>
          </w:p>
        </w:tc>
        <w:tc>
          <w:tcPr>
            <w:tcW w:w="1134" w:type="dxa"/>
            <w:tcBorders>
              <w:top w:val="nil"/>
              <w:left w:val="nil"/>
              <w:bottom w:val="nil"/>
              <w:right w:val="single" w:sz="4" w:space="0" w:color="auto"/>
            </w:tcBorders>
            <w:shd w:val="clear" w:color="auto" w:fill="auto"/>
            <w:noWrap/>
            <w:vAlign w:val="bottom"/>
          </w:tcPr>
          <w:p w14:paraId="0251C75D" w14:textId="77777777" w:rsidR="007F53CD" w:rsidRPr="007F53CD" w:rsidRDefault="007F53CD" w:rsidP="007F53CD">
            <w:pPr>
              <w:tabs>
                <w:tab w:val="left" w:pos="8150"/>
              </w:tabs>
            </w:pPr>
            <w:r w:rsidRPr="007F53CD">
              <w:t>2 128</w:t>
            </w:r>
          </w:p>
        </w:tc>
        <w:tc>
          <w:tcPr>
            <w:tcW w:w="1130" w:type="dxa"/>
            <w:tcBorders>
              <w:top w:val="nil"/>
              <w:left w:val="nil"/>
              <w:bottom w:val="nil"/>
              <w:right w:val="single" w:sz="4" w:space="0" w:color="auto"/>
            </w:tcBorders>
            <w:vAlign w:val="bottom"/>
          </w:tcPr>
          <w:p w14:paraId="1659ECD7" w14:textId="77777777" w:rsidR="007F53CD" w:rsidRPr="007F53CD" w:rsidRDefault="007F53CD" w:rsidP="007F53CD">
            <w:pPr>
              <w:tabs>
                <w:tab w:val="left" w:pos="8150"/>
              </w:tabs>
            </w:pPr>
            <w:r w:rsidRPr="007F53CD">
              <w:t>2 839</w:t>
            </w:r>
          </w:p>
        </w:tc>
        <w:tc>
          <w:tcPr>
            <w:tcW w:w="1130" w:type="dxa"/>
            <w:tcBorders>
              <w:top w:val="nil"/>
              <w:left w:val="nil"/>
              <w:bottom w:val="nil"/>
              <w:right w:val="single" w:sz="4" w:space="0" w:color="auto"/>
            </w:tcBorders>
          </w:tcPr>
          <w:p w14:paraId="12DFB479" w14:textId="77777777" w:rsidR="007F53CD" w:rsidRPr="007F53CD" w:rsidRDefault="007F53CD" w:rsidP="007F53CD">
            <w:pPr>
              <w:tabs>
                <w:tab w:val="left" w:pos="8150"/>
              </w:tabs>
            </w:pPr>
          </w:p>
          <w:p w14:paraId="2B1B5190" w14:textId="77777777" w:rsidR="007F53CD" w:rsidRPr="007F53CD" w:rsidRDefault="007F53CD" w:rsidP="007F53CD">
            <w:pPr>
              <w:tabs>
                <w:tab w:val="left" w:pos="8150"/>
              </w:tabs>
            </w:pPr>
          </w:p>
          <w:p w14:paraId="5214BF5A" w14:textId="77777777" w:rsidR="007F53CD" w:rsidRPr="007F53CD" w:rsidRDefault="007F53CD" w:rsidP="007F53CD">
            <w:pPr>
              <w:tabs>
                <w:tab w:val="left" w:pos="8150"/>
              </w:tabs>
            </w:pPr>
            <w:r w:rsidRPr="007F53CD">
              <w:t>2 355</w:t>
            </w:r>
          </w:p>
        </w:tc>
      </w:tr>
      <w:tr w:rsidR="007F53CD" w:rsidRPr="007F53CD" w14:paraId="78CA73FE" w14:textId="77777777" w:rsidTr="00B52490">
        <w:trPr>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230DF410" w14:textId="77777777" w:rsidR="007F53CD" w:rsidRPr="007F53CD" w:rsidRDefault="007F53CD" w:rsidP="007F53CD">
            <w:pPr>
              <w:tabs>
                <w:tab w:val="left" w:pos="8150"/>
              </w:tabs>
            </w:pPr>
            <w:r w:rsidRPr="007F53CD">
              <w:t>Impôts sur les bénéfices</w:t>
            </w:r>
          </w:p>
        </w:tc>
        <w:tc>
          <w:tcPr>
            <w:tcW w:w="1134" w:type="dxa"/>
            <w:tcBorders>
              <w:top w:val="nil"/>
              <w:left w:val="single" w:sz="4" w:space="0" w:color="auto"/>
              <w:bottom w:val="nil"/>
              <w:right w:val="single" w:sz="4" w:space="0" w:color="auto"/>
            </w:tcBorders>
            <w:shd w:val="clear" w:color="auto" w:fill="auto"/>
            <w:noWrap/>
            <w:vAlign w:val="bottom"/>
            <w:hideMark/>
          </w:tcPr>
          <w:p w14:paraId="6958C022" w14:textId="77777777" w:rsidR="007F53CD" w:rsidRPr="007F53CD" w:rsidRDefault="007F53CD" w:rsidP="007F53CD">
            <w:pPr>
              <w:tabs>
                <w:tab w:val="left" w:pos="8150"/>
              </w:tabs>
            </w:pPr>
            <w:r w:rsidRPr="007F53CD">
              <w:t>- 858</w:t>
            </w:r>
          </w:p>
        </w:tc>
        <w:tc>
          <w:tcPr>
            <w:tcW w:w="1134" w:type="dxa"/>
            <w:tcBorders>
              <w:top w:val="nil"/>
              <w:left w:val="nil"/>
              <w:bottom w:val="nil"/>
              <w:right w:val="single" w:sz="4" w:space="0" w:color="auto"/>
            </w:tcBorders>
            <w:shd w:val="clear" w:color="auto" w:fill="auto"/>
            <w:noWrap/>
            <w:vAlign w:val="bottom"/>
            <w:hideMark/>
          </w:tcPr>
          <w:p w14:paraId="0CCFD825" w14:textId="77777777" w:rsidR="007F53CD" w:rsidRPr="007F53CD" w:rsidRDefault="007F53CD" w:rsidP="007F53CD">
            <w:pPr>
              <w:tabs>
                <w:tab w:val="left" w:pos="8150"/>
              </w:tabs>
            </w:pPr>
            <w:r w:rsidRPr="007F53CD">
              <w:t>- 841</w:t>
            </w:r>
          </w:p>
        </w:tc>
        <w:tc>
          <w:tcPr>
            <w:tcW w:w="1134" w:type="dxa"/>
            <w:tcBorders>
              <w:top w:val="nil"/>
              <w:left w:val="nil"/>
              <w:bottom w:val="nil"/>
              <w:right w:val="single" w:sz="4" w:space="0" w:color="auto"/>
            </w:tcBorders>
            <w:shd w:val="clear" w:color="auto" w:fill="auto"/>
            <w:noWrap/>
            <w:vAlign w:val="bottom"/>
          </w:tcPr>
          <w:p w14:paraId="1CA3C1EF" w14:textId="77777777" w:rsidR="007F53CD" w:rsidRPr="007F53CD" w:rsidRDefault="007F53CD" w:rsidP="007F53CD">
            <w:pPr>
              <w:tabs>
                <w:tab w:val="left" w:pos="8150"/>
              </w:tabs>
            </w:pPr>
            <w:r w:rsidRPr="007F53CD">
              <w:t>-955</w:t>
            </w:r>
          </w:p>
        </w:tc>
        <w:tc>
          <w:tcPr>
            <w:tcW w:w="1130" w:type="dxa"/>
            <w:tcBorders>
              <w:top w:val="nil"/>
              <w:left w:val="nil"/>
              <w:bottom w:val="nil"/>
              <w:right w:val="single" w:sz="4" w:space="0" w:color="auto"/>
            </w:tcBorders>
            <w:vAlign w:val="bottom"/>
          </w:tcPr>
          <w:p w14:paraId="5153B408" w14:textId="77777777" w:rsidR="007F53CD" w:rsidRPr="007F53CD" w:rsidRDefault="007F53CD" w:rsidP="007F53CD">
            <w:pPr>
              <w:tabs>
                <w:tab w:val="left" w:pos="8150"/>
              </w:tabs>
            </w:pPr>
            <w:r w:rsidRPr="007F53CD">
              <w:t>-916</w:t>
            </w:r>
          </w:p>
        </w:tc>
        <w:tc>
          <w:tcPr>
            <w:tcW w:w="1130" w:type="dxa"/>
            <w:tcBorders>
              <w:top w:val="nil"/>
              <w:left w:val="nil"/>
              <w:bottom w:val="nil"/>
              <w:right w:val="single" w:sz="4" w:space="0" w:color="auto"/>
            </w:tcBorders>
          </w:tcPr>
          <w:p w14:paraId="132E7851" w14:textId="77777777" w:rsidR="007F53CD" w:rsidRPr="007F53CD" w:rsidRDefault="007F53CD" w:rsidP="007F53CD">
            <w:pPr>
              <w:tabs>
                <w:tab w:val="left" w:pos="8150"/>
              </w:tabs>
            </w:pPr>
            <w:r w:rsidRPr="007F53CD">
              <w:t>-911</w:t>
            </w:r>
          </w:p>
        </w:tc>
      </w:tr>
      <w:tr w:rsidR="007F53CD" w:rsidRPr="007F53CD" w14:paraId="2C5F4678" w14:textId="77777777" w:rsidTr="00B52490">
        <w:trPr>
          <w:trHeight w:val="480"/>
        </w:trPr>
        <w:tc>
          <w:tcPr>
            <w:tcW w:w="4678" w:type="dxa"/>
            <w:tcBorders>
              <w:top w:val="nil"/>
              <w:left w:val="single" w:sz="4" w:space="0" w:color="auto"/>
              <w:bottom w:val="nil"/>
              <w:right w:val="single" w:sz="4" w:space="0" w:color="auto"/>
            </w:tcBorders>
            <w:shd w:val="clear" w:color="auto" w:fill="auto"/>
            <w:vAlign w:val="bottom"/>
            <w:hideMark/>
          </w:tcPr>
          <w:p w14:paraId="09D0DCCD" w14:textId="77777777" w:rsidR="007F53CD" w:rsidRPr="007F53CD" w:rsidRDefault="007F53CD" w:rsidP="007F53CD">
            <w:pPr>
              <w:tabs>
                <w:tab w:val="left" w:pos="8150"/>
              </w:tabs>
            </w:pPr>
            <w:r w:rsidRPr="007F53CD">
              <w:t>Résultat après charges d'impôts société, dotations aux amortissements et provisions</w:t>
            </w:r>
          </w:p>
        </w:tc>
        <w:tc>
          <w:tcPr>
            <w:tcW w:w="1134" w:type="dxa"/>
            <w:tcBorders>
              <w:top w:val="nil"/>
              <w:left w:val="nil"/>
              <w:bottom w:val="nil"/>
              <w:right w:val="single" w:sz="4" w:space="0" w:color="auto"/>
            </w:tcBorders>
            <w:shd w:val="clear" w:color="auto" w:fill="auto"/>
            <w:noWrap/>
            <w:vAlign w:val="bottom"/>
            <w:hideMark/>
          </w:tcPr>
          <w:p w14:paraId="2CB34BF6" w14:textId="77777777" w:rsidR="007F53CD" w:rsidRPr="007F53CD" w:rsidRDefault="007F53CD" w:rsidP="007F53CD">
            <w:pPr>
              <w:tabs>
                <w:tab w:val="left" w:pos="8150"/>
              </w:tabs>
            </w:pPr>
            <w:r w:rsidRPr="007F53CD">
              <w:t>1 630</w:t>
            </w:r>
          </w:p>
        </w:tc>
        <w:tc>
          <w:tcPr>
            <w:tcW w:w="1134" w:type="dxa"/>
            <w:tcBorders>
              <w:top w:val="nil"/>
              <w:left w:val="nil"/>
              <w:bottom w:val="nil"/>
              <w:right w:val="single" w:sz="4" w:space="0" w:color="auto"/>
            </w:tcBorders>
            <w:shd w:val="clear" w:color="auto" w:fill="auto"/>
            <w:noWrap/>
            <w:vAlign w:val="bottom"/>
            <w:hideMark/>
          </w:tcPr>
          <w:p w14:paraId="7575EBA3" w14:textId="77777777" w:rsidR="007F53CD" w:rsidRPr="007F53CD" w:rsidRDefault="007F53CD" w:rsidP="007F53CD">
            <w:pPr>
              <w:tabs>
                <w:tab w:val="left" w:pos="8150"/>
              </w:tabs>
            </w:pPr>
            <w:r w:rsidRPr="007F53CD">
              <w:t>1 353</w:t>
            </w:r>
          </w:p>
        </w:tc>
        <w:tc>
          <w:tcPr>
            <w:tcW w:w="1134" w:type="dxa"/>
            <w:tcBorders>
              <w:top w:val="nil"/>
              <w:left w:val="nil"/>
              <w:bottom w:val="nil"/>
              <w:right w:val="single" w:sz="4" w:space="0" w:color="auto"/>
            </w:tcBorders>
            <w:shd w:val="clear" w:color="auto" w:fill="auto"/>
            <w:noWrap/>
            <w:vAlign w:val="bottom"/>
            <w:hideMark/>
          </w:tcPr>
          <w:p w14:paraId="47DDD329" w14:textId="77777777" w:rsidR="007F53CD" w:rsidRPr="007F53CD" w:rsidRDefault="007F53CD" w:rsidP="007F53CD">
            <w:pPr>
              <w:tabs>
                <w:tab w:val="left" w:pos="8150"/>
              </w:tabs>
            </w:pPr>
            <w:r w:rsidRPr="007F53CD">
              <w:t>1 173</w:t>
            </w:r>
          </w:p>
        </w:tc>
        <w:tc>
          <w:tcPr>
            <w:tcW w:w="1130" w:type="dxa"/>
            <w:tcBorders>
              <w:top w:val="nil"/>
              <w:left w:val="nil"/>
              <w:bottom w:val="nil"/>
              <w:right w:val="single" w:sz="4" w:space="0" w:color="auto"/>
            </w:tcBorders>
            <w:vAlign w:val="bottom"/>
          </w:tcPr>
          <w:p w14:paraId="23FAAAFB" w14:textId="77777777" w:rsidR="007F53CD" w:rsidRPr="007F53CD" w:rsidRDefault="007F53CD" w:rsidP="007F53CD">
            <w:pPr>
              <w:tabs>
                <w:tab w:val="left" w:pos="8150"/>
              </w:tabs>
            </w:pPr>
            <w:r w:rsidRPr="007F53CD">
              <w:t>1 923</w:t>
            </w:r>
          </w:p>
        </w:tc>
        <w:tc>
          <w:tcPr>
            <w:tcW w:w="1130" w:type="dxa"/>
            <w:tcBorders>
              <w:top w:val="nil"/>
              <w:left w:val="nil"/>
              <w:bottom w:val="nil"/>
              <w:right w:val="single" w:sz="4" w:space="0" w:color="auto"/>
            </w:tcBorders>
          </w:tcPr>
          <w:p w14:paraId="627E25EA" w14:textId="77777777" w:rsidR="007F53CD" w:rsidRPr="007F53CD" w:rsidRDefault="007F53CD" w:rsidP="007F53CD">
            <w:pPr>
              <w:tabs>
                <w:tab w:val="left" w:pos="8150"/>
              </w:tabs>
            </w:pPr>
          </w:p>
          <w:p w14:paraId="1C816DD5" w14:textId="77777777" w:rsidR="007F53CD" w:rsidRPr="007F53CD" w:rsidRDefault="007F53CD" w:rsidP="007F53CD">
            <w:pPr>
              <w:tabs>
                <w:tab w:val="left" w:pos="8150"/>
              </w:tabs>
            </w:pPr>
            <w:r w:rsidRPr="007F53CD">
              <w:t>1 444</w:t>
            </w:r>
          </w:p>
        </w:tc>
      </w:tr>
      <w:tr w:rsidR="007F53CD" w:rsidRPr="007F53CD" w14:paraId="10B95F95" w14:textId="77777777" w:rsidTr="00B52490">
        <w:trPr>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5E1F2503" w14:textId="77777777" w:rsidR="007F53CD" w:rsidRPr="007F53CD" w:rsidRDefault="007F53CD" w:rsidP="007F53CD">
            <w:pPr>
              <w:tabs>
                <w:tab w:val="left" w:pos="8150"/>
              </w:tabs>
            </w:pPr>
            <w:r w:rsidRPr="007F53CD">
              <w:t>Bénéfice distribué (proposition)</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DBBF80" w14:textId="77777777" w:rsidR="007F53CD" w:rsidRPr="007F53CD" w:rsidRDefault="007F53CD" w:rsidP="007F53CD">
            <w:pPr>
              <w:tabs>
                <w:tab w:val="left" w:pos="8150"/>
              </w:tabs>
            </w:pPr>
            <w:r w:rsidRPr="007F53CD">
              <w:t>-</w:t>
            </w:r>
          </w:p>
        </w:tc>
        <w:tc>
          <w:tcPr>
            <w:tcW w:w="1134" w:type="dxa"/>
            <w:tcBorders>
              <w:top w:val="nil"/>
              <w:left w:val="nil"/>
              <w:bottom w:val="single" w:sz="4" w:space="0" w:color="auto"/>
              <w:right w:val="single" w:sz="4" w:space="0" w:color="auto"/>
            </w:tcBorders>
            <w:shd w:val="clear" w:color="auto" w:fill="auto"/>
            <w:noWrap/>
            <w:vAlign w:val="bottom"/>
            <w:hideMark/>
          </w:tcPr>
          <w:p w14:paraId="684E826A" w14:textId="77777777" w:rsidR="007F53CD" w:rsidRPr="007F53CD" w:rsidRDefault="007F53CD" w:rsidP="007F53CD">
            <w:pPr>
              <w:tabs>
                <w:tab w:val="left" w:pos="8150"/>
              </w:tabs>
            </w:pPr>
            <w:r w:rsidRPr="007F53CD">
              <w:t>4 239</w:t>
            </w:r>
          </w:p>
        </w:tc>
        <w:tc>
          <w:tcPr>
            <w:tcW w:w="1134" w:type="dxa"/>
            <w:tcBorders>
              <w:top w:val="nil"/>
              <w:left w:val="nil"/>
              <w:bottom w:val="single" w:sz="4" w:space="0" w:color="auto"/>
              <w:right w:val="single" w:sz="4" w:space="0" w:color="auto"/>
            </w:tcBorders>
            <w:shd w:val="clear" w:color="auto" w:fill="auto"/>
            <w:noWrap/>
            <w:vAlign w:val="bottom"/>
            <w:hideMark/>
          </w:tcPr>
          <w:p w14:paraId="26EE1286" w14:textId="77777777" w:rsidR="007F53CD" w:rsidRPr="007F53CD" w:rsidRDefault="007F53CD" w:rsidP="007F53CD">
            <w:pPr>
              <w:tabs>
                <w:tab w:val="left" w:pos="8150"/>
              </w:tabs>
            </w:pPr>
            <w:r w:rsidRPr="007F53CD">
              <w:t>1 114</w:t>
            </w:r>
          </w:p>
        </w:tc>
        <w:tc>
          <w:tcPr>
            <w:tcW w:w="1130" w:type="dxa"/>
            <w:tcBorders>
              <w:top w:val="nil"/>
              <w:left w:val="nil"/>
              <w:bottom w:val="single" w:sz="4" w:space="0" w:color="auto"/>
              <w:right w:val="single" w:sz="4" w:space="0" w:color="auto"/>
            </w:tcBorders>
            <w:vAlign w:val="bottom"/>
          </w:tcPr>
          <w:p w14:paraId="16495561" w14:textId="77777777" w:rsidR="007F53CD" w:rsidRPr="007F53CD" w:rsidRDefault="007F53CD" w:rsidP="007F53CD">
            <w:pPr>
              <w:tabs>
                <w:tab w:val="left" w:pos="8150"/>
              </w:tabs>
            </w:pPr>
          </w:p>
        </w:tc>
        <w:tc>
          <w:tcPr>
            <w:tcW w:w="1130" w:type="dxa"/>
            <w:tcBorders>
              <w:top w:val="nil"/>
              <w:left w:val="nil"/>
              <w:bottom w:val="single" w:sz="4" w:space="0" w:color="auto"/>
              <w:right w:val="single" w:sz="4" w:space="0" w:color="auto"/>
            </w:tcBorders>
          </w:tcPr>
          <w:p w14:paraId="165D34A5" w14:textId="77777777" w:rsidR="007F53CD" w:rsidRPr="007F53CD" w:rsidRDefault="007F53CD" w:rsidP="007F53CD">
            <w:pPr>
              <w:tabs>
                <w:tab w:val="left" w:pos="8150"/>
              </w:tabs>
            </w:pPr>
            <w:r w:rsidRPr="007F53CD">
              <w:t>-</w:t>
            </w:r>
          </w:p>
        </w:tc>
      </w:tr>
      <w:tr w:rsidR="007F53CD" w:rsidRPr="007F53CD" w14:paraId="2C568AA7" w14:textId="77777777" w:rsidTr="00B52490">
        <w:trPr>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32948F1A" w14:textId="77777777" w:rsidR="007F53CD" w:rsidRPr="007F53CD" w:rsidRDefault="007F53CD" w:rsidP="007F53CD">
            <w:pPr>
              <w:tabs>
                <w:tab w:val="left" w:pos="8150"/>
              </w:tabs>
              <w:rPr>
                <w:b/>
                <w:bCs/>
              </w:rPr>
            </w:pPr>
            <w:r w:rsidRPr="007F53CD">
              <w:rPr>
                <w:b/>
                <w:bCs/>
              </w:rPr>
              <w:t>Résultat réduit à une action</w:t>
            </w:r>
          </w:p>
        </w:tc>
        <w:tc>
          <w:tcPr>
            <w:tcW w:w="1134" w:type="dxa"/>
            <w:tcBorders>
              <w:top w:val="nil"/>
              <w:left w:val="single" w:sz="4" w:space="0" w:color="auto"/>
              <w:bottom w:val="nil"/>
              <w:right w:val="single" w:sz="4" w:space="0" w:color="auto"/>
            </w:tcBorders>
            <w:shd w:val="clear" w:color="auto" w:fill="auto"/>
            <w:noWrap/>
            <w:vAlign w:val="bottom"/>
            <w:hideMark/>
          </w:tcPr>
          <w:p w14:paraId="0842A639" w14:textId="77777777" w:rsidR="007F53CD" w:rsidRPr="007F53CD" w:rsidRDefault="007F53CD" w:rsidP="007F53CD">
            <w:pPr>
              <w:tabs>
                <w:tab w:val="left" w:pos="8150"/>
              </w:tabs>
            </w:pPr>
          </w:p>
        </w:tc>
        <w:tc>
          <w:tcPr>
            <w:tcW w:w="1134" w:type="dxa"/>
            <w:tcBorders>
              <w:top w:val="nil"/>
              <w:left w:val="nil"/>
              <w:bottom w:val="nil"/>
              <w:right w:val="single" w:sz="4" w:space="0" w:color="auto"/>
            </w:tcBorders>
            <w:shd w:val="clear" w:color="auto" w:fill="auto"/>
            <w:noWrap/>
            <w:vAlign w:val="bottom"/>
            <w:hideMark/>
          </w:tcPr>
          <w:p w14:paraId="7FEFA102" w14:textId="77777777" w:rsidR="007F53CD" w:rsidRPr="007F53CD" w:rsidRDefault="007F53CD" w:rsidP="007F53CD">
            <w:pPr>
              <w:tabs>
                <w:tab w:val="left" w:pos="8150"/>
              </w:tabs>
            </w:pPr>
          </w:p>
        </w:tc>
        <w:tc>
          <w:tcPr>
            <w:tcW w:w="1134" w:type="dxa"/>
            <w:tcBorders>
              <w:top w:val="nil"/>
              <w:left w:val="nil"/>
              <w:bottom w:val="nil"/>
              <w:right w:val="single" w:sz="4" w:space="0" w:color="auto"/>
            </w:tcBorders>
            <w:shd w:val="clear" w:color="auto" w:fill="auto"/>
            <w:noWrap/>
            <w:vAlign w:val="bottom"/>
            <w:hideMark/>
          </w:tcPr>
          <w:p w14:paraId="2700D4CC" w14:textId="77777777" w:rsidR="007F53CD" w:rsidRPr="007F53CD" w:rsidRDefault="007F53CD" w:rsidP="007F53CD">
            <w:pPr>
              <w:tabs>
                <w:tab w:val="left" w:pos="8150"/>
              </w:tabs>
            </w:pPr>
          </w:p>
        </w:tc>
        <w:tc>
          <w:tcPr>
            <w:tcW w:w="1130" w:type="dxa"/>
            <w:tcBorders>
              <w:top w:val="nil"/>
              <w:left w:val="nil"/>
              <w:bottom w:val="nil"/>
              <w:right w:val="single" w:sz="4" w:space="0" w:color="auto"/>
            </w:tcBorders>
            <w:vAlign w:val="bottom"/>
          </w:tcPr>
          <w:p w14:paraId="65F04E61" w14:textId="77777777" w:rsidR="007F53CD" w:rsidRPr="007F53CD" w:rsidRDefault="007F53CD" w:rsidP="007F53CD">
            <w:pPr>
              <w:tabs>
                <w:tab w:val="left" w:pos="8150"/>
              </w:tabs>
            </w:pPr>
          </w:p>
        </w:tc>
        <w:tc>
          <w:tcPr>
            <w:tcW w:w="1130" w:type="dxa"/>
            <w:tcBorders>
              <w:top w:val="nil"/>
              <w:left w:val="nil"/>
              <w:bottom w:val="nil"/>
              <w:right w:val="single" w:sz="4" w:space="0" w:color="auto"/>
            </w:tcBorders>
          </w:tcPr>
          <w:p w14:paraId="4EFBC8E3" w14:textId="77777777" w:rsidR="007F53CD" w:rsidRPr="007F53CD" w:rsidRDefault="007F53CD" w:rsidP="007F53CD">
            <w:pPr>
              <w:tabs>
                <w:tab w:val="left" w:pos="8150"/>
              </w:tabs>
            </w:pPr>
          </w:p>
        </w:tc>
      </w:tr>
      <w:tr w:rsidR="007F53CD" w:rsidRPr="007F53CD" w14:paraId="2008F63A" w14:textId="77777777" w:rsidTr="00B52490">
        <w:trPr>
          <w:trHeight w:val="480"/>
        </w:trPr>
        <w:tc>
          <w:tcPr>
            <w:tcW w:w="4678" w:type="dxa"/>
            <w:tcBorders>
              <w:top w:val="nil"/>
              <w:left w:val="single" w:sz="4" w:space="0" w:color="auto"/>
              <w:bottom w:val="nil"/>
              <w:right w:val="single" w:sz="4" w:space="0" w:color="auto"/>
            </w:tcBorders>
            <w:shd w:val="clear" w:color="auto" w:fill="auto"/>
            <w:vAlign w:val="bottom"/>
            <w:hideMark/>
          </w:tcPr>
          <w:p w14:paraId="0F11E883" w14:textId="77777777" w:rsidR="007F53CD" w:rsidRPr="007F53CD" w:rsidRDefault="007F53CD" w:rsidP="007F53CD">
            <w:pPr>
              <w:tabs>
                <w:tab w:val="left" w:pos="8150"/>
              </w:tabs>
            </w:pPr>
            <w:r w:rsidRPr="007F53CD">
              <w:t xml:space="preserve">Résultat après charges d'impôts société, avant dotations aux amortissements et provisions </w:t>
            </w:r>
          </w:p>
        </w:tc>
        <w:tc>
          <w:tcPr>
            <w:tcW w:w="1134" w:type="dxa"/>
            <w:tcBorders>
              <w:top w:val="nil"/>
              <w:left w:val="nil"/>
              <w:bottom w:val="nil"/>
              <w:right w:val="single" w:sz="4" w:space="0" w:color="auto"/>
            </w:tcBorders>
            <w:shd w:val="clear" w:color="auto" w:fill="auto"/>
            <w:noWrap/>
            <w:vAlign w:val="bottom"/>
            <w:hideMark/>
          </w:tcPr>
          <w:p w14:paraId="3D1193C6" w14:textId="77777777" w:rsidR="007F53CD" w:rsidRPr="007F53CD" w:rsidRDefault="007F53CD" w:rsidP="007F53CD">
            <w:pPr>
              <w:tabs>
                <w:tab w:val="left" w:pos="8150"/>
              </w:tabs>
            </w:pPr>
            <w:r w:rsidRPr="007F53CD">
              <w:t>0,08 €</w:t>
            </w:r>
          </w:p>
        </w:tc>
        <w:tc>
          <w:tcPr>
            <w:tcW w:w="1134" w:type="dxa"/>
            <w:tcBorders>
              <w:top w:val="nil"/>
              <w:left w:val="nil"/>
              <w:bottom w:val="nil"/>
              <w:right w:val="single" w:sz="4" w:space="0" w:color="auto"/>
            </w:tcBorders>
            <w:shd w:val="clear" w:color="auto" w:fill="auto"/>
            <w:noWrap/>
            <w:vAlign w:val="bottom"/>
            <w:hideMark/>
          </w:tcPr>
          <w:p w14:paraId="665EF6E2" w14:textId="77777777" w:rsidR="007F53CD" w:rsidRPr="007F53CD" w:rsidRDefault="007F53CD" w:rsidP="007F53CD">
            <w:pPr>
              <w:tabs>
                <w:tab w:val="left" w:pos="8150"/>
              </w:tabs>
            </w:pPr>
            <w:r w:rsidRPr="007F53CD">
              <w:t>0,06 €</w:t>
            </w:r>
          </w:p>
        </w:tc>
        <w:tc>
          <w:tcPr>
            <w:tcW w:w="1134" w:type="dxa"/>
            <w:tcBorders>
              <w:top w:val="nil"/>
              <w:left w:val="nil"/>
              <w:bottom w:val="nil"/>
              <w:right w:val="single" w:sz="4" w:space="0" w:color="auto"/>
            </w:tcBorders>
            <w:shd w:val="clear" w:color="auto" w:fill="auto"/>
            <w:noWrap/>
            <w:vAlign w:val="bottom"/>
          </w:tcPr>
          <w:p w14:paraId="643221C7" w14:textId="77777777" w:rsidR="007F53CD" w:rsidRPr="007F53CD" w:rsidRDefault="007F53CD" w:rsidP="007F53CD">
            <w:pPr>
              <w:tabs>
                <w:tab w:val="left" w:pos="8150"/>
              </w:tabs>
            </w:pPr>
            <w:r w:rsidRPr="007F53CD">
              <w:t>0,06€</w:t>
            </w:r>
          </w:p>
        </w:tc>
        <w:tc>
          <w:tcPr>
            <w:tcW w:w="1130" w:type="dxa"/>
            <w:tcBorders>
              <w:top w:val="nil"/>
              <w:left w:val="nil"/>
              <w:bottom w:val="nil"/>
              <w:right w:val="single" w:sz="4" w:space="0" w:color="auto"/>
            </w:tcBorders>
            <w:vAlign w:val="bottom"/>
          </w:tcPr>
          <w:p w14:paraId="7246BBC9" w14:textId="77777777" w:rsidR="007F53CD" w:rsidRPr="007F53CD" w:rsidRDefault="007F53CD" w:rsidP="007F53CD">
            <w:pPr>
              <w:tabs>
                <w:tab w:val="left" w:pos="8150"/>
              </w:tabs>
            </w:pPr>
            <w:r w:rsidRPr="007F53CD">
              <w:t>0,09€</w:t>
            </w:r>
          </w:p>
        </w:tc>
        <w:tc>
          <w:tcPr>
            <w:tcW w:w="1130" w:type="dxa"/>
            <w:tcBorders>
              <w:top w:val="nil"/>
              <w:left w:val="nil"/>
              <w:bottom w:val="nil"/>
              <w:right w:val="single" w:sz="4" w:space="0" w:color="auto"/>
            </w:tcBorders>
          </w:tcPr>
          <w:p w14:paraId="1E9F0ED3" w14:textId="77777777" w:rsidR="007F53CD" w:rsidRPr="007F53CD" w:rsidRDefault="007F53CD" w:rsidP="007F53CD">
            <w:pPr>
              <w:tabs>
                <w:tab w:val="left" w:pos="8150"/>
              </w:tabs>
            </w:pPr>
          </w:p>
          <w:p w14:paraId="5708716B" w14:textId="77777777" w:rsidR="007F53CD" w:rsidRPr="007F53CD" w:rsidRDefault="007F53CD" w:rsidP="007F53CD">
            <w:pPr>
              <w:tabs>
                <w:tab w:val="left" w:pos="8150"/>
              </w:tabs>
            </w:pPr>
          </w:p>
          <w:p w14:paraId="79F3FB9F" w14:textId="77777777" w:rsidR="007F53CD" w:rsidRPr="007F53CD" w:rsidRDefault="007F53CD" w:rsidP="007F53CD">
            <w:pPr>
              <w:tabs>
                <w:tab w:val="left" w:pos="8150"/>
              </w:tabs>
            </w:pPr>
            <w:r w:rsidRPr="007F53CD">
              <w:t>0.07€</w:t>
            </w:r>
          </w:p>
        </w:tc>
      </w:tr>
      <w:tr w:rsidR="007F53CD" w:rsidRPr="007F53CD" w14:paraId="15F1CF3E" w14:textId="77777777" w:rsidTr="00B52490">
        <w:trPr>
          <w:trHeight w:val="480"/>
        </w:trPr>
        <w:tc>
          <w:tcPr>
            <w:tcW w:w="4678" w:type="dxa"/>
            <w:tcBorders>
              <w:top w:val="nil"/>
              <w:left w:val="single" w:sz="4" w:space="0" w:color="auto"/>
              <w:bottom w:val="nil"/>
              <w:right w:val="single" w:sz="4" w:space="0" w:color="auto"/>
            </w:tcBorders>
            <w:shd w:val="clear" w:color="auto" w:fill="auto"/>
            <w:vAlign w:val="bottom"/>
            <w:hideMark/>
          </w:tcPr>
          <w:p w14:paraId="12DAE577" w14:textId="77777777" w:rsidR="007F53CD" w:rsidRPr="007F53CD" w:rsidRDefault="007F53CD" w:rsidP="007F53CD">
            <w:pPr>
              <w:tabs>
                <w:tab w:val="left" w:pos="8150"/>
              </w:tabs>
            </w:pPr>
            <w:r w:rsidRPr="007F53CD">
              <w:t xml:space="preserve">Résultat après charges d'impôts société, dotations aux amortissements et provisions </w:t>
            </w:r>
          </w:p>
        </w:tc>
        <w:tc>
          <w:tcPr>
            <w:tcW w:w="1134" w:type="dxa"/>
            <w:tcBorders>
              <w:top w:val="nil"/>
              <w:left w:val="nil"/>
              <w:bottom w:val="nil"/>
              <w:right w:val="single" w:sz="4" w:space="0" w:color="auto"/>
            </w:tcBorders>
            <w:shd w:val="clear" w:color="auto" w:fill="auto"/>
            <w:noWrap/>
            <w:vAlign w:val="bottom"/>
            <w:hideMark/>
          </w:tcPr>
          <w:p w14:paraId="72A1CA43" w14:textId="77777777" w:rsidR="007F53CD" w:rsidRPr="007F53CD" w:rsidRDefault="007F53CD" w:rsidP="007F53CD">
            <w:pPr>
              <w:tabs>
                <w:tab w:val="left" w:pos="8150"/>
              </w:tabs>
            </w:pPr>
            <w:r w:rsidRPr="007F53CD">
              <w:t>0,08 €</w:t>
            </w:r>
          </w:p>
        </w:tc>
        <w:tc>
          <w:tcPr>
            <w:tcW w:w="1134" w:type="dxa"/>
            <w:tcBorders>
              <w:top w:val="nil"/>
              <w:left w:val="nil"/>
              <w:bottom w:val="nil"/>
              <w:right w:val="single" w:sz="4" w:space="0" w:color="auto"/>
            </w:tcBorders>
            <w:shd w:val="clear" w:color="auto" w:fill="auto"/>
            <w:noWrap/>
            <w:vAlign w:val="bottom"/>
            <w:hideMark/>
          </w:tcPr>
          <w:p w14:paraId="43D969D8" w14:textId="77777777" w:rsidR="007F53CD" w:rsidRPr="007F53CD" w:rsidRDefault="007F53CD" w:rsidP="007F53CD">
            <w:pPr>
              <w:tabs>
                <w:tab w:val="left" w:pos="8150"/>
              </w:tabs>
            </w:pPr>
            <w:r w:rsidRPr="007F53CD">
              <w:t>0,06 €</w:t>
            </w:r>
          </w:p>
        </w:tc>
        <w:tc>
          <w:tcPr>
            <w:tcW w:w="1134" w:type="dxa"/>
            <w:tcBorders>
              <w:top w:val="nil"/>
              <w:left w:val="nil"/>
              <w:bottom w:val="nil"/>
              <w:right w:val="single" w:sz="4" w:space="0" w:color="auto"/>
            </w:tcBorders>
            <w:shd w:val="clear" w:color="auto" w:fill="auto"/>
            <w:noWrap/>
            <w:vAlign w:val="bottom"/>
          </w:tcPr>
          <w:p w14:paraId="06BE66E7" w14:textId="77777777" w:rsidR="007F53CD" w:rsidRPr="007F53CD" w:rsidRDefault="007F53CD" w:rsidP="007F53CD">
            <w:pPr>
              <w:tabs>
                <w:tab w:val="left" w:pos="8150"/>
              </w:tabs>
            </w:pPr>
            <w:r w:rsidRPr="007F53CD">
              <w:t>0,06€</w:t>
            </w:r>
          </w:p>
        </w:tc>
        <w:tc>
          <w:tcPr>
            <w:tcW w:w="1130" w:type="dxa"/>
            <w:tcBorders>
              <w:top w:val="nil"/>
              <w:left w:val="nil"/>
              <w:bottom w:val="nil"/>
              <w:right w:val="single" w:sz="4" w:space="0" w:color="auto"/>
            </w:tcBorders>
            <w:vAlign w:val="bottom"/>
          </w:tcPr>
          <w:p w14:paraId="517E60D1" w14:textId="77777777" w:rsidR="007F53CD" w:rsidRPr="007F53CD" w:rsidRDefault="007F53CD" w:rsidP="007F53CD">
            <w:pPr>
              <w:tabs>
                <w:tab w:val="left" w:pos="8150"/>
              </w:tabs>
            </w:pPr>
            <w:r w:rsidRPr="007F53CD">
              <w:t>0,09€</w:t>
            </w:r>
          </w:p>
        </w:tc>
        <w:tc>
          <w:tcPr>
            <w:tcW w:w="1130" w:type="dxa"/>
            <w:tcBorders>
              <w:top w:val="nil"/>
              <w:left w:val="nil"/>
              <w:bottom w:val="nil"/>
              <w:right w:val="single" w:sz="4" w:space="0" w:color="auto"/>
            </w:tcBorders>
          </w:tcPr>
          <w:p w14:paraId="785514E7" w14:textId="77777777" w:rsidR="007F53CD" w:rsidRPr="007F53CD" w:rsidRDefault="007F53CD" w:rsidP="007F53CD">
            <w:pPr>
              <w:tabs>
                <w:tab w:val="left" w:pos="8150"/>
              </w:tabs>
            </w:pPr>
          </w:p>
          <w:p w14:paraId="730FE018" w14:textId="77777777" w:rsidR="007F53CD" w:rsidRPr="007F53CD" w:rsidRDefault="007F53CD" w:rsidP="007F53CD">
            <w:pPr>
              <w:tabs>
                <w:tab w:val="left" w:pos="8150"/>
              </w:tabs>
            </w:pPr>
          </w:p>
          <w:p w14:paraId="4314F46D" w14:textId="77777777" w:rsidR="007F53CD" w:rsidRPr="007F53CD" w:rsidRDefault="007F53CD" w:rsidP="007F53CD">
            <w:pPr>
              <w:tabs>
                <w:tab w:val="left" w:pos="8150"/>
              </w:tabs>
            </w:pPr>
            <w:r w:rsidRPr="007F53CD">
              <w:t>0.07€</w:t>
            </w:r>
          </w:p>
        </w:tc>
      </w:tr>
      <w:tr w:rsidR="007F53CD" w:rsidRPr="007F53CD" w14:paraId="7BCBD35C" w14:textId="77777777" w:rsidTr="00B52490">
        <w:trPr>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8A84899" w14:textId="77777777" w:rsidR="007F53CD" w:rsidRPr="007F53CD" w:rsidRDefault="007F53CD" w:rsidP="007F53CD">
            <w:pPr>
              <w:tabs>
                <w:tab w:val="left" w:pos="8150"/>
              </w:tabs>
            </w:pPr>
            <w:r w:rsidRPr="007F53CD">
              <w:t>Bénéfice distribué (proposition)</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AF615EF" w14:textId="77777777" w:rsidR="007F53CD" w:rsidRPr="007F53CD" w:rsidRDefault="007F53CD" w:rsidP="007F53CD">
            <w:pPr>
              <w:tabs>
                <w:tab w:val="left" w:pos="8150"/>
              </w:tabs>
            </w:pPr>
            <w:r w:rsidRPr="007F53CD">
              <w:t>-</w:t>
            </w:r>
          </w:p>
        </w:tc>
        <w:tc>
          <w:tcPr>
            <w:tcW w:w="1134" w:type="dxa"/>
            <w:tcBorders>
              <w:top w:val="nil"/>
              <w:left w:val="nil"/>
              <w:bottom w:val="single" w:sz="4" w:space="0" w:color="auto"/>
              <w:right w:val="single" w:sz="4" w:space="0" w:color="auto"/>
            </w:tcBorders>
            <w:shd w:val="clear" w:color="auto" w:fill="auto"/>
            <w:noWrap/>
            <w:vAlign w:val="bottom"/>
            <w:hideMark/>
          </w:tcPr>
          <w:p w14:paraId="7DB45181" w14:textId="77777777" w:rsidR="007F53CD" w:rsidRPr="007F53CD" w:rsidRDefault="007F53CD" w:rsidP="007F53CD">
            <w:pPr>
              <w:tabs>
                <w:tab w:val="left" w:pos="8150"/>
              </w:tabs>
            </w:pPr>
            <w:r w:rsidRPr="007F53CD">
              <w:t>0,20 €</w:t>
            </w:r>
          </w:p>
        </w:tc>
        <w:tc>
          <w:tcPr>
            <w:tcW w:w="1134" w:type="dxa"/>
            <w:tcBorders>
              <w:top w:val="nil"/>
              <w:left w:val="nil"/>
              <w:bottom w:val="single" w:sz="4" w:space="0" w:color="auto"/>
              <w:right w:val="single" w:sz="4" w:space="0" w:color="auto"/>
            </w:tcBorders>
            <w:shd w:val="clear" w:color="auto" w:fill="auto"/>
            <w:noWrap/>
            <w:vAlign w:val="bottom"/>
            <w:hideMark/>
          </w:tcPr>
          <w:p w14:paraId="09A7C06C" w14:textId="77777777" w:rsidR="007F53CD" w:rsidRPr="007F53CD" w:rsidRDefault="007F53CD" w:rsidP="007F53CD">
            <w:pPr>
              <w:tabs>
                <w:tab w:val="left" w:pos="8150"/>
              </w:tabs>
            </w:pPr>
            <w:r w:rsidRPr="007F53CD">
              <w:t>0,05€</w:t>
            </w:r>
          </w:p>
        </w:tc>
        <w:tc>
          <w:tcPr>
            <w:tcW w:w="1130" w:type="dxa"/>
            <w:tcBorders>
              <w:top w:val="nil"/>
              <w:left w:val="nil"/>
              <w:bottom w:val="single" w:sz="4" w:space="0" w:color="auto"/>
              <w:right w:val="single" w:sz="4" w:space="0" w:color="auto"/>
            </w:tcBorders>
            <w:vAlign w:val="bottom"/>
          </w:tcPr>
          <w:p w14:paraId="038D9AC6" w14:textId="77777777" w:rsidR="007F53CD" w:rsidRPr="007F53CD" w:rsidRDefault="007F53CD" w:rsidP="007F53CD">
            <w:pPr>
              <w:tabs>
                <w:tab w:val="left" w:pos="8150"/>
              </w:tabs>
            </w:pPr>
            <w:r w:rsidRPr="007F53CD">
              <w:t>0,00€</w:t>
            </w:r>
          </w:p>
        </w:tc>
        <w:tc>
          <w:tcPr>
            <w:tcW w:w="1130" w:type="dxa"/>
            <w:tcBorders>
              <w:top w:val="nil"/>
              <w:left w:val="nil"/>
              <w:bottom w:val="single" w:sz="4" w:space="0" w:color="auto"/>
              <w:right w:val="single" w:sz="4" w:space="0" w:color="auto"/>
            </w:tcBorders>
          </w:tcPr>
          <w:p w14:paraId="6A773F7F" w14:textId="77777777" w:rsidR="007F53CD" w:rsidRPr="007F53CD" w:rsidRDefault="007F53CD" w:rsidP="007F53CD">
            <w:pPr>
              <w:tabs>
                <w:tab w:val="left" w:pos="8150"/>
              </w:tabs>
            </w:pPr>
            <w:r w:rsidRPr="007F53CD">
              <w:t xml:space="preserve"> -</w:t>
            </w:r>
          </w:p>
        </w:tc>
      </w:tr>
      <w:tr w:rsidR="007F53CD" w:rsidRPr="007F53CD" w14:paraId="35451CDB" w14:textId="77777777" w:rsidTr="00B52490">
        <w:trPr>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557863A9" w14:textId="77777777" w:rsidR="007F53CD" w:rsidRPr="007F53CD" w:rsidRDefault="007F53CD" w:rsidP="007F53CD">
            <w:pPr>
              <w:tabs>
                <w:tab w:val="left" w:pos="8150"/>
              </w:tabs>
              <w:rPr>
                <w:b/>
                <w:bCs/>
              </w:rPr>
            </w:pPr>
            <w:r w:rsidRPr="007F53CD">
              <w:rPr>
                <w:b/>
                <w:bCs/>
              </w:rPr>
              <w:t>Personnel</w:t>
            </w:r>
          </w:p>
        </w:tc>
        <w:tc>
          <w:tcPr>
            <w:tcW w:w="1134" w:type="dxa"/>
            <w:tcBorders>
              <w:top w:val="nil"/>
              <w:left w:val="single" w:sz="4" w:space="0" w:color="auto"/>
              <w:bottom w:val="nil"/>
              <w:right w:val="single" w:sz="4" w:space="0" w:color="auto"/>
            </w:tcBorders>
            <w:shd w:val="clear" w:color="auto" w:fill="auto"/>
            <w:noWrap/>
            <w:vAlign w:val="bottom"/>
            <w:hideMark/>
          </w:tcPr>
          <w:p w14:paraId="06943253" w14:textId="77777777" w:rsidR="007F53CD" w:rsidRPr="007F53CD" w:rsidRDefault="007F53CD" w:rsidP="007F53CD">
            <w:pPr>
              <w:tabs>
                <w:tab w:val="left" w:pos="8150"/>
              </w:tabs>
            </w:pPr>
          </w:p>
        </w:tc>
        <w:tc>
          <w:tcPr>
            <w:tcW w:w="1134" w:type="dxa"/>
            <w:tcBorders>
              <w:top w:val="nil"/>
              <w:left w:val="nil"/>
              <w:bottom w:val="nil"/>
              <w:right w:val="single" w:sz="4" w:space="0" w:color="auto"/>
            </w:tcBorders>
            <w:shd w:val="clear" w:color="auto" w:fill="auto"/>
            <w:noWrap/>
            <w:vAlign w:val="bottom"/>
            <w:hideMark/>
          </w:tcPr>
          <w:p w14:paraId="7E5B4B27" w14:textId="77777777" w:rsidR="007F53CD" w:rsidRPr="007F53CD" w:rsidRDefault="007F53CD" w:rsidP="007F53CD">
            <w:pPr>
              <w:tabs>
                <w:tab w:val="left" w:pos="8150"/>
              </w:tabs>
            </w:pPr>
          </w:p>
        </w:tc>
        <w:tc>
          <w:tcPr>
            <w:tcW w:w="1134" w:type="dxa"/>
            <w:tcBorders>
              <w:top w:val="nil"/>
              <w:left w:val="nil"/>
              <w:bottom w:val="nil"/>
              <w:right w:val="single" w:sz="4" w:space="0" w:color="auto"/>
            </w:tcBorders>
            <w:shd w:val="clear" w:color="auto" w:fill="auto"/>
            <w:noWrap/>
            <w:vAlign w:val="bottom"/>
            <w:hideMark/>
          </w:tcPr>
          <w:p w14:paraId="0F5F0F6E" w14:textId="77777777" w:rsidR="007F53CD" w:rsidRPr="007F53CD" w:rsidRDefault="007F53CD" w:rsidP="007F53CD">
            <w:pPr>
              <w:tabs>
                <w:tab w:val="left" w:pos="8150"/>
              </w:tabs>
            </w:pPr>
          </w:p>
        </w:tc>
        <w:tc>
          <w:tcPr>
            <w:tcW w:w="1130" w:type="dxa"/>
            <w:tcBorders>
              <w:top w:val="nil"/>
              <w:left w:val="nil"/>
              <w:bottom w:val="nil"/>
              <w:right w:val="single" w:sz="4" w:space="0" w:color="auto"/>
            </w:tcBorders>
            <w:vAlign w:val="bottom"/>
          </w:tcPr>
          <w:p w14:paraId="4CDFB6F7" w14:textId="77777777" w:rsidR="007F53CD" w:rsidRPr="007F53CD" w:rsidRDefault="007F53CD" w:rsidP="007F53CD">
            <w:pPr>
              <w:tabs>
                <w:tab w:val="left" w:pos="8150"/>
              </w:tabs>
            </w:pPr>
          </w:p>
        </w:tc>
        <w:tc>
          <w:tcPr>
            <w:tcW w:w="1130" w:type="dxa"/>
            <w:tcBorders>
              <w:top w:val="nil"/>
              <w:left w:val="nil"/>
              <w:bottom w:val="nil"/>
              <w:right w:val="single" w:sz="4" w:space="0" w:color="auto"/>
            </w:tcBorders>
          </w:tcPr>
          <w:p w14:paraId="3D7B10ED" w14:textId="77777777" w:rsidR="007F53CD" w:rsidRPr="007F53CD" w:rsidRDefault="007F53CD" w:rsidP="007F53CD">
            <w:pPr>
              <w:tabs>
                <w:tab w:val="left" w:pos="8150"/>
              </w:tabs>
            </w:pPr>
          </w:p>
        </w:tc>
      </w:tr>
      <w:tr w:rsidR="007F53CD" w:rsidRPr="007F53CD" w14:paraId="1FD3FFA1" w14:textId="77777777" w:rsidTr="00B52490">
        <w:trPr>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3770BF59" w14:textId="77777777" w:rsidR="007F53CD" w:rsidRPr="007F53CD" w:rsidRDefault="007F53CD" w:rsidP="007F53CD">
            <w:pPr>
              <w:tabs>
                <w:tab w:val="left" w:pos="8150"/>
              </w:tabs>
            </w:pPr>
            <w:r w:rsidRPr="007F53CD">
              <w:t>Effectif moyen</w:t>
            </w:r>
          </w:p>
        </w:tc>
        <w:tc>
          <w:tcPr>
            <w:tcW w:w="1134" w:type="dxa"/>
            <w:tcBorders>
              <w:top w:val="nil"/>
              <w:left w:val="nil"/>
              <w:bottom w:val="nil"/>
              <w:right w:val="single" w:sz="4" w:space="0" w:color="auto"/>
            </w:tcBorders>
            <w:shd w:val="clear" w:color="auto" w:fill="auto"/>
            <w:noWrap/>
            <w:vAlign w:val="bottom"/>
            <w:hideMark/>
          </w:tcPr>
          <w:p w14:paraId="7B697F3D" w14:textId="77777777" w:rsidR="007F53CD" w:rsidRPr="007F53CD" w:rsidRDefault="007F53CD" w:rsidP="007F53CD">
            <w:pPr>
              <w:tabs>
                <w:tab w:val="left" w:pos="8150"/>
              </w:tabs>
            </w:pPr>
            <w:r w:rsidRPr="007F53CD">
              <w:t>-</w:t>
            </w:r>
          </w:p>
        </w:tc>
        <w:tc>
          <w:tcPr>
            <w:tcW w:w="1134" w:type="dxa"/>
            <w:tcBorders>
              <w:top w:val="nil"/>
              <w:left w:val="nil"/>
              <w:bottom w:val="nil"/>
              <w:right w:val="single" w:sz="4" w:space="0" w:color="auto"/>
            </w:tcBorders>
            <w:shd w:val="clear" w:color="auto" w:fill="auto"/>
            <w:noWrap/>
            <w:vAlign w:val="bottom"/>
            <w:hideMark/>
          </w:tcPr>
          <w:p w14:paraId="1943330F" w14:textId="77777777" w:rsidR="007F53CD" w:rsidRPr="007F53CD" w:rsidRDefault="007F53CD" w:rsidP="007F53CD">
            <w:pPr>
              <w:tabs>
                <w:tab w:val="left" w:pos="8150"/>
              </w:tabs>
            </w:pPr>
            <w:r w:rsidRPr="007F53CD">
              <w:t>-</w:t>
            </w:r>
          </w:p>
        </w:tc>
        <w:tc>
          <w:tcPr>
            <w:tcW w:w="1134" w:type="dxa"/>
            <w:tcBorders>
              <w:top w:val="nil"/>
              <w:left w:val="nil"/>
              <w:bottom w:val="nil"/>
              <w:right w:val="single" w:sz="4" w:space="0" w:color="auto"/>
            </w:tcBorders>
            <w:shd w:val="clear" w:color="auto" w:fill="auto"/>
            <w:noWrap/>
            <w:vAlign w:val="bottom"/>
            <w:hideMark/>
          </w:tcPr>
          <w:p w14:paraId="420A8F81" w14:textId="77777777" w:rsidR="007F53CD" w:rsidRPr="007F53CD" w:rsidRDefault="007F53CD" w:rsidP="007F53CD">
            <w:pPr>
              <w:tabs>
                <w:tab w:val="left" w:pos="8150"/>
              </w:tabs>
            </w:pPr>
            <w:r w:rsidRPr="007F53CD">
              <w:t>-</w:t>
            </w:r>
          </w:p>
        </w:tc>
        <w:tc>
          <w:tcPr>
            <w:tcW w:w="1130" w:type="dxa"/>
            <w:tcBorders>
              <w:top w:val="nil"/>
              <w:left w:val="nil"/>
              <w:bottom w:val="nil"/>
              <w:right w:val="single" w:sz="4" w:space="0" w:color="auto"/>
            </w:tcBorders>
            <w:vAlign w:val="bottom"/>
          </w:tcPr>
          <w:p w14:paraId="2A302586" w14:textId="77777777" w:rsidR="007F53CD" w:rsidRPr="007F53CD" w:rsidRDefault="007F53CD" w:rsidP="007F53CD">
            <w:pPr>
              <w:tabs>
                <w:tab w:val="left" w:pos="8150"/>
              </w:tabs>
            </w:pPr>
            <w:r w:rsidRPr="007F53CD">
              <w:t>-</w:t>
            </w:r>
          </w:p>
        </w:tc>
        <w:tc>
          <w:tcPr>
            <w:tcW w:w="1130" w:type="dxa"/>
            <w:tcBorders>
              <w:top w:val="nil"/>
              <w:left w:val="nil"/>
              <w:bottom w:val="nil"/>
              <w:right w:val="single" w:sz="4" w:space="0" w:color="auto"/>
            </w:tcBorders>
          </w:tcPr>
          <w:p w14:paraId="141C6178" w14:textId="77777777" w:rsidR="007F53CD" w:rsidRPr="007F53CD" w:rsidRDefault="007F53CD" w:rsidP="007F53CD">
            <w:pPr>
              <w:tabs>
                <w:tab w:val="left" w:pos="8150"/>
              </w:tabs>
            </w:pPr>
            <w:r w:rsidRPr="007F53CD">
              <w:t>-</w:t>
            </w:r>
          </w:p>
        </w:tc>
      </w:tr>
      <w:tr w:rsidR="007F53CD" w:rsidRPr="007F53CD" w14:paraId="4E2765D0" w14:textId="77777777" w:rsidTr="00B52490">
        <w:trPr>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23027E75" w14:textId="77777777" w:rsidR="007F53CD" w:rsidRPr="007F53CD" w:rsidRDefault="007F53CD" w:rsidP="007F53CD">
            <w:pPr>
              <w:tabs>
                <w:tab w:val="left" w:pos="8150"/>
              </w:tabs>
            </w:pPr>
            <w:r w:rsidRPr="007F53CD">
              <w:t>Montant de la masse salariale</w:t>
            </w:r>
          </w:p>
        </w:tc>
        <w:tc>
          <w:tcPr>
            <w:tcW w:w="1134" w:type="dxa"/>
            <w:tcBorders>
              <w:top w:val="nil"/>
              <w:left w:val="nil"/>
              <w:bottom w:val="nil"/>
              <w:right w:val="single" w:sz="4" w:space="0" w:color="auto"/>
            </w:tcBorders>
            <w:shd w:val="clear" w:color="auto" w:fill="auto"/>
            <w:noWrap/>
            <w:vAlign w:val="bottom"/>
            <w:hideMark/>
          </w:tcPr>
          <w:p w14:paraId="31BA2679" w14:textId="77777777" w:rsidR="007F53CD" w:rsidRPr="007F53CD" w:rsidRDefault="007F53CD" w:rsidP="007F53CD">
            <w:pPr>
              <w:tabs>
                <w:tab w:val="left" w:pos="8150"/>
              </w:tabs>
            </w:pPr>
            <w:r w:rsidRPr="007F53CD">
              <w:t>-</w:t>
            </w:r>
          </w:p>
        </w:tc>
        <w:tc>
          <w:tcPr>
            <w:tcW w:w="1134" w:type="dxa"/>
            <w:tcBorders>
              <w:top w:val="nil"/>
              <w:left w:val="nil"/>
              <w:bottom w:val="nil"/>
              <w:right w:val="single" w:sz="4" w:space="0" w:color="auto"/>
            </w:tcBorders>
            <w:shd w:val="clear" w:color="auto" w:fill="auto"/>
            <w:noWrap/>
            <w:vAlign w:val="bottom"/>
            <w:hideMark/>
          </w:tcPr>
          <w:p w14:paraId="4D62ACE0" w14:textId="77777777" w:rsidR="007F53CD" w:rsidRPr="007F53CD" w:rsidRDefault="007F53CD" w:rsidP="007F53CD">
            <w:pPr>
              <w:tabs>
                <w:tab w:val="left" w:pos="8150"/>
              </w:tabs>
            </w:pPr>
            <w:r w:rsidRPr="007F53CD">
              <w:t>-</w:t>
            </w:r>
          </w:p>
        </w:tc>
        <w:tc>
          <w:tcPr>
            <w:tcW w:w="1134" w:type="dxa"/>
            <w:tcBorders>
              <w:top w:val="nil"/>
              <w:left w:val="nil"/>
              <w:bottom w:val="nil"/>
              <w:right w:val="single" w:sz="4" w:space="0" w:color="auto"/>
            </w:tcBorders>
            <w:shd w:val="clear" w:color="auto" w:fill="auto"/>
            <w:noWrap/>
            <w:vAlign w:val="bottom"/>
            <w:hideMark/>
          </w:tcPr>
          <w:p w14:paraId="5D8EDAB3" w14:textId="77777777" w:rsidR="007F53CD" w:rsidRPr="007F53CD" w:rsidRDefault="007F53CD" w:rsidP="007F53CD">
            <w:pPr>
              <w:tabs>
                <w:tab w:val="left" w:pos="8150"/>
              </w:tabs>
            </w:pPr>
            <w:r w:rsidRPr="007F53CD">
              <w:t>-</w:t>
            </w:r>
          </w:p>
        </w:tc>
        <w:tc>
          <w:tcPr>
            <w:tcW w:w="1130" w:type="dxa"/>
            <w:tcBorders>
              <w:top w:val="nil"/>
              <w:left w:val="nil"/>
              <w:bottom w:val="nil"/>
              <w:right w:val="single" w:sz="4" w:space="0" w:color="auto"/>
            </w:tcBorders>
            <w:vAlign w:val="bottom"/>
          </w:tcPr>
          <w:p w14:paraId="4C68F040" w14:textId="77777777" w:rsidR="007F53CD" w:rsidRPr="007F53CD" w:rsidRDefault="007F53CD" w:rsidP="007F53CD">
            <w:pPr>
              <w:tabs>
                <w:tab w:val="left" w:pos="8150"/>
              </w:tabs>
            </w:pPr>
            <w:r w:rsidRPr="007F53CD">
              <w:t>-</w:t>
            </w:r>
          </w:p>
        </w:tc>
        <w:tc>
          <w:tcPr>
            <w:tcW w:w="1130" w:type="dxa"/>
            <w:tcBorders>
              <w:top w:val="nil"/>
              <w:left w:val="nil"/>
              <w:bottom w:val="nil"/>
              <w:right w:val="single" w:sz="4" w:space="0" w:color="auto"/>
            </w:tcBorders>
          </w:tcPr>
          <w:p w14:paraId="70D59E50" w14:textId="77777777" w:rsidR="007F53CD" w:rsidRPr="007F53CD" w:rsidRDefault="007F53CD" w:rsidP="007F53CD">
            <w:pPr>
              <w:tabs>
                <w:tab w:val="left" w:pos="8150"/>
              </w:tabs>
            </w:pPr>
            <w:r w:rsidRPr="007F53CD">
              <w:t>-</w:t>
            </w:r>
          </w:p>
        </w:tc>
      </w:tr>
      <w:tr w:rsidR="007F53CD" w:rsidRPr="007F53CD" w14:paraId="550CC0AC" w14:textId="77777777" w:rsidTr="00B52490">
        <w:trPr>
          <w:trHeight w:val="720"/>
        </w:trPr>
        <w:tc>
          <w:tcPr>
            <w:tcW w:w="4678" w:type="dxa"/>
            <w:tcBorders>
              <w:top w:val="nil"/>
              <w:left w:val="single" w:sz="4" w:space="0" w:color="auto"/>
              <w:bottom w:val="single" w:sz="4" w:space="0" w:color="auto"/>
              <w:right w:val="single" w:sz="4" w:space="0" w:color="auto"/>
            </w:tcBorders>
            <w:shd w:val="clear" w:color="auto" w:fill="auto"/>
            <w:hideMark/>
          </w:tcPr>
          <w:p w14:paraId="5879B50D" w14:textId="77777777" w:rsidR="007F53CD" w:rsidRPr="007F53CD" w:rsidRDefault="007F53CD" w:rsidP="007F53CD">
            <w:pPr>
              <w:tabs>
                <w:tab w:val="left" w:pos="8150"/>
              </w:tabs>
            </w:pPr>
            <w:r w:rsidRPr="007F53CD">
              <w:t xml:space="preserve">Montant des sommes versées au titre des avantages sociaux </w:t>
            </w:r>
            <w:r w:rsidRPr="007F53CD">
              <w:br/>
              <w:t>(Sécurité sociale, œuvres sociales, etc…)</w:t>
            </w:r>
          </w:p>
        </w:tc>
        <w:tc>
          <w:tcPr>
            <w:tcW w:w="1134" w:type="dxa"/>
            <w:tcBorders>
              <w:top w:val="nil"/>
              <w:left w:val="nil"/>
              <w:bottom w:val="single" w:sz="4" w:space="0" w:color="auto"/>
              <w:right w:val="single" w:sz="4" w:space="0" w:color="auto"/>
            </w:tcBorders>
            <w:shd w:val="clear" w:color="auto" w:fill="auto"/>
            <w:noWrap/>
            <w:vAlign w:val="center"/>
            <w:hideMark/>
          </w:tcPr>
          <w:p w14:paraId="5023A16B" w14:textId="77777777" w:rsidR="007F53CD" w:rsidRPr="007F53CD" w:rsidRDefault="007F53CD" w:rsidP="007F53CD">
            <w:pPr>
              <w:tabs>
                <w:tab w:val="left" w:pos="8150"/>
              </w:tabs>
            </w:pPr>
            <w:r w:rsidRPr="007F53CD">
              <w:t>-</w:t>
            </w:r>
          </w:p>
        </w:tc>
        <w:tc>
          <w:tcPr>
            <w:tcW w:w="1134" w:type="dxa"/>
            <w:tcBorders>
              <w:top w:val="nil"/>
              <w:left w:val="nil"/>
              <w:bottom w:val="single" w:sz="4" w:space="0" w:color="auto"/>
              <w:right w:val="single" w:sz="4" w:space="0" w:color="auto"/>
            </w:tcBorders>
            <w:shd w:val="clear" w:color="auto" w:fill="auto"/>
            <w:noWrap/>
            <w:vAlign w:val="center"/>
            <w:hideMark/>
          </w:tcPr>
          <w:p w14:paraId="01F45CB8" w14:textId="77777777" w:rsidR="007F53CD" w:rsidRPr="007F53CD" w:rsidRDefault="007F53CD" w:rsidP="007F53CD">
            <w:pPr>
              <w:tabs>
                <w:tab w:val="left" w:pos="8150"/>
              </w:tabs>
            </w:pPr>
            <w:r w:rsidRPr="007F53CD">
              <w:t>-</w:t>
            </w:r>
          </w:p>
        </w:tc>
        <w:tc>
          <w:tcPr>
            <w:tcW w:w="1134" w:type="dxa"/>
            <w:tcBorders>
              <w:top w:val="nil"/>
              <w:left w:val="nil"/>
              <w:bottom w:val="single" w:sz="4" w:space="0" w:color="auto"/>
              <w:right w:val="single" w:sz="4" w:space="0" w:color="auto"/>
            </w:tcBorders>
            <w:shd w:val="clear" w:color="auto" w:fill="auto"/>
            <w:noWrap/>
            <w:vAlign w:val="center"/>
            <w:hideMark/>
          </w:tcPr>
          <w:p w14:paraId="16959FF7" w14:textId="77777777" w:rsidR="007F53CD" w:rsidRPr="007F53CD" w:rsidRDefault="007F53CD" w:rsidP="007F53CD">
            <w:pPr>
              <w:tabs>
                <w:tab w:val="left" w:pos="8150"/>
              </w:tabs>
            </w:pPr>
            <w:r w:rsidRPr="007F53CD">
              <w:t>-</w:t>
            </w:r>
          </w:p>
        </w:tc>
        <w:tc>
          <w:tcPr>
            <w:tcW w:w="1130" w:type="dxa"/>
            <w:tcBorders>
              <w:top w:val="nil"/>
              <w:left w:val="nil"/>
              <w:bottom w:val="single" w:sz="4" w:space="0" w:color="auto"/>
              <w:right w:val="single" w:sz="4" w:space="0" w:color="auto"/>
            </w:tcBorders>
            <w:vAlign w:val="center"/>
          </w:tcPr>
          <w:p w14:paraId="05268527" w14:textId="77777777" w:rsidR="007F53CD" w:rsidRPr="007F53CD" w:rsidRDefault="007F53CD" w:rsidP="007F53CD">
            <w:pPr>
              <w:tabs>
                <w:tab w:val="left" w:pos="8150"/>
              </w:tabs>
            </w:pPr>
            <w:r w:rsidRPr="007F53CD">
              <w:t>-</w:t>
            </w:r>
          </w:p>
        </w:tc>
        <w:tc>
          <w:tcPr>
            <w:tcW w:w="1130" w:type="dxa"/>
            <w:tcBorders>
              <w:top w:val="nil"/>
              <w:left w:val="nil"/>
              <w:bottom w:val="single" w:sz="4" w:space="0" w:color="auto"/>
              <w:right w:val="single" w:sz="4" w:space="0" w:color="auto"/>
            </w:tcBorders>
          </w:tcPr>
          <w:p w14:paraId="31CED90C" w14:textId="77777777" w:rsidR="007F53CD" w:rsidRPr="007F53CD" w:rsidRDefault="007F53CD" w:rsidP="007F53CD">
            <w:pPr>
              <w:tabs>
                <w:tab w:val="left" w:pos="8150"/>
              </w:tabs>
            </w:pPr>
          </w:p>
          <w:p w14:paraId="67697DD2" w14:textId="77777777" w:rsidR="007F53CD" w:rsidRPr="007F53CD" w:rsidRDefault="007F53CD" w:rsidP="007F53CD">
            <w:pPr>
              <w:tabs>
                <w:tab w:val="left" w:pos="8150"/>
              </w:tabs>
            </w:pPr>
            <w:r w:rsidRPr="007F53CD">
              <w:t>-</w:t>
            </w:r>
          </w:p>
        </w:tc>
      </w:tr>
    </w:tbl>
    <w:p w14:paraId="3950D65A" w14:textId="742D3A59" w:rsidR="00610BC9" w:rsidRPr="00023A17" w:rsidRDefault="00AB2632" w:rsidP="00AB2632">
      <w:pPr>
        <w:tabs>
          <w:tab w:val="left" w:pos="8150"/>
        </w:tabs>
      </w:pPr>
      <w:r>
        <w:tab/>
      </w:r>
    </w:p>
    <w:p w14:paraId="6D3C1BF3" w14:textId="77777777" w:rsidR="00610BC9" w:rsidRDefault="00610BC9" w:rsidP="00281A16">
      <w:pPr>
        <w:ind w:right="387"/>
        <w:jc w:val="both"/>
        <w:rPr>
          <w:rFonts w:ascii="Arial" w:hAnsi="Arial" w:cs="Arial"/>
          <w:sz w:val="22"/>
          <w:szCs w:val="22"/>
        </w:rPr>
      </w:pPr>
    </w:p>
    <w:p w14:paraId="360930A4" w14:textId="08E68016" w:rsidR="00127FEA" w:rsidRDefault="00127FEA">
      <w:pPr>
        <w:rPr>
          <w:rFonts w:ascii="Arial" w:hAnsi="Arial" w:cs="Arial"/>
          <w:sz w:val="22"/>
          <w:szCs w:val="22"/>
        </w:rPr>
      </w:pPr>
      <w:r>
        <w:rPr>
          <w:rFonts w:ascii="Arial" w:hAnsi="Arial" w:cs="Arial"/>
          <w:sz w:val="22"/>
          <w:szCs w:val="22"/>
        </w:rPr>
        <w:br w:type="page"/>
      </w:r>
    </w:p>
    <w:p w14:paraId="07DF969A" w14:textId="77777777" w:rsidR="00127FEA" w:rsidRPr="00127FEA" w:rsidRDefault="00127FEA" w:rsidP="00127FEA">
      <w:pPr>
        <w:jc w:val="center"/>
        <w:rPr>
          <w:b/>
        </w:rPr>
      </w:pPr>
      <w:r w:rsidRPr="00127FEA">
        <w:rPr>
          <w:b/>
        </w:rPr>
        <w:t>ANNEXE 2 - Glossaire</w:t>
      </w:r>
    </w:p>
    <w:p w14:paraId="27A14EF0" w14:textId="77777777" w:rsidR="00127FEA" w:rsidRPr="00127FEA" w:rsidRDefault="00127FEA" w:rsidP="00127FEA">
      <w:pPr>
        <w:jc w:val="center"/>
        <w:rPr>
          <w:b/>
        </w:rPr>
      </w:pPr>
    </w:p>
    <w:tbl>
      <w:tblPr>
        <w:tblStyle w:val="Grilledutableau"/>
        <w:tblW w:w="0" w:type="auto"/>
        <w:jc w:val="center"/>
        <w:tblLook w:val="04A0" w:firstRow="1" w:lastRow="0" w:firstColumn="1" w:lastColumn="0" w:noHBand="0" w:noVBand="1"/>
      </w:tblPr>
      <w:tblGrid>
        <w:gridCol w:w="3420"/>
        <w:gridCol w:w="6160"/>
      </w:tblGrid>
      <w:tr w:rsidR="00127FEA" w:rsidRPr="00127FEA" w14:paraId="056FC077" w14:textId="77777777" w:rsidTr="002E3358">
        <w:trPr>
          <w:trHeight w:val="315"/>
          <w:jc w:val="center"/>
        </w:trPr>
        <w:tc>
          <w:tcPr>
            <w:tcW w:w="3420" w:type="dxa"/>
            <w:noWrap/>
            <w:hideMark/>
          </w:tcPr>
          <w:p w14:paraId="725E217B" w14:textId="77777777" w:rsidR="00127FEA" w:rsidRPr="00127FEA" w:rsidRDefault="00127FEA" w:rsidP="004F2F03">
            <w:pPr>
              <w:rPr>
                <w:b/>
                <w:bCs/>
              </w:rPr>
            </w:pPr>
            <w:r w:rsidRPr="00127FEA">
              <w:rPr>
                <w:b/>
                <w:bCs/>
              </w:rPr>
              <w:t>ACPR</w:t>
            </w:r>
          </w:p>
        </w:tc>
        <w:tc>
          <w:tcPr>
            <w:tcW w:w="6160" w:type="dxa"/>
            <w:hideMark/>
          </w:tcPr>
          <w:p w14:paraId="203752CA" w14:textId="77777777" w:rsidR="00127FEA" w:rsidRPr="00127FEA" w:rsidRDefault="00127FEA" w:rsidP="004F2F03">
            <w:r w:rsidRPr="00127FEA">
              <w:t>Autorité de Contrôle Prudentiel et de Résolution.</w:t>
            </w:r>
          </w:p>
        </w:tc>
      </w:tr>
      <w:tr w:rsidR="00127FEA" w:rsidRPr="00127FEA" w14:paraId="4361E369" w14:textId="77777777" w:rsidTr="002E3358">
        <w:trPr>
          <w:trHeight w:val="315"/>
          <w:jc w:val="center"/>
        </w:trPr>
        <w:tc>
          <w:tcPr>
            <w:tcW w:w="3420" w:type="dxa"/>
            <w:noWrap/>
            <w:hideMark/>
          </w:tcPr>
          <w:p w14:paraId="2B3747BC" w14:textId="77777777" w:rsidR="00127FEA" w:rsidRPr="00127FEA" w:rsidRDefault="00127FEA" w:rsidP="004F2F03">
            <w:pPr>
              <w:rPr>
                <w:b/>
                <w:bCs/>
              </w:rPr>
            </w:pPr>
            <w:r w:rsidRPr="00127FEA">
              <w:rPr>
                <w:b/>
                <w:bCs/>
              </w:rPr>
              <w:t>AMF</w:t>
            </w:r>
          </w:p>
        </w:tc>
        <w:tc>
          <w:tcPr>
            <w:tcW w:w="6160" w:type="dxa"/>
            <w:hideMark/>
          </w:tcPr>
          <w:p w14:paraId="02C7BB1C" w14:textId="77777777" w:rsidR="00127FEA" w:rsidRPr="00127FEA" w:rsidRDefault="00127FEA" w:rsidP="004F2F03">
            <w:r w:rsidRPr="00127FEA">
              <w:t>Autorité des Marchés Financiers.</w:t>
            </w:r>
          </w:p>
        </w:tc>
      </w:tr>
      <w:tr w:rsidR="00127FEA" w:rsidRPr="00127FEA" w14:paraId="2F364316" w14:textId="77777777" w:rsidTr="002E3358">
        <w:trPr>
          <w:trHeight w:val="315"/>
          <w:jc w:val="center"/>
        </w:trPr>
        <w:tc>
          <w:tcPr>
            <w:tcW w:w="3420" w:type="dxa"/>
            <w:noWrap/>
            <w:hideMark/>
          </w:tcPr>
          <w:p w14:paraId="1D5DFC81" w14:textId="77777777" w:rsidR="00127FEA" w:rsidRPr="00127FEA" w:rsidRDefault="00127FEA" w:rsidP="004F2F03">
            <w:pPr>
              <w:rPr>
                <w:b/>
                <w:bCs/>
              </w:rPr>
            </w:pPr>
            <w:r w:rsidRPr="00127FEA">
              <w:rPr>
                <w:b/>
                <w:bCs/>
              </w:rPr>
              <w:t>ANC</w:t>
            </w:r>
          </w:p>
        </w:tc>
        <w:tc>
          <w:tcPr>
            <w:tcW w:w="6160" w:type="dxa"/>
            <w:hideMark/>
          </w:tcPr>
          <w:p w14:paraId="39ACA4AD" w14:textId="77777777" w:rsidR="00127FEA" w:rsidRPr="00127FEA" w:rsidRDefault="00127FEA" w:rsidP="004F2F03">
            <w:r w:rsidRPr="00127FEA">
              <w:t>Autorité des Normes Comptables.</w:t>
            </w:r>
          </w:p>
        </w:tc>
      </w:tr>
      <w:tr w:rsidR="00127FEA" w:rsidRPr="00127FEA" w14:paraId="293FD12B" w14:textId="77777777" w:rsidTr="002E3358">
        <w:trPr>
          <w:trHeight w:val="615"/>
          <w:jc w:val="center"/>
        </w:trPr>
        <w:tc>
          <w:tcPr>
            <w:tcW w:w="3420" w:type="dxa"/>
            <w:noWrap/>
            <w:hideMark/>
          </w:tcPr>
          <w:p w14:paraId="4FB86C59" w14:textId="77777777" w:rsidR="00127FEA" w:rsidRPr="00127FEA" w:rsidRDefault="00127FEA" w:rsidP="004F2F03">
            <w:pPr>
              <w:rPr>
                <w:b/>
                <w:bCs/>
              </w:rPr>
            </w:pPr>
            <w:r w:rsidRPr="00127FEA">
              <w:rPr>
                <w:b/>
                <w:bCs/>
              </w:rPr>
              <w:t>Asset Covered Test</w:t>
            </w:r>
          </w:p>
        </w:tc>
        <w:tc>
          <w:tcPr>
            <w:tcW w:w="6160" w:type="dxa"/>
            <w:hideMark/>
          </w:tcPr>
          <w:p w14:paraId="71216580" w14:textId="77777777" w:rsidR="00127FEA" w:rsidRPr="00127FEA" w:rsidRDefault="00127FEA" w:rsidP="004F2F03">
            <w:r w:rsidRPr="00127FEA">
              <w:t>Test de couverture des prêts accordés à LBP par les encours apportés en garantie.</w:t>
            </w:r>
          </w:p>
        </w:tc>
      </w:tr>
      <w:tr w:rsidR="00127FEA" w:rsidRPr="00127FEA" w14:paraId="4AFEDCAB" w14:textId="77777777" w:rsidTr="002E3358">
        <w:trPr>
          <w:trHeight w:val="315"/>
          <w:jc w:val="center"/>
        </w:trPr>
        <w:tc>
          <w:tcPr>
            <w:tcW w:w="3420" w:type="dxa"/>
            <w:noWrap/>
            <w:hideMark/>
          </w:tcPr>
          <w:p w14:paraId="1048273B" w14:textId="77777777" w:rsidR="00127FEA" w:rsidRPr="00127FEA" w:rsidRDefault="00127FEA" w:rsidP="004F2F03">
            <w:pPr>
              <w:rPr>
                <w:b/>
                <w:bCs/>
              </w:rPr>
            </w:pPr>
            <w:r w:rsidRPr="00127FEA">
              <w:rPr>
                <w:b/>
                <w:bCs/>
              </w:rPr>
              <w:t>COFRAC</w:t>
            </w:r>
          </w:p>
        </w:tc>
        <w:tc>
          <w:tcPr>
            <w:tcW w:w="6160" w:type="dxa"/>
            <w:hideMark/>
          </w:tcPr>
          <w:p w14:paraId="3B15B649" w14:textId="77777777" w:rsidR="00127FEA" w:rsidRPr="00127FEA" w:rsidRDefault="00127FEA" w:rsidP="004F2F03">
            <w:r w:rsidRPr="00127FEA">
              <w:t>Comité Français d’Accréditation.</w:t>
            </w:r>
          </w:p>
        </w:tc>
      </w:tr>
      <w:tr w:rsidR="00127FEA" w:rsidRPr="00127FEA" w14:paraId="4402C5C4" w14:textId="77777777" w:rsidTr="002E3358">
        <w:trPr>
          <w:trHeight w:val="315"/>
          <w:jc w:val="center"/>
        </w:trPr>
        <w:tc>
          <w:tcPr>
            <w:tcW w:w="3420" w:type="dxa"/>
            <w:noWrap/>
            <w:hideMark/>
          </w:tcPr>
          <w:p w14:paraId="2E647745" w14:textId="77777777" w:rsidR="00127FEA" w:rsidRPr="00127FEA" w:rsidRDefault="00127FEA" w:rsidP="004F2F03">
            <w:pPr>
              <w:rPr>
                <w:b/>
                <w:bCs/>
              </w:rPr>
            </w:pPr>
            <w:r w:rsidRPr="00127FEA">
              <w:rPr>
                <w:b/>
                <w:bCs/>
              </w:rPr>
              <w:t>EBA</w:t>
            </w:r>
          </w:p>
        </w:tc>
        <w:tc>
          <w:tcPr>
            <w:tcW w:w="6160" w:type="dxa"/>
            <w:hideMark/>
          </w:tcPr>
          <w:p w14:paraId="5F40622A" w14:textId="77777777" w:rsidR="00127FEA" w:rsidRPr="00127FEA" w:rsidRDefault="00127FEA" w:rsidP="004F2F03">
            <w:r w:rsidRPr="00127FEA">
              <w:t>European Banking Authority.</w:t>
            </w:r>
          </w:p>
        </w:tc>
      </w:tr>
      <w:tr w:rsidR="00127FEA" w:rsidRPr="00127FEA" w14:paraId="22A96123" w14:textId="77777777" w:rsidTr="002E3358">
        <w:trPr>
          <w:trHeight w:val="315"/>
          <w:jc w:val="center"/>
        </w:trPr>
        <w:tc>
          <w:tcPr>
            <w:tcW w:w="3420" w:type="dxa"/>
            <w:noWrap/>
            <w:hideMark/>
          </w:tcPr>
          <w:p w14:paraId="3969C83F" w14:textId="77777777" w:rsidR="00127FEA" w:rsidRPr="00127FEA" w:rsidRDefault="00127FEA" w:rsidP="004F2F03">
            <w:pPr>
              <w:rPr>
                <w:b/>
                <w:bCs/>
              </w:rPr>
            </w:pPr>
            <w:r w:rsidRPr="00127FEA">
              <w:rPr>
                <w:b/>
                <w:bCs/>
              </w:rPr>
              <w:t>CMF</w:t>
            </w:r>
          </w:p>
        </w:tc>
        <w:tc>
          <w:tcPr>
            <w:tcW w:w="6160" w:type="dxa"/>
            <w:hideMark/>
          </w:tcPr>
          <w:p w14:paraId="2A33DCC6" w14:textId="77777777" w:rsidR="00127FEA" w:rsidRPr="00127FEA" w:rsidRDefault="00127FEA" w:rsidP="004F2F03">
            <w:r w:rsidRPr="00127FEA">
              <w:t>Code Monétaire et Financier.</w:t>
            </w:r>
          </w:p>
        </w:tc>
      </w:tr>
      <w:tr w:rsidR="00127FEA" w:rsidRPr="00127FEA" w14:paraId="098FCF70" w14:textId="77777777" w:rsidTr="002E3358">
        <w:trPr>
          <w:trHeight w:val="615"/>
          <w:jc w:val="center"/>
        </w:trPr>
        <w:tc>
          <w:tcPr>
            <w:tcW w:w="3420" w:type="dxa"/>
            <w:noWrap/>
            <w:hideMark/>
          </w:tcPr>
          <w:p w14:paraId="570040F3" w14:textId="77777777" w:rsidR="00127FEA" w:rsidRPr="00127FEA" w:rsidRDefault="00127FEA" w:rsidP="004F2F03">
            <w:pPr>
              <w:rPr>
                <w:b/>
                <w:bCs/>
              </w:rPr>
            </w:pPr>
            <w:r w:rsidRPr="00127FEA">
              <w:rPr>
                <w:b/>
                <w:bCs/>
              </w:rPr>
              <w:t>Cover Pool</w:t>
            </w:r>
          </w:p>
        </w:tc>
        <w:tc>
          <w:tcPr>
            <w:tcW w:w="6160" w:type="dxa"/>
            <w:hideMark/>
          </w:tcPr>
          <w:p w14:paraId="3FC87DD3" w14:textId="77777777" w:rsidR="00127FEA" w:rsidRPr="00127FEA" w:rsidRDefault="00127FEA" w:rsidP="004F2F03">
            <w:r w:rsidRPr="00127FEA">
              <w:t>Portefeuille de prêts à l’habitat apportés en garantie par LBP à sa filiale LBP HL SFH.</w:t>
            </w:r>
          </w:p>
        </w:tc>
      </w:tr>
      <w:tr w:rsidR="00127FEA" w:rsidRPr="00127FEA" w14:paraId="16299232" w14:textId="77777777" w:rsidTr="002E3358">
        <w:trPr>
          <w:trHeight w:val="315"/>
          <w:jc w:val="center"/>
        </w:trPr>
        <w:tc>
          <w:tcPr>
            <w:tcW w:w="3420" w:type="dxa"/>
            <w:noWrap/>
            <w:hideMark/>
          </w:tcPr>
          <w:p w14:paraId="6D15AF9C" w14:textId="77777777" w:rsidR="00127FEA" w:rsidRPr="00127FEA" w:rsidRDefault="00127FEA" w:rsidP="004F2F03">
            <w:pPr>
              <w:rPr>
                <w:b/>
                <w:bCs/>
              </w:rPr>
            </w:pPr>
            <w:r w:rsidRPr="00127FEA">
              <w:rPr>
                <w:b/>
                <w:bCs/>
              </w:rPr>
              <w:t>Covered Bonds</w:t>
            </w:r>
          </w:p>
        </w:tc>
        <w:tc>
          <w:tcPr>
            <w:tcW w:w="6160" w:type="dxa"/>
            <w:hideMark/>
          </w:tcPr>
          <w:p w14:paraId="73FEEF27" w14:textId="77777777" w:rsidR="00127FEA" w:rsidRPr="00127FEA" w:rsidRDefault="00127FEA" w:rsidP="004F2F03">
            <w:r w:rsidRPr="00127FEA">
              <w:t>Obligation sécurisée, ici : obligation de financement de l’habitat.</w:t>
            </w:r>
          </w:p>
        </w:tc>
      </w:tr>
      <w:tr w:rsidR="00127FEA" w:rsidRPr="00127FEA" w14:paraId="2049F238" w14:textId="77777777" w:rsidTr="002E3358">
        <w:trPr>
          <w:trHeight w:val="315"/>
          <w:jc w:val="center"/>
        </w:trPr>
        <w:tc>
          <w:tcPr>
            <w:tcW w:w="3420" w:type="dxa"/>
            <w:noWrap/>
            <w:hideMark/>
          </w:tcPr>
          <w:p w14:paraId="53DA58B6" w14:textId="77777777" w:rsidR="00127FEA" w:rsidRPr="00127FEA" w:rsidRDefault="00127FEA" w:rsidP="004F2F03">
            <w:pPr>
              <w:rPr>
                <w:b/>
                <w:bCs/>
              </w:rPr>
            </w:pPr>
            <w:r w:rsidRPr="00127FEA">
              <w:rPr>
                <w:b/>
                <w:bCs/>
              </w:rPr>
              <w:t>CRD</w:t>
            </w:r>
          </w:p>
        </w:tc>
        <w:tc>
          <w:tcPr>
            <w:tcW w:w="6160" w:type="dxa"/>
            <w:hideMark/>
          </w:tcPr>
          <w:p w14:paraId="7A8A2211" w14:textId="77777777" w:rsidR="00127FEA" w:rsidRPr="00127FEA" w:rsidRDefault="00127FEA" w:rsidP="004F2F03">
            <w:r w:rsidRPr="00127FEA">
              <w:t>Capital Requirements Directive.</w:t>
            </w:r>
          </w:p>
        </w:tc>
      </w:tr>
      <w:tr w:rsidR="00127FEA" w:rsidRPr="00127FEA" w14:paraId="18ED6D6D" w14:textId="77777777" w:rsidTr="002E3358">
        <w:trPr>
          <w:trHeight w:val="315"/>
          <w:jc w:val="center"/>
        </w:trPr>
        <w:tc>
          <w:tcPr>
            <w:tcW w:w="3420" w:type="dxa"/>
            <w:noWrap/>
            <w:hideMark/>
          </w:tcPr>
          <w:p w14:paraId="4FDE148D" w14:textId="77777777" w:rsidR="00127FEA" w:rsidRPr="00127FEA" w:rsidRDefault="00127FEA" w:rsidP="004F2F03">
            <w:pPr>
              <w:rPr>
                <w:b/>
                <w:bCs/>
              </w:rPr>
            </w:pPr>
            <w:r w:rsidRPr="00127FEA">
              <w:rPr>
                <w:b/>
                <w:bCs/>
              </w:rPr>
              <w:t>CRR</w:t>
            </w:r>
          </w:p>
        </w:tc>
        <w:tc>
          <w:tcPr>
            <w:tcW w:w="6160" w:type="dxa"/>
            <w:hideMark/>
          </w:tcPr>
          <w:p w14:paraId="15C746A2" w14:textId="77777777" w:rsidR="00127FEA" w:rsidRPr="00127FEA" w:rsidRDefault="00127FEA" w:rsidP="004F2F03">
            <w:r w:rsidRPr="00127FEA">
              <w:t>Capital Requirements Regulation.</w:t>
            </w:r>
          </w:p>
        </w:tc>
      </w:tr>
      <w:tr w:rsidR="00127FEA" w:rsidRPr="00127FEA" w14:paraId="19D33308" w14:textId="77777777" w:rsidTr="002E3358">
        <w:trPr>
          <w:trHeight w:val="615"/>
          <w:jc w:val="center"/>
        </w:trPr>
        <w:tc>
          <w:tcPr>
            <w:tcW w:w="3420" w:type="dxa"/>
            <w:noWrap/>
            <w:hideMark/>
          </w:tcPr>
          <w:p w14:paraId="678BA764" w14:textId="77777777" w:rsidR="00127FEA" w:rsidRPr="00127FEA" w:rsidRDefault="00127FEA" w:rsidP="004F2F03">
            <w:pPr>
              <w:rPr>
                <w:b/>
                <w:bCs/>
              </w:rPr>
            </w:pPr>
            <w:r w:rsidRPr="00127FEA">
              <w:rPr>
                <w:b/>
                <w:bCs/>
              </w:rPr>
              <w:t>Emission sécurisée</w:t>
            </w:r>
          </w:p>
        </w:tc>
        <w:tc>
          <w:tcPr>
            <w:tcW w:w="6160" w:type="dxa"/>
            <w:hideMark/>
          </w:tcPr>
          <w:p w14:paraId="73A19B64" w14:textId="77777777" w:rsidR="00127FEA" w:rsidRPr="00127FEA" w:rsidRDefault="00127FEA" w:rsidP="004F2F03">
            <w:r w:rsidRPr="00127FEA">
              <w:t>Emission d'obligation de financement de l’habitat bénéficiant du privilège légal (L513-11 du CMF).</w:t>
            </w:r>
          </w:p>
        </w:tc>
      </w:tr>
      <w:tr w:rsidR="00127FEA" w:rsidRPr="00127FEA" w14:paraId="54ED82F3" w14:textId="77777777" w:rsidTr="002E3358">
        <w:trPr>
          <w:trHeight w:val="315"/>
          <w:jc w:val="center"/>
        </w:trPr>
        <w:tc>
          <w:tcPr>
            <w:tcW w:w="3420" w:type="dxa"/>
            <w:noWrap/>
            <w:hideMark/>
          </w:tcPr>
          <w:p w14:paraId="56597C5E" w14:textId="77777777" w:rsidR="00127FEA" w:rsidRPr="00127FEA" w:rsidRDefault="00127FEA" w:rsidP="004F2F03">
            <w:pPr>
              <w:rPr>
                <w:b/>
                <w:bCs/>
              </w:rPr>
            </w:pPr>
            <w:r w:rsidRPr="00127FEA">
              <w:rPr>
                <w:b/>
                <w:bCs/>
              </w:rPr>
              <w:t>MTN /EMTN</w:t>
            </w:r>
          </w:p>
        </w:tc>
        <w:tc>
          <w:tcPr>
            <w:tcW w:w="6160" w:type="dxa"/>
            <w:hideMark/>
          </w:tcPr>
          <w:p w14:paraId="42050069" w14:textId="77777777" w:rsidR="00127FEA" w:rsidRPr="00127FEA" w:rsidRDefault="00127FEA" w:rsidP="004F2F03">
            <w:r w:rsidRPr="00127FEA">
              <w:t>(Euro) Medium Term Notes.</w:t>
            </w:r>
          </w:p>
        </w:tc>
      </w:tr>
      <w:tr w:rsidR="00127FEA" w:rsidRPr="00127FEA" w14:paraId="578E75B5" w14:textId="77777777" w:rsidTr="002E3358">
        <w:trPr>
          <w:trHeight w:val="615"/>
          <w:jc w:val="center"/>
        </w:trPr>
        <w:tc>
          <w:tcPr>
            <w:tcW w:w="3420" w:type="dxa"/>
            <w:hideMark/>
          </w:tcPr>
          <w:p w14:paraId="36C59712" w14:textId="77777777" w:rsidR="00127FEA" w:rsidRPr="00127FEA" w:rsidRDefault="00127FEA" w:rsidP="004F2F03">
            <w:pPr>
              <w:rPr>
                <w:b/>
                <w:bCs/>
              </w:rPr>
            </w:pPr>
            <w:r w:rsidRPr="00127FEA">
              <w:rPr>
                <w:b/>
                <w:bCs/>
              </w:rPr>
              <w:t>Namens</w:t>
            </w:r>
          </w:p>
          <w:p w14:paraId="55414B81" w14:textId="77777777" w:rsidR="00127FEA" w:rsidRPr="00127FEA" w:rsidRDefault="00127FEA" w:rsidP="004F2F03">
            <w:pPr>
              <w:rPr>
                <w:b/>
                <w:bCs/>
              </w:rPr>
            </w:pPr>
            <w:r w:rsidRPr="00127FEA">
              <w:rPr>
                <w:b/>
                <w:bCs/>
              </w:rPr>
              <w:t>(Namensschuldverschreibung)</w:t>
            </w:r>
          </w:p>
        </w:tc>
        <w:tc>
          <w:tcPr>
            <w:tcW w:w="6160" w:type="dxa"/>
            <w:hideMark/>
          </w:tcPr>
          <w:p w14:paraId="44FA7605" w14:textId="77777777" w:rsidR="00127FEA" w:rsidRPr="00127FEA" w:rsidRDefault="00127FEA" w:rsidP="004F2F03">
            <w:r w:rsidRPr="00127FEA">
              <w:t>Emissions privées de droit allemand.</w:t>
            </w:r>
          </w:p>
        </w:tc>
      </w:tr>
      <w:tr w:rsidR="00127FEA" w:rsidRPr="00127FEA" w14:paraId="0328AC9D" w14:textId="77777777" w:rsidTr="002E3358">
        <w:trPr>
          <w:trHeight w:val="915"/>
          <w:jc w:val="center"/>
        </w:trPr>
        <w:tc>
          <w:tcPr>
            <w:tcW w:w="3420" w:type="dxa"/>
            <w:noWrap/>
            <w:hideMark/>
          </w:tcPr>
          <w:p w14:paraId="0F467D12" w14:textId="77777777" w:rsidR="00127FEA" w:rsidRPr="00127FEA" w:rsidRDefault="00127FEA" w:rsidP="004F2F03">
            <w:pPr>
              <w:rPr>
                <w:b/>
                <w:bCs/>
              </w:rPr>
            </w:pPr>
            <w:r w:rsidRPr="00127FEA">
              <w:rPr>
                <w:b/>
                <w:bCs/>
              </w:rPr>
              <w:t>Niveau de surdimensionnement</w:t>
            </w:r>
          </w:p>
        </w:tc>
        <w:tc>
          <w:tcPr>
            <w:tcW w:w="6160" w:type="dxa"/>
            <w:hideMark/>
          </w:tcPr>
          <w:p w14:paraId="1E38C6A0" w14:textId="77777777" w:rsidR="00127FEA" w:rsidRPr="00127FEA" w:rsidRDefault="00127FEA" w:rsidP="004F2F03">
            <w:r w:rsidRPr="00127FEA">
              <w:t>Rapport entre l'encours du prêts immobiliers éligibles au refinancement et apportés en garantie et l'encours des OFH émises.</w:t>
            </w:r>
          </w:p>
        </w:tc>
      </w:tr>
      <w:tr w:rsidR="00127FEA" w:rsidRPr="00127FEA" w14:paraId="0421CAA5" w14:textId="77777777" w:rsidTr="002E3358">
        <w:trPr>
          <w:trHeight w:val="1215"/>
          <w:jc w:val="center"/>
        </w:trPr>
        <w:tc>
          <w:tcPr>
            <w:tcW w:w="3420" w:type="dxa"/>
            <w:hideMark/>
          </w:tcPr>
          <w:p w14:paraId="4A72B743" w14:textId="77777777" w:rsidR="00127FEA" w:rsidRPr="00127FEA" w:rsidRDefault="00127FEA" w:rsidP="004F2F03">
            <w:pPr>
              <w:rPr>
                <w:b/>
                <w:bCs/>
              </w:rPr>
            </w:pPr>
            <w:r w:rsidRPr="00127FEA">
              <w:rPr>
                <w:b/>
                <w:bCs/>
              </w:rPr>
              <w:t>Obligation de financement de l’habitat (OFH)</w:t>
            </w:r>
          </w:p>
        </w:tc>
        <w:tc>
          <w:tcPr>
            <w:tcW w:w="6160" w:type="dxa"/>
            <w:hideMark/>
          </w:tcPr>
          <w:p w14:paraId="2DED4FF9" w14:textId="77777777" w:rsidR="00127FEA" w:rsidRPr="00127FEA" w:rsidRDefault="00127FEA" w:rsidP="004F2F03">
            <w:r w:rsidRPr="00127FEA">
              <w:t>Obligation émise par des sociétés de financement de l’habitat</w:t>
            </w:r>
            <w:r w:rsidRPr="00127FEA">
              <w:br/>
              <w:t>et bénéficiant du privilège défini à l’article L.513-11 du Code monétaire et financier afin de financer des opérations mentionnées à l’article L.513-29 du CMF.</w:t>
            </w:r>
          </w:p>
        </w:tc>
      </w:tr>
      <w:tr w:rsidR="00127FEA" w:rsidRPr="00127FEA" w14:paraId="2023EB99" w14:textId="77777777" w:rsidTr="002E3358">
        <w:trPr>
          <w:trHeight w:val="615"/>
          <w:jc w:val="center"/>
        </w:trPr>
        <w:tc>
          <w:tcPr>
            <w:tcW w:w="3420" w:type="dxa"/>
            <w:noWrap/>
            <w:hideMark/>
          </w:tcPr>
          <w:p w14:paraId="1F67BE7C" w14:textId="77777777" w:rsidR="00127FEA" w:rsidRPr="00127FEA" w:rsidRDefault="00127FEA" w:rsidP="004F2F03">
            <w:pPr>
              <w:rPr>
                <w:b/>
                <w:bCs/>
              </w:rPr>
            </w:pPr>
            <w:r w:rsidRPr="00127FEA">
              <w:rPr>
                <w:b/>
                <w:bCs/>
              </w:rPr>
              <w:t>Passif privilégié</w:t>
            </w:r>
          </w:p>
        </w:tc>
        <w:tc>
          <w:tcPr>
            <w:tcW w:w="6160" w:type="dxa"/>
            <w:hideMark/>
          </w:tcPr>
          <w:p w14:paraId="6A036AC5" w14:textId="77777777" w:rsidR="00127FEA" w:rsidRPr="00127FEA" w:rsidRDefault="00127FEA" w:rsidP="004F2F03">
            <w:r w:rsidRPr="00127FEA">
              <w:t>Ressources bénéficiant du privilège défini à l’article L.513-11 du Code monétaire et financier (ressources dites privilégiées).</w:t>
            </w:r>
          </w:p>
        </w:tc>
      </w:tr>
      <w:tr w:rsidR="00127FEA" w:rsidRPr="00127FEA" w14:paraId="683C7E35" w14:textId="77777777" w:rsidTr="002E3358">
        <w:trPr>
          <w:trHeight w:val="615"/>
          <w:jc w:val="center"/>
        </w:trPr>
        <w:tc>
          <w:tcPr>
            <w:tcW w:w="3420" w:type="dxa"/>
            <w:noWrap/>
            <w:hideMark/>
          </w:tcPr>
          <w:p w14:paraId="1D1212DE" w14:textId="77777777" w:rsidR="00127FEA" w:rsidRPr="00127FEA" w:rsidRDefault="00127FEA" w:rsidP="004F2F03">
            <w:pPr>
              <w:rPr>
                <w:b/>
                <w:bCs/>
              </w:rPr>
            </w:pPr>
            <w:r w:rsidRPr="00127FEA">
              <w:rPr>
                <w:b/>
                <w:bCs/>
              </w:rPr>
              <w:t>Prêt collatéralisé</w:t>
            </w:r>
          </w:p>
        </w:tc>
        <w:tc>
          <w:tcPr>
            <w:tcW w:w="6160" w:type="dxa"/>
            <w:hideMark/>
          </w:tcPr>
          <w:p w14:paraId="596A90A9" w14:textId="77777777" w:rsidR="00127FEA" w:rsidRPr="00127FEA" w:rsidRDefault="00127FEA" w:rsidP="004F2F03">
            <w:r w:rsidRPr="00127FEA">
              <w:t>Prêts consentis par la SFH à la maison mère et garantis par un portefeuille des prêts à l'habitat (cover pool).</w:t>
            </w:r>
          </w:p>
        </w:tc>
      </w:tr>
      <w:tr w:rsidR="00127FEA" w:rsidRPr="00127FEA" w14:paraId="5486A08F" w14:textId="77777777" w:rsidTr="002E3358">
        <w:trPr>
          <w:trHeight w:val="690"/>
          <w:jc w:val="center"/>
        </w:trPr>
        <w:tc>
          <w:tcPr>
            <w:tcW w:w="3420" w:type="dxa"/>
            <w:noWrap/>
            <w:hideMark/>
          </w:tcPr>
          <w:p w14:paraId="73C296C9" w14:textId="77777777" w:rsidR="00127FEA" w:rsidRPr="00127FEA" w:rsidRDefault="00127FEA" w:rsidP="004F2F03">
            <w:pPr>
              <w:rPr>
                <w:b/>
                <w:bCs/>
              </w:rPr>
            </w:pPr>
            <w:r w:rsidRPr="00127FEA">
              <w:rPr>
                <w:b/>
                <w:bCs/>
              </w:rPr>
              <w:t>Ratio de couverture</w:t>
            </w:r>
          </w:p>
        </w:tc>
        <w:tc>
          <w:tcPr>
            <w:tcW w:w="6160" w:type="dxa"/>
            <w:hideMark/>
          </w:tcPr>
          <w:p w14:paraId="0B1F8D91" w14:textId="77777777" w:rsidR="00127FEA" w:rsidRPr="00127FEA" w:rsidRDefault="00127FEA" w:rsidP="004F2F03">
            <w:r w:rsidRPr="00127FEA">
              <w:t>Ratio des actifs éligibles au refinancement sur les passifs privilégiés (L. 513-12 et R. 513-8 du CMF).</w:t>
            </w:r>
          </w:p>
        </w:tc>
      </w:tr>
      <w:tr w:rsidR="00127FEA" w:rsidRPr="00127FEA" w14:paraId="264E6585" w14:textId="77777777" w:rsidTr="002E3358">
        <w:trPr>
          <w:trHeight w:val="315"/>
          <w:jc w:val="center"/>
        </w:trPr>
        <w:tc>
          <w:tcPr>
            <w:tcW w:w="3420" w:type="dxa"/>
            <w:noWrap/>
            <w:hideMark/>
          </w:tcPr>
          <w:p w14:paraId="4BCA6038" w14:textId="77777777" w:rsidR="00127FEA" w:rsidRPr="00127FEA" w:rsidRDefault="00127FEA" w:rsidP="004F2F03">
            <w:pPr>
              <w:rPr>
                <w:b/>
                <w:bCs/>
              </w:rPr>
            </w:pPr>
            <w:r w:rsidRPr="00127FEA">
              <w:rPr>
                <w:b/>
                <w:bCs/>
              </w:rPr>
              <w:t>SFH</w:t>
            </w:r>
          </w:p>
        </w:tc>
        <w:tc>
          <w:tcPr>
            <w:tcW w:w="6160" w:type="dxa"/>
            <w:hideMark/>
          </w:tcPr>
          <w:p w14:paraId="2DDA2F1E" w14:textId="77777777" w:rsidR="00127FEA" w:rsidRPr="00127FEA" w:rsidRDefault="00127FEA" w:rsidP="004F2F03">
            <w:r w:rsidRPr="00127FEA">
              <w:t>Société de Financement de l'Habitat.</w:t>
            </w:r>
          </w:p>
        </w:tc>
      </w:tr>
      <w:tr w:rsidR="00127FEA" w:rsidRPr="00127FEA" w14:paraId="70E9FD76" w14:textId="77777777" w:rsidTr="002E3358">
        <w:trPr>
          <w:trHeight w:val="615"/>
          <w:jc w:val="center"/>
        </w:trPr>
        <w:tc>
          <w:tcPr>
            <w:tcW w:w="3420" w:type="dxa"/>
            <w:noWrap/>
            <w:hideMark/>
          </w:tcPr>
          <w:p w14:paraId="28996E11" w14:textId="77777777" w:rsidR="00127FEA" w:rsidRPr="00127FEA" w:rsidRDefault="00127FEA" w:rsidP="004F2F03">
            <w:pPr>
              <w:rPr>
                <w:b/>
                <w:bCs/>
              </w:rPr>
            </w:pPr>
            <w:r w:rsidRPr="00127FEA">
              <w:rPr>
                <w:b/>
                <w:bCs/>
              </w:rPr>
              <w:t>SURFI</w:t>
            </w:r>
          </w:p>
        </w:tc>
        <w:tc>
          <w:tcPr>
            <w:tcW w:w="6160" w:type="dxa"/>
            <w:hideMark/>
          </w:tcPr>
          <w:p w14:paraId="21205858" w14:textId="77777777" w:rsidR="00127FEA" w:rsidRPr="00127FEA" w:rsidRDefault="00127FEA" w:rsidP="004F2F03">
            <w:r w:rsidRPr="00127FEA">
              <w:t>Système Unifié de Reporting Financier ; (à destination de l'ACPR).</w:t>
            </w:r>
          </w:p>
        </w:tc>
      </w:tr>
    </w:tbl>
    <w:p w14:paraId="0DCC6FE3" w14:textId="77777777" w:rsidR="00610BC9" w:rsidRDefault="00610BC9" w:rsidP="00281A16">
      <w:pPr>
        <w:ind w:right="387"/>
        <w:jc w:val="both"/>
        <w:rPr>
          <w:rFonts w:ascii="Arial" w:hAnsi="Arial" w:cs="Arial"/>
          <w:sz w:val="22"/>
          <w:szCs w:val="22"/>
        </w:rPr>
      </w:pPr>
    </w:p>
    <w:p w14:paraId="199BC4B2" w14:textId="77777777" w:rsidR="00610BC9" w:rsidRDefault="00610BC9" w:rsidP="00281A16">
      <w:pPr>
        <w:ind w:right="387"/>
        <w:jc w:val="both"/>
        <w:rPr>
          <w:rFonts w:ascii="Arial" w:hAnsi="Arial" w:cs="Arial"/>
          <w:sz w:val="22"/>
          <w:szCs w:val="22"/>
        </w:rPr>
      </w:pPr>
    </w:p>
    <w:p w14:paraId="07D58E39" w14:textId="77777777" w:rsidR="00610BC9" w:rsidRDefault="00610BC9" w:rsidP="00281A16">
      <w:pPr>
        <w:ind w:right="387"/>
        <w:jc w:val="both"/>
        <w:rPr>
          <w:rFonts w:ascii="Arial" w:hAnsi="Arial" w:cs="Arial"/>
          <w:sz w:val="22"/>
          <w:szCs w:val="22"/>
        </w:rPr>
      </w:pPr>
    </w:p>
    <w:p w14:paraId="26BDE4F8" w14:textId="77777777" w:rsidR="00610BC9" w:rsidRDefault="00610BC9" w:rsidP="00281A16">
      <w:pPr>
        <w:ind w:right="387"/>
        <w:jc w:val="both"/>
        <w:rPr>
          <w:rFonts w:ascii="Arial" w:hAnsi="Arial" w:cs="Arial"/>
          <w:sz w:val="22"/>
          <w:szCs w:val="22"/>
        </w:rPr>
      </w:pPr>
    </w:p>
    <w:p w14:paraId="5E05C3C7" w14:textId="77777777" w:rsidR="00610BC9" w:rsidRDefault="00610BC9" w:rsidP="00281A16">
      <w:pPr>
        <w:ind w:right="387"/>
        <w:jc w:val="both"/>
        <w:rPr>
          <w:rFonts w:ascii="Arial" w:hAnsi="Arial" w:cs="Arial"/>
          <w:sz w:val="22"/>
          <w:szCs w:val="22"/>
        </w:rPr>
      </w:pPr>
    </w:p>
    <w:p w14:paraId="1E348049" w14:textId="77777777" w:rsidR="00610BC9" w:rsidRDefault="00610BC9" w:rsidP="00281A16">
      <w:pPr>
        <w:ind w:right="387"/>
        <w:jc w:val="both"/>
        <w:rPr>
          <w:rFonts w:ascii="Arial" w:hAnsi="Arial" w:cs="Arial"/>
          <w:sz w:val="22"/>
          <w:szCs w:val="22"/>
        </w:rPr>
      </w:pPr>
    </w:p>
    <w:p w14:paraId="5F2A45F0" w14:textId="77777777" w:rsidR="00610BC9" w:rsidRDefault="00610BC9" w:rsidP="00281A16">
      <w:pPr>
        <w:ind w:right="387"/>
        <w:jc w:val="both"/>
        <w:rPr>
          <w:rFonts w:ascii="Arial" w:hAnsi="Arial" w:cs="Arial"/>
          <w:sz w:val="22"/>
          <w:szCs w:val="22"/>
        </w:rPr>
      </w:pPr>
    </w:p>
    <w:p w14:paraId="73C9E4B9" w14:textId="77777777" w:rsidR="00610BC9" w:rsidRDefault="00610BC9" w:rsidP="00281A16">
      <w:pPr>
        <w:ind w:right="387"/>
        <w:jc w:val="both"/>
        <w:rPr>
          <w:rFonts w:ascii="Arial" w:hAnsi="Arial" w:cs="Arial"/>
          <w:sz w:val="22"/>
          <w:szCs w:val="22"/>
        </w:rPr>
      </w:pPr>
    </w:p>
    <w:p w14:paraId="23587390" w14:textId="77777777" w:rsidR="00610BC9" w:rsidRDefault="00610BC9" w:rsidP="00281A16">
      <w:pPr>
        <w:ind w:right="387"/>
        <w:jc w:val="both"/>
        <w:rPr>
          <w:rFonts w:ascii="Arial" w:hAnsi="Arial" w:cs="Arial"/>
          <w:sz w:val="22"/>
          <w:szCs w:val="22"/>
        </w:rPr>
      </w:pPr>
    </w:p>
    <w:p w14:paraId="13561396" w14:textId="77777777" w:rsidR="00610BC9" w:rsidRDefault="00610BC9" w:rsidP="00281A16">
      <w:pPr>
        <w:ind w:right="387"/>
        <w:jc w:val="both"/>
        <w:rPr>
          <w:rFonts w:ascii="Arial" w:hAnsi="Arial" w:cs="Arial"/>
          <w:sz w:val="22"/>
          <w:szCs w:val="22"/>
        </w:rPr>
      </w:pPr>
    </w:p>
    <w:p w14:paraId="421FFABB" w14:textId="26C54DF0" w:rsidR="00286B5B" w:rsidRPr="00543B54" w:rsidRDefault="00286B5B" w:rsidP="00D032FF">
      <w:pPr>
        <w:pStyle w:val="Paragraphedeliste"/>
        <w:numPr>
          <w:ilvl w:val="0"/>
          <w:numId w:val="39"/>
        </w:numPr>
        <w:ind w:right="387"/>
        <w:jc w:val="center"/>
        <w:rPr>
          <w:b/>
          <w:sz w:val="40"/>
          <w:szCs w:val="28"/>
          <w:u w:val="single"/>
        </w:rPr>
      </w:pPr>
      <w:r w:rsidRPr="00543B54">
        <w:rPr>
          <w:b/>
          <w:sz w:val="40"/>
          <w:szCs w:val="28"/>
          <w:u w:val="single"/>
        </w:rPr>
        <w:t>Comptes annuels – normes françaises</w:t>
      </w:r>
    </w:p>
    <w:p w14:paraId="62884CEA" w14:textId="77777777" w:rsidR="00FB482C" w:rsidRPr="003E3794" w:rsidRDefault="00FB482C" w:rsidP="00286B5B">
      <w:pPr>
        <w:pStyle w:val="Paragraphedeliste"/>
        <w:ind w:left="0" w:right="387"/>
        <w:jc w:val="center"/>
        <w:rPr>
          <w:rFonts w:ascii="Arial" w:hAnsi="Arial" w:cs="Arial"/>
          <w:b/>
          <w:sz w:val="40"/>
          <w:szCs w:val="28"/>
          <w:u w:val="single"/>
        </w:rPr>
      </w:pPr>
    </w:p>
    <w:p w14:paraId="21FBA951" w14:textId="4080D1BC" w:rsidR="00FB482C" w:rsidRPr="00996990" w:rsidRDefault="003E3794" w:rsidP="003E3794">
      <w:pPr>
        <w:pStyle w:val="Paragraphedeliste"/>
        <w:tabs>
          <w:tab w:val="left" w:pos="4450"/>
          <w:tab w:val="center" w:pos="5264"/>
        </w:tabs>
        <w:ind w:left="0" w:right="387"/>
        <w:rPr>
          <w:b/>
          <w:highlight w:val="yellow"/>
        </w:rPr>
      </w:pPr>
      <w:r w:rsidRPr="003E3794">
        <w:rPr>
          <w:b/>
          <w:sz w:val="28"/>
          <w:szCs w:val="28"/>
        </w:rPr>
        <w:tab/>
      </w:r>
      <w:r w:rsidR="00FB482C" w:rsidRPr="00996990">
        <w:rPr>
          <w:b/>
        </w:rPr>
        <w:t>Bilan social</w:t>
      </w:r>
    </w:p>
    <w:p w14:paraId="3F6B831D" w14:textId="7A8A770C" w:rsidR="00FB482C" w:rsidRPr="00FB482C" w:rsidRDefault="00FB482C" w:rsidP="00286B5B">
      <w:pPr>
        <w:pStyle w:val="Paragraphedeliste"/>
        <w:ind w:left="0" w:right="387"/>
        <w:jc w:val="center"/>
        <w:rPr>
          <w:b/>
          <w:sz w:val="28"/>
          <w:szCs w:val="28"/>
          <w:highlight w:val="yellow"/>
        </w:rPr>
      </w:pPr>
    </w:p>
    <w:p w14:paraId="5FE29E5D" w14:textId="066574D4" w:rsidR="0077093A" w:rsidRPr="0097260E" w:rsidRDefault="00996990" w:rsidP="0077093A">
      <w:pPr>
        <w:ind w:right="70"/>
        <w:jc w:val="center"/>
        <w:rPr>
          <w:b/>
          <w:highlight w:val="yellow"/>
        </w:rPr>
      </w:pPr>
      <w:r>
        <w:rPr>
          <w:noProof/>
        </w:rPr>
        <w:drawing>
          <wp:inline distT="0" distB="0" distL="0" distR="0" wp14:anchorId="7D3F9AD7" wp14:editId="0C24224B">
            <wp:extent cx="6591300" cy="7134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91300" cy="7134225"/>
                    </a:xfrm>
                    <a:prstGeom prst="rect">
                      <a:avLst/>
                    </a:prstGeom>
                  </pic:spPr>
                </pic:pic>
              </a:graphicData>
            </a:graphic>
          </wp:inline>
        </w:drawing>
      </w:r>
      <w:r w:rsidR="0077093A" w:rsidRPr="00127FEA">
        <w:rPr>
          <w:rFonts w:asciiTheme="minorHAnsi" w:hAnsiTheme="minorHAnsi" w:cstheme="minorHAnsi"/>
          <w:sz w:val="31"/>
          <w:szCs w:val="31"/>
          <w:highlight w:val="yellow"/>
        </w:rPr>
        <w:br w:type="page"/>
      </w:r>
      <w:r w:rsidR="0077093A" w:rsidRPr="0097260E">
        <w:rPr>
          <w:b/>
        </w:rPr>
        <w:t xml:space="preserve"> </w:t>
      </w:r>
    </w:p>
    <w:p w14:paraId="13E24C1A" w14:textId="77777777" w:rsidR="0077093A" w:rsidRPr="00127FEA" w:rsidRDefault="0077093A" w:rsidP="0077093A">
      <w:pPr>
        <w:jc w:val="center"/>
        <w:rPr>
          <w:rFonts w:asciiTheme="minorHAnsi" w:hAnsiTheme="minorHAnsi" w:cstheme="minorHAnsi"/>
          <w:highlight w:val="yellow"/>
        </w:rPr>
      </w:pPr>
    </w:p>
    <w:p w14:paraId="6B8E2DA7" w14:textId="2D9684FB" w:rsidR="0077093A" w:rsidRPr="00996990" w:rsidRDefault="00996990" w:rsidP="0077093A">
      <w:pPr>
        <w:jc w:val="center"/>
        <w:rPr>
          <w:rFonts w:asciiTheme="minorHAnsi" w:hAnsiTheme="minorHAnsi" w:cstheme="minorHAnsi"/>
          <w:highlight w:val="yellow"/>
        </w:rPr>
      </w:pPr>
      <w:r w:rsidRPr="00996990">
        <w:rPr>
          <w:b/>
        </w:rPr>
        <w:t>Hors Bilan social</w:t>
      </w:r>
    </w:p>
    <w:p w14:paraId="487A3FF3" w14:textId="78DCB0F8" w:rsidR="0077093A" w:rsidRPr="0097260E" w:rsidRDefault="002E3358" w:rsidP="0077093A">
      <w:pPr>
        <w:jc w:val="center"/>
        <w:rPr>
          <w:highlight w:val="yellow"/>
        </w:rPr>
      </w:pPr>
      <w:r>
        <w:rPr>
          <w:rFonts w:asciiTheme="minorHAnsi" w:hAnsiTheme="minorHAnsi" w:cstheme="minorHAnsi"/>
        </w:rPr>
        <w:t xml:space="preserve">                  </w:t>
      </w:r>
      <w:bookmarkStart w:id="1" w:name="_MON_1467186958"/>
      <w:bookmarkEnd w:id="1"/>
      <w:r w:rsidRPr="00411B44">
        <w:rPr>
          <w:rFonts w:asciiTheme="minorHAnsi" w:hAnsiTheme="minorHAnsi" w:cstheme="minorHAnsi"/>
        </w:rPr>
        <w:object w:dxaOrig="11382" w:dyaOrig="8658" w14:anchorId="5FCB2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351.95pt" o:ole="">
            <v:imagedata r:id="rId21" o:title=""/>
          </v:shape>
          <o:OLEObject Type="Embed" ProgID="Excel.Sheet.8" ShapeID="_x0000_i1025" DrawAspect="Content" ObjectID="_1645618951" r:id="rId22"/>
        </w:object>
      </w:r>
      <w:r w:rsidR="0077093A" w:rsidRPr="00127FEA">
        <w:rPr>
          <w:rFonts w:asciiTheme="minorHAnsi" w:hAnsiTheme="minorHAnsi" w:cstheme="minorHAnsi"/>
          <w:highlight w:val="yellow"/>
        </w:rPr>
        <w:br w:type="page"/>
      </w:r>
      <w:r w:rsidR="0077093A" w:rsidRPr="00996990">
        <w:rPr>
          <w:b/>
        </w:rPr>
        <w:t xml:space="preserve">Résultat </w:t>
      </w:r>
      <w:r w:rsidR="00454589">
        <w:rPr>
          <w:b/>
        </w:rPr>
        <w:object w:dxaOrig="1440" w:dyaOrig="1440" w14:anchorId="64F00C2F">
          <v:shape id="_x0000_s1028" type="#_x0000_t75" style="position:absolute;left:0;text-align:left;margin-left:37.65pt;margin-top:26.35pt;width:455.7pt;height:349.65pt;z-index:251658240;mso-position-horizontal-relative:text;mso-position-vertical-relative:text">
            <v:imagedata r:id="rId23" o:title=""/>
            <w10:wrap type="square" side="right"/>
          </v:shape>
          <o:OLEObject Type="Embed" ProgID="Excel.Sheet.8" ShapeID="_x0000_s1028" DrawAspect="Content" ObjectID="_1645618970" r:id="rId24"/>
        </w:object>
      </w:r>
      <w:r w:rsidR="0077093A" w:rsidRPr="00996990">
        <w:rPr>
          <w:b/>
        </w:rPr>
        <w:t>social</w:t>
      </w:r>
    </w:p>
    <w:p w14:paraId="14F436DB" w14:textId="77777777" w:rsidR="0077093A" w:rsidRPr="00127FEA" w:rsidRDefault="0077093A" w:rsidP="0077093A">
      <w:pPr>
        <w:rPr>
          <w:rFonts w:asciiTheme="minorHAnsi" w:hAnsiTheme="minorHAnsi" w:cstheme="minorHAnsi"/>
          <w:highlight w:val="yellow"/>
        </w:rPr>
      </w:pPr>
      <w:r w:rsidRPr="00127FEA">
        <w:rPr>
          <w:rFonts w:asciiTheme="minorHAnsi" w:hAnsiTheme="minorHAnsi" w:cstheme="minorHAnsi"/>
          <w:highlight w:val="yellow"/>
        </w:rPr>
        <w:br w:type="textWrapping" w:clear="all"/>
      </w:r>
    </w:p>
    <w:p w14:paraId="77E92069" w14:textId="69238FA1" w:rsidR="0077093A" w:rsidRPr="00127FEA" w:rsidRDefault="0077093A" w:rsidP="0097260E">
      <w:pPr>
        <w:pStyle w:val="Titre1"/>
        <w:tabs>
          <w:tab w:val="left" w:pos="5954"/>
          <w:tab w:val="left" w:pos="8080"/>
        </w:tabs>
        <w:rPr>
          <w:rFonts w:asciiTheme="minorHAnsi" w:hAnsiTheme="minorHAnsi" w:cstheme="minorHAnsi"/>
          <w:b w:val="0"/>
          <w:bCs w:val="0"/>
          <w:sz w:val="26"/>
          <w:szCs w:val="26"/>
          <w:highlight w:val="yellow"/>
        </w:rPr>
      </w:pPr>
      <w:r w:rsidRPr="00127FEA">
        <w:rPr>
          <w:rFonts w:asciiTheme="minorHAnsi" w:hAnsiTheme="minorHAnsi" w:cstheme="minorHAnsi"/>
          <w:sz w:val="26"/>
          <w:szCs w:val="26"/>
          <w:highlight w:val="yellow"/>
        </w:rPr>
        <w:br w:type="page"/>
      </w:r>
    </w:p>
    <w:p w14:paraId="458D4678" w14:textId="77777777" w:rsidR="0077093A" w:rsidRPr="00973E3F" w:rsidRDefault="0077093A" w:rsidP="0077093A">
      <w:pPr>
        <w:pStyle w:val="Titre1"/>
        <w:jc w:val="center"/>
        <w:rPr>
          <w:sz w:val="24"/>
        </w:rPr>
      </w:pPr>
      <w:r w:rsidRPr="00973E3F">
        <w:rPr>
          <w:sz w:val="24"/>
        </w:rPr>
        <w:t>Tableau des flux de trésorerie</w:t>
      </w:r>
    </w:p>
    <w:p w14:paraId="57D539D7" w14:textId="77777777" w:rsidR="0077093A" w:rsidRPr="00973E3F" w:rsidRDefault="0077093A" w:rsidP="0077093A">
      <w:pPr>
        <w:autoSpaceDE w:val="0"/>
        <w:autoSpaceDN w:val="0"/>
        <w:adjustRightInd w:val="0"/>
        <w:rPr>
          <w:rFonts w:asciiTheme="minorHAnsi" w:hAnsiTheme="minorHAnsi" w:cstheme="minorHAnsi"/>
          <w:color w:val="000000"/>
          <w:sz w:val="20"/>
          <w:szCs w:val="20"/>
        </w:rPr>
      </w:pPr>
    </w:p>
    <w:p w14:paraId="00C5724B" w14:textId="77777777" w:rsidR="00996990" w:rsidRPr="00996990" w:rsidRDefault="00996990" w:rsidP="00996990">
      <w:pPr>
        <w:autoSpaceDE w:val="0"/>
        <w:autoSpaceDN w:val="0"/>
        <w:adjustRightInd w:val="0"/>
        <w:ind w:right="22"/>
        <w:jc w:val="both"/>
        <w:rPr>
          <w:sz w:val="20"/>
          <w:szCs w:val="20"/>
        </w:rPr>
      </w:pPr>
      <w:r w:rsidRPr="00996990">
        <w:rPr>
          <w:sz w:val="20"/>
          <w:szCs w:val="20"/>
        </w:rPr>
        <w:t>Le tableau des flux de trésorerie est présenté selon le modèle de la méthode indirecte.</w:t>
      </w:r>
    </w:p>
    <w:p w14:paraId="31BE5627" w14:textId="77777777" w:rsidR="00996990" w:rsidRPr="00996990" w:rsidRDefault="00996990" w:rsidP="00996990">
      <w:pPr>
        <w:autoSpaceDE w:val="0"/>
        <w:autoSpaceDN w:val="0"/>
        <w:adjustRightInd w:val="0"/>
        <w:ind w:right="22"/>
        <w:jc w:val="both"/>
        <w:rPr>
          <w:sz w:val="20"/>
          <w:szCs w:val="20"/>
        </w:rPr>
      </w:pPr>
      <w:r w:rsidRPr="00996990">
        <w:rPr>
          <w:b/>
          <w:sz w:val="20"/>
          <w:szCs w:val="20"/>
        </w:rPr>
        <w:t>Les activités d’investissement</w:t>
      </w:r>
      <w:r w:rsidRPr="00996990">
        <w:rPr>
          <w:sz w:val="20"/>
          <w:szCs w:val="20"/>
        </w:rPr>
        <w:t xml:space="preserve"> représentent les flux de trésorerie pour l’acquisition et la cession de participations, de titres d’investissement et des immobilisations corporelles et incorporelles.</w:t>
      </w:r>
    </w:p>
    <w:p w14:paraId="6DFBE4C4" w14:textId="4992BCB4" w:rsidR="00996990" w:rsidRPr="00996990" w:rsidRDefault="00996990" w:rsidP="00996990">
      <w:pPr>
        <w:autoSpaceDE w:val="0"/>
        <w:autoSpaceDN w:val="0"/>
        <w:adjustRightInd w:val="0"/>
        <w:ind w:right="22"/>
        <w:jc w:val="both"/>
        <w:rPr>
          <w:sz w:val="20"/>
          <w:szCs w:val="20"/>
        </w:rPr>
      </w:pPr>
      <w:r w:rsidRPr="00996990">
        <w:rPr>
          <w:b/>
          <w:sz w:val="20"/>
          <w:szCs w:val="20"/>
        </w:rPr>
        <w:t>Les activités de financement</w:t>
      </w:r>
      <w:r w:rsidRPr="00996990">
        <w:rPr>
          <w:sz w:val="20"/>
          <w:szCs w:val="20"/>
        </w:rPr>
        <w:t xml:space="preserve"> résultent des changements liés aux opérations de structure financière concernant les capitaux propres et</w:t>
      </w:r>
      <w:r w:rsidR="00135F66">
        <w:rPr>
          <w:sz w:val="20"/>
          <w:szCs w:val="20"/>
        </w:rPr>
        <w:t xml:space="preserve"> </w:t>
      </w:r>
      <w:r w:rsidRPr="00996990">
        <w:rPr>
          <w:sz w:val="20"/>
          <w:szCs w:val="20"/>
        </w:rPr>
        <w:t>les dettes subordonnées.</w:t>
      </w:r>
    </w:p>
    <w:p w14:paraId="0595B967" w14:textId="77777777" w:rsidR="00996990" w:rsidRDefault="00996990" w:rsidP="00996990">
      <w:pPr>
        <w:autoSpaceDE w:val="0"/>
        <w:autoSpaceDN w:val="0"/>
        <w:adjustRightInd w:val="0"/>
        <w:ind w:right="22"/>
        <w:jc w:val="both"/>
        <w:rPr>
          <w:sz w:val="20"/>
          <w:szCs w:val="20"/>
        </w:rPr>
      </w:pPr>
      <w:r w:rsidRPr="00996990">
        <w:rPr>
          <w:b/>
          <w:sz w:val="20"/>
          <w:szCs w:val="20"/>
        </w:rPr>
        <w:t>Les activités opérationnelles</w:t>
      </w:r>
      <w:r w:rsidRPr="00996990">
        <w:rPr>
          <w:sz w:val="20"/>
          <w:szCs w:val="20"/>
        </w:rPr>
        <w:t xml:space="preserve"> comprennent les flux qui ne relèvent pas des deux autres catégories.</w:t>
      </w:r>
    </w:p>
    <w:p w14:paraId="73842D4C" w14:textId="5BF6581E" w:rsidR="00996990" w:rsidRPr="00996990" w:rsidRDefault="00996990" w:rsidP="00996990">
      <w:pPr>
        <w:autoSpaceDE w:val="0"/>
        <w:autoSpaceDN w:val="0"/>
        <w:adjustRightInd w:val="0"/>
        <w:ind w:right="22"/>
        <w:jc w:val="both"/>
        <w:rPr>
          <w:sz w:val="20"/>
          <w:szCs w:val="20"/>
        </w:rPr>
      </w:pPr>
      <w:r w:rsidRPr="00996990">
        <w:rPr>
          <w:sz w:val="20"/>
          <w:szCs w:val="20"/>
        </w:rPr>
        <w:t xml:space="preserve"> </w:t>
      </w:r>
    </w:p>
    <w:bookmarkStart w:id="2" w:name="_MON_1562412973"/>
    <w:bookmarkEnd w:id="2"/>
    <w:p w14:paraId="1CA172BF" w14:textId="5A04CF68" w:rsidR="0077093A" w:rsidRPr="00127FEA" w:rsidRDefault="00996990" w:rsidP="00996990">
      <w:pPr>
        <w:autoSpaceDE w:val="0"/>
        <w:autoSpaceDN w:val="0"/>
        <w:adjustRightInd w:val="0"/>
        <w:ind w:right="22"/>
        <w:jc w:val="center"/>
        <w:rPr>
          <w:rFonts w:asciiTheme="minorHAnsi" w:hAnsiTheme="minorHAnsi" w:cstheme="minorHAnsi"/>
          <w:sz w:val="20"/>
          <w:szCs w:val="20"/>
          <w:highlight w:val="yellow"/>
        </w:rPr>
      </w:pPr>
      <w:r>
        <w:rPr>
          <w:rFonts w:asciiTheme="minorHAnsi" w:hAnsiTheme="minorHAnsi" w:cstheme="minorHAnsi"/>
          <w:sz w:val="20"/>
          <w:szCs w:val="20"/>
        </w:rPr>
        <w:object w:dxaOrig="9723" w:dyaOrig="11062" w14:anchorId="6466E24F">
          <v:shape id="_x0000_i1027" type="#_x0000_t75" style="width:460.2pt;height:525.9pt" o:ole="">
            <v:imagedata r:id="rId25" o:title=""/>
          </v:shape>
          <o:OLEObject Type="Embed" ProgID="Excel.Sheet.12" ShapeID="_x0000_i1027" DrawAspect="Content" ObjectID="_1645618952" r:id="rId26"/>
        </w:object>
      </w:r>
    </w:p>
    <w:p w14:paraId="78BBBA50" w14:textId="373E5B4D" w:rsidR="0077093A" w:rsidRPr="00127FEA" w:rsidRDefault="0077093A" w:rsidP="00996990">
      <w:pPr>
        <w:autoSpaceDE w:val="0"/>
        <w:autoSpaceDN w:val="0"/>
        <w:adjustRightInd w:val="0"/>
        <w:ind w:right="22"/>
        <w:jc w:val="both"/>
        <w:rPr>
          <w:rFonts w:asciiTheme="minorHAnsi" w:hAnsiTheme="minorHAnsi" w:cstheme="minorHAnsi"/>
          <w:sz w:val="20"/>
          <w:szCs w:val="20"/>
          <w:highlight w:val="yellow"/>
        </w:rPr>
      </w:pPr>
    </w:p>
    <w:p w14:paraId="74C19D11" w14:textId="77777777" w:rsidR="00996990" w:rsidRPr="00996990" w:rsidRDefault="00996990" w:rsidP="00996990">
      <w:pPr>
        <w:spacing w:after="120"/>
        <w:jc w:val="both"/>
        <w:rPr>
          <w:sz w:val="20"/>
          <w:szCs w:val="20"/>
        </w:rPr>
      </w:pPr>
      <w:r w:rsidRPr="00996990">
        <w:rPr>
          <w:sz w:val="20"/>
          <w:szCs w:val="20"/>
        </w:rPr>
        <w:t xml:space="preserve">La notion de trésorerie nette comprend la caisse, les créances et dettes auprès des banques centrales, ainsi que les comptes à vue (actif et passif) des établissements de crédit. </w:t>
      </w:r>
    </w:p>
    <w:p w14:paraId="42B38186" w14:textId="77777777" w:rsidR="00996990" w:rsidRPr="00996990" w:rsidRDefault="00996990" w:rsidP="00996990">
      <w:pPr>
        <w:spacing w:after="120"/>
        <w:jc w:val="both"/>
        <w:rPr>
          <w:sz w:val="20"/>
          <w:szCs w:val="20"/>
        </w:rPr>
      </w:pPr>
      <w:r w:rsidRPr="00996990">
        <w:rPr>
          <w:sz w:val="20"/>
          <w:szCs w:val="20"/>
        </w:rPr>
        <w:t>Nous avons  procédé à un éclatement des Flux liés aux autres opérations affectant des actifs ou passifs financiers reclassés pour partie sur les Flux liés aux opérations d'investissements.</w:t>
      </w:r>
    </w:p>
    <w:p w14:paraId="5033EF1C" w14:textId="77777777" w:rsidR="0077093A" w:rsidRPr="002A3E23" w:rsidRDefault="0077093A" w:rsidP="0077093A">
      <w:pPr>
        <w:jc w:val="center"/>
        <w:rPr>
          <w:b/>
          <w:sz w:val="28"/>
        </w:rPr>
      </w:pPr>
      <w:r w:rsidRPr="00127FEA">
        <w:rPr>
          <w:rFonts w:asciiTheme="minorHAnsi" w:hAnsiTheme="minorHAnsi" w:cstheme="minorHAnsi"/>
          <w:highlight w:val="yellow"/>
        </w:rPr>
        <w:br w:type="page"/>
      </w:r>
      <w:r w:rsidRPr="002A3E23">
        <w:rPr>
          <w:b/>
          <w:sz w:val="28"/>
        </w:rPr>
        <w:t>Annexe</w:t>
      </w:r>
    </w:p>
    <w:p w14:paraId="7368ED05" w14:textId="77777777" w:rsidR="0077093A" w:rsidRPr="002A3E23" w:rsidRDefault="0077093A" w:rsidP="0077093A">
      <w:pPr>
        <w:autoSpaceDE w:val="0"/>
        <w:autoSpaceDN w:val="0"/>
        <w:adjustRightInd w:val="0"/>
        <w:jc w:val="both"/>
        <w:rPr>
          <w:b/>
          <w:bCs/>
          <w:color w:val="000000"/>
          <w:sz w:val="28"/>
          <w:szCs w:val="28"/>
        </w:rPr>
      </w:pPr>
    </w:p>
    <w:p w14:paraId="1B59CF95" w14:textId="77777777" w:rsidR="0077093A" w:rsidRPr="002A3E23" w:rsidRDefault="0077093A" w:rsidP="0077093A">
      <w:pPr>
        <w:autoSpaceDE w:val="0"/>
        <w:autoSpaceDN w:val="0"/>
        <w:adjustRightInd w:val="0"/>
        <w:jc w:val="both"/>
        <w:rPr>
          <w:b/>
          <w:bCs/>
          <w:color w:val="000000"/>
          <w:sz w:val="28"/>
          <w:szCs w:val="28"/>
        </w:rPr>
      </w:pPr>
    </w:p>
    <w:p w14:paraId="5F7D36DB" w14:textId="77777777" w:rsidR="0077093A" w:rsidRPr="002A3E23" w:rsidRDefault="0077093A" w:rsidP="0077093A">
      <w:pPr>
        <w:autoSpaceDE w:val="0"/>
        <w:autoSpaceDN w:val="0"/>
        <w:adjustRightInd w:val="0"/>
        <w:jc w:val="both"/>
        <w:rPr>
          <w:b/>
          <w:bCs/>
          <w:color w:val="000000"/>
          <w:sz w:val="28"/>
          <w:szCs w:val="28"/>
        </w:rPr>
      </w:pPr>
      <w:r w:rsidRPr="002A3E23">
        <w:rPr>
          <w:b/>
          <w:bCs/>
          <w:color w:val="000000"/>
          <w:sz w:val="28"/>
          <w:szCs w:val="28"/>
        </w:rPr>
        <w:t>Principes comptables et méthodes d’évaluation</w:t>
      </w:r>
    </w:p>
    <w:p w14:paraId="61AE6472" w14:textId="77777777" w:rsidR="0077093A" w:rsidRPr="002A3E23" w:rsidRDefault="0077093A" w:rsidP="0077093A">
      <w:pPr>
        <w:autoSpaceDE w:val="0"/>
        <w:autoSpaceDN w:val="0"/>
        <w:adjustRightInd w:val="0"/>
        <w:jc w:val="both"/>
        <w:rPr>
          <w:b/>
          <w:bCs/>
          <w:color w:val="000000"/>
          <w:sz w:val="20"/>
          <w:szCs w:val="20"/>
        </w:rPr>
      </w:pPr>
    </w:p>
    <w:p w14:paraId="7A505109" w14:textId="77777777" w:rsidR="0077093A" w:rsidRPr="002A3E23" w:rsidRDefault="0077093A" w:rsidP="0077093A">
      <w:pPr>
        <w:autoSpaceDE w:val="0"/>
        <w:autoSpaceDN w:val="0"/>
        <w:adjustRightInd w:val="0"/>
        <w:jc w:val="both"/>
        <w:rPr>
          <w:b/>
          <w:bCs/>
          <w:color w:val="000000"/>
          <w:sz w:val="20"/>
          <w:szCs w:val="20"/>
        </w:rPr>
      </w:pPr>
    </w:p>
    <w:p w14:paraId="7641CE7C" w14:textId="77777777" w:rsidR="0077093A" w:rsidRPr="00734F3D" w:rsidRDefault="0077093A" w:rsidP="0077093A">
      <w:pPr>
        <w:autoSpaceDE w:val="0"/>
        <w:autoSpaceDN w:val="0"/>
        <w:adjustRightInd w:val="0"/>
        <w:jc w:val="both"/>
        <w:rPr>
          <w:b/>
          <w:bCs/>
          <w:i/>
          <w:iCs/>
          <w:caps/>
          <w:color w:val="000000"/>
        </w:rPr>
      </w:pPr>
      <w:r w:rsidRPr="00734F3D">
        <w:rPr>
          <w:b/>
          <w:bCs/>
          <w:i/>
          <w:iCs/>
          <w:caps/>
          <w:color w:val="000000"/>
        </w:rPr>
        <w:t>Principales règles d’évaluation et de présentation des comptes sociaux ANNUELS</w:t>
      </w:r>
    </w:p>
    <w:p w14:paraId="559B73F1" w14:textId="77777777" w:rsidR="0077093A" w:rsidRPr="00734F3D" w:rsidRDefault="0077093A" w:rsidP="0077093A">
      <w:pPr>
        <w:autoSpaceDE w:val="0"/>
        <w:autoSpaceDN w:val="0"/>
        <w:adjustRightInd w:val="0"/>
        <w:jc w:val="both"/>
        <w:rPr>
          <w:b/>
          <w:bCs/>
          <w:color w:val="000000"/>
        </w:rPr>
      </w:pPr>
    </w:p>
    <w:p w14:paraId="1DDC45AF" w14:textId="77777777" w:rsidR="00F00C74" w:rsidRPr="00F00C74" w:rsidRDefault="00F00C74" w:rsidP="00F00C74">
      <w:pPr>
        <w:autoSpaceDE w:val="0"/>
        <w:autoSpaceDN w:val="0"/>
        <w:adjustRightInd w:val="0"/>
        <w:jc w:val="both"/>
        <w:rPr>
          <w:color w:val="000000"/>
        </w:rPr>
      </w:pPr>
      <w:r w:rsidRPr="00F00C74">
        <w:rPr>
          <w:color w:val="000000"/>
        </w:rPr>
        <w:t>Les comptes sociaux annuels sont établis conformément aux principes généraux applicables en France aux établissements de crédit.</w:t>
      </w:r>
    </w:p>
    <w:p w14:paraId="266A1667" w14:textId="77777777" w:rsidR="00F00C74" w:rsidRPr="00F00C74" w:rsidRDefault="00F00C74" w:rsidP="00F00C74">
      <w:pPr>
        <w:autoSpaceDE w:val="0"/>
        <w:autoSpaceDN w:val="0"/>
        <w:adjustRightInd w:val="0"/>
        <w:jc w:val="both"/>
        <w:rPr>
          <w:color w:val="000000"/>
        </w:rPr>
      </w:pPr>
    </w:p>
    <w:p w14:paraId="4EEA405D" w14:textId="77777777" w:rsidR="00F00C74" w:rsidRPr="00F00C74" w:rsidRDefault="00F00C74" w:rsidP="00F00C74">
      <w:pPr>
        <w:autoSpaceDE w:val="0"/>
        <w:autoSpaceDN w:val="0"/>
        <w:adjustRightInd w:val="0"/>
        <w:jc w:val="both"/>
        <w:rPr>
          <w:color w:val="000000"/>
        </w:rPr>
      </w:pPr>
      <w:r w:rsidRPr="00F00C74">
        <w:rPr>
          <w:color w:val="000000"/>
        </w:rPr>
        <w:t>Détenue à 100%, La Banque Postale Home Loan SFH est consolidée dans les comptes de La Banque Postale et fait partie du périmètre d’intégration fiscale de La Poste.</w:t>
      </w:r>
    </w:p>
    <w:p w14:paraId="188B84F5" w14:textId="77777777" w:rsidR="0077093A" w:rsidRPr="00734F3D" w:rsidRDefault="0077093A" w:rsidP="0077093A">
      <w:pPr>
        <w:autoSpaceDE w:val="0"/>
        <w:autoSpaceDN w:val="0"/>
        <w:adjustRightInd w:val="0"/>
        <w:jc w:val="both"/>
        <w:rPr>
          <w:color w:val="000000"/>
        </w:rPr>
      </w:pPr>
    </w:p>
    <w:p w14:paraId="3B7867C5" w14:textId="77777777" w:rsidR="0077093A" w:rsidRPr="00734F3D" w:rsidRDefault="0077093A" w:rsidP="0077093A">
      <w:pPr>
        <w:autoSpaceDE w:val="0"/>
        <w:autoSpaceDN w:val="0"/>
        <w:adjustRightInd w:val="0"/>
        <w:jc w:val="both"/>
        <w:rPr>
          <w:color w:val="000000"/>
        </w:rPr>
      </w:pPr>
    </w:p>
    <w:p w14:paraId="1531D652" w14:textId="77777777" w:rsidR="0077093A" w:rsidRPr="00734F3D" w:rsidRDefault="0077093A" w:rsidP="0077093A">
      <w:pPr>
        <w:autoSpaceDE w:val="0"/>
        <w:autoSpaceDN w:val="0"/>
        <w:adjustRightInd w:val="0"/>
        <w:jc w:val="both"/>
        <w:rPr>
          <w:b/>
          <w:bCs/>
          <w:i/>
          <w:iCs/>
          <w:caps/>
          <w:color w:val="000000"/>
        </w:rPr>
      </w:pPr>
      <w:r w:rsidRPr="00734F3D">
        <w:rPr>
          <w:b/>
          <w:bCs/>
          <w:i/>
          <w:iCs/>
          <w:caps/>
          <w:color w:val="000000"/>
        </w:rPr>
        <w:t>changement de méthode et comparabilité</w:t>
      </w:r>
    </w:p>
    <w:p w14:paraId="33F7D4E4" w14:textId="77777777" w:rsidR="0077093A" w:rsidRPr="00734F3D" w:rsidRDefault="0077093A" w:rsidP="0077093A">
      <w:pPr>
        <w:autoSpaceDE w:val="0"/>
        <w:autoSpaceDN w:val="0"/>
        <w:adjustRightInd w:val="0"/>
        <w:jc w:val="both"/>
        <w:rPr>
          <w:b/>
          <w:bCs/>
          <w:i/>
          <w:iCs/>
          <w:caps/>
          <w:color w:val="000000"/>
        </w:rPr>
      </w:pPr>
    </w:p>
    <w:p w14:paraId="45AF0525" w14:textId="77777777" w:rsidR="0077093A" w:rsidRPr="00734F3D" w:rsidRDefault="0077093A" w:rsidP="0077093A">
      <w:pPr>
        <w:autoSpaceDE w:val="0"/>
        <w:autoSpaceDN w:val="0"/>
        <w:adjustRightInd w:val="0"/>
        <w:jc w:val="both"/>
        <w:rPr>
          <w:color w:val="000000"/>
        </w:rPr>
      </w:pPr>
      <w:r w:rsidRPr="00734F3D">
        <w:rPr>
          <w:color w:val="000000"/>
        </w:rPr>
        <w:t>Il n’y a pas de changement de méthode dans l’établissement des comptes annuels de la SFH.</w:t>
      </w:r>
    </w:p>
    <w:p w14:paraId="66653FDF" w14:textId="77777777" w:rsidR="0077093A" w:rsidRPr="00734F3D" w:rsidRDefault="0077093A" w:rsidP="0077093A">
      <w:pPr>
        <w:autoSpaceDE w:val="0"/>
        <w:autoSpaceDN w:val="0"/>
        <w:adjustRightInd w:val="0"/>
        <w:jc w:val="both"/>
        <w:rPr>
          <w:color w:val="000000"/>
        </w:rPr>
      </w:pPr>
    </w:p>
    <w:p w14:paraId="55502946" w14:textId="77777777" w:rsidR="0077093A" w:rsidRPr="00734F3D" w:rsidRDefault="0077093A" w:rsidP="0077093A">
      <w:pPr>
        <w:autoSpaceDE w:val="0"/>
        <w:autoSpaceDN w:val="0"/>
        <w:adjustRightInd w:val="0"/>
        <w:jc w:val="both"/>
        <w:rPr>
          <w:b/>
          <w:bCs/>
          <w:i/>
          <w:iCs/>
          <w:caps/>
          <w:color w:val="000000"/>
        </w:rPr>
      </w:pPr>
    </w:p>
    <w:p w14:paraId="7F4C4568" w14:textId="77777777" w:rsidR="0077093A" w:rsidRPr="00734F3D" w:rsidRDefault="0077093A" w:rsidP="0077093A">
      <w:pPr>
        <w:autoSpaceDE w:val="0"/>
        <w:autoSpaceDN w:val="0"/>
        <w:adjustRightInd w:val="0"/>
        <w:jc w:val="both"/>
        <w:rPr>
          <w:b/>
          <w:bCs/>
          <w:i/>
          <w:iCs/>
          <w:caps/>
          <w:color w:val="000000"/>
        </w:rPr>
      </w:pPr>
      <w:r w:rsidRPr="00734F3D">
        <w:rPr>
          <w:b/>
          <w:bCs/>
          <w:i/>
          <w:iCs/>
          <w:caps/>
          <w:color w:val="000000"/>
        </w:rPr>
        <w:t>Historique</w:t>
      </w:r>
    </w:p>
    <w:p w14:paraId="2C0FA4F6" w14:textId="77777777" w:rsidR="0077093A" w:rsidRPr="00734F3D" w:rsidRDefault="0077093A" w:rsidP="0077093A">
      <w:pPr>
        <w:autoSpaceDE w:val="0"/>
        <w:autoSpaceDN w:val="0"/>
        <w:adjustRightInd w:val="0"/>
        <w:jc w:val="both"/>
        <w:rPr>
          <w:b/>
          <w:bCs/>
          <w:color w:val="000000"/>
        </w:rPr>
      </w:pPr>
    </w:p>
    <w:p w14:paraId="6F3846B5" w14:textId="77777777" w:rsidR="0077093A" w:rsidRPr="00734F3D" w:rsidRDefault="0077093A" w:rsidP="0077093A">
      <w:pPr>
        <w:jc w:val="both"/>
        <w:rPr>
          <w:iCs/>
        </w:rPr>
      </w:pPr>
      <w:r w:rsidRPr="00734F3D">
        <w:rPr>
          <w:iCs/>
        </w:rPr>
        <w:t xml:space="preserve">La Société a été agréée en qualité de société financière le 18 juillet 2013 et elle a ensuite dû opter pour le statut d’établissement de crédit spécialisé afin de se conformer aux dispositions du Règlement européen </w:t>
      </w:r>
      <w:r w:rsidRPr="00734F3D">
        <w:rPr>
          <w:i/>
          <w:iCs/>
        </w:rPr>
        <w:t>Capital Requirements Regulation (CRR)</w:t>
      </w:r>
      <w:r w:rsidRPr="00734F3D">
        <w:rPr>
          <w:iCs/>
        </w:rPr>
        <w:t>.</w:t>
      </w:r>
    </w:p>
    <w:p w14:paraId="0597E933" w14:textId="77777777" w:rsidR="0077093A" w:rsidRPr="00734F3D" w:rsidRDefault="0077093A" w:rsidP="0077093A">
      <w:pPr>
        <w:jc w:val="both"/>
        <w:rPr>
          <w:rFonts w:asciiTheme="minorHAnsi" w:hAnsiTheme="minorHAnsi" w:cstheme="minorHAnsi"/>
          <w:iCs/>
          <w:highlight w:val="yellow"/>
        </w:rPr>
      </w:pPr>
    </w:p>
    <w:p w14:paraId="2FDA0F36" w14:textId="77777777" w:rsidR="0077093A" w:rsidRPr="00734F3D" w:rsidRDefault="0077093A" w:rsidP="0077093A">
      <w:pPr>
        <w:autoSpaceDE w:val="0"/>
        <w:autoSpaceDN w:val="0"/>
        <w:adjustRightInd w:val="0"/>
        <w:jc w:val="both"/>
        <w:rPr>
          <w:b/>
          <w:bCs/>
          <w:i/>
          <w:iCs/>
          <w:caps/>
          <w:color w:val="000000"/>
        </w:rPr>
      </w:pPr>
      <w:r w:rsidRPr="00734F3D">
        <w:rPr>
          <w:b/>
          <w:bCs/>
          <w:i/>
          <w:iCs/>
          <w:caps/>
          <w:color w:val="000000"/>
        </w:rPr>
        <w:t>EVENEMENTS SIGNIFICATIFS</w:t>
      </w:r>
    </w:p>
    <w:p w14:paraId="5B86619C" w14:textId="77777777" w:rsidR="0077093A" w:rsidRPr="00734F3D" w:rsidRDefault="0077093A" w:rsidP="0077093A">
      <w:pPr>
        <w:jc w:val="both"/>
        <w:rPr>
          <w:iCs/>
        </w:rPr>
      </w:pPr>
    </w:p>
    <w:p w14:paraId="4D5B7317" w14:textId="77777777" w:rsidR="0077093A" w:rsidRPr="00734F3D" w:rsidRDefault="0077093A" w:rsidP="0077093A">
      <w:pPr>
        <w:autoSpaceDE w:val="0"/>
        <w:autoSpaceDN w:val="0"/>
        <w:adjustRightInd w:val="0"/>
        <w:jc w:val="both"/>
        <w:rPr>
          <w:b/>
          <w:bCs/>
          <w:i/>
          <w:iCs/>
          <w:caps/>
          <w:color w:val="000000"/>
        </w:rPr>
      </w:pPr>
      <w:r w:rsidRPr="00734F3D">
        <w:rPr>
          <w:b/>
          <w:bCs/>
          <w:i/>
          <w:iCs/>
          <w:caps/>
          <w:color w:val="000000"/>
        </w:rPr>
        <w:t xml:space="preserve">Activité </w:t>
      </w:r>
    </w:p>
    <w:p w14:paraId="32DD3955" w14:textId="77777777" w:rsidR="00F00C74" w:rsidRPr="00F00C74" w:rsidRDefault="0077093A" w:rsidP="00F00C74">
      <w:pPr>
        <w:autoSpaceDE w:val="0"/>
        <w:autoSpaceDN w:val="0"/>
        <w:adjustRightInd w:val="0"/>
        <w:ind w:firstLine="708"/>
        <w:jc w:val="both"/>
        <w:rPr>
          <w:color w:val="000000"/>
        </w:rPr>
      </w:pPr>
      <w:r w:rsidRPr="00734F3D">
        <w:rPr>
          <w:b/>
          <w:bCs/>
          <w:i/>
          <w:iCs/>
          <w:caps/>
          <w:color w:val="000000"/>
        </w:rPr>
        <w:br/>
      </w:r>
      <w:r w:rsidR="00F00C74" w:rsidRPr="00F00C74">
        <w:rPr>
          <w:color w:val="000000"/>
        </w:rPr>
        <w:t>En 2019, la société a émis pour 4 170 millions d’euros d’obligations de financement de l’habitat dans le cadre de son programme de Covered Bonds, sous format EMTN ou Namens. Cela s’est traduit par la mise au marché de :</w:t>
      </w:r>
    </w:p>
    <w:p w14:paraId="6BED450C" w14:textId="77777777" w:rsidR="00F00C74" w:rsidRPr="00F00C74" w:rsidRDefault="00F00C74" w:rsidP="00F00C74">
      <w:pPr>
        <w:autoSpaceDE w:val="0"/>
        <w:autoSpaceDN w:val="0"/>
        <w:adjustRightInd w:val="0"/>
        <w:ind w:firstLine="708"/>
        <w:jc w:val="both"/>
        <w:rPr>
          <w:color w:val="000000"/>
        </w:rPr>
      </w:pPr>
      <w:r w:rsidRPr="00F00C74">
        <w:rPr>
          <w:color w:val="000000"/>
        </w:rPr>
        <w:t>-</w:t>
      </w:r>
      <w:r w:rsidRPr="00F00C74">
        <w:rPr>
          <w:color w:val="000000"/>
        </w:rPr>
        <w:tab/>
        <w:t>deux émissions publiques de 750 millions d’euros et de 1 000 millions d’euros respectivement à 7 ans et 10 ans au format EMTN ;</w:t>
      </w:r>
    </w:p>
    <w:p w14:paraId="087ECF08" w14:textId="77777777" w:rsidR="00F00C74" w:rsidRPr="00F00C74" w:rsidRDefault="00F00C74" w:rsidP="00F00C74">
      <w:pPr>
        <w:autoSpaceDE w:val="0"/>
        <w:autoSpaceDN w:val="0"/>
        <w:adjustRightInd w:val="0"/>
        <w:ind w:firstLine="708"/>
        <w:jc w:val="both"/>
        <w:rPr>
          <w:color w:val="000000"/>
        </w:rPr>
      </w:pPr>
      <w:r w:rsidRPr="00F00C74">
        <w:rPr>
          <w:color w:val="000000"/>
        </w:rPr>
        <w:t>-</w:t>
      </w:r>
      <w:r w:rsidRPr="00F00C74">
        <w:rPr>
          <w:color w:val="000000"/>
        </w:rPr>
        <w:tab/>
        <w:t>un abondement de 250 millions d’euros sur une souche de maturité octobre 2028 ;</w:t>
      </w:r>
    </w:p>
    <w:p w14:paraId="03D90827" w14:textId="77777777" w:rsidR="00F00C74" w:rsidRPr="00F00C74" w:rsidRDefault="00F00C74" w:rsidP="00F00C74">
      <w:pPr>
        <w:autoSpaceDE w:val="0"/>
        <w:autoSpaceDN w:val="0"/>
        <w:adjustRightInd w:val="0"/>
        <w:ind w:firstLine="708"/>
        <w:jc w:val="both"/>
        <w:rPr>
          <w:color w:val="000000"/>
        </w:rPr>
      </w:pPr>
      <w:r w:rsidRPr="00F00C74">
        <w:rPr>
          <w:color w:val="000000"/>
        </w:rPr>
        <w:t>-</w:t>
      </w:r>
      <w:r w:rsidRPr="00F00C74">
        <w:rPr>
          <w:color w:val="000000"/>
        </w:rPr>
        <w:tab/>
        <w:t>quatre émissions retained de 500 millions d’euro de maturité allant de 4 à 6 ans au format EMTN ;</w:t>
      </w:r>
    </w:p>
    <w:p w14:paraId="381A7405" w14:textId="77777777" w:rsidR="00F00C74" w:rsidRPr="00F00C74" w:rsidRDefault="00F00C74" w:rsidP="00F00C74">
      <w:pPr>
        <w:autoSpaceDE w:val="0"/>
        <w:autoSpaceDN w:val="0"/>
        <w:adjustRightInd w:val="0"/>
        <w:ind w:firstLine="708"/>
        <w:jc w:val="both"/>
        <w:rPr>
          <w:color w:val="000000"/>
        </w:rPr>
      </w:pPr>
      <w:r w:rsidRPr="00F00C74">
        <w:rPr>
          <w:color w:val="000000"/>
        </w:rPr>
        <w:t>-</w:t>
      </w:r>
      <w:r w:rsidRPr="00F00C74">
        <w:rPr>
          <w:color w:val="000000"/>
        </w:rPr>
        <w:tab/>
        <w:t>deux placements privés pour un total de 70 millions d’euros à 20 ans chacune au format EMTN ;</w:t>
      </w:r>
    </w:p>
    <w:p w14:paraId="69E1B1F7" w14:textId="77777777" w:rsidR="00F00C74" w:rsidRPr="00F00C74" w:rsidRDefault="00F00C74" w:rsidP="00F00C74">
      <w:pPr>
        <w:autoSpaceDE w:val="0"/>
        <w:autoSpaceDN w:val="0"/>
        <w:adjustRightInd w:val="0"/>
        <w:ind w:firstLine="708"/>
        <w:jc w:val="both"/>
        <w:rPr>
          <w:color w:val="000000"/>
        </w:rPr>
      </w:pPr>
      <w:r w:rsidRPr="00F00C74">
        <w:rPr>
          <w:color w:val="000000"/>
        </w:rPr>
        <w:t>-</w:t>
      </w:r>
      <w:r w:rsidRPr="00F00C74">
        <w:rPr>
          <w:color w:val="000000"/>
        </w:rPr>
        <w:tab/>
        <w:t>2 placements privés au format NAMENS pour un cumul de 100 millions d’euros avec des maturités de 20 et 25 ans.</w:t>
      </w:r>
    </w:p>
    <w:p w14:paraId="12753BE2" w14:textId="77777777" w:rsidR="00F00C74" w:rsidRPr="00F00C74" w:rsidRDefault="00F00C74" w:rsidP="00F00C74">
      <w:pPr>
        <w:autoSpaceDE w:val="0"/>
        <w:autoSpaceDN w:val="0"/>
        <w:adjustRightInd w:val="0"/>
        <w:ind w:firstLine="708"/>
        <w:jc w:val="both"/>
        <w:rPr>
          <w:color w:val="000000"/>
        </w:rPr>
      </w:pPr>
    </w:p>
    <w:p w14:paraId="3686F6D6" w14:textId="77777777" w:rsidR="00F00C74" w:rsidRPr="00F00C74" w:rsidRDefault="00F00C74" w:rsidP="00F00C74">
      <w:pPr>
        <w:autoSpaceDE w:val="0"/>
        <w:autoSpaceDN w:val="0"/>
        <w:adjustRightInd w:val="0"/>
        <w:ind w:firstLine="708"/>
        <w:jc w:val="both"/>
        <w:rPr>
          <w:color w:val="000000"/>
        </w:rPr>
      </w:pPr>
      <w:r w:rsidRPr="00F00C74">
        <w:rPr>
          <w:color w:val="000000"/>
        </w:rPr>
        <w:t>Les primes et frais liés aux émissions sont étalés comptablement sur la durée de vie des titres émis.</w:t>
      </w:r>
    </w:p>
    <w:p w14:paraId="72B8503F" w14:textId="77777777" w:rsidR="00F00C74" w:rsidRPr="00F00C74" w:rsidRDefault="00F00C74" w:rsidP="00F00C74">
      <w:pPr>
        <w:autoSpaceDE w:val="0"/>
        <w:autoSpaceDN w:val="0"/>
        <w:adjustRightInd w:val="0"/>
        <w:ind w:firstLine="708"/>
        <w:jc w:val="both"/>
        <w:rPr>
          <w:color w:val="000000"/>
        </w:rPr>
      </w:pPr>
    </w:p>
    <w:p w14:paraId="23EB7F4B" w14:textId="77777777" w:rsidR="00F00C74" w:rsidRPr="00F00C74" w:rsidRDefault="00F00C74" w:rsidP="00F00C74">
      <w:pPr>
        <w:autoSpaceDE w:val="0"/>
        <w:autoSpaceDN w:val="0"/>
        <w:adjustRightInd w:val="0"/>
        <w:ind w:firstLine="708"/>
        <w:jc w:val="both"/>
        <w:rPr>
          <w:color w:val="000000"/>
        </w:rPr>
      </w:pPr>
      <w:r w:rsidRPr="00F00C74">
        <w:rPr>
          <w:color w:val="000000"/>
        </w:rPr>
        <w:t xml:space="preserve">Le passif privilégié de La Banque Postale Home Loan SFH est sécurisé par la remise en garantie par La Banque Postale d’un pool de prêts à l’habitat, le Cover Pool. La taille du Cover Pool a suivi l’évolution suivante : </w:t>
      </w:r>
    </w:p>
    <w:p w14:paraId="1C7F2435" w14:textId="77777777" w:rsidR="00F00C74" w:rsidRPr="00F00C74" w:rsidRDefault="00F00C74" w:rsidP="00F00C74">
      <w:pPr>
        <w:numPr>
          <w:ilvl w:val="0"/>
          <w:numId w:val="48"/>
        </w:numPr>
        <w:autoSpaceDE w:val="0"/>
        <w:autoSpaceDN w:val="0"/>
        <w:adjustRightInd w:val="0"/>
        <w:jc w:val="both"/>
        <w:rPr>
          <w:color w:val="000000"/>
        </w:rPr>
      </w:pPr>
      <w:r w:rsidRPr="00F00C74">
        <w:rPr>
          <w:color w:val="000000"/>
        </w:rPr>
        <w:t>5,7 milliards d’euros à fin décembre 2015 ;</w:t>
      </w:r>
    </w:p>
    <w:p w14:paraId="549CD56D" w14:textId="77777777" w:rsidR="00F00C74" w:rsidRPr="00F00C74" w:rsidRDefault="00F00C74" w:rsidP="00F00C74">
      <w:pPr>
        <w:numPr>
          <w:ilvl w:val="0"/>
          <w:numId w:val="48"/>
        </w:numPr>
        <w:autoSpaceDE w:val="0"/>
        <w:autoSpaceDN w:val="0"/>
        <w:adjustRightInd w:val="0"/>
        <w:jc w:val="both"/>
        <w:rPr>
          <w:color w:val="000000"/>
        </w:rPr>
      </w:pPr>
      <w:r w:rsidRPr="00F00C74">
        <w:rPr>
          <w:color w:val="000000"/>
        </w:rPr>
        <w:t>6,5 milliards d’euros à fin décembre 2016 ;</w:t>
      </w:r>
    </w:p>
    <w:p w14:paraId="1FB49E13" w14:textId="77777777" w:rsidR="00F00C74" w:rsidRPr="00F00C74" w:rsidRDefault="00F00C74" w:rsidP="00F00C74">
      <w:pPr>
        <w:numPr>
          <w:ilvl w:val="0"/>
          <w:numId w:val="48"/>
        </w:numPr>
        <w:autoSpaceDE w:val="0"/>
        <w:autoSpaceDN w:val="0"/>
        <w:adjustRightInd w:val="0"/>
        <w:jc w:val="both"/>
        <w:rPr>
          <w:color w:val="000000"/>
        </w:rPr>
      </w:pPr>
      <w:r w:rsidRPr="00F00C74">
        <w:rPr>
          <w:color w:val="000000"/>
        </w:rPr>
        <w:t>8,5 milliards d’euro à fin décembre 2017 ;</w:t>
      </w:r>
    </w:p>
    <w:p w14:paraId="6F2112D2" w14:textId="77777777" w:rsidR="00F00C74" w:rsidRPr="00F00C74" w:rsidRDefault="00F00C74" w:rsidP="00F00C74">
      <w:pPr>
        <w:numPr>
          <w:ilvl w:val="0"/>
          <w:numId w:val="48"/>
        </w:numPr>
        <w:autoSpaceDE w:val="0"/>
        <w:autoSpaceDN w:val="0"/>
        <w:adjustRightInd w:val="0"/>
        <w:jc w:val="both"/>
        <w:rPr>
          <w:color w:val="000000"/>
        </w:rPr>
      </w:pPr>
      <w:r w:rsidRPr="00F00C74">
        <w:rPr>
          <w:color w:val="000000"/>
        </w:rPr>
        <w:t>10.9 milliards d’euro à fin décembre 2018 ;</w:t>
      </w:r>
    </w:p>
    <w:p w14:paraId="62DBECE9" w14:textId="77777777" w:rsidR="00F00C74" w:rsidRPr="00F00C74" w:rsidRDefault="00F00C74" w:rsidP="00F00C74">
      <w:pPr>
        <w:numPr>
          <w:ilvl w:val="0"/>
          <w:numId w:val="48"/>
        </w:numPr>
        <w:autoSpaceDE w:val="0"/>
        <w:autoSpaceDN w:val="0"/>
        <w:adjustRightInd w:val="0"/>
        <w:jc w:val="both"/>
        <w:rPr>
          <w:color w:val="000000"/>
        </w:rPr>
      </w:pPr>
      <w:r w:rsidRPr="00F00C74">
        <w:rPr>
          <w:color w:val="000000"/>
        </w:rPr>
        <w:t>15.8 milliards d’euro à fin 2019.</w:t>
      </w:r>
    </w:p>
    <w:p w14:paraId="2A1C92C5" w14:textId="77777777" w:rsidR="00F00C74" w:rsidRPr="00F00C74" w:rsidRDefault="00F00C74" w:rsidP="00F00C74">
      <w:pPr>
        <w:autoSpaceDE w:val="0"/>
        <w:autoSpaceDN w:val="0"/>
        <w:adjustRightInd w:val="0"/>
        <w:ind w:firstLine="708"/>
        <w:jc w:val="both"/>
        <w:rPr>
          <w:color w:val="000000"/>
        </w:rPr>
      </w:pPr>
    </w:p>
    <w:p w14:paraId="2537472A" w14:textId="3FA7432F" w:rsidR="00F00C74" w:rsidRPr="00F00C74" w:rsidRDefault="00F00C74" w:rsidP="00F00C74">
      <w:pPr>
        <w:autoSpaceDE w:val="0"/>
        <w:autoSpaceDN w:val="0"/>
        <w:adjustRightInd w:val="0"/>
        <w:ind w:firstLine="708"/>
        <w:jc w:val="both"/>
        <w:rPr>
          <w:color w:val="000000"/>
        </w:rPr>
      </w:pPr>
      <w:r w:rsidRPr="00F00C74">
        <w:rPr>
          <w:color w:val="000000"/>
        </w:rPr>
        <w:t>Les prêts collatéralisés consentis par la Société à La Banque Postale sont adossés en nominal et en maturité aux ressources privilégiées : une marge fixe est appliquée au taux fixe des prêts visant à couvrir les frais fixes de la Société sur la base d’un programme d’émissions. Les frais rattachés aux émissions sécurisées sont répercutés</w:t>
      </w:r>
      <w:r w:rsidR="00135F66">
        <w:rPr>
          <w:color w:val="000000"/>
        </w:rPr>
        <w:t xml:space="preserve"> </w:t>
      </w:r>
      <w:r w:rsidRPr="00F00C74">
        <w:rPr>
          <w:color w:val="000000"/>
        </w:rPr>
        <w:t xml:space="preserve">sur les prêts. </w:t>
      </w:r>
    </w:p>
    <w:p w14:paraId="54B1E78E" w14:textId="77777777" w:rsidR="00F00C74" w:rsidRPr="00F00C74" w:rsidRDefault="00F00C74" w:rsidP="00F00C74">
      <w:pPr>
        <w:autoSpaceDE w:val="0"/>
        <w:autoSpaceDN w:val="0"/>
        <w:adjustRightInd w:val="0"/>
        <w:ind w:firstLine="708"/>
        <w:jc w:val="both"/>
        <w:rPr>
          <w:color w:val="000000"/>
        </w:rPr>
      </w:pPr>
    </w:p>
    <w:p w14:paraId="480D0F7F" w14:textId="77777777" w:rsidR="00F00C74" w:rsidRPr="00F00C74" w:rsidRDefault="00F00C74" w:rsidP="00F00C74">
      <w:pPr>
        <w:autoSpaceDE w:val="0"/>
        <w:autoSpaceDN w:val="0"/>
        <w:adjustRightInd w:val="0"/>
        <w:ind w:firstLine="708"/>
        <w:jc w:val="both"/>
        <w:rPr>
          <w:color w:val="000000"/>
        </w:rPr>
      </w:pPr>
      <w:r w:rsidRPr="00F00C74">
        <w:rPr>
          <w:color w:val="000000"/>
        </w:rPr>
        <w:t>Le 9 décembre 2016, la SFH a conclu avec La Banque Postale une convention de dépôt Espèces d’un montant de 25 millions d’euros pour une durée de un an qui est depuis renouvelée par tacite reconduction pour une durée identique, cette convention visant à permettre de couvrir les besoins de trésorerie à 180 jours conformément aux exigences réglementaires.</w:t>
      </w:r>
    </w:p>
    <w:p w14:paraId="38185DF8" w14:textId="77777777" w:rsidR="00F00C74" w:rsidRPr="00F00C74" w:rsidRDefault="00F00C74" w:rsidP="00F00C74">
      <w:pPr>
        <w:autoSpaceDE w:val="0"/>
        <w:autoSpaceDN w:val="0"/>
        <w:adjustRightInd w:val="0"/>
        <w:ind w:firstLine="708"/>
        <w:jc w:val="both"/>
        <w:rPr>
          <w:color w:val="000000"/>
        </w:rPr>
      </w:pPr>
    </w:p>
    <w:p w14:paraId="19D9BCFA" w14:textId="77777777" w:rsidR="00F00C74" w:rsidRPr="00F00C74" w:rsidRDefault="00F00C74" w:rsidP="00F00C74">
      <w:pPr>
        <w:autoSpaceDE w:val="0"/>
        <w:autoSpaceDN w:val="0"/>
        <w:adjustRightInd w:val="0"/>
        <w:ind w:firstLine="708"/>
        <w:jc w:val="both"/>
        <w:rPr>
          <w:color w:val="000000"/>
        </w:rPr>
      </w:pPr>
      <w:r w:rsidRPr="00F00C74">
        <w:rPr>
          <w:color w:val="000000"/>
        </w:rPr>
        <w:t>Pour mémoire, la taille du programme d’émission est passée à 20 milliards d’euro au mois de septembre 2018.</w:t>
      </w:r>
    </w:p>
    <w:p w14:paraId="0223C59D" w14:textId="33DFFC42" w:rsidR="0077093A" w:rsidRPr="00734F3D" w:rsidRDefault="0077093A" w:rsidP="00F00C74">
      <w:pPr>
        <w:autoSpaceDE w:val="0"/>
        <w:autoSpaceDN w:val="0"/>
        <w:adjustRightInd w:val="0"/>
        <w:ind w:firstLine="708"/>
        <w:jc w:val="both"/>
        <w:rPr>
          <w:color w:val="000000"/>
        </w:rPr>
      </w:pPr>
    </w:p>
    <w:p w14:paraId="3160D34E" w14:textId="77777777" w:rsidR="0077093A" w:rsidRPr="00734F3D" w:rsidRDefault="0077093A" w:rsidP="0077093A">
      <w:pPr>
        <w:autoSpaceDE w:val="0"/>
        <w:autoSpaceDN w:val="0"/>
        <w:adjustRightInd w:val="0"/>
        <w:jc w:val="both"/>
        <w:rPr>
          <w:rFonts w:asciiTheme="minorHAnsi" w:hAnsiTheme="minorHAnsi" w:cstheme="minorHAnsi"/>
          <w:b/>
          <w:bCs/>
          <w:i/>
          <w:iCs/>
          <w:caps/>
          <w:color w:val="000000"/>
          <w:highlight w:val="yellow"/>
        </w:rPr>
      </w:pPr>
      <w:r w:rsidRPr="00734F3D">
        <w:rPr>
          <w:rFonts w:asciiTheme="minorHAnsi" w:hAnsiTheme="minorHAnsi" w:cstheme="minorHAnsi"/>
          <w:color w:val="000000"/>
          <w:highlight w:val="yellow"/>
        </w:rPr>
        <w:t xml:space="preserve"> </w:t>
      </w:r>
    </w:p>
    <w:p w14:paraId="6A9724D0" w14:textId="77777777" w:rsidR="0077093A" w:rsidRPr="00734F3D" w:rsidRDefault="0077093A" w:rsidP="0077093A">
      <w:pPr>
        <w:autoSpaceDE w:val="0"/>
        <w:autoSpaceDN w:val="0"/>
        <w:adjustRightInd w:val="0"/>
        <w:jc w:val="both"/>
        <w:rPr>
          <w:b/>
          <w:bCs/>
          <w:i/>
          <w:iCs/>
          <w:caps/>
          <w:color w:val="000000"/>
        </w:rPr>
      </w:pPr>
      <w:r w:rsidRPr="00734F3D">
        <w:rPr>
          <w:b/>
          <w:bCs/>
          <w:i/>
          <w:iCs/>
          <w:caps/>
          <w:color w:val="000000"/>
        </w:rPr>
        <w:t>EVENEMENTS SIGNIFICATIFS POSTERIEURS A LA CLOTURE</w:t>
      </w:r>
    </w:p>
    <w:p w14:paraId="436C295D" w14:textId="299AB084" w:rsidR="0077093A" w:rsidRPr="00734F3D" w:rsidRDefault="0077093A" w:rsidP="00D9033E">
      <w:pPr>
        <w:autoSpaceDE w:val="0"/>
        <w:autoSpaceDN w:val="0"/>
        <w:adjustRightInd w:val="0"/>
        <w:jc w:val="both"/>
        <w:rPr>
          <w:color w:val="000000"/>
        </w:rPr>
      </w:pPr>
      <w:r w:rsidRPr="00734F3D">
        <w:rPr>
          <w:b/>
          <w:bCs/>
          <w:i/>
          <w:iCs/>
          <w:caps/>
          <w:color w:val="000000"/>
        </w:rPr>
        <w:br/>
      </w:r>
      <w:r w:rsidR="00F00C74">
        <w:rPr>
          <w:color w:val="000000"/>
        </w:rPr>
        <w:t>Néant</w:t>
      </w:r>
    </w:p>
    <w:p w14:paraId="277B9A8C" w14:textId="77777777" w:rsidR="0077093A" w:rsidRPr="00734F3D" w:rsidRDefault="0077093A" w:rsidP="0077093A">
      <w:pPr>
        <w:autoSpaceDE w:val="0"/>
        <w:autoSpaceDN w:val="0"/>
        <w:adjustRightInd w:val="0"/>
        <w:jc w:val="both"/>
        <w:rPr>
          <w:rFonts w:asciiTheme="minorHAnsi" w:hAnsiTheme="minorHAnsi" w:cstheme="minorHAnsi"/>
          <w:color w:val="000000"/>
          <w:highlight w:val="yellow"/>
        </w:rPr>
      </w:pPr>
    </w:p>
    <w:p w14:paraId="4BE4A475" w14:textId="77777777" w:rsidR="0077093A" w:rsidRPr="00734F3D" w:rsidRDefault="0077093A" w:rsidP="0077093A">
      <w:pPr>
        <w:autoSpaceDE w:val="0"/>
        <w:autoSpaceDN w:val="0"/>
        <w:adjustRightInd w:val="0"/>
        <w:jc w:val="both"/>
        <w:rPr>
          <w:b/>
          <w:bCs/>
          <w:i/>
          <w:iCs/>
          <w:color w:val="000000"/>
        </w:rPr>
      </w:pPr>
      <w:r w:rsidRPr="00734F3D">
        <w:rPr>
          <w:b/>
          <w:bCs/>
          <w:i/>
          <w:iCs/>
          <w:color w:val="000000"/>
        </w:rPr>
        <w:t>REGLES DE PRESENTATION ET D’EVALUATION</w:t>
      </w:r>
    </w:p>
    <w:p w14:paraId="1D85EDCE" w14:textId="77777777" w:rsidR="0077093A" w:rsidRPr="00734F3D" w:rsidRDefault="0077093A" w:rsidP="00F00C74">
      <w:pPr>
        <w:autoSpaceDE w:val="0"/>
        <w:autoSpaceDN w:val="0"/>
        <w:adjustRightInd w:val="0"/>
        <w:spacing w:after="120"/>
        <w:jc w:val="both"/>
        <w:rPr>
          <w:b/>
          <w:bCs/>
          <w:i/>
          <w:iCs/>
          <w:color w:val="000000"/>
        </w:rPr>
      </w:pPr>
    </w:p>
    <w:p w14:paraId="0CE0A99A" w14:textId="77777777" w:rsidR="00F00C74" w:rsidRPr="00F00C74" w:rsidRDefault="00F00C74" w:rsidP="00F00C74">
      <w:pPr>
        <w:autoSpaceDE w:val="0"/>
        <w:autoSpaceDN w:val="0"/>
        <w:adjustRightInd w:val="0"/>
        <w:spacing w:after="120"/>
        <w:jc w:val="both"/>
        <w:rPr>
          <w:color w:val="000000"/>
        </w:rPr>
      </w:pPr>
      <w:r w:rsidRPr="00F00C74">
        <w:rPr>
          <w:color w:val="000000"/>
        </w:rPr>
        <w:t>Le règlement de l’Autorité des Normes Comptables n°2014-07 du 26 novembre 2014, relatif aux comptes des entreprises du secteur bancaire, est appliqué.</w:t>
      </w:r>
    </w:p>
    <w:p w14:paraId="21D734AA" w14:textId="77777777" w:rsidR="00F00C74" w:rsidRPr="00F00C74" w:rsidRDefault="00F00C74" w:rsidP="00F00C74">
      <w:pPr>
        <w:autoSpaceDE w:val="0"/>
        <w:autoSpaceDN w:val="0"/>
        <w:adjustRightInd w:val="0"/>
        <w:spacing w:after="120"/>
        <w:jc w:val="both"/>
        <w:rPr>
          <w:color w:val="000000"/>
        </w:rPr>
      </w:pPr>
      <w:r w:rsidRPr="00F00C74">
        <w:rPr>
          <w:color w:val="000000"/>
        </w:rPr>
        <w:t>Ce règlement définit les modalités de comptabilisation de toutes les opérations relevant de l’activité bancaire (créances sur les établissements de crédit et sur la clientèle, titres à revenus fixes, engagements par signature et instruments financiers) et de traitement du risque de crédit qui y est associé.</w:t>
      </w:r>
    </w:p>
    <w:p w14:paraId="580C2EAE" w14:textId="77777777" w:rsidR="00F00C74" w:rsidRPr="00F00C74" w:rsidRDefault="00F00C74" w:rsidP="00F00C74">
      <w:pPr>
        <w:autoSpaceDE w:val="0"/>
        <w:autoSpaceDN w:val="0"/>
        <w:adjustRightInd w:val="0"/>
        <w:spacing w:after="120"/>
        <w:jc w:val="both"/>
        <w:rPr>
          <w:color w:val="000000"/>
        </w:rPr>
      </w:pPr>
      <w:r w:rsidRPr="00F00C74">
        <w:rPr>
          <w:color w:val="000000"/>
        </w:rPr>
        <w:t>Pour une contrepartie donnée, le risque de crédit se caractérise par l’existence d’une perte potentielle liée à une possibilité de défaillance de cette dernière par rapport aux engagements qu’elle a souscrits.</w:t>
      </w:r>
    </w:p>
    <w:p w14:paraId="642FEC79" w14:textId="77777777" w:rsidR="0077093A" w:rsidRPr="00734F3D" w:rsidRDefault="0077093A" w:rsidP="0077093A">
      <w:pPr>
        <w:autoSpaceDE w:val="0"/>
        <w:autoSpaceDN w:val="0"/>
        <w:adjustRightInd w:val="0"/>
        <w:jc w:val="both"/>
        <w:rPr>
          <w:rFonts w:asciiTheme="minorHAnsi" w:hAnsiTheme="minorHAnsi" w:cstheme="minorHAnsi"/>
          <w:b/>
          <w:bCs/>
          <w:i/>
          <w:iCs/>
          <w:color w:val="000000"/>
          <w:highlight w:val="yellow"/>
        </w:rPr>
      </w:pPr>
    </w:p>
    <w:p w14:paraId="1D8FD924" w14:textId="77777777" w:rsidR="0077093A" w:rsidRPr="00734F3D" w:rsidRDefault="0077093A" w:rsidP="0077093A">
      <w:pPr>
        <w:autoSpaceDE w:val="0"/>
        <w:autoSpaceDN w:val="0"/>
        <w:adjustRightInd w:val="0"/>
        <w:jc w:val="both"/>
        <w:rPr>
          <w:b/>
          <w:bCs/>
          <w:color w:val="000000"/>
        </w:rPr>
      </w:pPr>
      <w:r w:rsidRPr="00734F3D">
        <w:rPr>
          <w:b/>
          <w:bCs/>
          <w:color w:val="000000"/>
        </w:rPr>
        <w:t>1 – Créances sur les établissements de crédit et la clientèle – Engagements par signature</w:t>
      </w:r>
    </w:p>
    <w:p w14:paraId="328A053B" w14:textId="77777777" w:rsidR="0077093A" w:rsidRPr="00734F3D" w:rsidRDefault="0077093A" w:rsidP="0077093A">
      <w:pPr>
        <w:autoSpaceDE w:val="0"/>
        <w:autoSpaceDN w:val="0"/>
        <w:adjustRightInd w:val="0"/>
        <w:jc w:val="both"/>
        <w:rPr>
          <w:b/>
          <w:bCs/>
          <w:color w:val="000000"/>
        </w:rPr>
      </w:pPr>
    </w:p>
    <w:p w14:paraId="73F78963" w14:textId="77777777" w:rsidR="0077093A" w:rsidRPr="00734F3D" w:rsidRDefault="0077093A" w:rsidP="0077093A">
      <w:pPr>
        <w:autoSpaceDE w:val="0"/>
        <w:autoSpaceDN w:val="0"/>
        <w:adjustRightInd w:val="0"/>
        <w:jc w:val="both"/>
        <w:rPr>
          <w:color w:val="000000"/>
        </w:rPr>
      </w:pPr>
      <w:r w:rsidRPr="00734F3D">
        <w:rPr>
          <w:color w:val="000000"/>
        </w:rPr>
        <w:t xml:space="preserve">Les créances sur les établissements de crédit sont ventilées d’après leur durée initiale ou la nature des concours : créances à vue (comptes ordinaires et opérations au jour le jour) et créances à terme pour les établissements de crédit. </w:t>
      </w:r>
    </w:p>
    <w:p w14:paraId="7A5E9CD0" w14:textId="77777777" w:rsidR="0077093A" w:rsidRPr="00734F3D" w:rsidRDefault="0077093A" w:rsidP="0077093A">
      <w:pPr>
        <w:autoSpaceDE w:val="0"/>
        <w:autoSpaceDN w:val="0"/>
        <w:adjustRightInd w:val="0"/>
        <w:jc w:val="both"/>
        <w:rPr>
          <w:color w:val="000000"/>
        </w:rPr>
      </w:pPr>
    </w:p>
    <w:p w14:paraId="1AB2CF86" w14:textId="77777777" w:rsidR="0077093A" w:rsidRPr="00734F3D" w:rsidRDefault="0077093A" w:rsidP="0077093A">
      <w:pPr>
        <w:autoSpaceDE w:val="0"/>
        <w:autoSpaceDN w:val="0"/>
        <w:adjustRightInd w:val="0"/>
        <w:jc w:val="both"/>
        <w:rPr>
          <w:b/>
          <w:bCs/>
          <w:color w:val="000000"/>
        </w:rPr>
      </w:pPr>
      <w:r w:rsidRPr="00734F3D">
        <w:rPr>
          <w:b/>
          <w:bCs/>
          <w:color w:val="000000"/>
        </w:rPr>
        <w:t>2 – Prêts</w:t>
      </w:r>
    </w:p>
    <w:p w14:paraId="58D01A2D" w14:textId="77777777" w:rsidR="0077093A" w:rsidRPr="00734F3D" w:rsidRDefault="0077093A" w:rsidP="0077093A">
      <w:pPr>
        <w:autoSpaceDE w:val="0"/>
        <w:autoSpaceDN w:val="0"/>
        <w:adjustRightInd w:val="0"/>
        <w:jc w:val="both"/>
        <w:rPr>
          <w:b/>
          <w:bCs/>
          <w:color w:val="000000"/>
        </w:rPr>
      </w:pPr>
    </w:p>
    <w:p w14:paraId="428909AA" w14:textId="77777777" w:rsidR="0077093A" w:rsidRPr="00734F3D" w:rsidRDefault="0077093A" w:rsidP="0077093A">
      <w:pPr>
        <w:autoSpaceDE w:val="0"/>
        <w:autoSpaceDN w:val="0"/>
        <w:adjustRightInd w:val="0"/>
        <w:jc w:val="both"/>
        <w:rPr>
          <w:color w:val="000000"/>
        </w:rPr>
      </w:pPr>
      <w:r w:rsidRPr="00734F3D">
        <w:rPr>
          <w:color w:val="000000"/>
        </w:rPr>
        <w:t>Les prêts sont enregistrés à l'actif à leur valeur de remboursement. Les intérêts correspondants sont portés en compte de résultat prorata temporis.</w:t>
      </w:r>
    </w:p>
    <w:p w14:paraId="1E448604" w14:textId="77777777" w:rsidR="0077093A" w:rsidRPr="00734F3D" w:rsidRDefault="0077093A" w:rsidP="0077093A">
      <w:pPr>
        <w:autoSpaceDE w:val="0"/>
        <w:autoSpaceDN w:val="0"/>
        <w:adjustRightInd w:val="0"/>
        <w:jc w:val="both"/>
        <w:rPr>
          <w:color w:val="000000"/>
        </w:rPr>
      </w:pPr>
      <w:r w:rsidRPr="00734F3D">
        <w:rPr>
          <w:color w:val="000000"/>
        </w:rPr>
        <w:t>Sont considérées comme douteuses les créances pour lesquelles l’établissement estime probable le risque de ne pas percevoir tout ou partie des sommes dues au titre des engagements souscrits par la contrepartie.</w:t>
      </w:r>
    </w:p>
    <w:p w14:paraId="45D61754" w14:textId="77777777" w:rsidR="0077093A" w:rsidRPr="00734F3D" w:rsidRDefault="0077093A" w:rsidP="0077093A">
      <w:pPr>
        <w:autoSpaceDE w:val="0"/>
        <w:autoSpaceDN w:val="0"/>
        <w:adjustRightInd w:val="0"/>
        <w:jc w:val="both"/>
        <w:rPr>
          <w:rFonts w:asciiTheme="minorHAnsi" w:hAnsiTheme="minorHAnsi" w:cstheme="minorHAnsi"/>
          <w:color w:val="000000"/>
          <w:highlight w:val="yellow"/>
        </w:rPr>
      </w:pPr>
    </w:p>
    <w:p w14:paraId="4149BD1E" w14:textId="77777777" w:rsidR="0077093A" w:rsidRPr="00734F3D" w:rsidRDefault="0077093A" w:rsidP="0077093A">
      <w:pPr>
        <w:autoSpaceDE w:val="0"/>
        <w:autoSpaceDN w:val="0"/>
        <w:adjustRightInd w:val="0"/>
        <w:jc w:val="both"/>
        <w:rPr>
          <w:b/>
          <w:bCs/>
          <w:color w:val="000000"/>
        </w:rPr>
      </w:pPr>
      <w:r w:rsidRPr="00734F3D">
        <w:rPr>
          <w:b/>
          <w:bCs/>
          <w:color w:val="000000"/>
        </w:rPr>
        <w:t>3 – Titres</w:t>
      </w:r>
    </w:p>
    <w:p w14:paraId="44E90C4D" w14:textId="77777777" w:rsidR="0077093A" w:rsidRPr="00734F3D" w:rsidRDefault="0077093A" w:rsidP="0077093A">
      <w:pPr>
        <w:autoSpaceDE w:val="0"/>
        <w:autoSpaceDN w:val="0"/>
        <w:adjustRightInd w:val="0"/>
        <w:jc w:val="both"/>
        <w:rPr>
          <w:b/>
          <w:bCs/>
          <w:color w:val="000000"/>
        </w:rPr>
      </w:pPr>
    </w:p>
    <w:p w14:paraId="3B89CF19" w14:textId="77777777" w:rsidR="0077093A" w:rsidRPr="00734F3D" w:rsidRDefault="0077093A" w:rsidP="0077093A">
      <w:pPr>
        <w:autoSpaceDE w:val="0"/>
        <w:autoSpaceDN w:val="0"/>
        <w:adjustRightInd w:val="0"/>
        <w:jc w:val="both"/>
        <w:rPr>
          <w:color w:val="000000"/>
        </w:rPr>
      </w:pPr>
      <w:r w:rsidRPr="00734F3D">
        <w:rPr>
          <w:color w:val="000000"/>
        </w:rPr>
        <w:t>Les titres sont inscrits au bilan en fonction de leur nature :</w:t>
      </w:r>
    </w:p>
    <w:p w14:paraId="30DAC5DA" w14:textId="77777777" w:rsidR="0077093A" w:rsidRPr="00734F3D" w:rsidRDefault="0077093A" w:rsidP="0077093A">
      <w:pPr>
        <w:autoSpaceDE w:val="0"/>
        <w:autoSpaceDN w:val="0"/>
        <w:adjustRightInd w:val="0"/>
        <w:jc w:val="both"/>
        <w:rPr>
          <w:color w:val="000000"/>
        </w:rPr>
      </w:pPr>
      <w:r w:rsidRPr="00734F3D">
        <w:rPr>
          <w:color w:val="000000"/>
        </w:rPr>
        <w:t>- effets publics (bons du Trésor et titres assimilés),</w:t>
      </w:r>
    </w:p>
    <w:p w14:paraId="53E518E1" w14:textId="77777777" w:rsidR="0077093A" w:rsidRPr="00734F3D" w:rsidRDefault="0077093A" w:rsidP="0077093A">
      <w:pPr>
        <w:autoSpaceDE w:val="0"/>
        <w:autoSpaceDN w:val="0"/>
        <w:adjustRightInd w:val="0"/>
        <w:jc w:val="both"/>
        <w:rPr>
          <w:color w:val="000000"/>
        </w:rPr>
      </w:pPr>
      <w:r w:rsidRPr="00734F3D">
        <w:rPr>
          <w:color w:val="000000"/>
        </w:rPr>
        <w:t>- obligations et autres titres à revenu fixe (titres de créances négociables et titres du marché interbancaire),</w:t>
      </w:r>
    </w:p>
    <w:p w14:paraId="16F86408" w14:textId="77777777" w:rsidR="0077093A" w:rsidRPr="00734F3D" w:rsidRDefault="0077093A" w:rsidP="0077093A">
      <w:pPr>
        <w:autoSpaceDE w:val="0"/>
        <w:autoSpaceDN w:val="0"/>
        <w:adjustRightInd w:val="0"/>
        <w:jc w:val="both"/>
        <w:rPr>
          <w:color w:val="000000"/>
        </w:rPr>
      </w:pPr>
      <w:r w:rsidRPr="00734F3D">
        <w:rPr>
          <w:color w:val="000000"/>
        </w:rPr>
        <w:t>- actions et autres titres à revenu variable.</w:t>
      </w:r>
    </w:p>
    <w:p w14:paraId="522236C9" w14:textId="77777777" w:rsidR="0077093A" w:rsidRPr="00734F3D" w:rsidRDefault="0077093A" w:rsidP="0077093A">
      <w:pPr>
        <w:autoSpaceDE w:val="0"/>
        <w:autoSpaceDN w:val="0"/>
        <w:adjustRightInd w:val="0"/>
        <w:jc w:val="both"/>
        <w:rPr>
          <w:color w:val="000000"/>
        </w:rPr>
      </w:pPr>
    </w:p>
    <w:p w14:paraId="059C997C" w14:textId="77777777" w:rsidR="0077093A" w:rsidRPr="00734F3D" w:rsidRDefault="0077093A" w:rsidP="0077093A">
      <w:pPr>
        <w:autoSpaceDE w:val="0"/>
        <w:autoSpaceDN w:val="0"/>
        <w:adjustRightInd w:val="0"/>
        <w:jc w:val="both"/>
        <w:rPr>
          <w:color w:val="000000"/>
        </w:rPr>
      </w:pPr>
      <w:r w:rsidRPr="00734F3D">
        <w:rPr>
          <w:color w:val="000000"/>
        </w:rPr>
        <w:t xml:space="preserve">En application du règlement de l’Autorité des Normes Comptables n°2014-07 du 26 novembre 2014, </w:t>
      </w:r>
      <w:r w:rsidRPr="00734F3D">
        <w:rPr>
          <w:color w:val="000000"/>
        </w:rPr>
        <w:br/>
        <w:t>ces titres sont comptabilisés en fonction de leur portefeuille de destination : investissement, placement, transaction, correspondant à l’objet économique de leur détention.</w:t>
      </w:r>
    </w:p>
    <w:p w14:paraId="63B8E311" w14:textId="77777777" w:rsidR="0077093A" w:rsidRPr="00734F3D" w:rsidRDefault="0077093A" w:rsidP="0077093A">
      <w:pPr>
        <w:autoSpaceDE w:val="0"/>
        <w:autoSpaceDN w:val="0"/>
        <w:adjustRightInd w:val="0"/>
        <w:jc w:val="both"/>
        <w:rPr>
          <w:color w:val="000000"/>
        </w:rPr>
      </w:pPr>
      <w:r w:rsidRPr="00734F3D">
        <w:rPr>
          <w:color w:val="000000"/>
        </w:rPr>
        <w:t>Pour chaque catégorie de portefeuille ils sont soumis à des règles d’évaluation spécifiques décrites infra.</w:t>
      </w:r>
    </w:p>
    <w:p w14:paraId="46EBE5C8" w14:textId="77777777" w:rsidR="0077093A" w:rsidRPr="00734F3D" w:rsidRDefault="0077093A" w:rsidP="0077093A">
      <w:pPr>
        <w:autoSpaceDE w:val="0"/>
        <w:autoSpaceDN w:val="0"/>
        <w:adjustRightInd w:val="0"/>
        <w:jc w:val="both"/>
        <w:rPr>
          <w:color w:val="000000"/>
        </w:rPr>
      </w:pPr>
      <w:r w:rsidRPr="00734F3D">
        <w:rPr>
          <w:color w:val="000000"/>
        </w:rPr>
        <w:t>En cas de risque de crédit avéré, les titres à revenu fixe inscrits en portefeuille de placement ou d’investissement sont identifiés comme douteux selon les mêmes critères que ceux applicables aux créances et engagements douteux.</w:t>
      </w:r>
    </w:p>
    <w:p w14:paraId="62DB04FE" w14:textId="77777777" w:rsidR="0077093A" w:rsidRPr="00734F3D" w:rsidRDefault="0077093A" w:rsidP="0077093A">
      <w:pPr>
        <w:autoSpaceDE w:val="0"/>
        <w:autoSpaceDN w:val="0"/>
        <w:adjustRightInd w:val="0"/>
        <w:jc w:val="both"/>
        <w:rPr>
          <w:rFonts w:asciiTheme="minorHAnsi" w:hAnsiTheme="minorHAnsi" w:cstheme="minorHAnsi"/>
          <w:color w:val="000000"/>
          <w:highlight w:val="yellow"/>
        </w:rPr>
      </w:pPr>
    </w:p>
    <w:p w14:paraId="075B6E3A" w14:textId="77777777" w:rsidR="0077093A" w:rsidRPr="00734F3D" w:rsidRDefault="0077093A" w:rsidP="0077093A">
      <w:pPr>
        <w:autoSpaceDE w:val="0"/>
        <w:autoSpaceDN w:val="0"/>
        <w:adjustRightInd w:val="0"/>
        <w:jc w:val="both"/>
        <w:rPr>
          <w:b/>
          <w:bCs/>
          <w:color w:val="000000"/>
        </w:rPr>
      </w:pPr>
      <w:r w:rsidRPr="00734F3D">
        <w:rPr>
          <w:b/>
          <w:bCs/>
          <w:color w:val="000000"/>
        </w:rPr>
        <w:t>Titres de placement</w:t>
      </w:r>
    </w:p>
    <w:p w14:paraId="59A05467" w14:textId="77777777" w:rsidR="0077093A" w:rsidRPr="00734F3D" w:rsidRDefault="0077093A" w:rsidP="0077093A">
      <w:pPr>
        <w:autoSpaceDE w:val="0"/>
        <w:autoSpaceDN w:val="0"/>
        <w:adjustRightInd w:val="0"/>
        <w:jc w:val="both"/>
        <w:rPr>
          <w:color w:val="000000"/>
        </w:rPr>
      </w:pPr>
      <w:r w:rsidRPr="00734F3D">
        <w:rPr>
          <w:color w:val="000000"/>
        </w:rPr>
        <w:t>Les titres de placement incluent les titres ne répondant pas aux conditions d'un classement aux portefeuilles de transaction ou d'investissement.</w:t>
      </w:r>
    </w:p>
    <w:p w14:paraId="76D2C922" w14:textId="77777777" w:rsidR="0077093A" w:rsidRPr="00734F3D" w:rsidRDefault="0077093A" w:rsidP="0077093A">
      <w:pPr>
        <w:autoSpaceDE w:val="0"/>
        <w:autoSpaceDN w:val="0"/>
        <w:adjustRightInd w:val="0"/>
        <w:jc w:val="both"/>
        <w:rPr>
          <w:color w:val="000000"/>
        </w:rPr>
      </w:pPr>
      <w:r w:rsidRPr="00734F3D">
        <w:rPr>
          <w:color w:val="000000"/>
        </w:rPr>
        <w:t>Les titres de placement sont enregistrés à la date de leur acquisition pour leur prix d'acquisition frais exclus. Ils sont gérés selon la méthode du « premier entré, premier sorti » et évalués de la façon suivante, par ensembles homogènes de titres et sans compensation avec les plus-values constatées sur les autres catégories de titres :</w:t>
      </w:r>
    </w:p>
    <w:p w14:paraId="0F7B15C4" w14:textId="2EBC3D2C" w:rsidR="0077093A" w:rsidRPr="00734F3D" w:rsidRDefault="00E708AA" w:rsidP="00D032FF">
      <w:pPr>
        <w:pStyle w:val="Paragraphedeliste"/>
        <w:numPr>
          <w:ilvl w:val="0"/>
          <w:numId w:val="19"/>
        </w:numPr>
        <w:autoSpaceDE w:val="0"/>
        <w:autoSpaceDN w:val="0"/>
        <w:adjustRightInd w:val="0"/>
        <w:jc w:val="both"/>
        <w:rPr>
          <w:color w:val="000000"/>
        </w:rPr>
      </w:pPr>
      <w:r w:rsidRPr="00734F3D">
        <w:rPr>
          <w:color w:val="000000"/>
        </w:rPr>
        <w:t>O</w:t>
      </w:r>
      <w:r w:rsidR="0077093A" w:rsidRPr="00734F3D">
        <w:rPr>
          <w:color w:val="000000"/>
        </w:rPr>
        <w:t>bligations</w:t>
      </w:r>
      <w:r w:rsidRPr="00734F3D">
        <w:rPr>
          <w:color w:val="000000"/>
        </w:rPr>
        <w:t xml:space="preserve"> </w:t>
      </w:r>
      <w:r w:rsidR="0077093A" w:rsidRPr="00734F3D">
        <w:rPr>
          <w:color w:val="000000"/>
        </w:rPr>
        <w:t>: les moins-values latentes calculées par rapport à la valeur de marché sur la base du cours de clôture sont constatées sous forme de dépréciation</w:t>
      </w:r>
      <w:r w:rsidRPr="00734F3D">
        <w:rPr>
          <w:color w:val="000000"/>
        </w:rPr>
        <w:t> ;</w:t>
      </w:r>
    </w:p>
    <w:p w14:paraId="7FFEAFC7" w14:textId="77777777" w:rsidR="0077093A" w:rsidRPr="00734F3D" w:rsidRDefault="0077093A" w:rsidP="00D032FF">
      <w:pPr>
        <w:pStyle w:val="Paragraphedeliste"/>
        <w:numPr>
          <w:ilvl w:val="0"/>
          <w:numId w:val="19"/>
        </w:numPr>
        <w:autoSpaceDE w:val="0"/>
        <w:autoSpaceDN w:val="0"/>
        <w:adjustRightInd w:val="0"/>
        <w:jc w:val="both"/>
        <w:rPr>
          <w:color w:val="000000"/>
        </w:rPr>
      </w:pPr>
      <w:r w:rsidRPr="00734F3D">
        <w:rPr>
          <w:color w:val="000000"/>
        </w:rPr>
        <w:t>bons du Trésor, TCN et titres du marché interbancaire : des dépréciations sont constituées en fonction de la solvabilité des émetteurs et par référence à des indicateurs de marché.</w:t>
      </w:r>
    </w:p>
    <w:p w14:paraId="68AA729B" w14:textId="77777777" w:rsidR="0077093A" w:rsidRPr="00734F3D" w:rsidRDefault="0077093A" w:rsidP="0077093A">
      <w:pPr>
        <w:pStyle w:val="Paragraphedeliste"/>
        <w:autoSpaceDE w:val="0"/>
        <w:autoSpaceDN w:val="0"/>
        <w:adjustRightInd w:val="0"/>
        <w:jc w:val="both"/>
        <w:rPr>
          <w:color w:val="000000"/>
        </w:rPr>
      </w:pPr>
    </w:p>
    <w:p w14:paraId="6DFB9453" w14:textId="77777777" w:rsidR="0077093A" w:rsidRPr="00734F3D" w:rsidRDefault="0077093A" w:rsidP="0077093A">
      <w:pPr>
        <w:autoSpaceDE w:val="0"/>
        <w:autoSpaceDN w:val="0"/>
        <w:adjustRightInd w:val="0"/>
        <w:jc w:val="both"/>
        <w:rPr>
          <w:color w:val="000000"/>
        </w:rPr>
      </w:pPr>
      <w:r w:rsidRPr="00734F3D">
        <w:rPr>
          <w:color w:val="000000"/>
        </w:rPr>
        <w:t>Les gains sur opérations de microcouverture sont pris en compte pour le calcul des dépréciations.</w:t>
      </w:r>
    </w:p>
    <w:p w14:paraId="67762332" w14:textId="77777777" w:rsidR="0077093A" w:rsidRPr="00734F3D" w:rsidRDefault="0077093A" w:rsidP="0077093A">
      <w:pPr>
        <w:autoSpaceDE w:val="0"/>
        <w:autoSpaceDN w:val="0"/>
        <w:adjustRightInd w:val="0"/>
        <w:jc w:val="both"/>
        <w:rPr>
          <w:color w:val="000000"/>
        </w:rPr>
      </w:pPr>
    </w:p>
    <w:p w14:paraId="3A31167F" w14:textId="77777777" w:rsidR="0077093A" w:rsidRPr="00734F3D" w:rsidRDefault="0077093A" w:rsidP="0077093A">
      <w:pPr>
        <w:autoSpaceDE w:val="0"/>
        <w:autoSpaceDN w:val="0"/>
        <w:adjustRightInd w:val="0"/>
        <w:jc w:val="both"/>
        <w:rPr>
          <w:color w:val="000000"/>
        </w:rPr>
      </w:pPr>
      <w:r w:rsidRPr="00734F3D">
        <w:rPr>
          <w:color w:val="000000"/>
        </w:rPr>
        <w:t>Les éventuelles primes ou décotes attachés aux titres à revenus fixes font l'objet d'un étalement actuariel sur la durée de vie résiduelle du titre.</w:t>
      </w:r>
    </w:p>
    <w:p w14:paraId="0838DE1B" w14:textId="77777777" w:rsidR="0077093A" w:rsidRPr="00734F3D" w:rsidRDefault="0077093A" w:rsidP="0077093A">
      <w:pPr>
        <w:autoSpaceDE w:val="0"/>
        <w:autoSpaceDN w:val="0"/>
        <w:adjustRightInd w:val="0"/>
        <w:jc w:val="both"/>
        <w:rPr>
          <w:color w:val="000000"/>
        </w:rPr>
      </w:pPr>
    </w:p>
    <w:p w14:paraId="08AD6EBB" w14:textId="77777777" w:rsidR="0077093A" w:rsidRPr="00734F3D" w:rsidRDefault="0077093A" w:rsidP="0077093A">
      <w:pPr>
        <w:autoSpaceDE w:val="0"/>
        <w:autoSpaceDN w:val="0"/>
        <w:adjustRightInd w:val="0"/>
        <w:jc w:val="both"/>
        <w:rPr>
          <w:color w:val="000000"/>
        </w:rPr>
      </w:pPr>
      <w:r w:rsidRPr="00734F3D">
        <w:rPr>
          <w:color w:val="000000"/>
        </w:rPr>
        <w:t>Les revenus des titres de placement sont comptabilisés au compte de résultat en produits d'intérêt pour les titres à revenus fixes et en revenus des titres à revenus variables sinon.</w:t>
      </w:r>
    </w:p>
    <w:p w14:paraId="007DA2E7" w14:textId="77777777" w:rsidR="0077093A" w:rsidRPr="00734F3D" w:rsidRDefault="0077093A" w:rsidP="0077093A">
      <w:pPr>
        <w:autoSpaceDE w:val="0"/>
        <w:autoSpaceDN w:val="0"/>
        <w:adjustRightInd w:val="0"/>
        <w:jc w:val="both"/>
        <w:rPr>
          <w:color w:val="000000"/>
        </w:rPr>
      </w:pPr>
    </w:p>
    <w:p w14:paraId="6EDF1669" w14:textId="77777777" w:rsidR="0077093A" w:rsidRPr="00734F3D" w:rsidRDefault="0077093A" w:rsidP="0077093A">
      <w:pPr>
        <w:autoSpaceDE w:val="0"/>
        <w:autoSpaceDN w:val="0"/>
        <w:adjustRightInd w:val="0"/>
        <w:jc w:val="both"/>
        <w:rPr>
          <w:color w:val="000000"/>
        </w:rPr>
      </w:pPr>
      <w:r w:rsidRPr="00734F3D">
        <w:rPr>
          <w:color w:val="000000"/>
        </w:rPr>
        <w:t>Les gains ou pertes réalisés ainsi que les dotations et reprises de</w:t>
      </w:r>
      <w:r w:rsidR="00A234F8" w:rsidRPr="00734F3D">
        <w:rPr>
          <w:color w:val="000000"/>
        </w:rPr>
        <w:t xml:space="preserve"> </w:t>
      </w:r>
      <w:r w:rsidRPr="00734F3D">
        <w:rPr>
          <w:color w:val="000000"/>
        </w:rPr>
        <w:t>provisions pour dépréciation sont portés au compte de résultat dans la rubrique « Gains ou pertes sur opérations des portefeuilles de placement et assimilés ».</w:t>
      </w:r>
    </w:p>
    <w:p w14:paraId="7F6BB792" w14:textId="77777777" w:rsidR="0077093A" w:rsidRPr="00734F3D" w:rsidRDefault="0077093A" w:rsidP="0077093A">
      <w:pPr>
        <w:autoSpaceDE w:val="0"/>
        <w:autoSpaceDN w:val="0"/>
        <w:adjustRightInd w:val="0"/>
        <w:jc w:val="both"/>
        <w:rPr>
          <w:rFonts w:asciiTheme="minorHAnsi" w:hAnsiTheme="minorHAnsi" w:cstheme="minorHAnsi"/>
          <w:color w:val="000000"/>
          <w:highlight w:val="yellow"/>
        </w:rPr>
      </w:pPr>
    </w:p>
    <w:p w14:paraId="626E6A53" w14:textId="77777777" w:rsidR="0077093A" w:rsidRPr="00734F3D" w:rsidRDefault="0077093A" w:rsidP="0077093A">
      <w:pPr>
        <w:autoSpaceDE w:val="0"/>
        <w:autoSpaceDN w:val="0"/>
        <w:adjustRightInd w:val="0"/>
        <w:jc w:val="both"/>
        <w:rPr>
          <w:color w:val="000000"/>
        </w:rPr>
      </w:pPr>
      <w:r w:rsidRPr="00734F3D">
        <w:rPr>
          <w:color w:val="000000"/>
        </w:rPr>
        <w:t>Les titres de placement peuvent être transférés dans la catégorie titres d'investissement si:</w:t>
      </w:r>
    </w:p>
    <w:p w14:paraId="40F1EFF5" w14:textId="77777777" w:rsidR="0077093A" w:rsidRPr="00734F3D" w:rsidRDefault="0077093A" w:rsidP="00D032FF">
      <w:pPr>
        <w:pStyle w:val="Paragraphedeliste"/>
        <w:numPr>
          <w:ilvl w:val="0"/>
          <w:numId w:val="20"/>
        </w:numPr>
        <w:autoSpaceDE w:val="0"/>
        <w:autoSpaceDN w:val="0"/>
        <w:adjustRightInd w:val="0"/>
        <w:jc w:val="both"/>
        <w:rPr>
          <w:color w:val="000000"/>
        </w:rPr>
      </w:pPr>
      <w:r w:rsidRPr="00734F3D">
        <w:rPr>
          <w:color w:val="000000"/>
        </w:rPr>
        <w:t>une situation exceptionnelle du marché nécessite un changement de stratégie de détention ;</w:t>
      </w:r>
    </w:p>
    <w:p w14:paraId="1C8F62DF" w14:textId="77777777" w:rsidR="0077093A" w:rsidRPr="00734F3D" w:rsidRDefault="0077093A" w:rsidP="00D032FF">
      <w:pPr>
        <w:pStyle w:val="Paragraphedeliste"/>
        <w:numPr>
          <w:ilvl w:val="0"/>
          <w:numId w:val="20"/>
        </w:numPr>
        <w:autoSpaceDE w:val="0"/>
        <w:autoSpaceDN w:val="0"/>
        <w:adjustRightInd w:val="0"/>
        <w:jc w:val="both"/>
        <w:rPr>
          <w:color w:val="000000"/>
        </w:rPr>
      </w:pPr>
      <w:r w:rsidRPr="00734F3D">
        <w:rPr>
          <w:color w:val="000000"/>
        </w:rPr>
        <w:t>ou si les titres à revenu fixe ne sont plus, postérieurement à leur acquisition, négociables sur un marché actif et si</w:t>
      </w:r>
      <w:r w:rsidR="00A234F8" w:rsidRPr="00734F3D">
        <w:rPr>
          <w:color w:val="000000"/>
        </w:rPr>
        <w:t xml:space="preserve"> </w:t>
      </w:r>
      <w:r w:rsidRPr="00734F3D">
        <w:rPr>
          <w:color w:val="000000"/>
        </w:rPr>
        <w:t>La Banque Postale Home Loan SFH a la capacité de les détenir dans un avenir prévisible ou jusqu'à leur échéance.</w:t>
      </w:r>
    </w:p>
    <w:p w14:paraId="43D0C8D2" w14:textId="77777777" w:rsidR="0077093A" w:rsidRPr="00734F3D" w:rsidRDefault="0077093A" w:rsidP="0077093A">
      <w:pPr>
        <w:autoSpaceDE w:val="0"/>
        <w:autoSpaceDN w:val="0"/>
        <w:adjustRightInd w:val="0"/>
        <w:jc w:val="both"/>
        <w:rPr>
          <w:color w:val="000000"/>
        </w:rPr>
      </w:pPr>
    </w:p>
    <w:p w14:paraId="3BB508E4" w14:textId="77777777" w:rsidR="0077093A" w:rsidRPr="00734F3D" w:rsidRDefault="0077093A" w:rsidP="0077093A">
      <w:pPr>
        <w:autoSpaceDE w:val="0"/>
        <w:autoSpaceDN w:val="0"/>
        <w:adjustRightInd w:val="0"/>
        <w:jc w:val="both"/>
        <w:rPr>
          <w:color w:val="000000"/>
        </w:rPr>
      </w:pPr>
      <w:r w:rsidRPr="00734F3D">
        <w:rPr>
          <w:color w:val="000000"/>
        </w:rPr>
        <w:t>Les titres ainsi transférés sont inscrits dans leur nouvelle catégorie à leur valeur de marché à la date du transfert.</w:t>
      </w:r>
    </w:p>
    <w:p w14:paraId="2B22DC2F" w14:textId="77777777" w:rsidR="0077093A" w:rsidRPr="00734F3D" w:rsidRDefault="0077093A" w:rsidP="0077093A">
      <w:pPr>
        <w:autoSpaceDE w:val="0"/>
        <w:autoSpaceDN w:val="0"/>
        <w:adjustRightInd w:val="0"/>
        <w:jc w:val="both"/>
        <w:rPr>
          <w:color w:val="000000"/>
        </w:rPr>
      </w:pPr>
    </w:p>
    <w:p w14:paraId="7365CA3E" w14:textId="77777777" w:rsidR="0077093A" w:rsidRPr="00734F3D" w:rsidRDefault="0077093A" w:rsidP="0077093A">
      <w:pPr>
        <w:autoSpaceDE w:val="0"/>
        <w:autoSpaceDN w:val="0"/>
        <w:adjustRightInd w:val="0"/>
        <w:jc w:val="both"/>
        <w:rPr>
          <w:color w:val="000000"/>
        </w:rPr>
      </w:pPr>
      <w:r w:rsidRPr="00734F3D">
        <w:rPr>
          <w:color w:val="000000"/>
        </w:rPr>
        <w:t>En l'absence de marché actif la valorisation comptable doit être déterminée par utilisation de techniques de valorisation. Ces techniques comprennent l'utilisation de transactions récentes dans un contexte de concurrence normale. Elles reposent sur les données issues du marché, des justes valeurs d'instruments identiques en substance, de modèles d'actualisation de flux ou de valorisation d'options et font appel à des méthodes de valorisation reconnues. L'objectif d'une technique de valorisation est d'établir quel aurait été le prix de l'instrument dans un marché normal.</w:t>
      </w:r>
      <w:r w:rsidR="00A234F8" w:rsidRPr="00734F3D">
        <w:rPr>
          <w:color w:val="000000"/>
        </w:rPr>
        <w:t xml:space="preserve"> </w:t>
      </w:r>
      <w:r w:rsidRPr="00734F3D">
        <w:rPr>
          <w:color w:val="000000"/>
        </w:rPr>
        <w:t>À titre d'exemple, la juste valeur des titres obligataires, des titres à revenu variable et des futures est déterminée en utilisant des prix cotés. L'utilisation de techniques de valorisation faisant référence à des données de marché concerne plus généralement les dérivés de gré à gré, les titres à intérêts précomptés (Billets de Trésorerie, Certificats de dépôts .. .), les dépôts-repo.</w:t>
      </w:r>
    </w:p>
    <w:p w14:paraId="230C9E31" w14:textId="77777777" w:rsidR="0077093A" w:rsidRDefault="0077093A" w:rsidP="0077093A">
      <w:pPr>
        <w:autoSpaceDE w:val="0"/>
        <w:autoSpaceDN w:val="0"/>
        <w:adjustRightInd w:val="0"/>
        <w:jc w:val="both"/>
        <w:rPr>
          <w:rFonts w:asciiTheme="minorHAnsi" w:hAnsiTheme="minorHAnsi" w:cstheme="minorHAnsi"/>
          <w:color w:val="000000"/>
          <w:highlight w:val="yellow"/>
        </w:rPr>
      </w:pPr>
    </w:p>
    <w:p w14:paraId="2D67B7B7" w14:textId="77777777" w:rsidR="00F00C74" w:rsidRDefault="00F00C74" w:rsidP="0077093A">
      <w:pPr>
        <w:autoSpaceDE w:val="0"/>
        <w:autoSpaceDN w:val="0"/>
        <w:adjustRightInd w:val="0"/>
        <w:jc w:val="both"/>
        <w:rPr>
          <w:rFonts w:asciiTheme="minorHAnsi" w:hAnsiTheme="minorHAnsi" w:cstheme="minorHAnsi"/>
          <w:color w:val="000000"/>
          <w:highlight w:val="yellow"/>
        </w:rPr>
      </w:pPr>
    </w:p>
    <w:p w14:paraId="7EFFA717" w14:textId="77777777" w:rsidR="00F00C74" w:rsidRPr="00734F3D" w:rsidRDefault="00F00C74" w:rsidP="0077093A">
      <w:pPr>
        <w:autoSpaceDE w:val="0"/>
        <w:autoSpaceDN w:val="0"/>
        <w:adjustRightInd w:val="0"/>
        <w:jc w:val="both"/>
        <w:rPr>
          <w:rFonts w:asciiTheme="minorHAnsi" w:hAnsiTheme="minorHAnsi" w:cstheme="minorHAnsi"/>
          <w:color w:val="000000"/>
          <w:highlight w:val="yellow"/>
        </w:rPr>
      </w:pPr>
    </w:p>
    <w:p w14:paraId="361D8668" w14:textId="77777777" w:rsidR="0077093A" w:rsidRPr="00734F3D" w:rsidRDefault="0077093A" w:rsidP="0077093A">
      <w:pPr>
        <w:autoSpaceDE w:val="0"/>
        <w:autoSpaceDN w:val="0"/>
        <w:adjustRightInd w:val="0"/>
        <w:jc w:val="both"/>
        <w:rPr>
          <w:b/>
          <w:bCs/>
          <w:color w:val="000000"/>
        </w:rPr>
      </w:pPr>
      <w:r w:rsidRPr="00734F3D">
        <w:rPr>
          <w:b/>
          <w:bCs/>
          <w:color w:val="000000"/>
        </w:rPr>
        <w:t>Titres d’investissement</w:t>
      </w:r>
    </w:p>
    <w:p w14:paraId="25BA1DFF" w14:textId="77777777" w:rsidR="0077093A" w:rsidRPr="00734F3D" w:rsidRDefault="0077093A" w:rsidP="0077093A">
      <w:pPr>
        <w:autoSpaceDE w:val="0"/>
        <w:autoSpaceDN w:val="0"/>
        <w:adjustRightInd w:val="0"/>
        <w:jc w:val="both"/>
        <w:rPr>
          <w:color w:val="000000"/>
        </w:rPr>
      </w:pPr>
      <w:r w:rsidRPr="00734F3D">
        <w:rPr>
          <w:color w:val="000000"/>
        </w:rPr>
        <w:t>Ils sont composés de titres à revenu fixe acquis ou reclassés de la catégorie "Titres de placement" ou "Titres de transaction " avec l'intention manifeste de les détenir jusqu'à leur échéance. Ils sont enregistrés à la date de leur acquisition et pour leur prix d'acquisition, frais exclus.</w:t>
      </w:r>
    </w:p>
    <w:p w14:paraId="701D8DC9" w14:textId="77777777" w:rsidR="0077093A" w:rsidRPr="00734F3D" w:rsidRDefault="0077093A" w:rsidP="0077093A">
      <w:pPr>
        <w:autoSpaceDE w:val="0"/>
        <w:autoSpaceDN w:val="0"/>
        <w:adjustRightInd w:val="0"/>
        <w:jc w:val="both"/>
        <w:rPr>
          <w:color w:val="000000"/>
        </w:rPr>
      </w:pPr>
    </w:p>
    <w:p w14:paraId="38D5432B" w14:textId="77777777" w:rsidR="0077093A" w:rsidRPr="00734F3D" w:rsidRDefault="0077093A" w:rsidP="0077093A">
      <w:pPr>
        <w:autoSpaceDE w:val="0"/>
        <w:autoSpaceDN w:val="0"/>
        <w:adjustRightInd w:val="0"/>
        <w:jc w:val="both"/>
        <w:rPr>
          <w:color w:val="000000"/>
        </w:rPr>
      </w:pPr>
      <w:r w:rsidRPr="00734F3D">
        <w:rPr>
          <w:color w:val="000000"/>
        </w:rPr>
        <w:t>Les moins-values latentes pouvant exister entre la valeur comptable des titres et leur prix de marché ne font pas l'objet de dépréciations. En revanche, lorsqu'il est probable que l'établissement ne percevra pas tout ou partie de la valeur de remboursement à leur échéance, une dépréciation est constituée. La différence entre le prix d'acquisition et la valeur de remboursement des titres (surcote décote) est amortie en mode actuariel.</w:t>
      </w:r>
    </w:p>
    <w:p w14:paraId="687E98DE" w14:textId="77777777" w:rsidR="0077093A" w:rsidRPr="00734F3D" w:rsidRDefault="0077093A" w:rsidP="0077093A">
      <w:pPr>
        <w:autoSpaceDE w:val="0"/>
        <w:autoSpaceDN w:val="0"/>
        <w:adjustRightInd w:val="0"/>
        <w:jc w:val="both"/>
        <w:rPr>
          <w:color w:val="000000"/>
        </w:rPr>
      </w:pPr>
    </w:p>
    <w:p w14:paraId="5BBB6B17" w14:textId="77777777" w:rsidR="0077093A" w:rsidRPr="00734F3D" w:rsidRDefault="0077093A" w:rsidP="0077093A">
      <w:pPr>
        <w:autoSpaceDE w:val="0"/>
        <w:autoSpaceDN w:val="0"/>
        <w:adjustRightInd w:val="0"/>
        <w:jc w:val="both"/>
        <w:rPr>
          <w:color w:val="000000"/>
        </w:rPr>
      </w:pPr>
      <w:r w:rsidRPr="00734F3D">
        <w:rPr>
          <w:color w:val="000000"/>
        </w:rPr>
        <w:t>Les intérêts de ces titres sont comptabilisés au compte de résultat en produits d'intérêt sur titres à revenus fixes.</w:t>
      </w:r>
    </w:p>
    <w:p w14:paraId="40084785" w14:textId="77777777" w:rsidR="0077093A" w:rsidRPr="00734F3D" w:rsidRDefault="0077093A" w:rsidP="0077093A">
      <w:pPr>
        <w:autoSpaceDE w:val="0"/>
        <w:autoSpaceDN w:val="0"/>
        <w:adjustRightInd w:val="0"/>
        <w:jc w:val="both"/>
        <w:rPr>
          <w:color w:val="000000"/>
        </w:rPr>
      </w:pPr>
    </w:p>
    <w:p w14:paraId="18AC7DF4" w14:textId="77777777" w:rsidR="0077093A" w:rsidRPr="00734F3D" w:rsidRDefault="0077093A" w:rsidP="0077093A">
      <w:pPr>
        <w:autoSpaceDE w:val="0"/>
        <w:autoSpaceDN w:val="0"/>
        <w:adjustRightInd w:val="0"/>
        <w:jc w:val="both"/>
        <w:rPr>
          <w:color w:val="000000"/>
        </w:rPr>
      </w:pPr>
      <w:r w:rsidRPr="00734F3D">
        <w:rPr>
          <w:color w:val="000000"/>
        </w:rPr>
        <w:t>Les dotations ou reprises de dépréciations sont comptabilisées au compte de résultat dans la rubrique « Coût du risque ».</w:t>
      </w:r>
    </w:p>
    <w:p w14:paraId="2C68BBCE" w14:textId="77777777" w:rsidR="0077093A" w:rsidRPr="00734F3D" w:rsidRDefault="0077093A" w:rsidP="0077093A">
      <w:pPr>
        <w:autoSpaceDE w:val="0"/>
        <w:autoSpaceDN w:val="0"/>
        <w:adjustRightInd w:val="0"/>
        <w:jc w:val="both"/>
        <w:rPr>
          <w:color w:val="000000"/>
        </w:rPr>
      </w:pPr>
    </w:p>
    <w:p w14:paraId="48F99039" w14:textId="77777777" w:rsidR="0077093A" w:rsidRPr="00734F3D" w:rsidRDefault="0077093A" w:rsidP="0077093A">
      <w:pPr>
        <w:autoSpaceDE w:val="0"/>
        <w:autoSpaceDN w:val="0"/>
        <w:adjustRightInd w:val="0"/>
        <w:jc w:val="both"/>
        <w:rPr>
          <w:color w:val="000000"/>
        </w:rPr>
      </w:pPr>
      <w:r w:rsidRPr="00734F3D">
        <w:rPr>
          <w:color w:val="000000"/>
        </w:rPr>
        <w:t>En cas de cession de titres ou de transferts vers une autre catégorie, pour un montant significatif par rapport au montant total des autres titres d'investissement détenus, le classement dans cette catégorie n'est plus autorisé pour la période en cours et pendant les deux exercices suivants. Tous les titres détenus et classés en « Titres d'investissement » sont alors reclassés dans la catégorie « Titres de placement ». Lorsque, dans les cas de situations exceptionnelles de marché nécessitant un changement de stratégie, des titres de transaction et de placement ont été transférés dans cette catégorie, les cessions réalisées avant l'échéance de ces titres d'investissement, si elles sont liées au fait qu'ils redeviennent</w:t>
      </w:r>
      <w:r w:rsidR="00A234F8" w:rsidRPr="00734F3D">
        <w:rPr>
          <w:color w:val="000000"/>
        </w:rPr>
        <w:t xml:space="preserve"> </w:t>
      </w:r>
      <w:r w:rsidRPr="00734F3D">
        <w:rPr>
          <w:color w:val="000000"/>
        </w:rPr>
        <w:t>négociables sur un marché actif, n'entraînent pas l'application de la règle, décrite précédemment, de reclassement des autres titres détenus.</w:t>
      </w:r>
    </w:p>
    <w:p w14:paraId="291EB200" w14:textId="77777777" w:rsidR="0077093A" w:rsidRPr="00734F3D" w:rsidRDefault="0077093A" w:rsidP="0077093A">
      <w:pPr>
        <w:autoSpaceDE w:val="0"/>
        <w:autoSpaceDN w:val="0"/>
        <w:adjustRightInd w:val="0"/>
        <w:jc w:val="both"/>
        <w:rPr>
          <w:rFonts w:asciiTheme="minorHAnsi" w:hAnsiTheme="minorHAnsi" w:cstheme="minorHAnsi"/>
          <w:color w:val="000000"/>
          <w:highlight w:val="yellow"/>
        </w:rPr>
      </w:pPr>
    </w:p>
    <w:p w14:paraId="199F74EE" w14:textId="77777777" w:rsidR="0077093A" w:rsidRPr="00734F3D" w:rsidRDefault="0077093A" w:rsidP="0077093A">
      <w:pPr>
        <w:autoSpaceDE w:val="0"/>
        <w:autoSpaceDN w:val="0"/>
        <w:adjustRightInd w:val="0"/>
        <w:jc w:val="both"/>
        <w:rPr>
          <w:b/>
          <w:bCs/>
          <w:color w:val="000000"/>
        </w:rPr>
      </w:pPr>
      <w:r w:rsidRPr="00734F3D">
        <w:rPr>
          <w:b/>
          <w:bCs/>
          <w:color w:val="000000"/>
        </w:rPr>
        <w:t>4 – Dettes représentées par un titre </w:t>
      </w:r>
    </w:p>
    <w:p w14:paraId="15559A84" w14:textId="77777777" w:rsidR="0077093A" w:rsidRPr="00734F3D" w:rsidRDefault="0077093A" w:rsidP="0077093A">
      <w:pPr>
        <w:autoSpaceDE w:val="0"/>
        <w:autoSpaceDN w:val="0"/>
        <w:adjustRightInd w:val="0"/>
        <w:jc w:val="both"/>
        <w:rPr>
          <w:b/>
          <w:bCs/>
          <w:color w:val="000000"/>
        </w:rPr>
      </w:pPr>
    </w:p>
    <w:p w14:paraId="10157B72" w14:textId="01181AA9" w:rsidR="0077093A" w:rsidRPr="00734F3D" w:rsidRDefault="0077093A" w:rsidP="0077093A">
      <w:pPr>
        <w:autoSpaceDE w:val="0"/>
        <w:autoSpaceDN w:val="0"/>
        <w:adjustRightInd w:val="0"/>
        <w:jc w:val="both"/>
        <w:rPr>
          <w:color w:val="000000"/>
        </w:rPr>
      </w:pPr>
      <w:r w:rsidRPr="00734F3D">
        <w:rPr>
          <w:color w:val="000000"/>
        </w:rPr>
        <w:t>Les dettes représentées par un titre sont constituées des émissions réalisées dans le cadre du p</w:t>
      </w:r>
      <w:r w:rsidR="002C1847" w:rsidRPr="00734F3D">
        <w:rPr>
          <w:color w:val="000000"/>
        </w:rPr>
        <w:t>rogramme d'émissions d’EMTN de 2</w:t>
      </w:r>
      <w:r w:rsidRPr="00734F3D">
        <w:rPr>
          <w:color w:val="000000"/>
        </w:rPr>
        <w:t>0 milliards d'euros de La Banque Postale Home Loan SFH.</w:t>
      </w:r>
    </w:p>
    <w:p w14:paraId="232D6E73" w14:textId="77777777" w:rsidR="0077093A" w:rsidRPr="00734F3D" w:rsidRDefault="0077093A" w:rsidP="0077093A">
      <w:pPr>
        <w:autoSpaceDE w:val="0"/>
        <w:autoSpaceDN w:val="0"/>
        <w:adjustRightInd w:val="0"/>
        <w:jc w:val="both"/>
        <w:rPr>
          <w:color w:val="000000"/>
        </w:rPr>
      </w:pPr>
    </w:p>
    <w:p w14:paraId="20F307CC" w14:textId="77777777" w:rsidR="0077093A" w:rsidRPr="00734F3D" w:rsidRDefault="0077093A" w:rsidP="0077093A">
      <w:pPr>
        <w:autoSpaceDE w:val="0"/>
        <w:autoSpaceDN w:val="0"/>
        <w:adjustRightInd w:val="0"/>
        <w:jc w:val="both"/>
        <w:rPr>
          <w:color w:val="000000"/>
        </w:rPr>
      </w:pPr>
      <w:r w:rsidRPr="00734F3D">
        <w:rPr>
          <w:color w:val="000000"/>
        </w:rPr>
        <w:t>Les intérêts courus non échus attachés à ces titres sont portés dans un compte de dettes rattachées en contrepartie du compte de résultat. Les frais et primes d’émissions sont étalés sur la durée des emprunts.</w:t>
      </w:r>
    </w:p>
    <w:p w14:paraId="267EE4AB" w14:textId="77777777" w:rsidR="0077093A" w:rsidRPr="00127FEA" w:rsidRDefault="0077093A" w:rsidP="0077093A">
      <w:pPr>
        <w:autoSpaceDE w:val="0"/>
        <w:autoSpaceDN w:val="0"/>
        <w:adjustRightInd w:val="0"/>
        <w:jc w:val="both"/>
        <w:rPr>
          <w:rFonts w:asciiTheme="minorHAnsi" w:hAnsiTheme="minorHAnsi" w:cstheme="minorHAnsi"/>
          <w:color w:val="000000"/>
          <w:sz w:val="20"/>
          <w:szCs w:val="20"/>
          <w:highlight w:val="yellow"/>
        </w:rPr>
      </w:pPr>
    </w:p>
    <w:p w14:paraId="6D173981" w14:textId="77777777" w:rsidR="0077093A" w:rsidRPr="00127FEA" w:rsidRDefault="0077093A" w:rsidP="0077093A">
      <w:pPr>
        <w:autoSpaceDE w:val="0"/>
        <w:autoSpaceDN w:val="0"/>
        <w:adjustRightInd w:val="0"/>
        <w:rPr>
          <w:rFonts w:asciiTheme="minorHAnsi" w:hAnsiTheme="minorHAnsi" w:cstheme="minorHAnsi"/>
          <w:highlight w:val="yellow"/>
        </w:rPr>
      </w:pPr>
      <w:r w:rsidRPr="00127FEA">
        <w:rPr>
          <w:rFonts w:asciiTheme="minorHAnsi" w:hAnsiTheme="minorHAnsi" w:cstheme="minorHAnsi"/>
          <w:highlight w:val="yellow"/>
        </w:rPr>
        <w:br w:type="page"/>
      </w:r>
    </w:p>
    <w:p w14:paraId="2F05EB59" w14:textId="4A5432EE" w:rsidR="0077093A" w:rsidRPr="00CF36DB" w:rsidRDefault="0077093A" w:rsidP="0077093A">
      <w:pPr>
        <w:pStyle w:val="StyleTitre3CorpsCalibri"/>
        <w:jc w:val="center"/>
        <w:rPr>
          <w:rFonts w:ascii="Times New Roman" w:hAnsi="Times New Roman" w:cs="Times New Roman"/>
          <w:sz w:val="24"/>
        </w:rPr>
      </w:pPr>
      <w:r w:rsidRPr="00CF36DB">
        <w:rPr>
          <w:rFonts w:ascii="Times New Roman" w:hAnsi="Times New Roman" w:cs="Times New Roman"/>
          <w:sz w:val="24"/>
        </w:rPr>
        <w:t>Note 1</w:t>
      </w:r>
      <w:r w:rsidR="008F0CF2">
        <w:rPr>
          <w:rFonts w:ascii="Times New Roman" w:hAnsi="Times New Roman" w:cs="Times New Roman"/>
          <w:sz w:val="24"/>
        </w:rPr>
        <w:t xml:space="preserve"> </w:t>
      </w:r>
      <w:r w:rsidR="008F0CF2" w:rsidRPr="00E121DB">
        <w:rPr>
          <w:rFonts w:ascii="Times New Roman" w:hAnsi="Times New Roman" w:cs="Times New Roman"/>
          <w:sz w:val="24"/>
        </w:rPr>
        <w:t xml:space="preserve">– </w:t>
      </w:r>
      <w:r w:rsidRPr="00CF36DB">
        <w:rPr>
          <w:rFonts w:ascii="Times New Roman" w:hAnsi="Times New Roman" w:cs="Times New Roman"/>
          <w:sz w:val="24"/>
        </w:rPr>
        <w:t>Détail caisse, banques centrales</w:t>
      </w:r>
    </w:p>
    <w:p w14:paraId="112274F3" w14:textId="56B4B765" w:rsidR="0077093A" w:rsidRPr="00127FEA" w:rsidRDefault="00F00C74" w:rsidP="00CF36DB">
      <w:pPr>
        <w:autoSpaceDE w:val="0"/>
        <w:autoSpaceDN w:val="0"/>
        <w:adjustRightInd w:val="0"/>
        <w:jc w:val="center"/>
        <w:rPr>
          <w:rFonts w:asciiTheme="minorHAnsi" w:hAnsiTheme="minorHAnsi" w:cstheme="minorHAnsi"/>
          <w:b/>
          <w:bCs/>
          <w:sz w:val="20"/>
          <w:szCs w:val="20"/>
          <w:highlight w:val="yellow"/>
        </w:rPr>
      </w:pPr>
      <w:r w:rsidRPr="00F00C74">
        <w:rPr>
          <w:rFonts w:asciiTheme="minorHAnsi" w:hAnsiTheme="minorHAnsi" w:cstheme="minorHAnsi"/>
          <w:b/>
          <w:bCs/>
          <w:noProof/>
          <w:sz w:val="20"/>
          <w:szCs w:val="20"/>
        </w:rPr>
        <w:drawing>
          <wp:inline distT="0" distB="0" distL="0" distR="0" wp14:anchorId="7EFD634A" wp14:editId="31A65FC4">
            <wp:extent cx="5800090" cy="172402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0090" cy="1724025"/>
                    </a:xfrm>
                    <a:prstGeom prst="rect">
                      <a:avLst/>
                    </a:prstGeom>
                    <a:noFill/>
                  </pic:spPr>
                </pic:pic>
              </a:graphicData>
            </a:graphic>
          </wp:inline>
        </w:drawing>
      </w:r>
    </w:p>
    <w:p w14:paraId="71ED49EB" w14:textId="77777777" w:rsidR="0077093A" w:rsidRPr="00127FEA" w:rsidRDefault="0077093A" w:rsidP="0077093A">
      <w:pPr>
        <w:autoSpaceDE w:val="0"/>
        <w:autoSpaceDN w:val="0"/>
        <w:adjustRightInd w:val="0"/>
        <w:jc w:val="center"/>
        <w:rPr>
          <w:rFonts w:asciiTheme="minorHAnsi" w:hAnsiTheme="minorHAnsi" w:cstheme="minorHAnsi"/>
          <w:b/>
          <w:bCs/>
          <w:sz w:val="20"/>
          <w:szCs w:val="20"/>
          <w:highlight w:val="yellow"/>
        </w:rPr>
      </w:pPr>
      <w:r w:rsidRPr="00127FEA">
        <w:rPr>
          <w:rFonts w:asciiTheme="minorHAnsi" w:hAnsiTheme="minorHAnsi" w:cstheme="minorHAnsi"/>
          <w:b/>
          <w:bCs/>
          <w:sz w:val="20"/>
          <w:szCs w:val="20"/>
          <w:highlight w:val="yellow"/>
        </w:rPr>
        <w:br w:type="textWrapping" w:clear="all"/>
      </w:r>
    </w:p>
    <w:p w14:paraId="3AA2C091" w14:textId="13350A99" w:rsidR="0077093A" w:rsidRPr="00F00C74" w:rsidRDefault="0077093A" w:rsidP="00F00C74">
      <w:pPr>
        <w:pStyle w:val="StyleTitre3CorpsCalibri"/>
        <w:jc w:val="center"/>
        <w:rPr>
          <w:rFonts w:ascii="Times New Roman" w:hAnsi="Times New Roman" w:cs="Times New Roman"/>
          <w:sz w:val="24"/>
        </w:rPr>
      </w:pPr>
      <w:r w:rsidRPr="00CF36DB">
        <w:rPr>
          <w:rFonts w:ascii="Times New Roman" w:hAnsi="Times New Roman" w:cs="Times New Roman"/>
          <w:sz w:val="24"/>
        </w:rPr>
        <w:t xml:space="preserve">Note 2 </w:t>
      </w:r>
      <w:r w:rsidR="008F0CF2" w:rsidRPr="00E121DB">
        <w:rPr>
          <w:rFonts w:ascii="Times New Roman" w:hAnsi="Times New Roman" w:cs="Times New Roman"/>
          <w:sz w:val="24"/>
        </w:rPr>
        <w:t xml:space="preserve">– </w:t>
      </w:r>
      <w:r w:rsidRPr="00CF36DB">
        <w:rPr>
          <w:rFonts w:ascii="Times New Roman" w:hAnsi="Times New Roman" w:cs="Times New Roman"/>
          <w:sz w:val="24"/>
        </w:rPr>
        <w:t>Créances envers les établissements de crédit</w:t>
      </w:r>
    </w:p>
    <w:bookmarkStart w:id="3" w:name="_MON_1467187924"/>
    <w:bookmarkEnd w:id="3"/>
    <w:p w14:paraId="10C25258" w14:textId="1D3B2ABA" w:rsidR="0077093A" w:rsidRPr="00127FEA" w:rsidRDefault="00F00C74" w:rsidP="00F00C74">
      <w:pPr>
        <w:pStyle w:val="StyleTitre3CorpsCalibri"/>
        <w:jc w:val="center"/>
        <w:rPr>
          <w:highlight w:val="yellow"/>
        </w:rPr>
        <w:sectPr w:rsidR="0077093A" w:rsidRPr="00127FEA" w:rsidSect="001F01AA">
          <w:pgSz w:w="11906" w:h="16838" w:code="9"/>
          <w:pgMar w:top="1418" w:right="424" w:bottom="1276" w:left="567" w:header="709" w:footer="365" w:gutter="0"/>
          <w:cols w:space="708"/>
          <w:docGrid w:linePitch="360"/>
        </w:sectPr>
      </w:pPr>
      <w:r w:rsidRPr="00F00C74">
        <w:object w:dxaOrig="9582" w:dyaOrig="8962" w14:anchorId="134D72D6">
          <v:shape id="_x0000_i1028" type="#_x0000_t75" style="width:474.6pt;height:445.25pt" o:ole="">
            <v:imagedata r:id="rId28" o:title=""/>
          </v:shape>
          <o:OLEObject Type="Embed" ProgID="Excel.Sheet.8" ShapeID="_x0000_i1028" DrawAspect="Content" ObjectID="_1645618953" r:id="rId29"/>
        </w:object>
      </w:r>
    </w:p>
    <w:p w14:paraId="09DDC161" w14:textId="1413FC0A" w:rsidR="0077093A" w:rsidRPr="009452AC" w:rsidRDefault="0077093A" w:rsidP="0077093A">
      <w:pPr>
        <w:pStyle w:val="StyleTitre3CorpsCalibri"/>
        <w:jc w:val="center"/>
        <w:rPr>
          <w:rFonts w:ascii="Times New Roman" w:hAnsi="Times New Roman" w:cs="Times New Roman"/>
          <w:sz w:val="24"/>
        </w:rPr>
      </w:pPr>
      <w:r w:rsidRPr="009452AC">
        <w:rPr>
          <w:rFonts w:ascii="Times New Roman" w:hAnsi="Times New Roman" w:cs="Times New Roman"/>
          <w:sz w:val="24"/>
        </w:rPr>
        <w:t xml:space="preserve">Note 3.1 </w:t>
      </w:r>
      <w:r w:rsidR="008F0CF2" w:rsidRPr="00E121DB">
        <w:rPr>
          <w:rFonts w:ascii="Times New Roman" w:hAnsi="Times New Roman" w:cs="Times New Roman"/>
          <w:sz w:val="24"/>
        </w:rPr>
        <w:t xml:space="preserve">– </w:t>
      </w:r>
      <w:r w:rsidRPr="009452AC">
        <w:rPr>
          <w:rFonts w:ascii="Times New Roman" w:hAnsi="Times New Roman" w:cs="Times New Roman"/>
          <w:sz w:val="24"/>
        </w:rPr>
        <w:t>Opérations financières - détail par catégorie</w:t>
      </w:r>
    </w:p>
    <w:bookmarkStart w:id="4" w:name="_MON_1467187952"/>
    <w:bookmarkEnd w:id="4"/>
    <w:p w14:paraId="1B505DB0" w14:textId="40B2610B" w:rsidR="0077093A" w:rsidRPr="00127FEA" w:rsidRDefault="00F00C74" w:rsidP="0077093A">
      <w:pPr>
        <w:autoSpaceDE w:val="0"/>
        <w:autoSpaceDN w:val="0"/>
        <w:adjustRightInd w:val="0"/>
        <w:jc w:val="center"/>
        <w:rPr>
          <w:rFonts w:asciiTheme="minorHAnsi" w:hAnsiTheme="minorHAnsi" w:cstheme="minorHAnsi"/>
          <w:b/>
          <w:bCs/>
          <w:sz w:val="20"/>
          <w:szCs w:val="20"/>
          <w:highlight w:val="yellow"/>
        </w:rPr>
      </w:pPr>
      <w:r w:rsidRPr="00F00C74">
        <w:rPr>
          <w:rFonts w:asciiTheme="minorHAnsi" w:hAnsiTheme="minorHAnsi" w:cstheme="minorHAnsi"/>
          <w:b/>
          <w:bCs/>
          <w:noProof/>
          <w:sz w:val="20"/>
          <w:szCs w:val="20"/>
        </w:rPr>
        <w:object w:dxaOrig="15551" w:dyaOrig="7188" w14:anchorId="3584BF79">
          <v:shape id="_x0000_i1029" type="#_x0000_t75" style="width:806.4pt;height:375pt" o:ole="">
            <v:imagedata r:id="rId30" o:title=""/>
          </v:shape>
          <o:OLEObject Type="Embed" ProgID="Excel.Sheet.8" ShapeID="_x0000_i1029" DrawAspect="Content" ObjectID="_1645618954" r:id="rId31"/>
        </w:object>
      </w:r>
    </w:p>
    <w:p w14:paraId="7526EC4C" w14:textId="77777777" w:rsidR="0077093A" w:rsidRPr="00127FEA" w:rsidRDefault="0077093A" w:rsidP="0077093A">
      <w:pPr>
        <w:pStyle w:val="StyleTitre3CorpsCalibri"/>
        <w:jc w:val="center"/>
        <w:rPr>
          <w:highlight w:val="yellow"/>
        </w:rPr>
        <w:sectPr w:rsidR="0077093A" w:rsidRPr="00127FEA" w:rsidSect="001F01AA">
          <w:pgSz w:w="16838" w:h="11906" w:orient="landscape" w:code="9"/>
          <w:pgMar w:top="1418" w:right="253" w:bottom="1287" w:left="426" w:header="709" w:footer="709" w:gutter="0"/>
          <w:cols w:space="708"/>
          <w:docGrid w:linePitch="360"/>
        </w:sectPr>
      </w:pPr>
    </w:p>
    <w:p w14:paraId="714404C3" w14:textId="5DB8BCEF" w:rsidR="0077093A" w:rsidRPr="009452AC" w:rsidRDefault="0077093A" w:rsidP="008F0CF2">
      <w:pPr>
        <w:pStyle w:val="Titre3"/>
        <w:numPr>
          <w:ilvl w:val="0"/>
          <w:numId w:val="0"/>
        </w:numPr>
        <w:ind w:left="862" w:right="-698"/>
        <w:jc w:val="center"/>
        <w:rPr>
          <w:rFonts w:ascii="Times New Roman" w:hAnsi="Times New Roman" w:cs="Times New Roman"/>
        </w:rPr>
      </w:pPr>
      <w:r w:rsidRPr="009452AC">
        <w:rPr>
          <w:rFonts w:ascii="Times New Roman" w:hAnsi="Times New Roman" w:cs="Times New Roman"/>
        </w:rPr>
        <w:t xml:space="preserve">Note 3.2 </w:t>
      </w:r>
      <w:r w:rsidR="008F0CF2" w:rsidRPr="00E121DB">
        <w:rPr>
          <w:rFonts w:ascii="Times New Roman" w:hAnsi="Times New Roman" w:cs="Times New Roman"/>
        </w:rPr>
        <w:t xml:space="preserve">– </w:t>
      </w:r>
      <w:r w:rsidRPr="009452AC">
        <w:rPr>
          <w:rFonts w:ascii="Times New Roman" w:hAnsi="Times New Roman" w:cs="Times New Roman"/>
        </w:rPr>
        <w:t>Valeur de marché des opérations financières</w:t>
      </w:r>
    </w:p>
    <w:bookmarkStart w:id="5" w:name="_MON_1484576051"/>
    <w:bookmarkEnd w:id="5"/>
    <w:p w14:paraId="59778F12" w14:textId="1116EFC6" w:rsidR="0077093A" w:rsidRPr="00127FEA" w:rsidRDefault="00F00C74" w:rsidP="00F57007">
      <w:pPr>
        <w:autoSpaceDE w:val="0"/>
        <w:autoSpaceDN w:val="0"/>
        <w:adjustRightInd w:val="0"/>
        <w:ind w:left="-540"/>
        <w:jc w:val="center"/>
        <w:rPr>
          <w:rFonts w:asciiTheme="minorHAnsi" w:hAnsiTheme="minorHAnsi" w:cstheme="minorHAnsi"/>
          <w:sz w:val="20"/>
          <w:szCs w:val="20"/>
          <w:highlight w:val="yellow"/>
        </w:rPr>
      </w:pPr>
      <w:r w:rsidRPr="00F00C74">
        <w:rPr>
          <w:rFonts w:asciiTheme="minorHAnsi" w:hAnsiTheme="minorHAnsi" w:cstheme="minorHAnsi"/>
          <w:sz w:val="20"/>
          <w:szCs w:val="20"/>
        </w:rPr>
        <w:object w:dxaOrig="10381" w:dyaOrig="4779" w14:anchorId="769D7178">
          <v:shape id="_x0000_i1030" type="#_x0000_t75" style="width:483.25pt;height:222.9pt" o:ole="">
            <v:imagedata r:id="rId32" o:title=""/>
          </v:shape>
          <o:OLEObject Type="Embed" ProgID="Excel.Sheet.8" ShapeID="_x0000_i1030" DrawAspect="Content" ObjectID="_1645618955" r:id="rId33"/>
        </w:object>
      </w:r>
    </w:p>
    <w:p w14:paraId="5AB88479" w14:textId="77777777" w:rsidR="0077093A" w:rsidRPr="009452AC" w:rsidRDefault="0077093A" w:rsidP="00D032FF">
      <w:pPr>
        <w:pStyle w:val="Paragraphedeliste"/>
        <w:numPr>
          <w:ilvl w:val="0"/>
          <w:numId w:val="23"/>
        </w:numPr>
        <w:autoSpaceDE w:val="0"/>
        <w:autoSpaceDN w:val="0"/>
        <w:adjustRightInd w:val="0"/>
        <w:rPr>
          <w:sz w:val="20"/>
          <w:szCs w:val="20"/>
        </w:rPr>
      </w:pPr>
      <w:r w:rsidRPr="009452AC">
        <w:rPr>
          <w:sz w:val="20"/>
          <w:szCs w:val="20"/>
        </w:rPr>
        <w:t>Les dépréciations sont calculées en tenant compte des résultats latents afférents aux instruments financiers affectés, le cas échéant, en couverture des titres de placement ;</w:t>
      </w:r>
    </w:p>
    <w:p w14:paraId="73BEF51D" w14:textId="77777777" w:rsidR="0077093A" w:rsidRPr="00127FEA" w:rsidRDefault="0077093A" w:rsidP="0077093A">
      <w:pPr>
        <w:pStyle w:val="Paragraphedeliste"/>
        <w:autoSpaceDE w:val="0"/>
        <w:autoSpaceDN w:val="0"/>
        <w:adjustRightInd w:val="0"/>
        <w:rPr>
          <w:rFonts w:asciiTheme="minorHAnsi" w:hAnsiTheme="minorHAnsi" w:cstheme="minorHAnsi"/>
          <w:sz w:val="20"/>
          <w:szCs w:val="20"/>
          <w:highlight w:val="yellow"/>
        </w:rPr>
      </w:pPr>
    </w:p>
    <w:p w14:paraId="7FCE4D98" w14:textId="77777777" w:rsidR="0077093A" w:rsidRPr="00127FEA" w:rsidRDefault="0077093A" w:rsidP="0077093A">
      <w:pPr>
        <w:pStyle w:val="Paragraphedeliste"/>
        <w:autoSpaceDE w:val="0"/>
        <w:autoSpaceDN w:val="0"/>
        <w:adjustRightInd w:val="0"/>
        <w:rPr>
          <w:rFonts w:asciiTheme="minorHAnsi" w:hAnsiTheme="minorHAnsi" w:cstheme="minorHAnsi"/>
          <w:sz w:val="20"/>
          <w:szCs w:val="20"/>
          <w:highlight w:val="yellow"/>
        </w:rPr>
      </w:pPr>
    </w:p>
    <w:p w14:paraId="2883CE5C" w14:textId="77777777" w:rsidR="0077093A" w:rsidRPr="00127FEA" w:rsidRDefault="0077093A" w:rsidP="0077093A">
      <w:pPr>
        <w:jc w:val="center"/>
        <w:rPr>
          <w:rFonts w:asciiTheme="minorHAnsi" w:hAnsiTheme="minorHAnsi" w:cstheme="minorHAnsi"/>
          <w:b/>
          <w:bCs/>
          <w:szCs w:val="26"/>
          <w:highlight w:val="yellow"/>
        </w:rPr>
      </w:pPr>
    </w:p>
    <w:p w14:paraId="639068ED" w14:textId="3D662E88" w:rsidR="0077093A" w:rsidRPr="00BD5DF5" w:rsidRDefault="0077093A" w:rsidP="008F0CF2">
      <w:pPr>
        <w:pStyle w:val="Titre3"/>
        <w:numPr>
          <w:ilvl w:val="0"/>
          <w:numId w:val="0"/>
        </w:numPr>
        <w:ind w:left="862" w:right="-698"/>
        <w:jc w:val="center"/>
        <w:rPr>
          <w:rFonts w:ascii="Times New Roman" w:hAnsi="Times New Roman" w:cs="Times New Roman"/>
        </w:rPr>
      </w:pPr>
      <w:r w:rsidRPr="00BD5DF5">
        <w:rPr>
          <w:rFonts w:ascii="Times New Roman" w:hAnsi="Times New Roman" w:cs="Times New Roman"/>
        </w:rPr>
        <w:t xml:space="preserve">Note 4 </w:t>
      </w:r>
      <w:r w:rsidR="008F0CF2" w:rsidRPr="00E121DB">
        <w:rPr>
          <w:rFonts w:ascii="Times New Roman" w:hAnsi="Times New Roman" w:cs="Times New Roman"/>
        </w:rPr>
        <w:t xml:space="preserve">– </w:t>
      </w:r>
      <w:r w:rsidRPr="00BD5DF5">
        <w:rPr>
          <w:rFonts w:ascii="Times New Roman" w:hAnsi="Times New Roman" w:cs="Times New Roman"/>
        </w:rPr>
        <w:t>Détail des comptes de régularisation et autres actifs</w:t>
      </w:r>
    </w:p>
    <w:bookmarkStart w:id="6" w:name="_MON_1514641390"/>
    <w:bookmarkEnd w:id="6"/>
    <w:p w14:paraId="6DF8A5B4" w14:textId="3F7E4DA0" w:rsidR="0077093A" w:rsidRPr="00311111" w:rsidRDefault="00F00C74" w:rsidP="00311111">
      <w:pPr>
        <w:jc w:val="center"/>
        <w:rPr>
          <w:rFonts w:asciiTheme="minorHAnsi" w:hAnsiTheme="minorHAnsi" w:cstheme="minorHAnsi"/>
          <w:b/>
          <w:bCs/>
          <w:sz w:val="26"/>
          <w:szCs w:val="26"/>
          <w:highlight w:val="yellow"/>
        </w:rPr>
      </w:pPr>
      <w:r w:rsidRPr="00F00C74">
        <w:rPr>
          <w:rFonts w:asciiTheme="minorHAnsi" w:hAnsiTheme="minorHAnsi" w:cstheme="minorHAnsi"/>
          <w:b/>
          <w:bCs/>
          <w:noProof/>
          <w:sz w:val="26"/>
          <w:szCs w:val="26"/>
        </w:rPr>
        <w:object w:dxaOrig="9081" w:dyaOrig="7148" w14:anchorId="2BB26E59">
          <v:shape id="_x0000_i1031" type="#_x0000_t75" style="width:440.05pt;height:345.6pt" o:ole="">
            <v:imagedata r:id="rId34" o:title=""/>
          </v:shape>
          <o:OLEObject Type="Embed" ProgID="Excel.Sheet.8" ShapeID="_x0000_i1031" DrawAspect="Content" ObjectID="_1645618956" r:id="rId35"/>
        </w:object>
      </w:r>
    </w:p>
    <w:p w14:paraId="6A9E7280" w14:textId="6D7505A3" w:rsidR="0077093A" w:rsidRPr="00BD5DF5" w:rsidRDefault="0077093A" w:rsidP="0077093A">
      <w:pPr>
        <w:pStyle w:val="StyleTitre3CorpsCalibri"/>
        <w:jc w:val="center"/>
        <w:rPr>
          <w:rFonts w:ascii="Times New Roman" w:hAnsi="Times New Roman" w:cs="Times New Roman"/>
          <w:sz w:val="24"/>
        </w:rPr>
      </w:pPr>
      <w:r w:rsidRPr="00BD5DF5">
        <w:rPr>
          <w:rFonts w:ascii="Times New Roman" w:hAnsi="Times New Roman" w:cs="Times New Roman"/>
          <w:sz w:val="24"/>
        </w:rPr>
        <w:t>Note 5</w:t>
      </w:r>
      <w:r w:rsidR="008F0CF2">
        <w:rPr>
          <w:rFonts w:ascii="Times New Roman" w:hAnsi="Times New Roman" w:cs="Times New Roman"/>
          <w:sz w:val="24"/>
        </w:rPr>
        <w:t xml:space="preserve"> –</w:t>
      </w:r>
      <w:r w:rsidRPr="00BD5DF5">
        <w:rPr>
          <w:rFonts w:ascii="Times New Roman" w:hAnsi="Times New Roman" w:cs="Times New Roman"/>
          <w:sz w:val="24"/>
        </w:rPr>
        <w:t xml:space="preserve"> Dettes représentées par un titre</w:t>
      </w:r>
    </w:p>
    <w:bookmarkStart w:id="7" w:name="_MON_1467198389"/>
    <w:bookmarkEnd w:id="7"/>
    <w:p w14:paraId="5B9B8E10" w14:textId="6C05FC70" w:rsidR="0077093A" w:rsidRPr="00BD5DF5" w:rsidRDefault="00F57007" w:rsidP="0077093A">
      <w:pPr>
        <w:autoSpaceDE w:val="0"/>
        <w:autoSpaceDN w:val="0"/>
        <w:adjustRightInd w:val="0"/>
        <w:jc w:val="center"/>
        <w:rPr>
          <w:rFonts w:asciiTheme="minorHAnsi" w:hAnsiTheme="minorHAnsi" w:cstheme="minorHAnsi"/>
          <w:highlight w:val="yellow"/>
        </w:rPr>
      </w:pPr>
      <w:r w:rsidRPr="00C948A1">
        <w:rPr>
          <w:rFonts w:asciiTheme="minorHAnsi" w:hAnsiTheme="minorHAnsi" w:cstheme="minorHAnsi"/>
          <w:i/>
        </w:rPr>
        <w:object w:dxaOrig="8523" w:dyaOrig="7097" w14:anchorId="298EF2D1">
          <v:shape id="_x0000_i1032" type="#_x0000_t75" style="width:439.5pt;height:368.05pt" o:ole="">
            <v:imagedata r:id="rId36" o:title=""/>
          </v:shape>
          <o:OLEObject Type="Embed" ProgID="Excel.Sheet.8" ShapeID="_x0000_i1032" DrawAspect="Content" ObjectID="_1645618957" r:id="rId37"/>
        </w:object>
      </w:r>
    </w:p>
    <w:p w14:paraId="49E70749" w14:textId="77777777" w:rsidR="00BD5DF5" w:rsidRDefault="00BD5DF5" w:rsidP="00BD5DF5">
      <w:pPr>
        <w:autoSpaceDE w:val="0"/>
        <w:autoSpaceDN w:val="0"/>
        <w:adjustRightInd w:val="0"/>
        <w:jc w:val="both"/>
        <w:rPr>
          <w:rFonts w:asciiTheme="minorHAnsi" w:hAnsiTheme="minorHAnsi" w:cstheme="minorHAnsi"/>
          <w:i/>
          <w:highlight w:val="yellow"/>
        </w:rPr>
      </w:pPr>
    </w:p>
    <w:p w14:paraId="79A5D56C" w14:textId="77777777" w:rsidR="0077093A" w:rsidRPr="00127FEA" w:rsidRDefault="0077093A" w:rsidP="0077093A">
      <w:pPr>
        <w:autoSpaceDE w:val="0"/>
        <w:autoSpaceDN w:val="0"/>
        <w:adjustRightInd w:val="0"/>
        <w:jc w:val="center"/>
        <w:rPr>
          <w:rFonts w:asciiTheme="minorHAnsi" w:hAnsiTheme="minorHAnsi" w:cstheme="minorHAnsi"/>
          <w:b/>
          <w:bCs/>
          <w:i/>
          <w:sz w:val="17"/>
          <w:szCs w:val="17"/>
          <w:highlight w:val="yellow"/>
        </w:rPr>
      </w:pPr>
    </w:p>
    <w:p w14:paraId="69F999BA" w14:textId="416A9859" w:rsidR="0077093A" w:rsidRPr="0034512D" w:rsidRDefault="0077093A" w:rsidP="0077093A">
      <w:pPr>
        <w:pStyle w:val="StyleTitre3CorpsCalibri"/>
        <w:jc w:val="center"/>
        <w:rPr>
          <w:rFonts w:ascii="Times New Roman" w:hAnsi="Times New Roman" w:cs="Times New Roman"/>
          <w:sz w:val="24"/>
        </w:rPr>
      </w:pPr>
      <w:r w:rsidRPr="0034512D">
        <w:rPr>
          <w:rFonts w:ascii="Times New Roman" w:hAnsi="Times New Roman" w:cs="Times New Roman"/>
          <w:sz w:val="24"/>
        </w:rPr>
        <w:t xml:space="preserve">Note 6 </w:t>
      </w:r>
      <w:r w:rsidR="008F0CF2" w:rsidRPr="00E121DB">
        <w:rPr>
          <w:rFonts w:ascii="Times New Roman" w:hAnsi="Times New Roman" w:cs="Times New Roman"/>
          <w:sz w:val="24"/>
        </w:rPr>
        <w:t xml:space="preserve">– </w:t>
      </w:r>
      <w:r w:rsidRPr="0034512D">
        <w:rPr>
          <w:rFonts w:ascii="Times New Roman" w:hAnsi="Times New Roman" w:cs="Times New Roman"/>
          <w:sz w:val="24"/>
        </w:rPr>
        <w:t>Détail des comptes de régularisation et autres passifs</w:t>
      </w:r>
    </w:p>
    <w:bookmarkStart w:id="8" w:name="_MON_1467198374"/>
    <w:bookmarkEnd w:id="8"/>
    <w:p w14:paraId="2817CF20" w14:textId="71DE8BCA" w:rsidR="0077093A" w:rsidRPr="00127FEA" w:rsidRDefault="00F57007" w:rsidP="0077093A">
      <w:pPr>
        <w:autoSpaceDE w:val="0"/>
        <w:autoSpaceDN w:val="0"/>
        <w:adjustRightInd w:val="0"/>
        <w:jc w:val="center"/>
        <w:rPr>
          <w:rFonts w:asciiTheme="minorHAnsi" w:hAnsiTheme="minorHAnsi" w:cstheme="minorHAnsi"/>
          <w:highlight w:val="yellow"/>
        </w:rPr>
        <w:sectPr w:rsidR="0077093A" w:rsidRPr="00127FEA" w:rsidSect="001F01AA">
          <w:pgSz w:w="11906" w:h="16838" w:code="9"/>
          <w:pgMar w:top="1418" w:right="284" w:bottom="1418" w:left="851" w:header="709" w:footer="709" w:gutter="0"/>
          <w:cols w:space="708"/>
          <w:docGrid w:linePitch="360"/>
        </w:sectPr>
      </w:pPr>
      <w:r w:rsidRPr="00F57007">
        <w:rPr>
          <w:rFonts w:asciiTheme="minorHAnsi" w:hAnsiTheme="minorHAnsi" w:cstheme="minorHAnsi"/>
          <w:noProof/>
        </w:rPr>
        <w:object w:dxaOrig="8902" w:dyaOrig="5127" w14:anchorId="3F1E7E44">
          <v:shape id="_x0000_i1033" type="#_x0000_t75" style="width:446.4pt;height:258.6pt" o:ole="">
            <v:imagedata r:id="rId38" o:title=""/>
          </v:shape>
          <o:OLEObject Type="Embed" ProgID="Excel.Sheet.8" ShapeID="_x0000_i1033" DrawAspect="Content" ObjectID="_1645618958" r:id="rId39"/>
        </w:object>
      </w:r>
    </w:p>
    <w:p w14:paraId="0D64EC19" w14:textId="53641446" w:rsidR="0077093A" w:rsidRPr="00311111" w:rsidRDefault="0077093A" w:rsidP="00311111">
      <w:pPr>
        <w:pStyle w:val="Titre3"/>
        <w:numPr>
          <w:ilvl w:val="0"/>
          <w:numId w:val="0"/>
        </w:numPr>
        <w:ind w:left="862" w:right="-32"/>
        <w:rPr>
          <w:rFonts w:ascii="Times New Roman" w:hAnsi="Times New Roman" w:cs="Times New Roman"/>
        </w:rPr>
      </w:pPr>
      <w:r w:rsidRPr="0034512D">
        <w:rPr>
          <w:rFonts w:ascii="Times New Roman" w:hAnsi="Times New Roman" w:cs="Times New Roman"/>
        </w:rPr>
        <w:t xml:space="preserve">Note 7 </w:t>
      </w:r>
      <w:r w:rsidR="008F0CF2" w:rsidRPr="00E121DB">
        <w:rPr>
          <w:rFonts w:ascii="Times New Roman" w:hAnsi="Times New Roman" w:cs="Times New Roman"/>
        </w:rPr>
        <w:t xml:space="preserve">– </w:t>
      </w:r>
      <w:r w:rsidRPr="0034512D">
        <w:rPr>
          <w:rFonts w:ascii="Times New Roman" w:hAnsi="Times New Roman" w:cs="Times New Roman"/>
        </w:rPr>
        <w:t>Détail des opérations avec des établissements de crédit et avec la clientèle par durée restant à courir</w:t>
      </w:r>
      <w:bookmarkStart w:id="9" w:name="_MON_1578921535"/>
      <w:bookmarkEnd w:id="9"/>
    </w:p>
    <w:bookmarkStart w:id="10" w:name="_MON_1467188293"/>
    <w:bookmarkEnd w:id="10"/>
    <w:p w14:paraId="73C22C75" w14:textId="566C31F5" w:rsidR="0077093A" w:rsidRPr="00127FEA" w:rsidRDefault="00311111" w:rsidP="0077093A">
      <w:pPr>
        <w:rPr>
          <w:rFonts w:ascii="Calibri" w:hAnsi="Calibri" w:cs="Calibri"/>
          <w:b/>
          <w:bCs/>
          <w:sz w:val="20"/>
          <w:szCs w:val="20"/>
          <w:highlight w:val="yellow"/>
        </w:rPr>
      </w:pPr>
      <w:r w:rsidRPr="00311111">
        <w:rPr>
          <w:rFonts w:asciiTheme="minorHAnsi" w:hAnsiTheme="minorHAnsi" w:cstheme="minorHAnsi"/>
        </w:rPr>
        <w:object w:dxaOrig="16601" w:dyaOrig="6067" w14:anchorId="2CDDDCCB">
          <v:shape id="_x0000_i1034" type="#_x0000_t75" style="width:719.4pt;height:266.7pt" o:ole="">
            <v:imagedata r:id="rId40" o:title=""/>
          </v:shape>
          <o:OLEObject Type="Embed" ProgID="Excel.Sheet.12" ShapeID="_x0000_i1034" DrawAspect="Content" ObjectID="_1645618959" r:id="rId41"/>
        </w:object>
      </w:r>
      <w:r w:rsidR="0077093A" w:rsidRPr="00127FEA">
        <w:rPr>
          <w:rFonts w:ascii="Calibri" w:hAnsi="Calibri" w:cs="Calibri"/>
          <w:sz w:val="20"/>
          <w:szCs w:val="20"/>
          <w:highlight w:val="yellow"/>
        </w:rPr>
        <w:br w:type="page"/>
      </w:r>
    </w:p>
    <w:p w14:paraId="7B30793D" w14:textId="47A69D4D" w:rsidR="0077093A" w:rsidRPr="00127FEA" w:rsidRDefault="0077093A" w:rsidP="00311111">
      <w:pPr>
        <w:pStyle w:val="Titre3"/>
        <w:numPr>
          <w:ilvl w:val="0"/>
          <w:numId w:val="0"/>
        </w:numPr>
        <w:ind w:left="142" w:right="-32"/>
        <w:rPr>
          <w:rFonts w:asciiTheme="minorHAnsi" w:hAnsiTheme="minorHAnsi" w:cstheme="minorHAnsi"/>
          <w:highlight w:val="yellow"/>
        </w:rPr>
        <w:sectPr w:rsidR="0077093A" w:rsidRPr="00127FEA" w:rsidSect="001F01AA">
          <w:pgSz w:w="16838" w:h="11906" w:orient="landscape" w:code="9"/>
          <w:pgMar w:top="1418" w:right="1418" w:bottom="1418" w:left="1418" w:header="709" w:footer="709" w:gutter="0"/>
          <w:cols w:space="708"/>
          <w:docGrid w:linePitch="360"/>
        </w:sectPr>
      </w:pPr>
    </w:p>
    <w:p w14:paraId="0DA8195E" w14:textId="2EF3A094" w:rsidR="0077093A" w:rsidRPr="00311111" w:rsidRDefault="0077093A" w:rsidP="00311111">
      <w:pPr>
        <w:pStyle w:val="StyleTitre3CorpsCalibri"/>
        <w:jc w:val="center"/>
        <w:rPr>
          <w:rFonts w:ascii="Times New Roman" w:hAnsi="Times New Roman" w:cs="Times New Roman"/>
          <w:sz w:val="24"/>
        </w:rPr>
      </w:pPr>
      <w:r w:rsidRPr="00311111">
        <w:rPr>
          <w:rFonts w:ascii="Times New Roman" w:hAnsi="Times New Roman" w:cs="Times New Roman"/>
          <w:sz w:val="24"/>
        </w:rPr>
        <w:t>Note 8</w:t>
      </w:r>
      <w:r w:rsidR="008F0CF2">
        <w:rPr>
          <w:rFonts w:ascii="Times New Roman" w:hAnsi="Times New Roman" w:cs="Times New Roman"/>
          <w:sz w:val="24"/>
        </w:rPr>
        <w:t xml:space="preserve"> </w:t>
      </w:r>
      <w:r w:rsidRPr="00311111">
        <w:rPr>
          <w:rFonts w:ascii="Times New Roman" w:hAnsi="Times New Roman" w:cs="Times New Roman"/>
          <w:sz w:val="24"/>
        </w:rPr>
        <w:t xml:space="preserve"> </w:t>
      </w:r>
      <w:r w:rsidR="008F0CF2" w:rsidRPr="00E121DB">
        <w:rPr>
          <w:rFonts w:ascii="Times New Roman" w:hAnsi="Times New Roman" w:cs="Times New Roman"/>
          <w:sz w:val="24"/>
        </w:rPr>
        <w:t xml:space="preserve">– </w:t>
      </w:r>
      <w:r w:rsidRPr="00311111">
        <w:rPr>
          <w:rFonts w:ascii="Times New Roman" w:hAnsi="Times New Roman" w:cs="Times New Roman"/>
          <w:sz w:val="24"/>
        </w:rPr>
        <w:t>Capitaux propres</w:t>
      </w:r>
    </w:p>
    <w:bookmarkStart w:id="11" w:name="_MON_1469350131"/>
    <w:bookmarkEnd w:id="11"/>
    <w:p w14:paraId="12F71D65" w14:textId="739B62EC" w:rsidR="00BB3717" w:rsidRDefault="00311111" w:rsidP="008F0CF2">
      <w:pPr>
        <w:pStyle w:val="Titre3"/>
        <w:numPr>
          <w:ilvl w:val="0"/>
          <w:numId w:val="0"/>
        </w:numPr>
        <w:ind w:left="862" w:hanging="720"/>
        <w:jc w:val="center"/>
        <w:rPr>
          <w:rFonts w:asciiTheme="minorHAnsi" w:hAnsiTheme="minorHAnsi" w:cstheme="minorHAnsi"/>
          <w:b w:val="0"/>
          <w:sz w:val="20"/>
          <w:szCs w:val="20"/>
          <w:highlight w:val="yellow"/>
        </w:rPr>
      </w:pPr>
      <w:r w:rsidRPr="00311111">
        <w:rPr>
          <w:rFonts w:asciiTheme="minorHAnsi" w:hAnsiTheme="minorHAnsi" w:cstheme="minorHAnsi"/>
          <w:b w:val="0"/>
          <w:sz w:val="20"/>
          <w:szCs w:val="20"/>
        </w:rPr>
        <w:object w:dxaOrig="11707" w:dyaOrig="10056" w14:anchorId="47D5E412">
          <v:shape id="_x0000_i1035" type="#_x0000_t75" style="width:525.9pt;height:446.4pt" o:ole="">
            <v:imagedata r:id="rId42" o:title=""/>
          </v:shape>
          <o:OLEObject Type="Embed" ProgID="Excel.Sheet.8" ShapeID="_x0000_i1035" DrawAspect="Content" ObjectID="_1645618960" r:id="rId43"/>
        </w:object>
      </w:r>
    </w:p>
    <w:p w14:paraId="04E1D689" w14:textId="05BC4EC6" w:rsidR="0077093A" w:rsidRPr="000438BA" w:rsidRDefault="0077093A" w:rsidP="000438BA">
      <w:pPr>
        <w:pStyle w:val="Titre3"/>
        <w:numPr>
          <w:ilvl w:val="0"/>
          <w:numId w:val="0"/>
        </w:numPr>
        <w:ind w:left="142"/>
        <w:jc w:val="both"/>
        <w:rPr>
          <w:rFonts w:ascii="Times New Roman" w:hAnsi="Times New Roman" w:cs="Times New Roman"/>
          <w:b w:val="0"/>
          <w:bCs w:val="0"/>
          <w:sz w:val="20"/>
          <w:szCs w:val="20"/>
        </w:rPr>
      </w:pPr>
      <w:r w:rsidRPr="000438BA">
        <w:rPr>
          <w:rFonts w:ascii="Times New Roman" w:hAnsi="Times New Roman" w:cs="Times New Roman"/>
          <w:b w:val="0"/>
          <w:bCs w:val="0"/>
          <w:sz w:val="20"/>
          <w:szCs w:val="20"/>
        </w:rPr>
        <w:t>Le capital social de la SFH est de deux cent dix millions (210 000 000) d’euros divisé en vingt et un million (21 000 000) d’actions de dix euros de nominal chacune.</w:t>
      </w:r>
    </w:p>
    <w:p w14:paraId="2033CC4F" w14:textId="77777777" w:rsidR="0077093A" w:rsidRPr="00127FEA" w:rsidRDefault="0077093A" w:rsidP="0077093A">
      <w:pPr>
        <w:rPr>
          <w:highlight w:val="yellow"/>
        </w:rPr>
      </w:pPr>
    </w:p>
    <w:p w14:paraId="7E31BED3" w14:textId="24103A54" w:rsidR="0077093A" w:rsidRDefault="00311111" w:rsidP="0077093A">
      <w:pPr>
        <w:autoSpaceDE w:val="0"/>
        <w:autoSpaceDN w:val="0"/>
        <w:adjustRightInd w:val="0"/>
        <w:jc w:val="both"/>
        <w:rPr>
          <w:b/>
          <w:bCs/>
          <w:sz w:val="20"/>
          <w:szCs w:val="20"/>
        </w:rPr>
      </w:pPr>
      <w:r>
        <w:rPr>
          <w:b/>
          <w:bCs/>
          <w:sz w:val="20"/>
          <w:szCs w:val="20"/>
        </w:rPr>
        <w:t>29 mai 2019</w:t>
      </w:r>
      <w:r w:rsidR="0077093A" w:rsidRPr="0096607B">
        <w:rPr>
          <w:b/>
          <w:bCs/>
          <w:sz w:val="20"/>
          <w:szCs w:val="20"/>
        </w:rPr>
        <w:t xml:space="preserve"> </w:t>
      </w:r>
    </w:p>
    <w:p w14:paraId="198CFF96" w14:textId="77777777" w:rsidR="002E3358" w:rsidRPr="0096607B" w:rsidRDefault="002E3358" w:rsidP="0077093A">
      <w:pPr>
        <w:autoSpaceDE w:val="0"/>
        <w:autoSpaceDN w:val="0"/>
        <w:adjustRightInd w:val="0"/>
        <w:jc w:val="both"/>
        <w:rPr>
          <w:b/>
          <w:bCs/>
          <w:sz w:val="20"/>
          <w:szCs w:val="20"/>
        </w:rPr>
      </w:pPr>
    </w:p>
    <w:p w14:paraId="56BA147F" w14:textId="77777777" w:rsidR="00311111" w:rsidRPr="00311111" w:rsidRDefault="00311111" w:rsidP="00311111">
      <w:pPr>
        <w:jc w:val="both"/>
        <w:rPr>
          <w:sz w:val="20"/>
          <w:szCs w:val="20"/>
        </w:rPr>
      </w:pPr>
      <w:r w:rsidRPr="00311111">
        <w:rPr>
          <w:sz w:val="20"/>
          <w:szCs w:val="20"/>
        </w:rPr>
        <w:t xml:space="preserve">Affectation du bénéfice clos le 31 décembre 2018 s’élevant à 1 923 305,06 € : Réserve légale 96 165,25 €, </w:t>
      </w:r>
      <w:r w:rsidRPr="00311111">
        <w:rPr>
          <w:sz w:val="20"/>
          <w:szCs w:val="20"/>
        </w:rPr>
        <w:br/>
        <w:t>et affectation au compte de Report à Nouveau  pour 1 827 139,81 €.</w:t>
      </w:r>
    </w:p>
    <w:p w14:paraId="27905550" w14:textId="77777777" w:rsidR="0077093A" w:rsidRDefault="0077093A" w:rsidP="0077093A">
      <w:pPr>
        <w:rPr>
          <w:rFonts w:asciiTheme="minorHAnsi" w:hAnsiTheme="minorHAnsi" w:cstheme="minorHAnsi"/>
          <w:b/>
          <w:bCs/>
          <w:szCs w:val="26"/>
          <w:highlight w:val="yellow"/>
        </w:rPr>
      </w:pPr>
    </w:p>
    <w:p w14:paraId="5A6E9D90" w14:textId="77777777" w:rsidR="00311111" w:rsidRDefault="00311111" w:rsidP="0077093A">
      <w:pPr>
        <w:rPr>
          <w:rFonts w:asciiTheme="minorHAnsi" w:hAnsiTheme="minorHAnsi" w:cstheme="minorHAnsi"/>
          <w:b/>
          <w:bCs/>
          <w:szCs w:val="26"/>
          <w:highlight w:val="yellow"/>
        </w:rPr>
      </w:pPr>
    </w:p>
    <w:p w14:paraId="609F76B3" w14:textId="77777777" w:rsidR="00311111" w:rsidRPr="00127FEA" w:rsidRDefault="00311111" w:rsidP="0077093A">
      <w:pPr>
        <w:rPr>
          <w:rFonts w:asciiTheme="minorHAnsi" w:hAnsiTheme="minorHAnsi" w:cstheme="minorHAnsi"/>
          <w:b/>
          <w:bCs/>
          <w:szCs w:val="26"/>
          <w:highlight w:val="yellow"/>
        </w:rPr>
      </w:pPr>
    </w:p>
    <w:p w14:paraId="6725950F" w14:textId="412120C9" w:rsidR="0077093A" w:rsidRPr="00311111" w:rsidRDefault="0077093A" w:rsidP="00311111">
      <w:pPr>
        <w:pStyle w:val="StyleTitre3CorpsCalibri"/>
        <w:jc w:val="center"/>
        <w:rPr>
          <w:rFonts w:ascii="Times New Roman" w:hAnsi="Times New Roman" w:cs="Times New Roman"/>
          <w:sz w:val="24"/>
        </w:rPr>
      </w:pPr>
      <w:r w:rsidRPr="00311111">
        <w:rPr>
          <w:rFonts w:ascii="Times New Roman" w:hAnsi="Times New Roman" w:cs="Times New Roman"/>
          <w:sz w:val="24"/>
        </w:rPr>
        <w:t>Note 9</w:t>
      </w:r>
      <w:r w:rsidR="00A234F8" w:rsidRPr="00311111">
        <w:rPr>
          <w:rFonts w:ascii="Times New Roman" w:hAnsi="Times New Roman" w:cs="Times New Roman"/>
          <w:sz w:val="24"/>
        </w:rPr>
        <w:t xml:space="preserve"> </w:t>
      </w:r>
      <w:r w:rsidR="008F0CF2" w:rsidRPr="00E121DB">
        <w:rPr>
          <w:rFonts w:ascii="Times New Roman" w:hAnsi="Times New Roman" w:cs="Times New Roman"/>
          <w:sz w:val="24"/>
        </w:rPr>
        <w:t xml:space="preserve">– </w:t>
      </w:r>
      <w:r w:rsidRPr="00311111">
        <w:rPr>
          <w:rFonts w:ascii="Times New Roman" w:hAnsi="Times New Roman" w:cs="Times New Roman"/>
          <w:sz w:val="24"/>
        </w:rPr>
        <w:t>Intérêts sur opérations de trésorerie et interbancaires</w:t>
      </w:r>
    </w:p>
    <w:p w14:paraId="27D446BA" w14:textId="77777777" w:rsidR="0077093A" w:rsidRPr="00127FEA" w:rsidRDefault="0077093A" w:rsidP="0077093A">
      <w:pPr>
        <w:autoSpaceDE w:val="0"/>
        <w:autoSpaceDN w:val="0"/>
        <w:adjustRightInd w:val="0"/>
        <w:rPr>
          <w:rFonts w:asciiTheme="minorHAnsi" w:hAnsiTheme="minorHAnsi" w:cstheme="minorHAnsi"/>
          <w:b/>
          <w:bCs/>
          <w:sz w:val="20"/>
          <w:szCs w:val="20"/>
          <w:highlight w:val="yellow"/>
        </w:rPr>
      </w:pPr>
    </w:p>
    <w:p w14:paraId="15AA2517" w14:textId="2164BB62" w:rsidR="0077093A" w:rsidRPr="00127FEA" w:rsidRDefault="0077093A" w:rsidP="00C0111C">
      <w:pPr>
        <w:autoSpaceDE w:val="0"/>
        <w:autoSpaceDN w:val="0"/>
        <w:adjustRightInd w:val="0"/>
        <w:jc w:val="center"/>
        <w:rPr>
          <w:rFonts w:asciiTheme="minorHAnsi" w:hAnsiTheme="minorHAnsi" w:cstheme="minorHAnsi"/>
          <w:b/>
          <w:bCs/>
          <w:sz w:val="20"/>
          <w:szCs w:val="20"/>
          <w:highlight w:val="yellow"/>
        </w:rPr>
      </w:pPr>
    </w:p>
    <w:bookmarkStart w:id="12" w:name="_MON_1467189463"/>
    <w:bookmarkEnd w:id="12"/>
    <w:p w14:paraId="20F87BBD" w14:textId="43987795" w:rsidR="00C0111C" w:rsidRDefault="00311111" w:rsidP="00311111">
      <w:pPr>
        <w:jc w:val="center"/>
        <w:rPr>
          <w:rFonts w:asciiTheme="minorHAnsi" w:hAnsiTheme="minorHAnsi" w:cstheme="minorHAnsi"/>
          <w:b/>
          <w:bCs/>
          <w:szCs w:val="26"/>
          <w:highlight w:val="yellow"/>
        </w:rPr>
      </w:pPr>
      <w:r w:rsidRPr="00311111">
        <w:rPr>
          <w:rFonts w:asciiTheme="minorHAnsi" w:hAnsiTheme="minorHAnsi" w:cstheme="minorHAnsi"/>
          <w:b/>
          <w:bCs/>
        </w:rPr>
        <w:object w:dxaOrig="7800" w:dyaOrig="6497" w14:anchorId="5EB7933D">
          <v:shape id="_x0000_i1036" type="#_x0000_t75" style="width:440.05pt;height:403.2pt" o:ole="">
            <v:imagedata r:id="rId44" o:title=""/>
          </v:shape>
          <o:OLEObject Type="Embed" ProgID="Excel.Sheet.8" ShapeID="_x0000_i1036" DrawAspect="Content" ObjectID="_1645618961" r:id="rId45"/>
        </w:object>
      </w:r>
      <w:r w:rsidR="00C0111C">
        <w:rPr>
          <w:rFonts w:asciiTheme="minorHAnsi" w:hAnsiTheme="minorHAnsi" w:cstheme="minorHAnsi"/>
          <w:highlight w:val="yellow"/>
        </w:rPr>
        <w:br w:type="page"/>
      </w:r>
    </w:p>
    <w:p w14:paraId="3B5D9CD3" w14:textId="49F15DDE" w:rsidR="0077093A" w:rsidRPr="00311111" w:rsidRDefault="0077093A" w:rsidP="00311111">
      <w:pPr>
        <w:pStyle w:val="StyleTitre3CorpsCalibri"/>
        <w:jc w:val="center"/>
        <w:rPr>
          <w:rFonts w:ascii="Times New Roman" w:hAnsi="Times New Roman" w:cs="Times New Roman"/>
          <w:sz w:val="24"/>
        </w:rPr>
      </w:pPr>
      <w:r w:rsidRPr="00311111">
        <w:rPr>
          <w:rFonts w:ascii="Times New Roman" w:hAnsi="Times New Roman" w:cs="Times New Roman"/>
          <w:sz w:val="24"/>
        </w:rPr>
        <w:t>Note 10</w:t>
      </w:r>
      <w:r w:rsidR="000438BA">
        <w:rPr>
          <w:rFonts w:ascii="Times New Roman" w:hAnsi="Times New Roman" w:cs="Times New Roman"/>
          <w:sz w:val="24"/>
        </w:rPr>
        <w:t xml:space="preserve"> </w:t>
      </w:r>
      <w:r w:rsidR="000438BA" w:rsidRPr="00E121DB">
        <w:rPr>
          <w:rFonts w:ascii="Times New Roman" w:hAnsi="Times New Roman" w:cs="Times New Roman"/>
          <w:sz w:val="24"/>
        </w:rPr>
        <w:t xml:space="preserve">– </w:t>
      </w:r>
      <w:r w:rsidRPr="00311111">
        <w:rPr>
          <w:rFonts w:ascii="Times New Roman" w:hAnsi="Times New Roman" w:cs="Times New Roman"/>
          <w:sz w:val="24"/>
        </w:rPr>
        <w:t>Intérêts sur titres à revenu fixe</w:t>
      </w:r>
    </w:p>
    <w:bookmarkStart w:id="13" w:name="_MON_1467198567"/>
    <w:bookmarkEnd w:id="13"/>
    <w:p w14:paraId="115630B5" w14:textId="443D8C5A" w:rsidR="0077093A" w:rsidRDefault="00311111" w:rsidP="0077093A">
      <w:pPr>
        <w:autoSpaceDE w:val="0"/>
        <w:autoSpaceDN w:val="0"/>
        <w:adjustRightInd w:val="0"/>
        <w:jc w:val="center"/>
        <w:rPr>
          <w:rFonts w:asciiTheme="minorHAnsi" w:hAnsiTheme="minorHAnsi" w:cstheme="minorHAnsi"/>
          <w:b/>
          <w:bCs/>
          <w:szCs w:val="26"/>
          <w:highlight w:val="yellow"/>
        </w:rPr>
      </w:pPr>
      <w:r w:rsidRPr="00311111">
        <w:rPr>
          <w:rFonts w:asciiTheme="minorHAnsi" w:hAnsiTheme="minorHAnsi" w:cstheme="minorHAnsi"/>
          <w:b/>
          <w:bCs/>
          <w:szCs w:val="26"/>
        </w:rPr>
        <w:object w:dxaOrig="8021" w:dyaOrig="5136" w14:anchorId="43202BCF">
          <v:shape id="_x0000_i1037" type="#_x0000_t75" style="width:417pt;height:267.25pt" o:ole="">
            <v:imagedata r:id="rId46" o:title=""/>
          </v:shape>
          <o:OLEObject Type="Embed" ProgID="Excel.Sheet.8" ShapeID="_x0000_i1037" DrawAspect="Content" ObjectID="_1645618962" r:id="rId47"/>
        </w:object>
      </w:r>
    </w:p>
    <w:p w14:paraId="2D5F5CA3" w14:textId="77777777" w:rsidR="00EB0AA9" w:rsidRDefault="00EB0AA9" w:rsidP="00EB0AA9">
      <w:pPr>
        <w:autoSpaceDE w:val="0"/>
        <w:autoSpaceDN w:val="0"/>
        <w:adjustRightInd w:val="0"/>
        <w:jc w:val="both"/>
        <w:rPr>
          <w:rFonts w:asciiTheme="minorHAnsi" w:hAnsiTheme="minorHAnsi" w:cstheme="minorHAnsi"/>
          <w:b/>
          <w:bCs/>
          <w:szCs w:val="26"/>
          <w:highlight w:val="yellow"/>
        </w:rPr>
      </w:pPr>
    </w:p>
    <w:p w14:paraId="3297525E" w14:textId="2A668488" w:rsidR="0077093A" w:rsidRPr="00E121DB" w:rsidRDefault="0077093A" w:rsidP="00E121DB">
      <w:pPr>
        <w:pStyle w:val="StyleTitre3CorpsCalibri"/>
        <w:jc w:val="center"/>
        <w:rPr>
          <w:rFonts w:ascii="Times New Roman" w:hAnsi="Times New Roman" w:cs="Times New Roman"/>
          <w:sz w:val="24"/>
        </w:rPr>
      </w:pPr>
      <w:r w:rsidRPr="00E121DB">
        <w:rPr>
          <w:rFonts w:ascii="Times New Roman" w:hAnsi="Times New Roman" w:cs="Times New Roman"/>
          <w:sz w:val="24"/>
        </w:rPr>
        <w:t>Note 11</w:t>
      </w:r>
      <w:r w:rsidR="00A234F8" w:rsidRPr="00E121DB">
        <w:rPr>
          <w:rFonts w:ascii="Times New Roman" w:hAnsi="Times New Roman" w:cs="Times New Roman"/>
          <w:sz w:val="24"/>
        </w:rPr>
        <w:t xml:space="preserve"> </w:t>
      </w:r>
      <w:r w:rsidR="000438BA" w:rsidRPr="00E121DB">
        <w:rPr>
          <w:rFonts w:ascii="Times New Roman" w:hAnsi="Times New Roman" w:cs="Times New Roman"/>
          <w:sz w:val="24"/>
        </w:rPr>
        <w:t xml:space="preserve">– </w:t>
      </w:r>
      <w:r w:rsidRPr="00E121DB">
        <w:rPr>
          <w:rFonts w:ascii="Times New Roman" w:hAnsi="Times New Roman" w:cs="Times New Roman"/>
          <w:sz w:val="24"/>
        </w:rPr>
        <w:t>Commissions</w:t>
      </w:r>
    </w:p>
    <w:p w14:paraId="723FA5FB" w14:textId="3CD1EEE0" w:rsidR="00460A6C" w:rsidRPr="00127FEA" w:rsidRDefault="00460A6C" w:rsidP="00C0111C">
      <w:pPr>
        <w:autoSpaceDE w:val="0"/>
        <w:autoSpaceDN w:val="0"/>
        <w:adjustRightInd w:val="0"/>
        <w:jc w:val="center"/>
        <w:rPr>
          <w:rFonts w:asciiTheme="minorHAnsi" w:hAnsiTheme="minorHAnsi" w:cstheme="minorHAnsi"/>
          <w:highlight w:val="yellow"/>
        </w:rPr>
      </w:pPr>
    </w:p>
    <w:bookmarkStart w:id="14" w:name="_MON_1514708107"/>
    <w:bookmarkEnd w:id="14"/>
    <w:p w14:paraId="477FECC9" w14:textId="577DB192" w:rsidR="0077093A" w:rsidRPr="00127FEA" w:rsidRDefault="00E121DB" w:rsidP="00E121DB">
      <w:pPr>
        <w:jc w:val="center"/>
        <w:rPr>
          <w:rFonts w:asciiTheme="minorHAnsi" w:hAnsiTheme="minorHAnsi" w:cstheme="minorHAnsi"/>
          <w:highlight w:val="yellow"/>
        </w:rPr>
      </w:pPr>
      <w:r w:rsidRPr="00E121DB">
        <w:rPr>
          <w:rFonts w:asciiTheme="minorHAnsi" w:hAnsiTheme="minorHAnsi" w:cstheme="minorHAnsi"/>
          <w:b/>
          <w:bCs/>
        </w:rPr>
        <w:object w:dxaOrig="9601" w:dyaOrig="4664" w14:anchorId="13EB4264">
          <v:shape id="_x0000_i1038" type="#_x0000_t75" style="width:439.5pt;height:208.5pt" o:ole="">
            <v:imagedata r:id="rId48" o:title=""/>
          </v:shape>
          <o:OLEObject Type="Embed" ProgID="Excel.Sheet.8" ShapeID="_x0000_i1038" DrawAspect="Content" ObjectID="_1645618963" r:id="rId49"/>
        </w:object>
      </w:r>
      <w:r w:rsidR="00460A6C" w:rsidRPr="00127FEA">
        <w:rPr>
          <w:rFonts w:asciiTheme="minorHAnsi" w:hAnsiTheme="minorHAnsi" w:cstheme="minorHAnsi"/>
          <w:highlight w:val="yellow"/>
        </w:rPr>
        <w:br w:type="page"/>
      </w:r>
    </w:p>
    <w:p w14:paraId="11ABBF47" w14:textId="77777777" w:rsidR="0077093A" w:rsidRPr="00E121DB" w:rsidRDefault="0077093A" w:rsidP="00E121DB">
      <w:pPr>
        <w:pStyle w:val="StyleTitre3CorpsCalibri"/>
        <w:jc w:val="center"/>
        <w:rPr>
          <w:rFonts w:ascii="Times New Roman" w:hAnsi="Times New Roman" w:cs="Times New Roman"/>
          <w:sz w:val="24"/>
        </w:rPr>
      </w:pPr>
      <w:r w:rsidRPr="00E121DB">
        <w:rPr>
          <w:rFonts w:ascii="Times New Roman" w:hAnsi="Times New Roman" w:cs="Times New Roman"/>
          <w:sz w:val="24"/>
        </w:rPr>
        <w:t>Note 12</w:t>
      </w:r>
      <w:r w:rsidR="00A234F8" w:rsidRPr="00E121DB">
        <w:rPr>
          <w:rFonts w:ascii="Times New Roman" w:hAnsi="Times New Roman" w:cs="Times New Roman"/>
          <w:sz w:val="24"/>
        </w:rPr>
        <w:t xml:space="preserve"> </w:t>
      </w:r>
      <w:r w:rsidRPr="00E121DB">
        <w:rPr>
          <w:rFonts w:ascii="Times New Roman" w:hAnsi="Times New Roman" w:cs="Times New Roman"/>
          <w:sz w:val="24"/>
        </w:rPr>
        <w:t>– Résultats sur opérations de portefeuilles de placement</w:t>
      </w:r>
    </w:p>
    <w:bookmarkStart w:id="15" w:name="_MON_1580279716"/>
    <w:bookmarkEnd w:id="15"/>
    <w:p w14:paraId="04D5BB9F" w14:textId="578F463A" w:rsidR="0077093A" w:rsidRPr="00127FEA" w:rsidRDefault="00E121DB" w:rsidP="007735C5">
      <w:pPr>
        <w:autoSpaceDE w:val="0"/>
        <w:autoSpaceDN w:val="0"/>
        <w:adjustRightInd w:val="0"/>
        <w:jc w:val="center"/>
        <w:rPr>
          <w:rFonts w:asciiTheme="minorHAnsi" w:hAnsiTheme="minorHAnsi" w:cstheme="minorHAnsi"/>
          <w:b/>
          <w:bCs/>
          <w:szCs w:val="26"/>
          <w:highlight w:val="yellow"/>
        </w:rPr>
      </w:pPr>
      <w:r w:rsidRPr="00E121DB">
        <w:rPr>
          <w:rFonts w:asciiTheme="minorHAnsi" w:hAnsiTheme="minorHAnsi" w:cstheme="minorHAnsi"/>
          <w:b/>
          <w:bCs/>
          <w:noProof/>
          <w:szCs w:val="26"/>
        </w:rPr>
        <w:object w:dxaOrig="8635" w:dyaOrig="4594" w14:anchorId="64882F66">
          <v:shape id="_x0000_i1039" type="#_x0000_t75" style="width:409.55pt;height:3in" o:ole="">
            <v:imagedata r:id="rId50" o:title=""/>
          </v:shape>
          <o:OLEObject Type="Embed" ProgID="Excel.Sheet.12" ShapeID="_x0000_i1039" DrawAspect="Content" ObjectID="_1645618964" r:id="rId51"/>
        </w:object>
      </w:r>
    </w:p>
    <w:p w14:paraId="661C6A98" w14:textId="2E56E74B" w:rsidR="0077093A" w:rsidRPr="00127FEA" w:rsidRDefault="0077093A" w:rsidP="007735C5">
      <w:pPr>
        <w:rPr>
          <w:rFonts w:asciiTheme="minorHAnsi" w:hAnsiTheme="minorHAnsi" w:cstheme="minorHAnsi"/>
          <w:b/>
          <w:bCs/>
          <w:szCs w:val="26"/>
          <w:highlight w:val="yellow"/>
        </w:rPr>
      </w:pPr>
    </w:p>
    <w:p w14:paraId="312C48D5" w14:textId="6468ADF1" w:rsidR="00F176F4" w:rsidRPr="00E121DB" w:rsidRDefault="0077093A" w:rsidP="000438BA">
      <w:pPr>
        <w:pStyle w:val="StyleTitre3CorpsCalibri"/>
        <w:ind w:left="1418" w:firstLine="709"/>
        <w:rPr>
          <w:rFonts w:ascii="Times New Roman" w:hAnsi="Times New Roman" w:cs="Times New Roman"/>
          <w:sz w:val="24"/>
        </w:rPr>
      </w:pPr>
      <w:r w:rsidRPr="00E121DB">
        <w:rPr>
          <w:rFonts w:ascii="Times New Roman" w:hAnsi="Times New Roman" w:cs="Times New Roman"/>
          <w:sz w:val="24"/>
        </w:rPr>
        <w:t>Note 13</w:t>
      </w:r>
      <w:r w:rsidR="00A234F8" w:rsidRPr="00E121DB">
        <w:rPr>
          <w:rFonts w:ascii="Times New Roman" w:hAnsi="Times New Roman" w:cs="Times New Roman"/>
          <w:sz w:val="24"/>
        </w:rPr>
        <w:t xml:space="preserve"> </w:t>
      </w:r>
      <w:r w:rsidR="00E121DB" w:rsidRPr="00E121DB">
        <w:rPr>
          <w:rFonts w:ascii="Times New Roman" w:hAnsi="Times New Roman" w:cs="Times New Roman"/>
          <w:sz w:val="24"/>
        </w:rPr>
        <w:t xml:space="preserve">– </w:t>
      </w:r>
      <w:r w:rsidRPr="00E121DB">
        <w:rPr>
          <w:rFonts w:ascii="Times New Roman" w:hAnsi="Times New Roman" w:cs="Times New Roman"/>
          <w:sz w:val="24"/>
        </w:rPr>
        <w:t>Autres produits et charges d’exploitation bancaire</w:t>
      </w:r>
      <w:r w:rsidR="00E121DB">
        <w:rPr>
          <w:rFonts w:cstheme="minorHAnsi"/>
          <w:b w:val="0"/>
          <w:bCs w:val="0"/>
          <w:sz w:val="20"/>
          <w:szCs w:val="20"/>
        </w:rPr>
        <w:t xml:space="preserve">                                                  </w:t>
      </w:r>
      <w:bookmarkStart w:id="16" w:name="_MON_1467198600"/>
      <w:bookmarkEnd w:id="16"/>
      <w:r w:rsidR="00E121DB" w:rsidRPr="00E121DB">
        <w:rPr>
          <w:rFonts w:cstheme="minorHAnsi"/>
          <w:b w:val="0"/>
          <w:bCs w:val="0"/>
          <w:sz w:val="20"/>
          <w:szCs w:val="20"/>
        </w:rPr>
        <w:object w:dxaOrig="12379" w:dyaOrig="4913" w14:anchorId="1990470D">
          <v:shape id="_x0000_i1040" type="#_x0000_t75" style="width:7in;height:209.1pt" o:ole="">
            <v:imagedata r:id="rId52" o:title=""/>
          </v:shape>
          <o:OLEObject Type="Embed" ProgID="Excel.Sheet.8" ShapeID="_x0000_i1040" DrawAspect="Content" ObjectID="_1645618965" r:id="rId53"/>
        </w:object>
      </w:r>
      <w:r w:rsidR="00E121DB">
        <w:rPr>
          <w:rFonts w:cstheme="minorHAnsi"/>
          <w:b w:val="0"/>
          <w:bCs w:val="0"/>
          <w:sz w:val="20"/>
          <w:szCs w:val="20"/>
        </w:rPr>
        <w:t xml:space="preserve">                                </w:t>
      </w:r>
      <w:r w:rsidR="00F176F4">
        <w:rPr>
          <w:rFonts w:cstheme="minorHAnsi"/>
          <w:b w:val="0"/>
          <w:bCs w:val="0"/>
          <w:sz w:val="20"/>
          <w:szCs w:val="20"/>
          <w:highlight w:val="yellow"/>
        </w:rPr>
        <w:br w:type="page"/>
      </w:r>
    </w:p>
    <w:p w14:paraId="695FDEE7" w14:textId="77777777" w:rsidR="0077093A" w:rsidRPr="00127FEA" w:rsidRDefault="0077093A" w:rsidP="0077093A">
      <w:pPr>
        <w:autoSpaceDE w:val="0"/>
        <w:autoSpaceDN w:val="0"/>
        <w:adjustRightInd w:val="0"/>
        <w:jc w:val="both"/>
        <w:rPr>
          <w:rFonts w:asciiTheme="minorHAnsi" w:hAnsiTheme="minorHAnsi" w:cstheme="minorHAnsi"/>
          <w:b/>
          <w:bCs/>
          <w:sz w:val="20"/>
          <w:szCs w:val="20"/>
          <w:highlight w:val="yellow"/>
        </w:rPr>
      </w:pPr>
    </w:p>
    <w:p w14:paraId="0AF2E3B5" w14:textId="0A9D9F0B" w:rsidR="0077093A" w:rsidRPr="000438BA" w:rsidRDefault="0077093A" w:rsidP="000438BA">
      <w:pPr>
        <w:pStyle w:val="StyleTitre3CorpsCalibri"/>
        <w:jc w:val="center"/>
        <w:rPr>
          <w:rFonts w:ascii="Times New Roman" w:hAnsi="Times New Roman" w:cs="Times New Roman"/>
          <w:sz w:val="24"/>
        </w:rPr>
      </w:pPr>
      <w:r w:rsidRPr="000438BA">
        <w:rPr>
          <w:rFonts w:ascii="Times New Roman" w:hAnsi="Times New Roman" w:cs="Times New Roman"/>
          <w:sz w:val="24"/>
        </w:rPr>
        <w:t xml:space="preserve">Note 14 </w:t>
      </w:r>
      <w:r w:rsidR="000438BA" w:rsidRPr="00E121DB">
        <w:rPr>
          <w:rFonts w:ascii="Times New Roman" w:hAnsi="Times New Roman" w:cs="Times New Roman"/>
          <w:sz w:val="24"/>
        </w:rPr>
        <w:t xml:space="preserve">– </w:t>
      </w:r>
      <w:r w:rsidRPr="000438BA">
        <w:rPr>
          <w:rFonts w:ascii="Times New Roman" w:hAnsi="Times New Roman" w:cs="Times New Roman"/>
          <w:sz w:val="24"/>
        </w:rPr>
        <w:t>Autres charges générales d’exploitation</w:t>
      </w:r>
    </w:p>
    <w:bookmarkStart w:id="17" w:name="_MON_1514709843"/>
    <w:bookmarkEnd w:id="17"/>
    <w:p w14:paraId="23163F71" w14:textId="04952C52" w:rsidR="0077093A" w:rsidRPr="00127FEA" w:rsidRDefault="000438BA" w:rsidP="000438BA">
      <w:pPr>
        <w:autoSpaceDE w:val="0"/>
        <w:autoSpaceDN w:val="0"/>
        <w:adjustRightInd w:val="0"/>
        <w:jc w:val="center"/>
        <w:rPr>
          <w:rFonts w:asciiTheme="minorHAnsi" w:hAnsiTheme="minorHAnsi" w:cstheme="minorHAnsi"/>
          <w:b/>
          <w:bCs/>
          <w:sz w:val="20"/>
          <w:szCs w:val="20"/>
          <w:highlight w:val="yellow"/>
        </w:rPr>
      </w:pPr>
      <w:r w:rsidRPr="00411B44">
        <w:rPr>
          <w:rFonts w:asciiTheme="minorHAnsi" w:hAnsiTheme="minorHAnsi" w:cstheme="minorHAnsi"/>
          <w:b/>
          <w:bCs/>
          <w:sz w:val="20"/>
          <w:szCs w:val="20"/>
        </w:rPr>
        <w:object w:dxaOrig="9471" w:dyaOrig="3224" w14:anchorId="62394739">
          <v:shape id="_x0000_i1041" type="#_x0000_t75" style="width:475.2pt;height:165.3pt" o:ole="">
            <v:imagedata r:id="rId54" o:title=""/>
          </v:shape>
          <o:OLEObject Type="Embed" ProgID="Excel.Sheet.8" ShapeID="_x0000_i1041" DrawAspect="Content" ObjectID="_1645618966" r:id="rId55"/>
        </w:object>
      </w:r>
    </w:p>
    <w:p w14:paraId="278C9DBB" w14:textId="77777777" w:rsidR="0077093A" w:rsidRPr="00127FEA" w:rsidRDefault="0077093A" w:rsidP="0077093A">
      <w:pPr>
        <w:autoSpaceDE w:val="0"/>
        <w:autoSpaceDN w:val="0"/>
        <w:adjustRightInd w:val="0"/>
        <w:jc w:val="center"/>
        <w:rPr>
          <w:rFonts w:asciiTheme="minorHAnsi" w:hAnsiTheme="minorHAnsi" w:cstheme="minorHAnsi"/>
          <w:b/>
          <w:bCs/>
          <w:sz w:val="20"/>
          <w:szCs w:val="20"/>
          <w:highlight w:val="yellow"/>
        </w:rPr>
      </w:pPr>
    </w:p>
    <w:p w14:paraId="588BD3F1" w14:textId="366BABD8" w:rsidR="0077093A" w:rsidRPr="000438BA" w:rsidRDefault="0077093A" w:rsidP="000438BA">
      <w:pPr>
        <w:pStyle w:val="StyleTitre3CorpsCalibri"/>
        <w:jc w:val="center"/>
        <w:rPr>
          <w:rFonts w:ascii="Times New Roman" w:hAnsi="Times New Roman" w:cs="Times New Roman"/>
          <w:sz w:val="24"/>
        </w:rPr>
      </w:pPr>
      <w:r w:rsidRPr="000438BA">
        <w:rPr>
          <w:rFonts w:ascii="Times New Roman" w:hAnsi="Times New Roman" w:cs="Times New Roman"/>
          <w:sz w:val="24"/>
        </w:rPr>
        <w:t xml:space="preserve">Note 15 </w:t>
      </w:r>
      <w:r w:rsidR="000438BA" w:rsidRPr="00E121DB">
        <w:rPr>
          <w:rFonts w:ascii="Times New Roman" w:hAnsi="Times New Roman" w:cs="Times New Roman"/>
          <w:sz w:val="24"/>
        </w:rPr>
        <w:t xml:space="preserve">– </w:t>
      </w:r>
      <w:r w:rsidRPr="000438BA">
        <w:rPr>
          <w:rFonts w:ascii="Times New Roman" w:hAnsi="Times New Roman" w:cs="Times New Roman"/>
          <w:sz w:val="24"/>
        </w:rPr>
        <w:t>Charge d’impôt</w:t>
      </w:r>
    </w:p>
    <w:p w14:paraId="074EA98F" w14:textId="77777777" w:rsidR="0077093A" w:rsidRPr="00127FEA" w:rsidRDefault="0077093A" w:rsidP="0077093A">
      <w:pPr>
        <w:autoSpaceDE w:val="0"/>
        <w:autoSpaceDN w:val="0"/>
        <w:adjustRightInd w:val="0"/>
        <w:jc w:val="center"/>
        <w:rPr>
          <w:rFonts w:asciiTheme="minorHAnsi" w:hAnsiTheme="minorHAnsi" w:cstheme="minorHAnsi"/>
          <w:b/>
          <w:bCs/>
          <w:sz w:val="20"/>
          <w:szCs w:val="20"/>
          <w:highlight w:val="yellow"/>
        </w:rPr>
      </w:pPr>
    </w:p>
    <w:bookmarkStart w:id="18" w:name="_MON_1514709962"/>
    <w:bookmarkEnd w:id="18"/>
    <w:p w14:paraId="6D165F19" w14:textId="1C97E675" w:rsidR="000E192E" w:rsidRDefault="008F0CF2" w:rsidP="008F0CF2">
      <w:pPr>
        <w:jc w:val="center"/>
        <w:rPr>
          <w:rFonts w:asciiTheme="minorHAnsi" w:hAnsiTheme="minorHAnsi" w:cstheme="minorHAnsi"/>
          <w:sz w:val="20"/>
          <w:szCs w:val="20"/>
          <w:highlight w:val="yellow"/>
        </w:rPr>
      </w:pPr>
      <w:r w:rsidRPr="008F0CF2">
        <w:rPr>
          <w:rFonts w:asciiTheme="minorHAnsi" w:hAnsiTheme="minorHAnsi" w:cstheme="minorHAnsi"/>
          <w:b/>
          <w:bCs/>
          <w:sz w:val="20"/>
          <w:szCs w:val="20"/>
        </w:rPr>
        <w:object w:dxaOrig="6839" w:dyaOrig="2600" w14:anchorId="63174429">
          <v:shape id="_x0000_i1042" type="#_x0000_t75" style="width:338.1pt;height:129.6pt" o:ole="">
            <v:imagedata r:id="rId56" o:title=""/>
          </v:shape>
          <o:OLEObject Type="Embed" ProgID="Excel.Sheet.8" ShapeID="_x0000_i1042" DrawAspect="Content" ObjectID="_1645618967" r:id="rId57"/>
        </w:object>
      </w:r>
    </w:p>
    <w:p w14:paraId="2CC80C65" w14:textId="77777777" w:rsidR="0077093A" w:rsidRPr="00127FEA" w:rsidRDefault="0077093A" w:rsidP="0077093A">
      <w:pPr>
        <w:autoSpaceDE w:val="0"/>
        <w:autoSpaceDN w:val="0"/>
        <w:adjustRightInd w:val="0"/>
        <w:jc w:val="center"/>
        <w:rPr>
          <w:rFonts w:asciiTheme="minorHAnsi" w:hAnsiTheme="minorHAnsi" w:cstheme="minorHAnsi"/>
          <w:sz w:val="20"/>
          <w:szCs w:val="20"/>
          <w:highlight w:val="yellow"/>
        </w:rPr>
      </w:pPr>
    </w:p>
    <w:p w14:paraId="0E4B21EB" w14:textId="6B22A024" w:rsidR="0077093A" w:rsidRPr="008F0CF2" w:rsidRDefault="0077093A" w:rsidP="008F0CF2">
      <w:pPr>
        <w:pStyle w:val="StyleTitre3CorpsCalibri"/>
        <w:jc w:val="center"/>
        <w:rPr>
          <w:rFonts w:ascii="Times New Roman" w:hAnsi="Times New Roman" w:cs="Times New Roman"/>
          <w:sz w:val="24"/>
        </w:rPr>
      </w:pPr>
      <w:r w:rsidRPr="008F0CF2">
        <w:rPr>
          <w:rFonts w:ascii="Times New Roman" w:hAnsi="Times New Roman" w:cs="Times New Roman"/>
          <w:sz w:val="24"/>
        </w:rPr>
        <w:t>Note 16</w:t>
      </w:r>
      <w:r w:rsidR="000438BA" w:rsidRPr="008F0CF2">
        <w:rPr>
          <w:rFonts w:ascii="Times New Roman" w:hAnsi="Times New Roman" w:cs="Times New Roman"/>
          <w:sz w:val="24"/>
        </w:rPr>
        <w:t xml:space="preserve"> </w:t>
      </w:r>
      <w:r w:rsidR="000438BA" w:rsidRPr="00E121DB">
        <w:rPr>
          <w:rFonts w:ascii="Times New Roman" w:hAnsi="Times New Roman" w:cs="Times New Roman"/>
          <w:sz w:val="24"/>
        </w:rPr>
        <w:t xml:space="preserve">– </w:t>
      </w:r>
      <w:r w:rsidRPr="008F0CF2">
        <w:rPr>
          <w:rFonts w:ascii="Times New Roman" w:hAnsi="Times New Roman" w:cs="Times New Roman"/>
          <w:sz w:val="24"/>
        </w:rPr>
        <w:t>Nature des différences</w:t>
      </w:r>
    </w:p>
    <w:bookmarkStart w:id="19" w:name="_MON_1469348570"/>
    <w:bookmarkEnd w:id="19"/>
    <w:p w14:paraId="7360F422" w14:textId="50A8025C" w:rsidR="0077093A" w:rsidRPr="00127FEA" w:rsidRDefault="008F0CF2" w:rsidP="00487013">
      <w:pPr>
        <w:pStyle w:val="Titre3"/>
        <w:numPr>
          <w:ilvl w:val="0"/>
          <w:numId w:val="0"/>
        </w:numPr>
        <w:ind w:left="142"/>
        <w:jc w:val="center"/>
        <w:rPr>
          <w:rFonts w:asciiTheme="minorHAnsi" w:hAnsiTheme="minorHAnsi"/>
          <w:highlight w:val="yellow"/>
        </w:rPr>
      </w:pPr>
      <w:r w:rsidRPr="008F0CF2">
        <w:rPr>
          <w:rFonts w:asciiTheme="minorHAnsi" w:hAnsiTheme="minorHAnsi"/>
        </w:rPr>
        <w:object w:dxaOrig="9459" w:dyaOrig="4932" w14:anchorId="09490095">
          <v:shape id="_x0000_i1043" type="#_x0000_t75" style="width:474.05pt;height:245.4pt" o:ole="">
            <v:imagedata r:id="rId58" o:title=""/>
          </v:shape>
          <o:OLEObject Type="Embed" ProgID="Excel.Sheet.8" ShapeID="_x0000_i1043" DrawAspect="Content" ObjectID="_1645618968" r:id="rId59"/>
        </w:object>
      </w:r>
    </w:p>
    <w:p w14:paraId="5A5DB778" w14:textId="77777777" w:rsidR="00F72F7D" w:rsidRDefault="00F72F7D" w:rsidP="00487013">
      <w:pPr>
        <w:autoSpaceDE w:val="0"/>
        <w:autoSpaceDN w:val="0"/>
        <w:adjustRightInd w:val="0"/>
        <w:jc w:val="center"/>
        <w:rPr>
          <w:b/>
          <w:bCs/>
          <w:szCs w:val="26"/>
        </w:rPr>
      </w:pPr>
    </w:p>
    <w:p w14:paraId="6982AC4B" w14:textId="38015E28" w:rsidR="0077093A" w:rsidRPr="00F72F7D" w:rsidRDefault="0077093A" w:rsidP="00487013">
      <w:pPr>
        <w:autoSpaceDE w:val="0"/>
        <w:autoSpaceDN w:val="0"/>
        <w:adjustRightInd w:val="0"/>
        <w:jc w:val="center"/>
        <w:rPr>
          <w:b/>
          <w:bCs/>
          <w:szCs w:val="26"/>
        </w:rPr>
      </w:pPr>
      <w:r w:rsidRPr="00F72F7D">
        <w:rPr>
          <w:b/>
          <w:bCs/>
          <w:szCs w:val="26"/>
        </w:rPr>
        <w:t>Note 17</w:t>
      </w:r>
      <w:r w:rsidR="00A234F8" w:rsidRPr="00F72F7D">
        <w:rPr>
          <w:b/>
          <w:bCs/>
          <w:szCs w:val="26"/>
        </w:rPr>
        <w:t xml:space="preserve"> </w:t>
      </w:r>
      <w:r w:rsidR="008F0CF2" w:rsidRPr="00E121DB">
        <w:rPr>
          <w:szCs w:val="26"/>
        </w:rPr>
        <w:t>–</w:t>
      </w:r>
      <w:r w:rsidR="008F0CF2">
        <w:rPr>
          <w:szCs w:val="26"/>
        </w:rPr>
        <w:t xml:space="preserve"> </w:t>
      </w:r>
      <w:r w:rsidRPr="00F72F7D">
        <w:rPr>
          <w:b/>
          <w:bCs/>
          <w:szCs w:val="26"/>
        </w:rPr>
        <w:t>Informations sur l'audit des comptes</w:t>
      </w:r>
    </w:p>
    <w:p w14:paraId="5518A178" w14:textId="77777777" w:rsidR="0077093A" w:rsidRPr="00127FEA" w:rsidRDefault="0077093A" w:rsidP="0077093A">
      <w:pPr>
        <w:autoSpaceDE w:val="0"/>
        <w:autoSpaceDN w:val="0"/>
        <w:adjustRightInd w:val="0"/>
        <w:jc w:val="both"/>
        <w:rPr>
          <w:rFonts w:asciiTheme="minorHAnsi" w:hAnsiTheme="minorHAnsi" w:cs="Arial"/>
          <w:b/>
          <w:bCs/>
          <w:sz w:val="20"/>
          <w:szCs w:val="20"/>
          <w:highlight w:val="yellow"/>
        </w:rPr>
      </w:pPr>
    </w:p>
    <w:bookmarkStart w:id="20" w:name="_MON_1514715593"/>
    <w:bookmarkEnd w:id="20"/>
    <w:p w14:paraId="6EEF71F5" w14:textId="7D119440" w:rsidR="0016733E" w:rsidRPr="008F0CF2" w:rsidRDefault="00EF6615" w:rsidP="008F0CF2">
      <w:pPr>
        <w:autoSpaceDE w:val="0"/>
        <w:autoSpaceDN w:val="0"/>
        <w:adjustRightInd w:val="0"/>
        <w:jc w:val="center"/>
        <w:rPr>
          <w:rFonts w:asciiTheme="minorHAnsi" w:hAnsiTheme="minorHAnsi" w:cstheme="minorHAnsi"/>
          <w:b/>
          <w:bCs/>
          <w:sz w:val="20"/>
          <w:szCs w:val="20"/>
          <w:highlight w:val="yellow"/>
        </w:rPr>
      </w:pPr>
      <w:r w:rsidRPr="008F0CF2">
        <w:rPr>
          <w:rFonts w:asciiTheme="minorHAnsi" w:hAnsiTheme="minorHAnsi" w:cstheme="minorHAnsi"/>
          <w:b/>
          <w:bCs/>
          <w:noProof/>
          <w:sz w:val="20"/>
          <w:szCs w:val="20"/>
        </w:rPr>
        <w:object w:dxaOrig="9205" w:dyaOrig="3245" w14:anchorId="09C713DB">
          <v:shape id="_x0000_i1044" type="#_x0000_t75" style="width:446.4pt;height:157.8pt" o:ole="">
            <v:imagedata r:id="rId60" o:title=""/>
          </v:shape>
          <o:OLEObject Type="Embed" ProgID="Excel.Sheet.8" ShapeID="_x0000_i1044" DrawAspect="Content" ObjectID="_1645618969" r:id="rId61"/>
        </w:object>
      </w:r>
    </w:p>
    <w:p w14:paraId="0CC6767D" w14:textId="77777777" w:rsidR="00286B5B" w:rsidRDefault="00286B5B" w:rsidP="00281A16">
      <w:pPr>
        <w:pStyle w:val="Paragraphedeliste"/>
        <w:ind w:left="0" w:right="387"/>
        <w:jc w:val="both"/>
        <w:rPr>
          <w:rFonts w:ascii="Arial" w:hAnsi="Arial" w:cs="Arial"/>
          <w:b/>
          <w:sz w:val="40"/>
          <w:szCs w:val="28"/>
          <w:highlight w:val="yellow"/>
          <w:u w:val="single"/>
        </w:rPr>
      </w:pPr>
    </w:p>
    <w:p w14:paraId="78FF7E15" w14:textId="77777777" w:rsidR="008F0CF2" w:rsidRPr="00127FEA" w:rsidRDefault="008F0CF2" w:rsidP="00281A16">
      <w:pPr>
        <w:pStyle w:val="Paragraphedeliste"/>
        <w:ind w:left="0" w:right="387"/>
        <w:jc w:val="both"/>
        <w:rPr>
          <w:rFonts w:ascii="Arial" w:hAnsi="Arial" w:cs="Arial"/>
          <w:b/>
          <w:sz w:val="40"/>
          <w:szCs w:val="28"/>
          <w:highlight w:val="yellow"/>
          <w:u w:val="single"/>
        </w:rPr>
      </w:pPr>
    </w:p>
    <w:p w14:paraId="34BC42FF" w14:textId="77777777" w:rsidR="00286B5B" w:rsidRPr="00127FEA" w:rsidRDefault="00286B5B" w:rsidP="00281A16">
      <w:pPr>
        <w:pStyle w:val="Paragraphedeliste"/>
        <w:ind w:left="0" w:right="387"/>
        <w:jc w:val="both"/>
        <w:rPr>
          <w:rFonts w:ascii="Arial" w:hAnsi="Arial" w:cs="Arial"/>
          <w:b/>
          <w:sz w:val="40"/>
          <w:szCs w:val="28"/>
          <w:highlight w:val="yellow"/>
          <w:u w:val="single"/>
        </w:rPr>
      </w:pPr>
    </w:p>
    <w:p w14:paraId="35630335" w14:textId="77777777" w:rsidR="005472FE" w:rsidRPr="00127FEA" w:rsidRDefault="005472FE" w:rsidP="00281A16">
      <w:pPr>
        <w:jc w:val="both"/>
        <w:rPr>
          <w:rFonts w:ascii="Arial" w:hAnsi="Arial" w:cs="Arial"/>
          <w:highlight w:val="yellow"/>
        </w:rPr>
      </w:pPr>
    </w:p>
    <w:p w14:paraId="327EE88A" w14:textId="77777777" w:rsidR="005472FE" w:rsidRPr="00127FEA" w:rsidRDefault="005472FE" w:rsidP="00281A16">
      <w:pPr>
        <w:autoSpaceDE w:val="0"/>
        <w:autoSpaceDN w:val="0"/>
        <w:adjustRightInd w:val="0"/>
        <w:ind w:right="22"/>
        <w:jc w:val="both"/>
        <w:rPr>
          <w:rFonts w:ascii="Arial" w:hAnsi="Arial" w:cs="Arial"/>
          <w:sz w:val="20"/>
          <w:szCs w:val="20"/>
          <w:highlight w:val="yellow"/>
        </w:rPr>
      </w:pPr>
    </w:p>
    <w:p w14:paraId="49ABB945" w14:textId="77777777" w:rsidR="00281A16" w:rsidRPr="00127FEA" w:rsidRDefault="00281A16" w:rsidP="00281A16">
      <w:pPr>
        <w:autoSpaceDE w:val="0"/>
        <w:autoSpaceDN w:val="0"/>
        <w:adjustRightInd w:val="0"/>
        <w:jc w:val="both"/>
        <w:rPr>
          <w:rFonts w:ascii="Arial" w:hAnsi="Arial" w:cs="Arial"/>
          <w:b/>
          <w:bCs/>
          <w:szCs w:val="20"/>
          <w:highlight w:val="yellow"/>
        </w:rPr>
      </w:pPr>
      <w:bookmarkStart w:id="21" w:name="_MON_1514976892"/>
      <w:bookmarkStart w:id="22" w:name="OLE_LINK2"/>
      <w:bookmarkEnd w:id="21"/>
    </w:p>
    <w:bookmarkEnd w:id="22"/>
    <w:p w14:paraId="5BEF5C50" w14:textId="77777777" w:rsidR="00062017" w:rsidRPr="00127FEA" w:rsidRDefault="00062017" w:rsidP="00281A16">
      <w:pPr>
        <w:ind w:right="387"/>
        <w:jc w:val="both"/>
        <w:rPr>
          <w:rFonts w:ascii="Arial" w:hAnsi="Arial" w:cs="Arial"/>
          <w:b/>
          <w:sz w:val="40"/>
          <w:szCs w:val="28"/>
          <w:highlight w:val="yellow"/>
          <w:u w:val="single"/>
        </w:rPr>
      </w:pPr>
    </w:p>
    <w:p w14:paraId="08B55783" w14:textId="1951B6F0" w:rsidR="00564E31" w:rsidRPr="008122AF" w:rsidRDefault="00543B54" w:rsidP="00564E31">
      <w:pPr>
        <w:ind w:right="387"/>
        <w:jc w:val="both"/>
        <w:rPr>
          <w:rFonts w:ascii="Arial" w:hAnsi="Arial" w:cs="Arial"/>
          <w:b/>
          <w:sz w:val="40"/>
          <w:u w:val="single"/>
        </w:rPr>
      </w:pPr>
      <w:r>
        <w:rPr>
          <w:rFonts w:ascii="Arial" w:hAnsi="Arial" w:cs="Arial"/>
          <w:b/>
          <w:sz w:val="40"/>
          <w:u w:val="single"/>
        </w:rPr>
        <w:t>3</w:t>
      </w:r>
      <w:r w:rsidR="00564E31" w:rsidRPr="008122AF">
        <w:rPr>
          <w:rFonts w:ascii="Arial" w:hAnsi="Arial" w:cs="Arial"/>
          <w:b/>
          <w:sz w:val="40"/>
          <w:u w:val="single"/>
        </w:rPr>
        <w:t>.</w:t>
      </w:r>
      <w:r w:rsidR="008122AF">
        <w:rPr>
          <w:rFonts w:ascii="Arial" w:hAnsi="Arial" w:cs="Arial"/>
          <w:b/>
          <w:sz w:val="40"/>
          <w:u w:val="single"/>
        </w:rPr>
        <w:t xml:space="preserve"> </w:t>
      </w:r>
      <w:r w:rsidR="00564E31" w:rsidRPr="001D7AE9">
        <w:rPr>
          <w:rFonts w:ascii="Arial" w:hAnsi="Arial" w:cs="Arial"/>
          <w:b/>
          <w:sz w:val="40"/>
          <w:u w:val="single"/>
        </w:rPr>
        <w:t>Rapport des commissaires aux comp</w:t>
      </w:r>
      <w:r w:rsidR="008122AF" w:rsidRPr="001D7AE9">
        <w:rPr>
          <w:rFonts w:ascii="Arial" w:hAnsi="Arial" w:cs="Arial"/>
          <w:b/>
          <w:sz w:val="40"/>
          <w:u w:val="single"/>
        </w:rPr>
        <w:t xml:space="preserve">tes sur les comptes annuels </w:t>
      </w:r>
      <w:r w:rsidR="00963B6B">
        <w:rPr>
          <w:rFonts w:ascii="Arial" w:hAnsi="Arial" w:cs="Arial"/>
          <w:b/>
          <w:sz w:val="40"/>
          <w:u w:val="single"/>
        </w:rPr>
        <w:t>2019</w:t>
      </w:r>
    </w:p>
    <w:tbl>
      <w:tblPr>
        <w:tblW w:w="8710" w:type="dxa"/>
        <w:tblLayout w:type="fixed"/>
        <w:tblCellMar>
          <w:left w:w="79" w:type="dxa"/>
          <w:right w:w="79" w:type="dxa"/>
        </w:tblCellMar>
        <w:tblLook w:val="0000" w:firstRow="0" w:lastRow="0" w:firstColumn="0" w:lastColumn="0" w:noHBand="0" w:noVBand="0"/>
      </w:tblPr>
      <w:tblGrid>
        <w:gridCol w:w="8426"/>
        <w:gridCol w:w="284"/>
      </w:tblGrid>
      <w:tr w:rsidR="00ED30F8" w:rsidRPr="00127FEA" w14:paraId="0FA2CE36" w14:textId="77777777" w:rsidTr="00C2019C">
        <w:trPr>
          <w:trHeight w:val="520"/>
        </w:trPr>
        <w:tc>
          <w:tcPr>
            <w:tcW w:w="8710" w:type="dxa"/>
            <w:gridSpan w:val="2"/>
          </w:tcPr>
          <w:p w14:paraId="5E76C5F6" w14:textId="77777777" w:rsidR="00C26C56" w:rsidRDefault="00C26C56" w:rsidP="00C26C56">
            <w:pPr>
              <w:rPr>
                <w:rFonts w:cs="Arial"/>
                <w:b/>
                <w:color w:val="00338D"/>
              </w:rPr>
            </w:pPr>
          </w:p>
          <w:p w14:paraId="37BC555F" w14:textId="77777777" w:rsidR="00C26C56" w:rsidRPr="008122AF" w:rsidRDefault="00C26C56" w:rsidP="00C26C56">
            <w:pPr>
              <w:rPr>
                <w:rFonts w:cs="Arial"/>
                <w:b/>
                <w:color w:val="00338D"/>
              </w:rPr>
            </w:pPr>
            <w:r w:rsidRPr="008122AF">
              <w:rPr>
                <w:rFonts w:cs="Arial"/>
                <w:b/>
                <w:color w:val="00338D"/>
              </w:rPr>
              <w:t>La Banque Postale Home Loan SFH</w:t>
            </w:r>
          </w:p>
          <w:p w14:paraId="4F23FFF8" w14:textId="77777777" w:rsidR="00C26C56" w:rsidRPr="008122AF" w:rsidRDefault="00C26C56" w:rsidP="00C26C56">
            <w:pPr>
              <w:rPr>
                <w:rFonts w:cs="Arial"/>
              </w:rPr>
            </w:pPr>
            <w:r w:rsidRPr="008122AF">
              <w:rPr>
                <w:rFonts w:cs="Arial"/>
              </w:rPr>
              <w:t>115 rue de Sèvres</w:t>
            </w:r>
          </w:p>
          <w:p w14:paraId="4547F1BA" w14:textId="331F9A7F" w:rsidR="008122AF" w:rsidRDefault="00C26C56" w:rsidP="00C26C56">
            <w:pPr>
              <w:rPr>
                <w:rFonts w:cs="Arial"/>
                <w:b/>
                <w:color w:val="00338D"/>
              </w:rPr>
            </w:pPr>
            <w:r w:rsidRPr="008122AF">
              <w:rPr>
                <w:rFonts w:cs="Arial"/>
              </w:rPr>
              <w:t>75275 Paris Cedex 06</w:t>
            </w:r>
          </w:p>
          <w:p w14:paraId="0D9567AE" w14:textId="77777777" w:rsidR="00C26C56" w:rsidRDefault="00C26C56" w:rsidP="00C2019C">
            <w:pPr>
              <w:rPr>
                <w:rFonts w:cs="Arial"/>
                <w:b/>
                <w:color w:val="00338D"/>
              </w:rPr>
            </w:pPr>
          </w:p>
          <w:p w14:paraId="3F969A1B" w14:textId="77777777" w:rsidR="00ED30F8" w:rsidRPr="008122AF" w:rsidRDefault="00ED30F8" w:rsidP="00C2019C">
            <w:r w:rsidRPr="008122AF">
              <w:rPr>
                <w:rFonts w:cs="Arial"/>
                <w:b/>
                <w:color w:val="00338D"/>
              </w:rPr>
              <w:fldChar w:fldCharType="begin"/>
            </w:r>
            <w:r w:rsidRPr="008122AF">
              <w:rPr>
                <w:rFonts w:cs="Arial"/>
                <w:b/>
                <w:color w:val="00338D"/>
              </w:rPr>
              <w:instrText xml:space="preserve"> DOCPROPERTY  KISSubject  \* CHARFORMAT </w:instrText>
            </w:r>
            <w:r w:rsidRPr="008122AF">
              <w:rPr>
                <w:rFonts w:cs="Arial"/>
                <w:b/>
                <w:color w:val="00338D"/>
              </w:rPr>
              <w:fldChar w:fldCharType="separate"/>
            </w:r>
            <w:r w:rsidRPr="008122AF">
              <w:rPr>
                <w:rFonts w:cs="Arial"/>
                <w:b/>
                <w:color w:val="00338D"/>
              </w:rPr>
              <w:t>Rapport des commissaires aux comptes sur les comptes annuels</w:t>
            </w:r>
            <w:r w:rsidRPr="008122AF">
              <w:rPr>
                <w:rFonts w:cs="Arial"/>
                <w:b/>
                <w:color w:val="00338D"/>
              </w:rPr>
              <w:fldChar w:fldCharType="end"/>
            </w:r>
            <w:r w:rsidRPr="008122AF">
              <w:rPr>
                <w:rFonts w:cs="Arial"/>
                <w:b/>
                <w:color w:val="00338D"/>
              </w:rPr>
              <w:fldChar w:fldCharType="begin"/>
            </w:r>
            <w:r w:rsidRPr="008122AF">
              <w:rPr>
                <w:rFonts w:cs="Arial"/>
                <w:b/>
                <w:color w:val="00338D"/>
              </w:rPr>
              <w:instrText xml:space="preserve"> DOCPROPERTY  KISSubject2  \* CHARFORMAT </w:instrText>
            </w:r>
            <w:r w:rsidRPr="008122AF">
              <w:rPr>
                <w:rFonts w:cs="Arial"/>
                <w:b/>
                <w:color w:val="00338D"/>
              </w:rPr>
              <w:fldChar w:fldCharType="separate"/>
            </w:r>
            <w:r w:rsidRPr="008122AF">
              <w:rPr>
                <w:rFonts w:cs="Arial"/>
                <w:b/>
                <w:color w:val="00338D"/>
              </w:rPr>
              <w:t xml:space="preserve"> </w:t>
            </w:r>
            <w:r w:rsidRPr="008122AF">
              <w:rPr>
                <w:rFonts w:cs="Arial"/>
                <w:b/>
                <w:color w:val="00338D"/>
              </w:rPr>
              <w:fldChar w:fldCharType="end"/>
            </w:r>
            <w:r w:rsidRPr="008122AF">
              <w:rPr>
                <w:rFonts w:cs="Arial"/>
                <w:b/>
                <w:color w:val="00338D"/>
              </w:rPr>
              <w:t xml:space="preserve"> </w:t>
            </w:r>
            <w:r w:rsidR="00454589">
              <w:fldChar w:fldCharType="begin"/>
            </w:r>
            <w:r w:rsidR="00454589">
              <w:instrText xml:space="preserve"> DOCPROPERTY  KISRepSubTitle  \* CHARFORMAT </w:instrText>
            </w:r>
            <w:r w:rsidR="00454589">
              <w:fldChar w:fldCharType="separate"/>
            </w:r>
            <w:r w:rsidR="00A234F8" w:rsidRPr="008122AF">
              <w:t xml:space="preserve">   </w:t>
            </w:r>
            <w:r w:rsidR="00454589">
              <w:fldChar w:fldCharType="end"/>
            </w:r>
            <w:r w:rsidR="00454589">
              <w:fldChar w:fldCharType="begin"/>
            </w:r>
            <w:r w:rsidR="00454589">
              <w:instrText xml:space="preserve"> DOCPROPERTY  KisRepSubTitle2  \* CHARFORMAT </w:instrText>
            </w:r>
            <w:r w:rsidR="00454589">
              <w:fldChar w:fldCharType="separate"/>
            </w:r>
            <w:r w:rsidRPr="008122AF">
              <w:t xml:space="preserve"> </w:t>
            </w:r>
            <w:r w:rsidR="00454589">
              <w:fldChar w:fldCharType="end"/>
            </w:r>
          </w:p>
        </w:tc>
      </w:tr>
      <w:tr w:rsidR="00ED30F8" w:rsidRPr="00127FEA" w14:paraId="32174DFD" w14:textId="77777777" w:rsidTr="00C2019C">
        <w:trPr>
          <w:trHeight w:hRule="exact" w:val="1040"/>
        </w:trPr>
        <w:tc>
          <w:tcPr>
            <w:tcW w:w="8710" w:type="dxa"/>
            <w:gridSpan w:val="2"/>
          </w:tcPr>
          <w:p w14:paraId="741157F1" w14:textId="77777777" w:rsidR="008122AF" w:rsidRDefault="008122AF" w:rsidP="008122AF">
            <w:pPr>
              <w:pStyle w:val="Corpsdetexte"/>
            </w:pPr>
          </w:p>
          <w:p w14:paraId="73CD9D45" w14:textId="6EE3E270" w:rsidR="00ED30F8" w:rsidRPr="008122AF" w:rsidRDefault="00ED30F8" w:rsidP="008122AF">
            <w:pPr>
              <w:pStyle w:val="Corpsdetexte"/>
              <w:rPr>
                <w:rFonts w:cs="Arial"/>
              </w:rPr>
            </w:pPr>
            <w:r w:rsidRPr="008122AF">
              <w:fldChar w:fldCharType="begin"/>
            </w:r>
            <w:r w:rsidRPr="008122AF">
              <w:instrText xml:space="preserve"> DOCPROPERTY  KISPeriod  \* CHARFORMAT </w:instrText>
            </w:r>
            <w:r w:rsidRPr="008122AF">
              <w:fldChar w:fldCharType="separate"/>
            </w:r>
            <w:r w:rsidRPr="008122AF">
              <w:t>Exercice clos le 31 décembre 201</w:t>
            </w:r>
            <w:r w:rsidRPr="008122AF">
              <w:rPr>
                <w:rFonts w:cs="Arial"/>
              </w:rPr>
              <w:fldChar w:fldCharType="end"/>
            </w:r>
            <w:r w:rsidR="00C26C56">
              <w:rPr>
                <w:rFonts w:cs="Arial"/>
              </w:rPr>
              <w:t>9</w:t>
            </w:r>
          </w:p>
        </w:tc>
      </w:tr>
      <w:tr w:rsidR="00ED30F8" w:rsidRPr="008122AF" w14:paraId="7240FD5C" w14:textId="77777777" w:rsidTr="00C2019C">
        <w:tc>
          <w:tcPr>
            <w:tcW w:w="8426" w:type="dxa"/>
          </w:tcPr>
          <w:p w14:paraId="4317A85E" w14:textId="3C91A4B8" w:rsidR="008122AF" w:rsidRPr="00127FEA" w:rsidRDefault="00454589" w:rsidP="00C2019C">
            <w:pPr>
              <w:rPr>
                <w:rFonts w:cs="Arial"/>
                <w:highlight w:val="yellow"/>
              </w:rPr>
            </w:pPr>
            <w:r>
              <w:fldChar w:fldCharType="begin"/>
            </w:r>
            <w:r>
              <w:instrText xml:space="preserve"> DOCPROPERTY  KISNameTitle  \* CHARFORMAT </w:instrText>
            </w:r>
            <w:r>
              <w:fldChar w:fldCharType="separate"/>
            </w:r>
            <w:r w:rsidR="00ED30F8" w:rsidRPr="008122AF">
              <w:t>A l'assemblée générale</w:t>
            </w:r>
            <w:r>
              <w:fldChar w:fldCharType="end"/>
            </w:r>
            <w:r w:rsidR="00C26C56">
              <w:t>,</w:t>
            </w:r>
          </w:p>
        </w:tc>
        <w:tc>
          <w:tcPr>
            <w:tcW w:w="284" w:type="dxa"/>
          </w:tcPr>
          <w:p w14:paraId="7DA30698" w14:textId="77777777" w:rsidR="00ED30F8" w:rsidRPr="008122AF" w:rsidRDefault="00ED30F8" w:rsidP="00C2019C">
            <w:pPr>
              <w:tabs>
                <w:tab w:val="right" w:pos="567"/>
              </w:tabs>
              <w:ind w:left="-284" w:right="-284"/>
              <w:rPr>
                <w:rFonts w:cs="Arial"/>
              </w:rPr>
            </w:pPr>
            <w:r w:rsidRPr="008122AF">
              <w:rPr>
                <w:rFonts w:cs="Arial"/>
              </w:rPr>
              <w:tab/>
            </w:r>
          </w:p>
        </w:tc>
      </w:tr>
    </w:tbl>
    <w:p w14:paraId="4244B446" w14:textId="77777777" w:rsidR="00ED30F8" w:rsidRPr="0000067E" w:rsidRDefault="00ED30F8" w:rsidP="00ED30F8">
      <w:pPr>
        <w:pStyle w:val="Corpsdetexte"/>
        <w:keepNext/>
        <w:keepLines/>
        <w:spacing w:before="360" w:line="280" w:lineRule="exact"/>
        <w:rPr>
          <w:rFonts w:ascii="Times New Roman" w:hAnsi="Times New Roman"/>
          <w:b/>
          <w:color w:val="000000" w:themeColor="text1"/>
          <w:sz w:val="24"/>
          <w:szCs w:val="24"/>
        </w:rPr>
      </w:pPr>
      <w:bookmarkStart w:id="23" w:name="Text"/>
      <w:bookmarkEnd w:id="23"/>
      <w:r w:rsidRPr="0000067E">
        <w:rPr>
          <w:rFonts w:ascii="Times New Roman" w:hAnsi="Times New Roman"/>
          <w:b/>
          <w:color w:val="000000" w:themeColor="text1"/>
          <w:sz w:val="24"/>
          <w:szCs w:val="24"/>
        </w:rPr>
        <w:t>Opinion</w:t>
      </w:r>
    </w:p>
    <w:p w14:paraId="60C4B306" w14:textId="3A68FCB6" w:rsidR="00ED30F8" w:rsidRPr="0000067E" w:rsidRDefault="00ED30F8" w:rsidP="00ED30F8">
      <w:pPr>
        <w:pStyle w:val="Corpsdetexte"/>
        <w:rPr>
          <w:rFonts w:ascii="Times New Roman" w:eastAsiaTheme="minorEastAsia" w:hAnsi="Times New Roman"/>
          <w:bCs/>
          <w:sz w:val="24"/>
          <w:szCs w:val="24"/>
          <w:lang w:val="fr-CA" w:eastAsia="fr-CA"/>
        </w:rPr>
      </w:pPr>
      <w:r w:rsidRPr="0000067E">
        <w:rPr>
          <w:rFonts w:ascii="Times New Roman" w:eastAsiaTheme="minorEastAsia" w:hAnsi="Times New Roman"/>
          <w:sz w:val="24"/>
          <w:szCs w:val="24"/>
          <w:lang w:val="fr-CA" w:eastAsia="fr-CA"/>
        </w:rPr>
        <w:t>En exécution de la mission qui nous a été confiée par votre assemblée générale</w:t>
      </w:r>
      <w:r w:rsidRPr="0000067E">
        <w:rPr>
          <w:rFonts w:ascii="Times New Roman" w:eastAsiaTheme="minorEastAsia" w:hAnsi="Times New Roman"/>
          <w:i/>
          <w:sz w:val="24"/>
          <w:szCs w:val="24"/>
          <w:lang w:val="fr-CA" w:eastAsia="fr-CA"/>
        </w:rPr>
        <w:t xml:space="preserve">, </w:t>
      </w:r>
      <w:r w:rsidRPr="0000067E">
        <w:rPr>
          <w:rFonts w:ascii="Times New Roman" w:eastAsiaTheme="minorEastAsia" w:hAnsi="Times New Roman"/>
          <w:sz w:val="24"/>
          <w:szCs w:val="24"/>
          <w:lang w:val="fr-CA" w:eastAsia="fr-CA"/>
        </w:rPr>
        <w:t>nous avons effectué l’audit des comptes annuels de la société La Banque Postale Home Loan SFH S.A. relatifs à l’e</w:t>
      </w:r>
      <w:r w:rsidR="004F2F03" w:rsidRPr="0000067E">
        <w:rPr>
          <w:rFonts w:ascii="Times New Roman" w:eastAsiaTheme="minorEastAsia" w:hAnsi="Times New Roman"/>
          <w:sz w:val="24"/>
          <w:szCs w:val="24"/>
          <w:lang w:val="fr-CA" w:eastAsia="fr-CA"/>
        </w:rPr>
        <w:t>xercice clos le 31 décembre 201</w:t>
      </w:r>
      <w:r w:rsidR="00C26C56">
        <w:rPr>
          <w:rFonts w:ascii="Times New Roman" w:eastAsiaTheme="minorEastAsia" w:hAnsi="Times New Roman"/>
          <w:sz w:val="24"/>
          <w:szCs w:val="24"/>
          <w:lang w:val="fr-CA" w:eastAsia="fr-CA"/>
        </w:rPr>
        <w:t>9</w:t>
      </w:r>
      <w:r w:rsidRPr="0000067E">
        <w:rPr>
          <w:rFonts w:ascii="Times New Roman" w:eastAsiaTheme="minorEastAsia" w:hAnsi="Times New Roman"/>
          <w:sz w:val="24"/>
          <w:szCs w:val="24"/>
          <w:lang w:val="fr-CA" w:eastAsia="fr-CA"/>
        </w:rPr>
        <w:t>, tels qu’ils sont joints au présent rapport.</w:t>
      </w:r>
    </w:p>
    <w:p w14:paraId="7514E5F6" w14:textId="77777777" w:rsidR="00ED30F8" w:rsidRPr="0000067E" w:rsidRDefault="00ED30F8" w:rsidP="00ED30F8">
      <w:pPr>
        <w:pStyle w:val="Corpsdetexte"/>
        <w:rPr>
          <w:rFonts w:ascii="Times New Roman" w:eastAsiaTheme="minorEastAsia" w:hAnsi="Times New Roman"/>
          <w:bCs/>
          <w:sz w:val="24"/>
          <w:szCs w:val="24"/>
          <w:lang w:val="fr-CA" w:eastAsia="fr-CA"/>
        </w:rPr>
      </w:pPr>
      <w:r w:rsidRPr="0000067E">
        <w:rPr>
          <w:rFonts w:ascii="Times New Roman" w:eastAsiaTheme="minorEastAsia" w:hAnsi="Times New Roman"/>
          <w:bCs/>
          <w:sz w:val="24"/>
          <w:szCs w:val="24"/>
          <w:lang w:val="fr-CA" w:eastAsia="fr-CA"/>
        </w:rPr>
        <w:t>Nous certifions que les comptes annuels sont, au regard des règles et principes comptables français, réguliers et sincères et donnent une image fidèle du résultat des opérations de l’exercice écoulé ainsi que de la situation financière et du patrimoine de la société à la fin de cet exercice.</w:t>
      </w:r>
    </w:p>
    <w:p w14:paraId="3DC70714" w14:textId="56039D0E" w:rsidR="00ED30F8" w:rsidRPr="0000067E" w:rsidRDefault="00ED30F8" w:rsidP="00ED30F8">
      <w:pPr>
        <w:pStyle w:val="Corpsdetexte"/>
        <w:rPr>
          <w:rFonts w:ascii="Times New Roman" w:eastAsiaTheme="minorEastAsia" w:hAnsi="Times New Roman"/>
          <w:sz w:val="24"/>
          <w:szCs w:val="24"/>
          <w:lang w:eastAsia="fr-CA"/>
        </w:rPr>
      </w:pPr>
      <w:r w:rsidRPr="0000067E">
        <w:rPr>
          <w:rFonts w:ascii="Times New Roman" w:eastAsiaTheme="minorEastAsia" w:hAnsi="Times New Roman"/>
          <w:sz w:val="24"/>
          <w:szCs w:val="24"/>
          <w:lang w:eastAsia="fr-CA"/>
        </w:rPr>
        <w:t xml:space="preserve">L’opinion formulée ci-dessus est </w:t>
      </w:r>
      <w:r w:rsidRPr="0000067E">
        <w:rPr>
          <w:rFonts w:ascii="Times New Roman" w:eastAsiaTheme="minorEastAsia" w:hAnsi="Times New Roman"/>
          <w:iCs/>
          <w:sz w:val="24"/>
          <w:szCs w:val="24"/>
          <w:lang w:eastAsia="fr-CA"/>
        </w:rPr>
        <w:t>cohérente avec le contenu de notre rapport</w:t>
      </w:r>
      <w:r w:rsidR="0000067E" w:rsidRPr="0000067E">
        <w:rPr>
          <w:rFonts w:ascii="Times New Roman" w:eastAsiaTheme="minorEastAsia" w:hAnsi="Times New Roman"/>
          <w:sz w:val="24"/>
          <w:szCs w:val="24"/>
          <w:lang w:eastAsia="fr-CA"/>
        </w:rPr>
        <w:t xml:space="preserve"> au comité des comptes</w:t>
      </w:r>
      <w:r w:rsidRPr="0000067E">
        <w:rPr>
          <w:rFonts w:ascii="Times New Roman" w:eastAsiaTheme="minorEastAsia" w:hAnsi="Times New Roman"/>
          <w:sz w:val="24"/>
          <w:szCs w:val="24"/>
          <w:lang w:eastAsia="fr-CA"/>
        </w:rPr>
        <w:t>.</w:t>
      </w:r>
    </w:p>
    <w:p w14:paraId="176755B9" w14:textId="77777777" w:rsidR="00ED30F8" w:rsidRPr="00127FEA" w:rsidRDefault="00ED30F8" w:rsidP="00ED30F8">
      <w:pPr>
        <w:pStyle w:val="Corpsdetexte"/>
        <w:rPr>
          <w:rFonts w:eastAsiaTheme="minorEastAsia" w:cs="Arial"/>
          <w:b/>
          <w:szCs w:val="22"/>
          <w:highlight w:val="yellow"/>
          <w:lang w:eastAsia="fr-CA"/>
        </w:rPr>
      </w:pPr>
    </w:p>
    <w:p w14:paraId="72504A4F" w14:textId="77777777" w:rsidR="00ED30F8" w:rsidRPr="0000067E" w:rsidRDefault="00ED30F8" w:rsidP="00ED30F8">
      <w:pPr>
        <w:pStyle w:val="Corpsdetexte"/>
        <w:rPr>
          <w:rFonts w:ascii="Times New Roman" w:eastAsiaTheme="minorEastAsia" w:hAnsi="Times New Roman"/>
          <w:sz w:val="24"/>
          <w:szCs w:val="24"/>
          <w:lang w:eastAsia="fr-CA"/>
        </w:rPr>
      </w:pPr>
      <w:r w:rsidRPr="0000067E">
        <w:rPr>
          <w:rFonts w:ascii="Times New Roman" w:eastAsiaTheme="minorEastAsia" w:hAnsi="Times New Roman"/>
          <w:b/>
          <w:sz w:val="24"/>
          <w:szCs w:val="24"/>
          <w:lang w:val="fr-CA" w:eastAsia="fr-CA"/>
        </w:rPr>
        <w:t xml:space="preserve">Fondement de l’opinion </w:t>
      </w:r>
    </w:p>
    <w:p w14:paraId="0D3FAA12" w14:textId="77777777" w:rsidR="00ED30F8" w:rsidRPr="0000067E" w:rsidRDefault="00ED30F8" w:rsidP="00ED30F8">
      <w:pPr>
        <w:pStyle w:val="Corpsdetexte"/>
        <w:rPr>
          <w:rFonts w:ascii="Times New Roman" w:eastAsiaTheme="minorEastAsia" w:hAnsi="Times New Roman"/>
          <w:b/>
          <w:i/>
          <w:sz w:val="24"/>
          <w:szCs w:val="24"/>
          <w:lang w:eastAsia="fr-CA"/>
        </w:rPr>
      </w:pPr>
      <w:r w:rsidRPr="0000067E">
        <w:rPr>
          <w:rFonts w:ascii="Times New Roman" w:eastAsiaTheme="minorEastAsia" w:hAnsi="Times New Roman"/>
          <w:b/>
          <w:i/>
          <w:sz w:val="24"/>
          <w:szCs w:val="24"/>
          <w:lang w:eastAsia="fr-CA"/>
        </w:rPr>
        <w:t>Référentiel d’audit</w:t>
      </w:r>
    </w:p>
    <w:p w14:paraId="0ECCB29F" w14:textId="77777777" w:rsidR="004D0D82" w:rsidRDefault="004D0D82" w:rsidP="00ED30F8">
      <w:pPr>
        <w:pStyle w:val="Corpsdetexte"/>
        <w:rPr>
          <w:rFonts w:ascii="Times New Roman" w:eastAsiaTheme="minorEastAsia" w:hAnsi="Times New Roman"/>
          <w:sz w:val="24"/>
          <w:szCs w:val="24"/>
          <w:lang w:val="fr-CA" w:eastAsia="fr-CA"/>
        </w:rPr>
      </w:pPr>
    </w:p>
    <w:p w14:paraId="5E6C2145" w14:textId="77777777" w:rsidR="00ED30F8" w:rsidRPr="0000067E" w:rsidRDefault="00ED30F8" w:rsidP="00ED30F8">
      <w:pPr>
        <w:pStyle w:val="Corpsdetexte"/>
        <w:rPr>
          <w:rFonts w:ascii="Times New Roman" w:eastAsiaTheme="minorEastAsia" w:hAnsi="Times New Roman"/>
          <w:sz w:val="24"/>
          <w:szCs w:val="24"/>
          <w:lang w:val="fr-CA" w:eastAsia="fr-CA"/>
        </w:rPr>
      </w:pPr>
      <w:r w:rsidRPr="0000067E">
        <w:rPr>
          <w:rFonts w:ascii="Times New Roman" w:eastAsiaTheme="minorEastAsia" w:hAnsi="Times New Roman"/>
          <w:sz w:val="24"/>
          <w:szCs w:val="24"/>
          <w:lang w:val="fr-CA" w:eastAsia="fr-CA"/>
        </w:rPr>
        <w:t>Nous avons effectué notre audit selon les normes d’exercice professionnel applicables en France. Nous estimons que les éléments que nous avons collectés sont suffisants et appropriés pour fonder notre opinion.</w:t>
      </w:r>
    </w:p>
    <w:p w14:paraId="59726909" w14:textId="77777777" w:rsidR="0000067E" w:rsidRPr="0000067E" w:rsidRDefault="0000067E" w:rsidP="00ED30F8">
      <w:pPr>
        <w:pStyle w:val="Corpsdetexte"/>
        <w:rPr>
          <w:rFonts w:ascii="Times New Roman" w:eastAsiaTheme="minorEastAsia" w:hAnsi="Times New Roman"/>
          <w:sz w:val="24"/>
          <w:szCs w:val="24"/>
          <w:lang w:val="fr-CA" w:eastAsia="fr-CA"/>
        </w:rPr>
      </w:pPr>
    </w:p>
    <w:p w14:paraId="75453EC3" w14:textId="77777777" w:rsidR="00ED30F8" w:rsidRPr="0000067E" w:rsidRDefault="00ED30F8" w:rsidP="00ED30F8">
      <w:pPr>
        <w:pStyle w:val="Corpsdetexte"/>
        <w:rPr>
          <w:rFonts w:ascii="Times New Roman" w:eastAsiaTheme="minorEastAsia" w:hAnsi="Times New Roman"/>
          <w:sz w:val="24"/>
          <w:szCs w:val="24"/>
          <w:lang w:val="fr-CA" w:eastAsia="fr-CA"/>
        </w:rPr>
      </w:pPr>
      <w:r w:rsidRPr="0000067E">
        <w:rPr>
          <w:rFonts w:ascii="Times New Roman" w:eastAsiaTheme="minorEastAsia" w:hAnsi="Times New Roman"/>
          <w:sz w:val="24"/>
          <w:szCs w:val="24"/>
          <w:lang w:val="fr-CA" w:eastAsia="fr-CA"/>
        </w:rPr>
        <w:t xml:space="preserve">Les responsabilités qui nous incombent en vertu de ces normes sont indiquées dans la partie « Responsabilités des commissaires aux comptes relatives à l’audit des comptes annuels » du présent rapport. </w:t>
      </w:r>
    </w:p>
    <w:p w14:paraId="7C85B1DA" w14:textId="77777777" w:rsidR="00ED30F8" w:rsidRPr="00127FEA" w:rsidRDefault="00ED30F8" w:rsidP="00ED30F8">
      <w:pPr>
        <w:pStyle w:val="Corpsdetexte"/>
        <w:rPr>
          <w:rFonts w:eastAsiaTheme="minorEastAsia" w:cs="Arial"/>
          <w:szCs w:val="22"/>
          <w:highlight w:val="yellow"/>
          <w:lang w:val="fr-CA" w:eastAsia="fr-CA"/>
        </w:rPr>
      </w:pPr>
    </w:p>
    <w:p w14:paraId="3004F181" w14:textId="77777777" w:rsidR="00ED30F8" w:rsidRPr="0000067E" w:rsidRDefault="00ED30F8" w:rsidP="00ED30F8">
      <w:pPr>
        <w:pStyle w:val="Corpsdetexte"/>
        <w:rPr>
          <w:rFonts w:ascii="Times New Roman" w:eastAsiaTheme="minorEastAsia" w:hAnsi="Times New Roman"/>
          <w:b/>
          <w:bCs/>
          <w:i/>
          <w:sz w:val="24"/>
          <w:szCs w:val="24"/>
          <w:lang w:eastAsia="fr-CA"/>
        </w:rPr>
      </w:pPr>
      <w:r w:rsidRPr="0000067E">
        <w:rPr>
          <w:rFonts w:ascii="Times New Roman" w:eastAsiaTheme="minorEastAsia" w:hAnsi="Times New Roman"/>
          <w:b/>
          <w:bCs/>
          <w:i/>
          <w:sz w:val="24"/>
          <w:szCs w:val="24"/>
          <w:lang w:eastAsia="fr-CA"/>
        </w:rPr>
        <w:t>Indépendance</w:t>
      </w:r>
    </w:p>
    <w:p w14:paraId="5DED3894" w14:textId="77777777" w:rsidR="004D0D82" w:rsidRDefault="004D0D82" w:rsidP="00ED30F8">
      <w:pPr>
        <w:pStyle w:val="Corpsdetexte"/>
        <w:rPr>
          <w:rFonts w:ascii="Times New Roman" w:eastAsiaTheme="minorEastAsia" w:hAnsi="Times New Roman"/>
          <w:sz w:val="24"/>
          <w:szCs w:val="24"/>
          <w:lang w:eastAsia="fr-CA"/>
        </w:rPr>
      </w:pPr>
    </w:p>
    <w:p w14:paraId="48B1BEB3" w14:textId="68B3B219" w:rsidR="00ED30F8" w:rsidRPr="0000067E" w:rsidRDefault="00ED30F8" w:rsidP="00ED30F8">
      <w:pPr>
        <w:pStyle w:val="Corpsdetexte"/>
        <w:rPr>
          <w:rFonts w:ascii="Times New Roman" w:eastAsiaTheme="minorEastAsia" w:hAnsi="Times New Roman"/>
          <w:b/>
          <w:i/>
          <w:sz w:val="24"/>
          <w:szCs w:val="24"/>
          <w:lang w:eastAsia="fr-CA"/>
        </w:rPr>
      </w:pPr>
      <w:r w:rsidRPr="0000067E">
        <w:rPr>
          <w:rFonts w:ascii="Times New Roman" w:eastAsiaTheme="minorEastAsia" w:hAnsi="Times New Roman"/>
          <w:sz w:val="24"/>
          <w:szCs w:val="24"/>
          <w:lang w:eastAsia="fr-CA"/>
        </w:rPr>
        <w:t>Nous avons réalisé notre mission d’audit dans le respect des règles d’indépendance qui nous sont applicables, sur la période du 1</w:t>
      </w:r>
      <w:r w:rsidRPr="0000067E">
        <w:rPr>
          <w:rFonts w:ascii="Times New Roman" w:eastAsiaTheme="minorEastAsia" w:hAnsi="Times New Roman"/>
          <w:sz w:val="24"/>
          <w:szCs w:val="24"/>
          <w:vertAlign w:val="superscript"/>
          <w:lang w:eastAsia="fr-CA"/>
        </w:rPr>
        <w:t>er</w:t>
      </w:r>
      <w:r w:rsidR="0000067E" w:rsidRPr="0000067E">
        <w:rPr>
          <w:rFonts w:ascii="Times New Roman" w:eastAsiaTheme="minorEastAsia" w:hAnsi="Times New Roman"/>
          <w:sz w:val="24"/>
          <w:szCs w:val="24"/>
          <w:lang w:eastAsia="fr-CA"/>
        </w:rPr>
        <w:t xml:space="preserve"> janvier 201</w:t>
      </w:r>
      <w:r w:rsidR="00C26C56">
        <w:rPr>
          <w:rFonts w:ascii="Times New Roman" w:eastAsiaTheme="minorEastAsia" w:hAnsi="Times New Roman"/>
          <w:sz w:val="24"/>
          <w:szCs w:val="24"/>
          <w:lang w:eastAsia="fr-CA"/>
        </w:rPr>
        <w:t>9</w:t>
      </w:r>
      <w:r w:rsidRPr="0000067E">
        <w:rPr>
          <w:rFonts w:ascii="Times New Roman" w:eastAsiaTheme="minorEastAsia" w:hAnsi="Times New Roman"/>
          <w:sz w:val="24"/>
          <w:szCs w:val="24"/>
          <w:lang w:eastAsia="fr-CA"/>
        </w:rPr>
        <w:t xml:space="preserve"> à la date d’émission de notre rapport, et notamment nous n’avons pas fourni de services interdits par l’article 5, paragraphe 1, du règlement (UE) n° 537/2014 ou par le code de déontologie de la profession de commissaire aux comptes.</w:t>
      </w:r>
    </w:p>
    <w:p w14:paraId="65EDB4E3" w14:textId="77777777" w:rsidR="00ED30F8" w:rsidRPr="00127FEA" w:rsidRDefault="00ED30F8" w:rsidP="00ED30F8">
      <w:pPr>
        <w:pStyle w:val="Corpsdetexte"/>
        <w:rPr>
          <w:rFonts w:eastAsiaTheme="minorEastAsia" w:cs="Arial"/>
          <w:szCs w:val="22"/>
          <w:highlight w:val="yellow"/>
          <w:lang w:val="fr-CA" w:eastAsia="fr-CA"/>
        </w:rPr>
      </w:pPr>
    </w:p>
    <w:p w14:paraId="6B415CD3" w14:textId="77777777" w:rsidR="00ED30F8" w:rsidRPr="00127FEA" w:rsidRDefault="00ED30F8" w:rsidP="00ED30F8">
      <w:pPr>
        <w:pStyle w:val="Corpsdetexte"/>
        <w:rPr>
          <w:rFonts w:eastAsiaTheme="minorEastAsia" w:cs="Arial"/>
          <w:szCs w:val="22"/>
          <w:highlight w:val="yellow"/>
          <w:lang w:val="fr-CA" w:eastAsia="fr-CA"/>
        </w:rPr>
      </w:pPr>
    </w:p>
    <w:p w14:paraId="45930E3A" w14:textId="77777777" w:rsidR="00ED30F8" w:rsidRPr="008B4FFE" w:rsidRDefault="00ED30F8" w:rsidP="008B4FFE">
      <w:pPr>
        <w:pStyle w:val="Corpsdetexte"/>
        <w:rPr>
          <w:rFonts w:ascii="Times New Roman" w:eastAsiaTheme="minorEastAsia" w:hAnsi="Times New Roman"/>
          <w:b/>
          <w:sz w:val="24"/>
          <w:szCs w:val="24"/>
          <w:lang w:val="fr-CA" w:eastAsia="fr-CA"/>
        </w:rPr>
      </w:pPr>
      <w:r w:rsidRPr="008B4FFE">
        <w:rPr>
          <w:rFonts w:ascii="Times New Roman" w:eastAsiaTheme="minorEastAsia" w:hAnsi="Times New Roman"/>
          <w:b/>
          <w:sz w:val="24"/>
          <w:szCs w:val="24"/>
          <w:lang w:val="fr-CA" w:eastAsia="fr-CA"/>
        </w:rPr>
        <w:t xml:space="preserve">Justification des appréciations - Points clés de l’audit </w:t>
      </w:r>
    </w:p>
    <w:p w14:paraId="70A07628" w14:textId="77777777" w:rsidR="004D0D82" w:rsidRDefault="004D0D82" w:rsidP="008B4FFE">
      <w:pPr>
        <w:pStyle w:val="Corpsdetexte"/>
        <w:rPr>
          <w:rFonts w:ascii="Times New Roman" w:eastAsiaTheme="minorEastAsia" w:hAnsi="Times New Roman"/>
          <w:sz w:val="24"/>
          <w:szCs w:val="24"/>
          <w:lang w:eastAsia="fr-CA"/>
        </w:rPr>
      </w:pPr>
    </w:p>
    <w:p w14:paraId="48115EE7" w14:textId="26714EF1" w:rsidR="00ED30F8" w:rsidRPr="008B4FFE" w:rsidRDefault="00ED30F8" w:rsidP="008B4FFE">
      <w:pPr>
        <w:pStyle w:val="Corpsdetexte"/>
        <w:rPr>
          <w:rFonts w:ascii="Times New Roman" w:eastAsiaTheme="minorEastAsia" w:hAnsi="Times New Roman"/>
          <w:sz w:val="24"/>
          <w:szCs w:val="24"/>
          <w:lang w:eastAsia="fr-CA"/>
        </w:rPr>
      </w:pPr>
      <w:r w:rsidRPr="008B4FFE">
        <w:rPr>
          <w:rFonts w:ascii="Times New Roman" w:eastAsiaTheme="minorEastAsia" w:hAnsi="Times New Roman"/>
          <w:sz w:val="24"/>
          <w:szCs w:val="24"/>
          <w:lang w:eastAsia="fr-CA"/>
        </w:rPr>
        <w:t>En application des dispositions des articles L. 823-9 et R.823-7 du code de commerce relatives à la justification de nos a</w:t>
      </w:r>
      <w:r w:rsidR="008B4FFE" w:rsidRPr="008B4FFE">
        <w:rPr>
          <w:rFonts w:ascii="Times New Roman" w:eastAsiaTheme="minorEastAsia" w:hAnsi="Times New Roman"/>
          <w:sz w:val="24"/>
          <w:szCs w:val="24"/>
          <w:lang w:eastAsia="fr-CA"/>
        </w:rPr>
        <w:t>ppréciations, nous portons</w:t>
      </w:r>
      <w:r w:rsidRPr="008B4FFE">
        <w:rPr>
          <w:rFonts w:ascii="Times New Roman" w:eastAsiaTheme="minorEastAsia" w:hAnsi="Times New Roman"/>
          <w:sz w:val="24"/>
          <w:szCs w:val="24"/>
          <w:lang w:eastAsia="fr-CA"/>
        </w:rPr>
        <w:t xml:space="preserve"> à votre connaissance les points clés de l’audit relatifs aux risques d'anomalies significatives qui, selon notre jugement professionnel, ont été les plus importants pour l’audit des comptes annuels de l’exercice, ainsi que les réponses que nous avons apportées face à ces risques.</w:t>
      </w:r>
    </w:p>
    <w:p w14:paraId="64490B01" w14:textId="77777777" w:rsidR="00C26C56" w:rsidRDefault="00C26C56" w:rsidP="008B4FFE">
      <w:pPr>
        <w:pStyle w:val="ParagraphPurple"/>
        <w:widowControl/>
        <w:tabs>
          <w:tab w:val="clear" w:pos="720"/>
          <w:tab w:val="left" w:pos="0"/>
        </w:tabs>
        <w:spacing w:before="0" w:after="120" w:line="240" w:lineRule="exact"/>
        <w:ind w:left="0" w:firstLine="0"/>
        <w:jc w:val="both"/>
        <w:rPr>
          <w:color w:val="auto"/>
        </w:rPr>
      </w:pPr>
    </w:p>
    <w:p w14:paraId="5D72A300" w14:textId="77777777" w:rsidR="00ED30F8" w:rsidRPr="008B4FFE" w:rsidRDefault="00ED30F8" w:rsidP="008B4FFE">
      <w:pPr>
        <w:pStyle w:val="ParagraphPurple"/>
        <w:widowControl/>
        <w:tabs>
          <w:tab w:val="clear" w:pos="720"/>
          <w:tab w:val="left" w:pos="0"/>
        </w:tabs>
        <w:spacing w:before="0" w:after="120" w:line="240" w:lineRule="exact"/>
        <w:ind w:left="0" w:firstLine="0"/>
        <w:jc w:val="both"/>
        <w:rPr>
          <w:color w:val="auto"/>
        </w:rPr>
      </w:pPr>
      <w:r w:rsidRPr="008B4FFE">
        <w:rPr>
          <w:color w:val="auto"/>
        </w:rPr>
        <w:t xml:space="preserve">Les appréciations ainsi portées s’inscrivent dans le contexte de l’audit des comptes annuels pris dans leur ensemble et de la formation de notre opinion exprimée ci-avant. Nous n’exprimons pas d’opinion sur des éléments de ces comptes annuels pris isolément. </w:t>
      </w:r>
    </w:p>
    <w:p w14:paraId="11E42419" w14:textId="77777777" w:rsidR="00ED30F8" w:rsidRPr="008B4FFE" w:rsidRDefault="00ED30F8" w:rsidP="00ED30F8">
      <w:pPr>
        <w:pStyle w:val="ParagraphPurple"/>
        <w:widowControl/>
        <w:tabs>
          <w:tab w:val="clear" w:pos="720"/>
          <w:tab w:val="left" w:pos="0"/>
        </w:tabs>
        <w:spacing w:before="0" w:after="120" w:line="240" w:lineRule="exact"/>
        <w:ind w:left="0" w:firstLine="0"/>
        <w:rPr>
          <w:rFonts w:ascii="Arial" w:hAnsi="Arial" w:cs="Arial"/>
          <w:color w:val="auto"/>
          <w:sz w:val="20"/>
          <w:szCs w:val="20"/>
        </w:rPr>
      </w:pPr>
    </w:p>
    <w:p w14:paraId="7849988A" w14:textId="69F083A0" w:rsidR="00ED30F8" w:rsidRPr="008B4FFE" w:rsidRDefault="00ED30F8" w:rsidP="00ED30F8">
      <w:pPr>
        <w:pStyle w:val="Corpsdetexte"/>
        <w:rPr>
          <w:rFonts w:ascii="Times New Roman" w:eastAsiaTheme="minorEastAsia" w:hAnsi="Times New Roman"/>
          <w:noProof w:val="0"/>
          <w:sz w:val="24"/>
          <w:szCs w:val="24"/>
          <w:lang w:val="fr-CA" w:eastAsia="fr-CA"/>
        </w:rPr>
      </w:pPr>
      <w:r w:rsidRPr="008B4FFE">
        <w:rPr>
          <w:rFonts w:ascii="Times New Roman" w:eastAsiaTheme="minorEastAsia" w:hAnsi="Times New Roman"/>
          <w:noProof w:val="0"/>
          <w:sz w:val="24"/>
          <w:szCs w:val="24"/>
          <w:lang w:val="fr-CA" w:eastAsia="fr-CA"/>
        </w:rPr>
        <w:t xml:space="preserve">Nous </w:t>
      </w:r>
      <w:r w:rsidR="008B4FFE" w:rsidRPr="008B4FFE">
        <w:rPr>
          <w:rFonts w:ascii="Times New Roman" w:eastAsiaTheme="minorEastAsia" w:hAnsi="Times New Roman"/>
          <w:noProof w:val="0"/>
          <w:sz w:val="24"/>
          <w:szCs w:val="24"/>
          <w:lang w:val="fr-CA" w:eastAsia="fr-CA"/>
        </w:rPr>
        <w:t>avons déterminé qu’il n’y avait pas de point clé de l’audit à communiquer dans notre rapport.</w:t>
      </w:r>
    </w:p>
    <w:p w14:paraId="3A6DCE95" w14:textId="77777777" w:rsidR="00ED30F8" w:rsidRPr="00127FEA" w:rsidRDefault="00ED30F8" w:rsidP="00ED30F8">
      <w:pPr>
        <w:pStyle w:val="Corpsdetexte"/>
        <w:rPr>
          <w:rFonts w:eastAsiaTheme="minorEastAsia" w:cs="Arial"/>
          <w:szCs w:val="22"/>
          <w:highlight w:val="yellow"/>
          <w:lang w:val="fr-CA" w:eastAsia="fr-CA"/>
        </w:rPr>
      </w:pPr>
    </w:p>
    <w:p w14:paraId="219B0C10" w14:textId="77777777" w:rsidR="00ED30F8" w:rsidRPr="00127FEA" w:rsidRDefault="00ED30F8" w:rsidP="00ED30F8">
      <w:pPr>
        <w:pStyle w:val="Corpsdetexte"/>
        <w:rPr>
          <w:rFonts w:eastAsiaTheme="minorEastAsia" w:cs="Arial"/>
          <w:szCs w:val="22"/>
          <w:highlight w:val="yellow"/>
          <w:lang w:val="fr-CA" w:eastAsia="fr-CA"/>
        </w:rPr>
      </w:pPr>
    </w:p>
    <w:p w14:paraId="542A84CC" w14:textId="6C0C2255" w:rsidR="00ED30F8" w:rsidRPr="0008389E" w:rsidRDefault="00ED30F8" w:rsidP="00ED30F8">
      <w:pPr>
        <w:pStyle w:val="Corpsdetexte"/>
        <w:rPr>
          <w:rFonts w:ascii="Times New Roman" w:eastAsiaTheme="minorEastAsia" w:hAnsi="Times New Roman"/>
          <w:i/>
          <w:sz w:val="24"/>
          <w:szCs w:val="24"/>
          <w:lang w:eastAsia="fr-CA"/>
        </w:rPr>
      </w:pPr>
      <w:r w:rsidRPr="0008389E">
        <w:rPr>
          <w:rFonts w:ascii="Times New Roman" w:eastAsiaTheme="minorEastAsia" w:hAnsi="Times New Roman"/>
          <w:b/>
          <w:i/>
          <w:sz w:val="24"/>
          <w:szCs w:val="24"/>
          <w:lang w:eastAsia="fr-CA"/>
        </w:rPr>
        <w:t>Vérification</w:t>
      </w:r>
      <w:r w:rsidR="00DB5D34" w:rsidRPr="0008389E">
        <w:rPr>
          <w:rFonts w:ascii="Times New Roman" w:eastAsiaTheme="minorEastAsia" w:hAnsi="Times New Roman"/>
          <w:b/>
          <w:i/>
          <w:sz w:val="24"/>
          <w:szCs w:val="24"/>
          <w:lang w:eastAsia="fr-CA"/>
        </w:rPr>
        <w:t>s spécifiques</w:t>
      </w:r>
    </w:p>
    <w:p w14:paraId="56E1C80D" w14:textId="77777777" w:rsidR="004D0D82" w:rsidRDefault="004D0D82" w:rsidP="00ED30F8">
      <w:pPr>
        <w:pStyle w:val="Corpsdetexte"/>
        <w:rPr>
          <w:rFonts w:ascii="Times New Roman" w:eastAsiaTheme="minorEastAsia" w:hAnsi="Times New Roman"/>
          <w:sz w:val="24"/>
          <w:szCs w:val="24"/>
          <w:lang w:eastAsia="fr-CA"/>
        </w:rPr>
      </w:pPr>
    </w:p>
    <w:p w14:paraId="7E356EC8" w14:textId="6CCAE160" w:rsidR="00ED30F8" w:rsidRPr="00DB5D34" w:rsidRDefault="00ED30F8" w:rsidP="00ED30F8">
      <w:pPr>
        <w:pStyle w:val="Corpsdetexte"/>
        <w:rPr>
          <w:rFonts w:ascii="Times New Roman" w:eastAsiaTheme="minorEastAsia" w:hAnsi="Times New Roman"/>
          <w:sz w:val="24"/>
          <w:szCs w:val="24"/>
          <w:lang w:eastAsia="fr-CA"/>
        </w:rPr>
      </w:pPr>
      <w:r w:rsidRPr="00DB5D34">
        <w:rPr>
          <w:rFonts w:ascii="Times New Roman" w:eastAsiaTheme="minorEastAsia" w:hAnsi="Times New Roman"/>
          <w:sz w:val="24"/>
          <w:szCs w:val="24"/>
          <w:lang w:eastAsia="fr-CA"/>
        </w:rPr>
        <w:t>Nous avons également procédé, conformément aux normes d’exercice professionnel applicables en France, aux vérification</w:t>
      </w:r>
      <w:r w:rsidR="00DB5D34" w:rsidRPr="00DB5D34">
        <w:rPr>
          <w:rFonts w:ascii="Times New Roman" w:eastAsiaTheme="minorEastAsia" w:hAnsi="Times New Roman"/>
          <w:sz w:val="24"/>
          <w:szCs w:val="24"/>
          <w:lang w:eastAsia="fr-CA"/>
        </w:rPr>
        <w:t>s spécifiques prévues par les texts légaux et réglementaires</w:t>
      </w:r>
      <w:r w:rsidRPr="00DB5D34">
        <w:rPr>
          <w:rFonts w:ascii="Times New Roman" w:eastAsiaTheme="minorEastAsia" w:hAnsi="Times New Roman"/>
          <w:sz w:val="24"/>
          <w:szCs w:val="24"/>
          <w:lang w:eastAsia="fr-CA"/>
        </w:rPr>
        <w:t>.</w:t>
      </w:r>
    </w:p>
    <w:p w14:paraId="62E7E557" w14:textId="77777777" w:rsidR="00ED30F8" w:rsidRPr="00127FEA" w:rsidRDefault="00ED30F8" w:rsidP="00ED30F8">
      <w:pPr>
        <w:autoSpaceDE w:val="0"/>
        <w:autoSpaceDN w:val="0"/>
        <w:adjustRightInd w:val="0"/>
        <w:spacing w:line="240" w:lineRule="exact"/>
        <w:rPr>
          <w:rFonts w:eastAsiaTheme="minorHAnsi" w:cs="Arial"/>
          <w:b/>
          <w:i/>
          <w:highlight w:val="yellow"/>
        </w:rPr>
      </w:pPr>
    </w:p>
    <w:p w14:paraId="75563004" w14:textId="5F8F12AF" w:rsidR="00ED30F8" w:rsidRPr="0008389E" w:rsidRDefault="00ED30F8" w:rsidP="00ED30F8">
      <w:pPr>
        <w:autoSpaceDE w:val="0"/>
        <w:autoSpaceDN w:val="0"/>
        <w:adjustRightInd w:val="0"/>
        <w:spacing w:line="240" w:lineRule="exact"/>
        <w:rPr>
          <w:rFonts w:eastAsiaTheme="minorHAnsi"/>
          <w:b/>
          <w:i/>
        </w:rPr>
      </w:pPr>
      <w:r w:rsidRPr="0008389E">
        <w:rPr>
          <w:rFonts w:eastAsiaTheme="minorHAnsi"/>
          <w:b/>
          <w:i/>
        </w:rPr>
        <w:t>Informations données dans le rapport de gestion et dans les autres documents sur la situation financière et les comptes annuels</w:t>
      </w:r>
      <w:r w:rsidR="004D0D82" w:rsidRPr="0008389E">
        <w:rPr>
          <w:rFonts w:eastAsiaTheme="minorHAnsi"/>
          <w:b/>
          <w:i/>
        </w:rPr>
        <w:t xml:space="preserve"> adressés aux actionnaires</w:t>
      </w:r>
    </w:p>
    <w:p w14:paraId="2EC48DBD" w14:textId="77777777" w:rsidR="004D0D82" w:rsidRPr="0008389E" w:rsidRDefault="004D0D82" w:rsidP="00ED30F8">
      <w:pPr>
        <w:pStyle w:val="Corpsdetexte"/>
        <w:rPr>
          <w:rFonts w:ascii="Times New Roman" w:eastAsiaTheme="minorEastAsia" w:hAnsi="Times New Roman"/>
          <w:sz w:val="24"/>
          <w:szCs w:val="24"/>
          <w:lang w:eastAsia="fr-CA"/>
        </w:rPr>
      </w:pPr>
    </w:p>
    <w:p w14:paraId="067CFB7F" w14:textId="5C723458" w:rsidR="00ED30F8" w:rsidRPr="0008389E" w:rsidRDefault="00ED30F8" w:rsidP="00ED30F8">
      <w:pPr>
        <w:pStyle w:val="Corpsdetexte"/>
        <w:rPr>
          <w:rFonts w:ascii="Times New Roman" w:eastAsiaTheme="minorEastAsia" w:hAnsi="Times New Roman"/>
          <w:sz w:val="24"/>
          <w:szCs w:val="24"/>
          <w:lang w:eastAsia="fr-CA"/>
        </w:rPr>
      </w:pPr>
      <w:r w:rsidRPr="0008389E">
        <w:rPr>
          <w:rFonts w:ascii="Times New Roman" w:eastAsiaTheme="minorEastAsia" w:hAnsi="Times New Roman"/>
          <w:sz w:val="24"/>
          <w:szCs w:val="24"/>
          <w:lang w:eastAsia="fr-CA"/>
        </w:rPr>
        <w:t>Nous n'avons pas d'observation à formuler sur la sincérité et la concordance avec les comptes annuels des informations données dans le rapport de gestion du conseil d’administration</w:t>
      </w:r>
      <w:r w:rsidRPr="0008389E">
        <w:rPr>
          <w:rFonts w:ascii="Times New Roman" w:eastAsiaTheme="minorEastAsia" w:hAnsi="Times New Roman"/>
          <w:i/>
          <w:iCs/>
          <w:sz w:val="24"/>
          <w:szCs w:val="24"/>
          <w:lang w:eastAsia="fr-CA"/>
        </w:rPr>
        <w:t xml:space="preserve"> </w:t>
      </w:r>
      <w:r w:rsidRPr="0008389E">
        <w:rPr>
          <w:rFonts w:ascii="Times New Roman" w:eastAsiaTheme="minorEastAsia" w:hAnsi="Times New Roman"/>
          <w:sz w:val="24"/>
          <w:szCs w:val="24"/>
          <w:lang w:eastAsia="fr-CA"/>
        </w:rPr>
        <w:t>et dans les autres documents sur la situation financière et les comptes annuels</w:t>
      </w:r>
      <w:r w:rsidR="004D0D82" w:rsidRPr="0008389E">
        <w:rPr>
          <w:rFonts w:ascii="Times New Roman" w:eastAsiaTheme="minorEastAsia" w:hAnsi="Times New Roman"/>
          <w:sz w:val="24"/>
          <w:szCs w:val="24"/>
          <w:lang w:eastAsia="fr-CA"/>
        </w:rPr>
        <w:t xml:space="preserve"> adressés aux actionnaires, à l’exception du point ci-dessous.</w:t>
      </w:r>
    </w:p>
    <w:p w14:paraId="5E2C16C4" w14:textId="77777777" w:rsidR="004D0D82" w:rsidRPr="0008389E" w:rsidRDefault="004D0D82" w:rsidP="00ED30F8">
      <w:pPr>
        <w:pStyle w:val="Corpsdetexte"/>
        <w:rPr>
          <w:rFonts w:ascii="Times New Roman" w:eastAsiaTheme="minorEastAsia" w:hAnsi="Times New Roman"/>
          <w:sz w:val="24"/>
          <w:szCs w:val="24"/>
          <w:highlight w:val="yellow"/>
          <w:lang w:eastAsia="fr-CA"/>
        </w:rPr>
      </w:pPr>
    </w:p>
    <w:p w14:paraId="244EF753" w14:textId="3A4F238B" w:rsidR="004D0D82" w:rsidRPr="0008389E" w:rsidRDefault="004D0D82" w:rsidP="00ED30F8">
      <w:pPr>
        <w:pStyle w:val="Corpsdetexte"/>
        <w:rPr>
          <w:rFonts w:ascii="Times New Roman" w:eastAsiaTheme="minorEastAsia" w:hAnsi="Times New Roman"/>
          <w:sz w:val="24"/>
          <w:szCs w:val="24"/>
          <w:lang w:eastAsia="fr-CA"/>
        </w:rPr>
      </w:pPr>
      <w:r w:rsidRPr="0008389E">
        <w:rPr>
          <w:rFonts w:ascii="Times New Roman" w:eastAsiaTheme="minorEastAsia" w:hAnsi="Times New Roman"/>
          <w:sz w:val="24"/>
          <w:szCs w:val="24"/>
          <w:lang w:eastAsia="fr-CA"/>
        </w:rPr>
        <w:t xml:space="preserve">La sincérité et la concordance avec les comptes annuels des informations relatives aux délais de paiement mentionnées à l’article D.441-4 du code de commerce appellent de notre part l’observation suivante : </w:t>
      </w:r>
      <w:r w:rsidR="0008389E" w:rsidRPr="0008389E">
        <w:rPr>
          <w:rFonts w:ascii="Times New Roman" w:eastAsiaTheme="minorEastAsia" w:hAnsi="Times New Roman"/>
          <w:sz w:val="24"/>
          <w:szCs w:val="24"/>
          <w:lang w:eastAsia="fr-CA"/>
        </w:rPr>
        <w:t>comme indiqué dans le rapport de gestion, ces informations n’incluent pas les opérations bancaires et les opérations connexes, votre société considérant qu’elles n’entrent pas dans le périmètre des informations à produire.</w:t>
      </w:r>
    </w:p>
    <w:p w14:paraId="03C8FC4D" w14:textId="77777777" w:rsidR="00ED30F8" w:rsidRPr="00127FEA" w:rsidRDefault="00ED30F8" w:rsidP="00ED30F8">
      <w:pPr>
        <w:pStyle w:val="Corpsdetexte"/>
        <w:rPr>
          <w:rFonts w:eastAsiaTheme="minorEastAsia" w:cs="Arial"/>
          <w:szCs w:val="22"/>
          <w:highlight w:val="yellow"/>
          <w:lang w:eastAsia="fr-CA"/>
        </w:rPr>
      </w:pPr>
    </w:p>
    <w:p w14:paraId="0CC27C0F" w14:textId="77777777" w:rsidR="00C26C56" w:rsidRDefault="00C26C56" w:rsidP="00ED30F8">
      <w:pPr>
        <w:autoSpaceDE w:val="0"/>
        <w:autoSpaceDN w:val="0"/>
        <w:adjustRightInd w:val="0"/>
        <w:spacing w:before="130" w:line="240" w:lineRule="exact"/>
        <w:rPr>
          <w:b/>
          <w:bCs/>
          <w:i/>
          <w:iCs/>
          <w:sz w:val="20"/>
          <w:szCs w:val="20"/>
        </w:rPr>
      </w:pPr>
      <w:r w:rsidRPr="001D7AE9">
        <w:rPr>
          <w:rFonts w:eastAsiaTheme="minorEastAsia"/>
          <w:b/>
          <w:i/>
          <w:noProof/>
          <w:lang w:eastAsia="fr-CA"/>
        </w:rPr>
        <w:t>Rapport sur le gouvernement d’entreprise</w:t>
      </w:r>
      <w:r>
        <w:rPr>
          <w:b/>
          <w:bCs/>
          <w:i/>
          <w:iCs/>
          <w:sz w:val="20"/>
          <w:szCs w:val="20"/>
        </w:rPr>
        <w:t xml:space="preserve"> </w:t>
      </w:r>
    </w:p>
    <w:p w14:paraId="466A9487" w14:textId="43F4E996" w:rsidR="00C26C56" w:rsidRPr="001D7AE9" w:rsidRDefault="00C26C56" w:rsidP="00ED30F8">
      <w:pPr>
        <w:autoSpaceDE w:val="0"/>
        <w:autoSpaceDN w:val="0"/>
        <w:adjustRightInd w:val="0"/>
        <w:spacing w:before="130" w:line="240" w:lineRule="exact"/>
        <w:rPr>
          <w:rFonts w:eastAsiaTheme="minorEastAsia"/>
          <w:noProof/>
          <w:lang w:eastAsia="fr-CA"/>
        </w:rPr>
      </w:pPr>
      <w:r w:rsidRPr="001D7AE9">
        <w:rPr>
          <w:rFonts w:eastAsiaTheme="minorEastAsia"/>
          <w:noProof/>
          <w:lang w:eastAsia="fr-CA"/>
        </w:rPr>
        <w:t>Nous attestons de l’existence, dans le rapport du conseil d’administration sur le gouvernement d’entreprise, des informations requises par l'article L.225-37-4 du code de commerce.</w:t>
      </w:r>
    </w:p>
    <w:p w14:paraId="3FC3A608" w14:textId="77777777" w:rsidR="00ED30F8" w:rsidRPr="00127FEA" w:rsidRDefault="00ED30F8" w:rsidP="00ED30F8">
      <w:pPr>
        <w:pStyle w:val="Corpsdetexte"/>
        <w:rPr>
          <w:rFonts w:eastAsiaTheme="minorEastAsia" w:cs="Arial"/>
          <w:i/>
          <w:szCs w:val="22"/>
          <w:highlight w:val="yellow"/>
          <w:lang w:val="fr-CA" w:eastAsia="fr-CA"/>
        </w:rPr>
      </w:pPr>
    </w:p>
    <w:p w14:paraId="351E3E4E" w14:textId="77777777" w:rsidR="00C26C56" w:rsidRDefault="00C26C56" w:rsidP="00ED30F8">
      <w:pPr>
        <w:pStyle w:val="Corpsdetexte"/>
        <w:rPr>
          <w:rFonts w:ascii="Times New Roman" w:eastAsiaTheme="minorEastAsia" w:hAnsi="Times New Roman"/>
          <w:b/>
          <w:bCs/>
          <w:i/>
          <w:sz w:val="24"/>
          <w:szCs w:val="24"/>
          <w:lang w:eastAsia="fr-CA"/>
        </w:rPr>
      </w:pPr>
    </w:p>
    <w:p w14:paraId="4FC54936" w14:textId="77777777" w:rsidR="00ED30F8" w:rsidRPr="0035313E" w:rsidRDefault="00ED30F8" w:rsidP="00ED30F8">
      <w:pPr>
        <w:pStyle w:val="Corpsdetexte"/>
        <w:rPr>
          <w:rFonts w:ascii="Times New Roman" w:eastAsiaTheme="minorEastAsia" w:hAnsi="Times New Roman"/>
          <w:b/>
          <w:bCs/>
          <w:i/>
          <w:sz w:val="24"/>
          <w:szCs w:val="24"/>
          <w:lang w:eastAsia="fr-CA"/>
        </w:rPr>
      </w:pPr>
      <w:r w:rsidRPr="0035313E">
        <w:rPr>
          <w:rFonts w:ascii="Times New Roman" w:eastAsiaTheme="minorEastAsia" w:hAnsi="Times New Roman"/>
          <w:b/>
          <w:bCs/>
          <w:i/>
          <w:sz w:val="24"/>
          <w:szCs w:val="24"/>
          <w:lang w:eastAsia="fr-CA"/>
        </w:rPr>
        <w:t>Informations résultant d'autres obligations légales et réglementaires</w:t>
      </w:r>
    </w:p>
    <w:p w14:paraId="601F31E1" w14:textId="77777777" w:rsidR="0035313E" w:rsidRPr="0035313E" w:rsidRDefault="0035313E" w:rsidP="00ED30F8">
      <w:pPr>
        <w:pStyle w:val="Corpsdetexte"/>
        <w:rPr>
          <w:rFonts w:ascii="Times New Roman" w:eastAsiaTheme="minorEastAsia" w:hAnsi="Times New Roman"/>
          <w:b/>
          <w:i/>
          <w:sz w:val="24"/>
          <w:szCs w:val="24"/>
          <w:lang w:eastAsia="fr-CA"/>
        </w:rPr>
      </w:pPr>
    </w:p>
    <w:p w14:paraId="5E968152" w14:textId="77777777" w:rsidR="00ED30F8" w:rsidRPr="0035313E" w:rsidRDefault="00ED30F8" w:rsidP="00ED30F8">
      <w:pPr>
        <w:pStyle w:val="Corpsdetexte"/>
        <w:rPr>
          <w:rFonts w:ascii="Times New Roman" w:eastAsiaTheme="minorEastAsia" w:hAnsi="Times New Roman"/>
          <w:b/>
          <w:i/>
          <w:sz w:val="24"/>
          <w:szCs w:val="24"/>
          <w:lang w:eastAsia="fr-CA"/>
        </w:rPr>
      </w:pPr>
      <w:r w:rsidRPr="0035313E">
        <w:rPr>
          <w:rFonts w:ascii="Times New Roman" w:eastAsiaTheme="minorEastAsia" w:hAnsi="Times New Roman"/>
          <w:b/>
          <w:i/>
          <w:sz w:val="24"/>
          <w:szCs w:val="24"/>
          <w:lang w:eastAsia="fr-CA"/>
        </w:rPr>
        <w:t>Désignation des commissaires aux comptes</w:t>
      </w:r>
    </w:p>
    <w:p w14:paraId="27C96313" w14:textId="77777777" w:rsidR="0035313E" w:rsidRPr="0035313E" w:rsidRDefault="0035313E" w:rsidP="00ED30F8">
      <w:pPr>
        <w:pStyle w:val="Corpsdetexte"/>
        <w:rPr>
          <w:rFonts w:ascii="Times New Roman" w:eastAsiaTheme="minorEastAsia" w:hAnsi="Times New Roman"/>
          <w:sz w:val="24"/>
          <w:szCs w:val="24"/>
          <w:lang w:eastAsia="fr-CA"/>
        </w:rPr>
      </w:pPr>
    </w:p>
    <w:p w14:paraId="316EEAC0" w14:textId="77777777" w:rsidR="00C26C56" w:rsidRPr="001D7AE9" w:rsidRDefault="00C26C56" w:rsidP="001D7AE9">
      <w:pPr>
        <w:autoSpaceDE w:val="0"/>
        <w:autoSpaceDN w:val="0"/>
        <w:adjustRightInd w:val="0"/>
        <w:jc w:val="both"/>
        <w:rPr>
          <w:rFonts w:eastAsiaTheme="minorEastAsia"/>
          <w:noProof/>
          <w:lang w:eastAsia="fr-CA"/>
        </w:rPr>
      </w:pPr>
      <w:r w:rsidRPr="001D7AE9">
        <w:rPr>
          <w:rFonts w:eastAsiaTheme="minorEastAsia"/>
          <w:noProof/>
          <w:lang w:eastAsia="fr-CA"/>
        </w:rPr>
        <w:t xml:space="preserve">Nous avons été nommés commissaires aux comptes de la société La Banque Postale Home Loan SFH S.A. par vos assemblées générales du 16 avril 2010 pour le cabinet PricewaterhouseCoopers Audit et du 21 mai 2013 pour KPMG SA. </w:t>
      </w:r>
    </w:p>
    <w:p w14:paraId="4F98E9E2" w14:textId="7612509C" w:rsidR="00ED30F8" w:rsidRPr="0035313E" w:rsidRDefault="00C26C56" w:rsidP="001D7AE9">
      <w:pPr>
        <w:pStyle w:val="Corpsdetexte"/>
        <w:rPr>
          <w:rFonts w:ascii="Times New Roman" w:eastAsiaTheme="minorEastAsia" w:hAnsi="Times New Roman"/>
          <w:sz w:val="24"/>
          <w:szCs w:val="24"/>
          <w:lang w:eastAsia="fr-CA"/>
        </w:rPr>
      </w:pPr>
      <w:r w:rsidRPr="001D7AE9">
        <w:rPr>
          <w:rFonts w:ascii="Times New Roman" w:eastAsiaTheme="minorEastAsia" w:hAnsi="Times New Roman"/>
          <w:sz w:val="24"/>
          <w:szCs w:val="24"/>
          <w:lang w:eastAsia="fr-CA"/>
        </w:rPr>
        <w:t xml:space="preserve">Au 31 décembre 2019, le cabinet PricewaterhouseCoopers Audit était dans la 10ème année de sa mission sans interruption et le cabinet KPMG SA, en tant que successeur du cabinet KPMG Audit FS I, dans la 7ème année, dont 6 années pour nos deux cabinets depuis que la société a le statut d’EIP. </w:t>
      </w:r>
    </w:p>
    <w:p w14:paraId="3851614A" w14:textId="77777777" w:rsidR="00ED30F8" w:rsidRPr="00127FEA" w:rsidRDefault="00ED30F8" w:rsidP="001D7AE9">
      <w:pPr>
        <w:pStyle w:val="Corpsdetexte"/>
        <w:rPr>
          <w:rFonts w:eastAsiaTheme="minorEastAsia" w:cs="Arial"/>
          <w:szCs w:val="22"/>
          <w:highlight w:val="yellow"/>
          <w:lang w:eastAsia="fr-CA"/>
        </w:rPr>
      </w:pPr>
    </w:p>
    <w:p w14:paraId="182C214E" w14:textId="77777777" w:rsidR="00C26C56" w:rsidRDefault="00C26C56" w:rsidP="00ED30F8">
      <w:pPr>
        <w:pStyle w:val="Corpsdetexte"/>
        <w:rPr>
          <w:rFonts w:eastAsiaTheme="minorEastAsia" w:cs="Arial"/>
          <w:b/>
          <w:iCs/>
          <w:szCs w:val="22"/>
          <w:lang w:val="fr-CA" w:eastAsia="fr-CA"/>
        </w:rPr>
      </w:pPr>
    </w:p>
    <w:p w14:paraId="27B714AA" w14:textId="77777777" w:rsidR="009A0265" w:rsidRDefault="009A0265" w:rsidP="00ED30F8">
      <w:pPr>
        <w:pStyle w:val="Corpsdetexte"/>
        <w:rPr>
          <w:rFonts w:eastAsiaTheme="minorEastAsia" w:cs="Arial"/>
          <w:b/>
          <w:iCs/>
          <w:szCs w:val="22"/>
          <w:lang w:val="fr-CA" w:eastAsia="fr-CA"/>
        </w:rPr>
      </w:pPr>
    </w:p>
    <w:p w14:paraId="41270CF1" w14:textId="77777777" w:rsidR="00C26C56" w:rsidRDefault="00C26C56" w:rsidP="00ED30F8">
      <w:pPr>
        <w:pStyle w:val="Corpsdetexte"/>
        <w:rPr>
          <w:rFonts w:eastAsiaTheme="minorEastAsia" w:cs="Arial"/>
          <w:b/>
          <w:iCs/>
          <w:szCs w:val="22"/>
          <w:lang w:val="fr-CA" w:eastAsia="fr-CA"/>
        </w:rPr>
      </w:pPr>
    </w:p>
    <w:p w14:paraId="250E13B9" w14:textId="77777777" w:rsidR="00ED30F8" w:rsidRPr="0035313E" w:rsidRDefault="00ED30F8" w:rsidP="00ED30F8">
      <w:pPr>
        <w:pStyle w:val="Corpsdetexte"/>
        <w:rPr>
          <w:rFonts w:eastAsiaTheme="minorEastAsia" w:cs="Arial"/>
          <w:b/>
          <w:szCs w:val="22"/>
          <w:lang w:val="fr-CA" w:eastAsia="fr-CA"/>
        </w:rPr>
      </w:pPr>
      <w:r w:rsidRPr="0035313E">
        <w:rPr>
          <w:rFonts w:eastAsiaTheme="minorEastAsia" w:cs="Arial"/>
          <w:b/>
          <w:iCs/>
          <w:szCs w:val="22"/>
          <w:lang w:val="fr-CA" w:eastAsia="fr-CA"/>
        </w:rPr>
        <w:t>Responsabilités de la direction</w:t>
      </w:r>
      <w:r w:rsidRPr="0035313E">
        <w:rPr>
          <w:rFonts w:eastAsiaTheme="minorEastAsia" w:cs="Arial"/>
          <w:iCs/>
          <w:szCs w:val="22"/>
          <w:lang w:val="fr-CA" w:eastAsia="fr-CA"/>
        </w:rPr>
        <w:t xml:space="preserve"> </w:t>
      </w:r>
      <w:r w:rsidRPr="0035313E">
        <w:rPr>
          <w:rFonts w:eastAsiaTheme="minorEastAsia" w:cs="Arial"/>
          <w:b/>
          <w:iCs/>
          <w:szCs w:val="22"/>
          <w:lang w:val="fr-CA" w:eastAsia="fr-CA"/>
        </w:rPr>
        <w:t>et des personnes constituant le gouvernement d’entreprise relatives aux comptes annuels</w:t>
      </w:r>
    </w:p>
    <w:p w14:paraId="7F44331F" w14:textId="77777777" w:rsidR="0035313E" w:rsidRPr="0035313E" w:rsidRDefault="0035313E" w:rsidP="00ED30F8">
      <w:pPr>
        <w:pStyle w:val="Corpsdetexte"/>
        <w:rPr>
          <w:rFonts w:eastAsiaTheme="minorEastAsia" w:cs="Arial"/>
          <w:szCs w:val="22"/>
          <w:lang w:eastAsia="fr-CA"/>
        </w:rPr>
      </w:pPr>
    </w:p>
    <w:p w14:paraId="281770C2" w14:textId="77777777" w:rsidR="00ED30F8" w:rsidRPr="00B5752E" w:rsidRDefault="00ED30F8" w:rsidP="00ED30F8">
      <w:pPr>
        <w:pStyle w:val="Corpsdetexte"/>
        <w:rPr>
          <w:rFonts w:ascii="Times New Roman" w:eastAsiaTheme="minorEastAsia" w:hAnsi="Times New Roman"/>
          <w:sz w:val="24"/>
          <w:szCs w:val="24"/>
          <w:lang w:eastAsia="fr-CA"/>
        </w:rPr>
      </w:pPr>
      <w:r w:rsidRPr="00B5752E">
        <w:rPr>
          <w:rFonts w:ascii="Times New Roman" w:eastAsiaTheme="minorEastAsia" w:hAnsi="Times New Roman"/>
          <w:sz w:val="24"/>
          <w:szCs w:val="24"/>
          <w:lang w:eastAsia="fr-CA"/>
        </w:rPr>
        <w:t xml:space="preserve">Il appartient à la direction d’établir des comptes annuels présentant une image fidèle conformément aux </w:t>
      </w:r>
      <w:r w:rsidRPr="00B5752E">
        <w:rPr>
          <w:rFonts w:ascii="Times New Roman" w:eastAsiaTheme="minorEastAsia" w:hAnsi="Times New Roman"/>
          <w:bCs/>
          <w:sz w:val="24"/>
          <w:szCs w:val="24"/>
          <w:lang w:eastAsia="fr-CA"/>
        </w:rPr>
        <w:t>règles et principes comptables français</w:t>
      </w:r>
      <w:r w:rsidRPr="00B5752E">
        <w:rPr>
          <w:rFonts w:ascii="Times New Roman" w:eastAsiaTheme="minorEastAsia" w:hAnsi="Times New Roman"/>
          <w:sz w:val="24"/>
          <w:szCs w:val="24"/>
          <w:lang w:eastAsia="fr-CA"/>
        </w:rPr>
        <w:t xml:space="preserve"> ainsi que de mettre en place le contrôle interne qu'elle estime nécessaire à l'établissement de comptes annuels ne comportant pas d'anomalies significatives, que celles-ci proviennent de fraudes ou résultent d'erreurs.</w:t>
      </w:r>
    </w:p>
    <w:p w14:paraId="766A2F62" w14:textId="77777777" w:rsidR="0035313E" w:rsidRPr="00B5752E" w:rsidRDefault="0035313E" w:rsidP="00ED30F8">
      <w:pPr>
        <w:pStyle w:val="Corpsdetexte"/>
        <w:rPr>
          <w:rFonts w:ascii="Times New Roman" w:eastAsiaTheme="minorEastAsia" w:hAnsi="Times New Roman"/>
          <w:sz w:val="24"/>
          <w:szCs w:val="24"/>
          <w:lang w:eastAsia="fr-CA"/>
        </w:rPr>
      </w:pPr>
    </w:p>
    <w:p w14:paraId="264D8012" w14:textId="77777777" w:rsidR="00ED30F8" w:rsidRPr="00B5752E" w:rsidRDefault="00ED30F8" w:rsidP="00ED30F8">
      <w:pPr>
        <w:pStyle w:val="Corpsdetexte"/>
        <w:rPr>
          <w:rFonts w:ascii="Times New Roman" w:eastAsiaTheme="minorEastAsia" w:hAnsi="Times New Roman"/>
          <w:sz w:val="24"/>
          <w:szCs w:val="24"/>
          <w:lang w:eastAsia="fr-CA"/>
        </w:rPr>
      </w:pPr>
      <w:r w:rsidRPr="00B5752E">
        <w:rPr>
          <w:rFonts w:ascii="Times New Roman" w:eastAsiaTheme="minorEastAsia" w:hAnsi="Times New Roman"/>
          <w:sz w:val="24"/>
          <w:szCs w:val="24"/>
          <w:lang w:eastAsia="fr-CA"/>
        </w:rPr>
        <w:t xml:space="preserve">Lors de l’établissement des comptes annuels, il incombe à la direction d’évaluer la capacité de la société à poursuivre son exploitation, de présenter dans ces comptes, le cas échéant, les informations nécessaires relatives à la continuité d’exploitation et d’appliquer la convention comptable de continuité d’exploitation, sauf s’il est prévu de liquider la société ou de cesser son activité. </w:t>
      </w:r>
    </w:p>
    <w:p w14:paraId="62A8BE02" w14:textId="77777777" w:rsidR="0035313E" w:rsidRPr="00B5752E" w:rsidRDefault="0035313E" w:rsidP="00ED30F8">
      <w:pPr>
        <w:pStyle w:val="Corpsdetexte"/>
        <w:rPr>
          <w:rFonts w:ascii="Times New Roman" w:eastAsiaTheme="minorEastAsia" w:hAnsi="Times New Roman"/>
          <w:sz w:val="24"/>
          <w:szCs w:val="24"/>
          <w:lang w:eastAsia="fr-CA"/>
        </w:rPr>
      </w:pPr>
    </w:p>
    <w:p w14:paraId="0636F1DB" w14:textId="3041FD7C" w:rsidR="00ED30F8" w:rsidRPr="00B5752E" w:rsidRDefault="00ED30F8" w:rsidP="00ED30F8">
      <w:pPr>
        <w:pStyle w:val="Corpsdetexte"/>
        <w:rPr>
          <w:rFonts w:ascii="Times New Roman" w:eastAsiaTheme="minorEastAsia" w:hAnsi="Times New Roman"/>
          <w:sz w:val="24"/>
          <w:szCs w:val="24"/>
          <w:lang w:eastAsia="fr-CA"/>
        </w:rPr>
      </w:pPr>
      <w:r w:rsidRPr="00B5752E">
        <w:rPr>
          <w:rFonts w:ascii="Times New Roman" w:eastAsiaTheme="minorEastAsia" w:hAnsi="Times New Roman"/>
          <w:sz w:val="24"/>
          <w:szCs w:val="24"/>
          <w:lang w:eastAsia="fr-CA"/>
        </w:rPr>
        <w:t>Il incombe au comité d’audit de suivre le processus d’élaboration de l’information financière et de suivre l'efficacité des systèmes de contrôle interne et de gestion des risques, ainsi que,</w:t>
      </w:r>
      <w:r w:rsidR="0035313E" w:rsidRPr="00B5752E">
        <w:rPr>
          <w:rFonts w:ascii="Times New Roman" w:eastAsiaTheme="minorEastAsia" w:hAnsi="Times New Roman"/>
          <w:sz w:val="24"/>
          <w:szCs w:val="24"/>
          <w:lang w:eastAsia="fr-CA"/>
        </w:rPr>
        <w:t xml:space="preserve"> le cas échéant</w:t>
      </w:r>
      <w:r w:rsidRPr="00B5752E">
        <w:rPr>
          <w:rFonts w:ascii="Times New Roman" w:eastAsiaTheme="minorEastAsia" w:hAnsi="Times New Roman"/>
          <w:sz w:val="24"/>
          <w:szCs w:val="24"/>
          <w:lang w:eastAsia="fr-CA"/>
        </w:rPr>
        <w:t xml:space="preserve"> de l'audit interne, en ce qui concerne les procédures relatives à l'élaboration et au traitement de l'information comptable et financière.</w:t>
      </w:r>
    </w:p>
    <w:p w14:paraId="6EA656AF" w14:textId="77777777" w:rsidR="0035313E" w:rsidRPr="00B5752E" w:rsidRDefault="0035313E" w:rsidP="00ED30F8">
      <w:pPr>
        <w:pStyle w:val="Corpsdetexte"/>
        <w:rPr>
          <w:rFonts w:ascii="Times New Roman" w:eastAsiaTheme="minorEastAsia" w:hAnsi="Times New Roman"/>
          <w:sz w:val="24"/>
          <w:szCs w:val="24"/>
          <w:lang w:eastAsia="fr-CA"/>
        </w:rPr>
      </w:pPr>
    </w:p>
    <w:p w14:paraId="04E924B2" w14:textId="77777777" w:rsidR="00ED30F8" w:rsidRPr="00B5752E" w:rsidRDefault="00ED30F8" w:rsidP="00ED30F8">
      <w:pPr>
        <w:pStyle w:val="Corpsdetexte"/>
        <w:rPr>
          <w:rFonts w:ascii="Times New Roman" w:eastAsiaTheme="minorEastAsia" w:hAnsi="Times New Roman"/>
          <w:sz w:val="24"/>
          <w:szCs w:val="24"/>
          <w:lang w:eastAsia="fr-CA"/>
        </w:rPr>
      </w:pPr>
      <w:r w:rsidRPr="00B5752E">
        <w:rPr>
          <w:rFonts w:ascii="Times New Roman" w:eastAsiaTheme="minorEastAsia" w:hAnsi="Times New Roman"/>
          <w:sz w:val="24"/>
          <w:szCs w:val="24"/>
          <w:lang w:eastAsia="fr-CA"/>
        </w:rPr>
        <w:t>Les comptes annuels ont été arrêtés par le conseil d’administration.</w:t>
      </w:r>
    </w:p>
    <w:p w14:paraId="7F3174BC" w14:textId="77777777" w:rsidR="00ED30F8" w:rsidRPr="00127FEA" w:rsidRDefault="00ED30F8" w:rsidP="00ED30F8">
      <w:pPr>
        <w:pStyle w:val="Corpsdetexte"/>
        <w:rPr>
          <w:rFonts w:eastAsiaTheme="minorEastAsia" w:cs="Arial"/>
          <w:szCs w:val="22"/>
          <w:highlight w:val="yellow"/>
          <w:lang w:eastAsia="fr-CA"/>
        </w:rPr>
      </w:pPr>
      <w:r w:rsidRPr="00127FEA">
        <w:rPr>
          <w:rFonts w:eastAsiaTheme="minorEastAsia" w:cs="Arial"/>
          <w:szCs w:val="22"/>
          <w:highlight w:val="yellow"/>
          <w:lang w:eastAsia="fr-CA"/>
        </w:rPr>
        <w:t xml:space="preserve"> </w:t>
      </w:r>
    </w:p>
    <w:p w14:paraId="7F0CBF99" w14:textId="77777777" w:rsidR="00B5752E" w:rsidRDefault="00B5752E">
      <w:pPr>
        <w:rPr>
          <w:rFonts w:eastAsiaTheme="minorEastAsia"/>
          <w:b/>
          <w:iCs/>
          <w:noProof/>
          <w:lang w:val="fr-CA" w:eastAsia="fr-CA"/>
        </w:rPr>
      </w:pPr>
      <w:r>
        <w:rPr>
          <w:rFonts w:eastAsiaTheme="minorEastAsia"/>
          <w:b/>
          <w:iCs/>
          <w:lang w:val="fr-CA" w:eastAsia="fr-CA"/>
        </w:rPr>
        <w:br w:type="page"/>
      </w:r>
    </w:p>
    <w:p w14:paraId="275859B8" w14:textId="304FC386" w:rsidR="00ED30F8" w:rsidRPr="00646AD2" w:rsidRDefault="00ED30F8" w:rsidP="00ED30F8">
      <w:pPr>
        <w:pStyle w:val="Corpsdetexte"/>
        <w:rPr>
          <w:rFonts w:ascii="Times New Roman" w:eastAsiaTheme="minorEastAsia" w:hAnsi="Times New Roman"/>
          <w:iCs/>
          <w:sz w:val="24"/>
          <w:szCs w:val="24"/>
          <w:lang w:val="fr-CA" w:eastAsia="fr-CA"/>
        </w:rPr>
      </w:pPr>
      <w:r w:rsidRPr="00646AD2">
        <w:rPr>
          <w:rFonts w:ascii="Times New Roman" w:eastAsiaTheme="minorEastAsia" w:hAnsi="Times New Roman"/>
          <w:b/>
          <w:iCs/>
          <w:sz w:val="24"/>
          <w:szCs w:val="24"/>
          <w:lang w:val="fr-CA" w:eastAsia="fr-CA"/>
        </w:rPr>
        <w:t>Responsabilités des commissaires aux comptes relatives à l’audit des comptes annuels</w:t>
      </w:r>
    </w:p>
    <w:p w14:paraId="7E587334" w14:textId="77777777" w:rsidR="0035313E" w:rsidRPr="00646AD2" w:rsidRDefault="0035313E" w:rsidP="00ED30F8">
      <w:pPr>
        <w:pStyle w:val="Corpsdetexte"/>
        <w:rPr>
          <w:rFonts w:ascii="Times New Roman" w:eastAsiaTheme="minorEastAsia" w:hAnsi="Times New Roman"/>
          <w:i/>
          <w:sz w:val="24"/>
          <w:szCs w:val="24"/>
          <w:lang w:eastAsia="fr-CA"/>
        </w:rPr>
      </w:pPr>
    </w:p>
    <w:p w14:paraId="0376A06B" w14:textId="77777777" w:rsidR="00ED30F8" w:rsidRPr="00646AD2" w:rsidRDefault="00ED30F8" w:rsidP="00ED30F8">
      <w:pPr>
        <w:pStyle w:val="Corpsdetexte"/>
        <w:rPr>
          <w:rFonts w:ascii="Times New Roman" w:eastAsiaTheme="minorEastAsia" w:hAnsi="Times New Roman"/>
          <w:i/>
          <w:sz w:val="24"/>
          <w:szCs w:val="24"/>
          <w:lang w:eastAsia="fr-CA"/>
        </w:rPr>
      </w:pPr>
      <w:r w:rsidRPr="00646AD2">
        <w:rPr>
          <w:rFonts w:ascii="Times New Roman" w:eastAsiaTheme="minorEastAsia" w:hAnsi="Times New Roman"/>
          <w:i/>
          <w:sz w:val="24"/>
          <w:szCs w:val="24"/>
          <w:lang w:eastAsia="fr-CA"/>
        </w:rPr>
        <w:t>Objectif et démarche d’audit</w:t>
      </w:r>
    </w:p>
    <w:p w14:paraId="22488701" w14:textId="77777777" w:rsidR="0035313E" w:rsidRPr="00646AD2" w:rsidRDefault="0035313E" w:rsidP="00ED30F8">
      <w:pPr>
        <w:pStyle w:val="Corpsdetexte"/>
        <w:rPr>
          <w:rFonts w:ascii="Times New Roman" w:eastAsiaTheme="minorEastAsia" w:hAnsi="Times New Roman"/>
          <w:sz w:val="24"/>
          <w:szCs w:val="24"/>
          <w:lang w:eastAsia="fr-CA"/>
        </w:rPr>
      </w:pPr>
    </w:p>
    <w:p w14:paraId="78F4E1AA" w14:textId="77777777" w:rsidR="00ED30F8" w:rsidRPr="00646AD2" w:rsidRDefault="00ED30F8" w:rsidP="00ED30F8">
      <w:pPr>
        <w:pStyle w:val="Corpsdetexte"/>
        <w:rPr>
          <w:rFonts w:ascii="Times New Roman" w:eastAsiaTheme="minorEastAsia" w:hAnsi="Times New Roman"/>
          <w:sz w:val="24"/>
          <w:szCs w:val="24"/>
          <w:lang w:eastAsia="fr-CA"/>
        </w:rPr>
      </w:pPr>
      <w:r w:rsidRPr="00646AD2">
        <w:rPr>
          <w:rFonts w:ascii="Times New Roman" w:eastAsiaTheme="minorEastAsia" w:hAnsi="Times New Roman"/>
          <w:sz w:val="24"/>
          <w:szCs w:val="24"/>
          <w:lang w:eastAsia="fr-CA"/>
        </w:rPr>
        <w:t xml:space="preserve">Il nous appartient d’établir un rapport sur les comptes annuels. Notre objectif est d’obtenir l’assurance raisonnable que les comptes annuels pris dans leur ensemble ne comportent pas d’anomalies significatives. L’assurance raisonnable correspond à un niveau élevé d’assurance, sans toutefois garantir qu’un audit réalisé conformément aux normes d’exercice professionnel permet de systématiquement détecter toute anomalie significative.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prennent en se fondant sur ceux-ci. </w:t>
      </w:r>
    </w:p>
    <w:p w14:paraId="7EA6D6E1" w14:textId="77777777" w:rsidR="00C440B7" w:rsidRPr="00646AD2" w:rsidRDefault="00C440B7" w:rsidP="00ED30F8">
      <w:pPr>
        <w:pStyle w:val="Corpsdetexte"/>
        <w:rPr>
          <w:rFonts w:ascii="Times New Roman" w:eastAsiaTheme="minorEastAsia" w:hAnsi="Times New Roman"/>
          <w:sz w:val="24"/>
          <w:szCs w:val="24"/>
          <w:lang w:eastAsia="fr-CA"/>
        </w:rPr>
      </w:pPr>
    </w:p>
    <w:p w14:paraId="65822AD2" w14:textId="77777777" w:rsidR="00ED30F8" w:rsidRPr="00646AD2" w:rsidRDefault="00ED30F8" w:rsidP="00ED30F8">
      <w:pPr>
        <w:pStyle w:val="Corpsdetexte"/>
        <w:rPr>
          <w:rFonts w:ascii="Times New Roman" w:eastAsiaTheme="minorEastAsia" w:hAnsi="Times New Roman"/>
          <w:sz w:val="24"/>
          <w:szCs w:val="24"/>
          <w:lang w:eastAsia="fr-CA"/>
        </w:rPr>
      </w:pPr>
      <w:r w:rsidRPr="00646AD2">
        <w:rPr>
          <w:rFonts w:ascii="Times New Roman" w:eastAsiaTheme="minorEastAsia" w:hAnsi="Times New Roman"/>
          <w:sz w:val="24"/>
          <w:szCs w:val="24"/>
          <w:lang w:eastAsia="fr-CA"/>
        </w:rPr>
        <w:t>Comme précisé par l’article L.823-10-1 du code de commerce, notre mission de certification des comptes ne consiste pas à garantir la viabilité ou la qualité de la gestion de votre société.</w:t>
      </w:r>
    </w:p>
    <w:p w14:paraId="618E5EC9" w14:textId="77777777" w:rsidR="00C440B7" w:rsidRPr="00646AD2" w:rsidRDefault="00C440B7" w:rsidP="00ED30F8">
      <w:pPr>
        <w:pStyle w:val="Corpsdetexte"/>
        <w:rPr>
          <w:rFonts w:ascii="Times New Roman" w:eastAsiaTheme="minorEastAsia" w:hAnsi="Times New Roman"/>
          <w:sz w:val="24"/>
          <w:szCs w:val="24"/>
          <w:lang w:eastAsia="fr-CA"/>
        </w:rPr>
      </w:pPr>
    </w:p>
    <w:p w14:paraId="4DB1A210" w14:textId="77777777" w:rsidR="00ED30F8" w:rsidRPr="00646AD2" w:rsidRDefault="00ED30F8" w:rsidP="00ED30F8">
      <w:pPr>
        <w:pStyle w:val="Corpsdetexte"/>
        <w:shd w:val="clear" w:color="auto" w:fill="FFFFFF" w:themeFill="background1"/>
        <w:rPr>
          <w:rFonts w:ascii="Times New Roman" w:eastAsiaTheme="minorEastAsia" w:hAnsi="Times New Roman"/>
          <w:sz w:val="24"/>
          <w:szCs w:val="24"/>
          <w:lang w:val="fr-CA" w:eastAsia="fr-CA"/>
        </w:rPr>
      </w:pPr>
      <w:r w:rsidRPr="00646AD2">
        <w:rPr>
          <w:rFonts w:ascii="Times New Roman" w:eastAsiaTheme="minorEastAsia" w:hAnsi="Times New Roman"/>
          <w:sz w:val="24"/>
          <w:szCs w:val="24"/>
          <w:lang w:val="fr-CA" w:eastAsia="fr-CA"/>
        </w:rPr>
        <w:t>Dans le cadre d’un audit réalisé conformément aux normes d’exercice professionnel applicables en France, le commissaire aux comptes exerce son jugement professionnel tout au long de cet audit. En outre :</w:t>
      </w:r>
    </w:p>
    <w:p w14:paraId="32A32F9B" w14:textId="77777777" w:rsidR="00ED30F8" w:rsidRPr="00646AD2" w:rsidRDefault="00ED30F8" w:rsidP="00D032FF">
      <w:pPr>
        <w:pStyle w:val="Corpsdetexte"/>
        <w:numPr>
          <w:ilvl w:val="0"/>
          <w:numId w:val="32"/>
        </w:numPr>
        <w:shd w:val="clear" w:color="auto" w:fill="FFFFFF" w:themeFill="background1"/>
        <w:tabs>
          <w:tab w:val="clear" w:pos="5103"/>
        </w:tabs>
        <w:spacing w:before="130" w:line="240" w:lineRule="atLeast"/>
        <w:ind w:left="360"/>
        <w:rPr>
          <w:rFonts w:ascii="Times New Roman" w:eastAsiaTheme="minorEastAsia" w:hAnsi="Times New Roman"/>
          <w:sz w:val="24"/>
          <w:szCs w:val="24"/>
          <w:lang w:val="fr-CA" w:eastAsia="fr-CA"/>
        </w:rPr>
      </w:pPr>
      <w:r w:rsidRPr="00646AD2">
        <w:rPr>
          <w:rFonts w:ascii="Times New Roman" w:eastAsiaTheme="minorEastAsia" w:hAnsi="Times New Roman"/>
          <w:sz w:val="24"/>
          <w:szCs w:val="24"/>
          <w:lang w:val="fr-CA" w:eastAsia="fr-CA"/>
        </w:rPr>
        <w:t xml:space="preserve">il identifie et évalue les risques que les comptes annuels comportent des anomalies significatives, </w:t>
      </w:r>
      <w:r w:rsidRPr="00646AD2">
        <w:rPr>
          <w:rFonts w:ascii="Times New Roman" w:eastAsiaTheme="minorEastAsia" w:hAnsi="Times New Roman"/>
          <w:sz w:val="24"/>
          <w:szCs w:val="24"/>
          <w:lang w:eastAsia="fr-CA"/>
        </w:rPr>
        <w:t xml:space="preserve">que celles-ci proviennent de fraudes ou résultent d’erreurs, définit et met en œuvre des procédures d’audit face à ces risques, et recueille des éléments qu’il estime suffisants et appropriés pour fonder son opinion. Le risque de non-détection d’une anomalie significative provenant d’une fraude est plus élevé que celui d’une anomalie significative résultant d’une erreur, car la fraude </w:t>
      </w:r>
      <w:r w:rsidRPr="00646AD2">
        <w:rPr>
          <w:rFonts w:ascii="Times New Roman" w:eastAsiaTheme="minorEastAsia" w:hAnsi="Times New Roman"/>
          <w:sz w:val="24"/>
          <w:szCs w:val="24"/>
          <w:lang w:val="fr-CA" w:eastAsia="fr-CA"/>
        </w:rPr>
        <w:t>peut impliquer la collusion, la falsification, les omissions volontaires, les fausses déclarations ou le contournement du contrôle interne ;</w:t>
      </w:r>
    </w:p>
    <w:p w14:paraId="39662773" w14:textId="37AB6A35" w:rsidR="00ED30F8" w:rsidRPr="00646AD2" w:rsidRDefault="00ED30F8" w:rsidP="00D032FF">
      <w:pPr>
        <w:pStyle w:val="Corpsdetexte"/>
        <w:numPr>
          <w:ilvl w:val="0"/>
          <w:numId w:val="32"/>
        </w:numPr>
        <w:shd w:val="clear" w:color="auto" w:fill="FFFFFF" w:themeFill="background1"/>
        <w:tabs>
          <w:tab w:val="clear" w:pos="5103"/>
        </w:tabs>
        <w:spacing w:before="130" w:line="240" w:lineRule="atLeast"/>
        <w:ind w:left="360"/>
        <w:rPr>
          <w:rFonts w:ascii="Times New Roman" w:eastAsiaTheme="minorEastAsia" w:hAnsi="Times New Roman"/>
          <w:sz w:val="24"/>
          <w:szCs w:val="24"/>
          <w:lang w:val="fr-CA" w:eastAsia="fr-CA"/>
        </w:rPr>
      </w:pPr>
      <w:r w:rsidRPr="00646AD2">
        <w:rPr>
          <w:rFonts w:ascii="Times New Roman" w:eastAsiaTheme="minorEastAsia" w:hAnsi="Times New Roman"/>
          <w:sz w:val="24"/>
          <w:szCs w:val="24"/>
          <w:lang w:val="fr-CA" w:eastAsia="fr-CA"/>
        </w:rPr>
        <w:t xml:space="preserve">il prend </w:t>
      </w:r>
      <w:r w:rsidRPr="00646AD2">
        <w:rPr>
          <w:rFonts w:ascii="Times New Roman" w:eastAsiaTheme="minorEastAsia" w:hAnsi="Times New Roman"/>
          <w:sz w:val="24"/>
          <w:szCs w:val="24"/>
          <w:lang w:eastAsia="fr-CA"/>
        </w:rPr>
        <w:t>connaissance du contrôle interne pertinent pour l’audit afin de définir des procédures d’audit appropriées en la circonstance, et non dans le but d’exprimer une opinion sur l’efficacité du contrôle interne</w:t>
      </w:r>
      <w:r w:rsidR="00282CEE">
        <w:rPr>
          <w:rFonts w:ascii="Times New Roman" w:eastAsiaTheme="minorEastAsia" w:hAnsi="Times New Roman"/>
          <w:sz w:val="24"/>
          <w:szCs w:val="24"/>
          <w:lang w:eastAsia="fr-CA"/>
        </w:rPr>
        <w:t xml:space="preserve"> </w:t>
      </w:r>
      <w:r w:rsidRPr="00646AD2">
        <w:rPr>
          <w:rFonts w:ascii="Times New Roman" w:eastAsiaTheme="minorEastAsia" w:hAnsi="Times New Roman"/>
          <w:sz w:val="24"/>
          <w:szCs w:val="24"/>
          <w:lang w:val="fr-CA" w:eastAsia="fr-CA"/>
        </w:rPr>
        <w:t>;</w:t>
      </w:r>
    </w:p>
    <w:p w14:paraId="1F042DF6" w14:textId="77777777" w:rsidR="00ED30F8" w:rsidRPr="00646AD2" w:rsidRDefault="00ED30F8" w:rsidP="00D032FF">
      <w:pPr>
        <w:pStyle w:val="Corpsdetexte"/>
        <w:numPr>
          <w:ilvl w:val="0"/>
          <w:numId w:val="32"/>
        </w:numPr>
        <w:shd w:val="clear" w:color="auto" w:fill="FFFFFF" w:themeFill="background1"/>
        <w:tabs>
          <w:tab w:val="clear" w:pos="5103"/>
        </w:tabs>
        <w:spacing w:before="130" w:line="240" w:lineRule="atLeast"/>
        <w:ind w:left="360"/>
        <w:rPr>
          <w:rFonts w:ascii="Times New Roman" w:eastAsiaTheme="minorEastAsia" w:hAnsi="Times New Roman"/>
          <w:sz w:val="24"/>
          <w:szCs w:val="24"/>
          <w:lang w:val="fr-CA" w:eastAsia="fr-CA"/>
        </w:rPr>
      </w:pPr>
      <w:r w:rsidRPr="00646AD2">
        <w:rPr>
          <w:rFonts w:ascii="Times New Roman" w:eastAsiaTheme="minorEastAsia" w:hAnsi="Times New Roman"/>
          <w:sz w:val="24"/>
          <w:szCs w:val="24"/>
          <w:lang w:val="fr-CA" w:eastAsia="fr-CA"/>
        </w:rPr>
        <w:t>il apprécie le caractère approprié des méthodes comptables retenues et le caractère raisonnable des estimations comptables faites par la direction, ainsi que</w:t>
      </w:r>
      <w:r w:rsidRPr="00646AD2">
        <w:rPr>
          <w:rFonts w:ascii="Times New Roman" w:eastAsiaTheme="minorEastAsia" w:hAnsi="Times New Roman"/>
          <w:sz w:val="24"/>
          <w:szCs w:val="24"/>
          <w:lang w:eastAsia="fr-CA"/>
        </w:rPr>
        <w:t xml:space="preserve"> les informations les concernant fournies dans les comptes annuels </w:t>
      </w:r>
      <w:r w:rsidRPr="00646AD2">
        <w:rPr>
          <w:rFonts w:ascii="Times New Roman" w:eastAsiaTheme="minorEastAsia" w:hAnsi="Times New Roman"/>
          <w:sz w:val="24"/>
          <w:szCs w:val="24"/>
          <w:lang w:val="fr-CA" w:eastAsia="fr-CA"/>
        </w:rPr>
        <w:t>;</w:t>
      </w:r>
    </w:p>
    <w:p w14:paraId="7E63FF45" w14:textId="77777777" w:rsidR="00ED30F8" w:rsidRPr="00646AD2" w:rsidRDefault="00ED30F8" w:rsidP="00D032FF">
      <w:pPr>
        <w:pStyle w:val="Corpsdetexte"/>
        <w:numPr>
          <w:ilvl w:val="0"/>
          <w:numId w:val="32"/>
        </w:numPr>
        <w:shd w:val="clear" w:color="auto" w:fill="FFFFFF" w:themeFill="background1"/>
        <w:tabs>
          <w:tab w:val="clear" w:pos="5103"/>
        </w:tabs>
        <w:spacing w:before="130" w:line="240" w:lineRule="atLeast"/>
        <w:ind w:left="360"/>
        <w:rPr>
          <w:rFonts w:ascii="Times New Roman" w:eastAsiaTheme="minorEastAsia" w:hAnsi="Times New Roman"/>
          <w:sz w:val="24"/>
          <w:szCs w:val="24"/>
          <w:lang w:val="fr-CA" w:eastAsia="fr-CA"/>
        </w:rPr>
      </w:pPr>
      <w:r w:rsidRPr="00646AD2">
        <w:rPr>
          <w:rFonts w:ascii="Times New Roman" w:eastAsiaTheme="minorEastAsia" w:hAnsi="Times New Roman"/>
          <w:sz w:val="24"/>
          <w:szCs w:val="24"/>
          <w:lang w:val="fr-CA" w:eastAsia="fr-CA"/>
        </w:rPr>
        <w:t>il apprécie le caractère approprié de l’application par la direction de la convention comptable de continuité d’exploitation et, selon les éléments collectés, l’existence ou non d’une incertitude significative liée à des événements ou à des circonstances susceptibles de mettre en cause la capacité de la société à poursuivre son exploitation. Cette appréciation s’appuie sur les éléments collectés jusqu’à la date de son rapport, étant toutefois rappelé que des circonstances ou événements ultérieurs pourraient mettre en cause la continuité d’exploitation. S’il conclut à l’existence d’une incertitude significative, il attire l’attention des lecteurs de son rapport sur les informations fournies dans les comptes annuels au sujet de cette incertitude ou, si ces informations ne sont pas fournies ou ne sont pas pertinentes, il formule une certification avec réserve ou un refus de certifier ;</w:t>
      </w:r>
    </w:p>
    <w:p w14:paraId="5D44F027" w14:textId="77777777" w:rsidR="00ED30F8" w:rsidRPr="00646AD2" w:rsidRDefault="00ED30F8" w:rsidP="00D032FF">
      <w:pPr>
        <w:pStyle w:val="Corpsdetexte"/>
        <w:numPr>
          <w:ilvl w:val="0"/>
          <w:numId w:val="32"/>
        </w:numPr>
        <w:shd w:val="clear" w:color="auto" w:fill="FFFFFF" w:themeFill="background1"/>
        <w:tabs>
          <w:tab w:val="clear" w:pos="5103"/>
        </w:tabs>
        <w:spacing w:before="130" w:line="240" w:lineRule="atLeast"/>
        <w:ind w:left="360"/>
        <w:rPr>
          <w:rFonts w:eastAsiaTheme="minorEastAsia" w:cs="Arial"/>
          <w:szCs w:val="22"/>
          <w:lang w:val="fr-CA" w:eastAsia="fr-CA"/>
        </w:rPr>
      </w:pPr>
      <w:r w:rsidRPr="00646AD2">
        <w:rPr>
          <w:rFonts w:ascii="Times New Roman" w:eastAsiaTheme="minorEastAsia" w:hAnsi="Times New Roman"/>
          <w:sz w:val="24"/>
          <w:szCs w:val="24"/>
          <w:lang w:val="fr-CA" w:eastAsia="fr-CA"/>
        </w:rPr>
        <w:t>il apprécie la présentation d’ensemble des comptes annuels et évalue si les comptes annuels reflètent les opérations et événements sous-jacents de manière à en donner une image fidèle.</w:t>
      </w:r>
    </w:p>
    <w:p w14:paraId="38BDEC33" w14:textId="77777777" w:rsidR="00ED30F8" w:rsidRPr="00127FEA" w:rsidRDefault="00ED30F8" w:rsidP="00ED30F8">
      <w:pPr>
        <w:pStyle w:val="Corpsdetexte"/>
        <w:rPr>
          <w:rFonts w:eastAsiaTheme="minorEastAsia" w:cs="Arial"/>
          <w:szCs w:val="22"/>
          <w:highlight w:val="yellow"/>
          <w:lang w:val="fr-CA" w:eastAsia="fr-CA"/>
        </w:rPr>
      </w:pPr>
    </w:p>
    <w:p w14:paraId="742F2602" w14:textId="77777777" w:rsidR="00B5752E" w:rsidRDefault="00B5752E">
      <w:pPr>
        <w:rPr>
          <w:rFonts w:eastAsiaTheme="minorEastAsia"/>
          <w:i/>
          <w:noProof/>
          <w:lang w:eastAsia="fr-CA"/>
        </w:rPr>
      </w:pPr>
      <w:r>
        <w:rPr>
          <w:rFonts w:eastAsiaTheme="minorEastAsia"/>
          <w:i/>
          <w:lang w:eastAsia="fr-CA"/>
        </w:rPr>
        <w:br w:type="page"/>
      </w:r>
    </w:p>
    <w:p w14:paraId="691B26CF" w14:textId="46163EB5" w:rsidR="00ED30F8" w:rsidRPr="00B5752E" w:rsidRDefault="00ED30F8" w:rsidP="00ED30F8">
      <w:pPr>
        <w:pStyle w:val="Corpsdetexte"/>
        <w:rPr>
          <w:rFonts w:ascii="Times New Roman" w:eastAsiaTheme="minorEastAsia" w:hAnsi="Times New Roman"/>
          <w:i/>
          <w:sz w:val="24"/>
          <w:szCs w:val="24"/>
          <w:lang w:eastAsia="fr-CA"/>
        </w:rPr>
      </w:pPr>
      <w:r w:rsidRPr="00B5752E">
        <w:rPr>
          <w:rFonts w:ascii="Times New Roman" w:eastAsiaTheme="minorEastAsia" w:hAnsi="Times New Roman"/>
          <w:i/>
          <w:sz w:val="24"/>
          <w:szCs w:val="24"/>
          <w:lang w:eastAsia="fr-CA"/>
        </w:rPr>
        <w:t xml:space="preserve">Rapport au comité </w:t>
      </w:r>
      <w:r w:rsidR="00282CEE">
        <w:rPr>
          <w:rFonts w:ascii="Times New Roman" w:eastAsiaTheme="minorEastAsia" w:hAnsi="Times New Roman"/>
          <w:i/>
          <w:sz w:val="24"/>
          <w:szCs w:val="24"/>
          <w:lang w:eastAsia="fr-CA"/>
        </w:rPr>
        <w:t>des comptes</w:t>
      </w:r>
    </w:p>
    <w:p w14:paraId="2A1A123A" w14:textId="77777777" w:rsidR="00B5752E" w:rsidRPr="00B5752E" w:rsidRDefault="00B5752E" w:rsidP="00ED30F8">
      <w:pPr>
        <w:pStyle w:val="Corpsdetexte"/>
        <w:rPr>
          <w:rFonts w:ascii="Times New Roman" w:eastAsiaTheme="minorEastAsia" w:hAnsi="Times New Roman"/>
          <w:sz w:val="24"/>
          <w:szCs w:val="24"/>
          <w:lang w:val="fr-CA" w:eastAsia="fr-CA"/>
        </w:rPr>
      </w:pPr>
    </w:p>
    <w:p w14:paraId="51ACBB93" w14:textId="5E707C38" w:rsidR="00ED30F8" w:rsidRPr="00B5752E" w:rsidRDefault="00ED30F8" w:rsidP="00ED30F8">
      <w:pPr>
        <w:pStyle w:val="Corpsdetexte"/>
        <w:rPr>
          <w:rFonts w:ascii="Times New Roman" w:eastAsiaTheme="minorEastAsia" w:hAnsi="Times New Roman"/>
          <w:sz w:val="24"/>
          <w:szCs w:val="24"/>
          <w:lang w:eastAsia="fr-CA"/>
        </w:rPr>
      </w:pPr>
      <w:r w:rsidRPr="00B5752E">
        <w:rPr>
          <w:rFonts w:ascii="Times New Roman" w:eastAsiaTheme="minorEastAsia" w:hAnsi="Times New Roman"/>
          <w:sz w:val="24"/>
          <w:szCs w:val="24"/>
          <w:lang w:val="fr-CA" w:eastAsia="fr-CA"/>
        </w:rPr>
        <w:t xml:space="preserve">Nous remettons un rapport au comité </w:t>
      </w:r>
      <w:r w:rsidR="00282CEE">
        <w:rPr>
          <w:rFonts w:ascii="Times New Roman" w:eastAsiaTheme="minorEastAsia" w:hAnsi="Times New Roman"/>
          <w:sz w:val="24"/>
          <w:szCs w:val="24"/>
          <w:lang w:val="fr-CA" w:eastAsia="fr-CA"/>
        </w:rPr>
        <w:t>des comptes</w:t>
      </w:r>
      <w:r w:rsidR="00282CEE" w:rsidRPr="00B5752E">
        <w:rPr>
          <w:rFonts w:ascii="Times New Roman" w:eastAsiaTheme="minorEastAsia" w:hAnsi="Times New Roman"/>
          <w:sz w:val="24"/>
          <w:szCs w:val="24"/>
          <w:lang w:val="fr-CA" w:eastAsia="fr-CA"/>
        </w:rPr>
        <w:t xml:space="preserve"> </w:t>
      </w:r>
      <w:r w:rsidRPr="00B5752E">
        <w:rPr>
          <w:rFonts w:ascii="Times New Roman" w:eastAsiaTheme="minorEastAsia" w:hAnsi="Times New Roman"/>
          <w:sz w:val="24"/>
          <w:szCs w:val="24"/>
          <w:lang w:eastAsia="fr-CA"/>
        </w:rPr>
        <w:t xml:space="preserve">qui </w:t>
      </w:r>
      <w:r w:rsidRPr="00B5752E">
        <w:rPr>
          <w:rFonts w:ascii="Times New Roman" w:eastAsiaTheme="minorEastAsia" w:hAnsi="Times New Roman"/>
          <w:sz w:val="24"/>
          <w:szCs w:val="24"/>
          <w:lang w:val="fr-CA" w:eastAsia="fr-CA"/>
        </w:rPr>
        <w:t>présente</w:t>
      </w:r>
      <w:r w:rsidRPr="00B5752E">
        <w:rPr>
          <w:rFonts w:ascii="Times New Roman" w:eastAsiaTheme="minorEastAsia" w:hAnsi="Times New Roman"/>
          <w:sz w:val="24"/>
          <w:szCs w:val="24"/>
          <w:lang w:eastAsia="fr-CA"/>
        </w:rPr>
        <w:t xml:space="preserve"> notamment l’étendue des travaux d'audit et le programme de travail mis en œuvre, ainsi que les conclusions découlant de </w:t>
      </w:r>
      <w:r w:rsidRPr="00B5752E">
        <w:rPr>
          <w:rFonts w:ascii="Times New Roman" w:eastAsiaTheme="minorEastAsia" w:hAnsi="Times New Roman"/>
          <w:sz w:val="24"/>
          <w:szCs w:val="24"/>
          <w:lang w:val="fr-CA" w:eastAsia="fr-CA"/>
        </w:rPr>
        <w:t xml:space="preserve">nos travaux. </w:t>
      </w:r>
      <w:r w:rsidRPr="00B5752E">
        <w:rPr>
          <w:rFonts w:ascii="Times New Roman" w:eastAsiaTheme="minorEastAsia" w:hAnsi="Times New Roman"/>
          <w:sz w:val="24"/>
          <w:szCs w:val="24"/>
          <w:lang w:eastAsia="fr-CA"/>
        </w:rPr>
        <w:t>Nous portons également à sa connaissance, le cas échéant, les faiblesses significatives du contrôle interne que nous avons identifiées pour ce qui concerne les procédures relatives à l’élaboration et au traitement de l’information comptable et financière.</w:t>
      </w:r>
    </w:p>
    <w:p w14:paraId="453A082C" w14:textId="77777777" w:rsidR="00B5752E" w:rsidRPr="00B5752E" w:rsidRDefault="00B5752E" w:rsidP="00ED30F8">
      <w:pPr>
        <w:pStyle w:val="Corpsdetexte"/>
        <w:rPr>
          <w:rFonts w:ascii="Times New Roman" w:eastAsiaTheme="minorEastAsia" w:hAnsi="Times New Roman"/>
          <w:sz w:val="24"/>
          <w:szCs w:val="24"/>
          <w:lang w:val="fr-CA" w:eastAsia="fr-CA"/>
        </w:rPr>
      </w:pPr>
    </w:p>
    <w:p w14:paraId="6AA4D137" w14:textId="7DF3AB66" w:rsidR="00ED30F8" w:rsidRPr="00B5752E" w:rsidRDefault="00ED30F8" w:rsidP="00ED30F8">
      <w:pPr>
        <w:pStyle w:val="Corpsdetexte"/>
        <w:rPr>
          <w:rFonts w:ascii="Times New Roman" w:eastAsiaTheme="minorEastAsia" w:hAnsi="Times New Roman"/>
          <w:sz w:val="24"/>
          <w:szCs w:val="24"/>
          <w:lang w:eastAsia="fr-CA"/>
        </w:rPr>
      </w:pPr>
      <w:r w:rsidRPr="00B5752E">
        <w:rPr>
          <w:rFonts w:ascii="Times New Roman" w:eastAsiaTheme="minorEastAsia" w:hAnsi="Times New Roman"/>
          <w:sz w:val="24"/>
          <w:szCs w:val="24"/>
          <w:lang w:eastAsia="fr-CA"/>
        </w:rPr>
        <w:t>Parmi les éléments communiqués d</w:t>
      </w:r>
      <w:r w:rsidR="00B5752E" w:rsidRPr="00B5752E">
        <w:rPr>
          <w:rFonts w:ascii="Times New Roman" w:eastAsiaTheme="minorEastAsia" w:hAnsi="Times New Roman"/>
          <w:sz w:val="24"/>
          <w:szCs w:val="24"/>
          <w:lang w:eastAsia="fr-CA"/>
        </w:rPr>
        <w:t>ans le rapport au comité des comptes</w:t>
      </w:r>
      <w:r w:rsidRPr="00B5752E">
        <w:rPr>
          <w:rFonts w:ascii="Times New Roman" w:eastAsiaTheme="minorEastAsia" w:hAnsi="Times New Roman"/>
          <w:sz w:val="24"/>
          <w:szCs w:val="24"/>
          <w:lang w:eastAsia="fr-CA"/>
        </w:rPr>
        <w:t xml:space="preserve"> figurent les risques d’anomalies significatives, que nous jugeons avoir été les plus importants pour l’audit des comptes annuels de l’exercice et qui constituent de ce fait les points clés de l’audit, qu’il nous appartient de décrire dans le présent rapport.</w:t>
      </w:r>
    </w:p>
    <w:p w14:paraId="080369AF" w14:textId="77777777" w:rsidR="00B5752E" w:rsidRPr="00B5752E" w:rsidRDefault="00B5752E" w:rsidP="00ED30F8">
      <w:pPr>
        <w:pStyle w:val="Corpsdetexte"/>
        <w:rPr>
          <w:rFonts w:ascii="Times New Roman" w:eastAsiaTheme="minorEastAsia" w:hAnsi="Times New Roman"/>
          <w:sz w:val="24"/>
          <w:szCs w:val="24"/>
          <w:lang w:eastAsia="fr-CA"/>
        </w:rPr>
      </w:pPr>
    </w:p>
    <w:p w14:paraId="4FFB0A83" w14:textId="39F6E99E" w:rsidR="00ED30F8" w:rsidRPr="00B5752E" w:rsidRDefault="00ED30F8" w:rsidP="00ED30F8">
      <w:pPr>
        <w:pStyle w:val="Corpsdetexte"/>
        <w:rPr>
          <w:rFonts w:ascii="Times New Roman" w:eastAsiaTheme="minorEastAsia" w:hAnsi="Times New Roman"/>
          <w:sz w:val="24"/>
          <w:szCs w:val="24"/>
          <w:lang w:eastAsia="fr-CA"/>
        </w:rPr>
      </w:pPr>
      <w:r w:rsidRPr="00B5752E">
        <w:rPr>
          <w:rFonts w:ascii="Times New Roman" w:eastAsiaTheme="minorEastAsia" w:hAnsi="Times New Roman"/>
          <w:sz w:val="24"/>
          <w:szCs w:val="24"/>
          <w:lang w:val="fr-CA" w:eastAsia="fr-CA"/>
        </w:rPr>
        <w:t xml:space="preserve">Nous fournissons également </w:t>
      </w:r>
      <w:r w:rsidRPr="00B5752E">
        <w:rPr>
          <w:rFonts w:ascii="Times New Roman" w:eastAsiaTheme="minorEastAsia" w:hAnsi="Times New Roman"/>
          <w:sz w:val="24"/>
          <w:szCs w:val="24"/>
          <w:lang w:eastAsia="fr-CA"/>
        </w:rPr>
        <w:t xml:space="preserve">au comité </w:t>
      </w:r>
      <w:r w:rsidR="00282CEE">
        <w:rPr>
          <w:rFonts w:ascii="Times New Roman" w:eastAsiaTheme="minorEastAsia" w:hAnsi="Times New Roman"/>
          <w:sz w:val="24"/>
          <w:szCs w:val="24"/>
          <w:lang w:eastAsia="fr-CA"/>
        </w:rPr>
        <w:t>des comptes</w:t>
      </w:r>
      <w:r w:rsidR="00282CEE" w:rsidRPr="00B5752E">
        <w:rPr>
          <w:rFonts w:ascii="Times New Roman" w:eastAsiaTheme="minorEastAsia" w:hAnsi="Times New Roman"/>
          <w:sz w:val="24"/>
          <w:szCs w:val="24"/>
          <w:lang w:eastAsia="fr-CA"/>
        </w:rPr>
        <w:t xml:space="preserve"> </w:t>
      </w:r>
      <w:r w:rsidRPr="00B5752E">
        <w:rPr>
          <w:rFonts w:ascii="Times New Roman" w:eastAsiaTheme="minorEastAsia" w:hAnsi="Times New Roman"/>
          <w:sz w:val="24"/>
          <w:szCs w:val="24"/>
          <w:lang w:eastAsia="fr-CA"/>
        </w:rPr>
        <w:t xml:space="preserve">la déclaration prévue par l’article 6 du règlement (UE) </w:t>
      </w:r>
      <w:r w:rsidR="00282CEE">
        <w:rPr>
          <w:rFonts w:ascii="Times New Roman" w:eastAsiaTheme="minorEastAsia" w:hAnsi="Times New Roman"/>
          <w:sz w:val="24"/>
          <w:szCs w:val="24"/>
          <w:lang w:eastAsia="fr-CA"/>
        </w:rPr>
        <w:t xml:space="preserve">                    </w:t>
      </w:r>
      <w:r w:rsidRPr="00B5752E">
        <w:rPr>
          <w:rFonts w:ascii="Times New Roman" w:eastAsiaTheme="minorEastAsia" w:hAnsi="Times New Roman"/>
          <w:sz w:val="24"/>
          <w:szCs w:val="24"/>
          <w:lang w:eastAsia="fr-CA"/>
        </w:rPr>
        <w:t>n° 537-2014 confirmant notre indépendance, au sens des règles applicables en France telles qu’elles sont fixées notamment par les articles L.822-10 à L.822-14 du code de commerce et dans le code de déontologie de la profession de commissaire aux comptes. Le cas échéant, nous nous en</w:t>
      </w:r>
      <w:r w:rsidR="00B5752E" w:rsidRPr="00B5752E">
        <w:rPr>
          <w:rFonts w:ascii="Times New Roman" w:eastAsiaTheme="minorEastAsia" w:hAnsi="Times New Roman"/>
          <w:sz w:val="24"/>
          <w:szCs w:val="24"/>
          <w:lang w:eastAsia="fr-CA"/>
        </w:rPr>
        <w:t>tretenons avec le comité d</w:t>
      </w:r>
      <w:r w:rsidR="00282CEE">
        <w:rPr>
          <w:rFonts w:ascii="Times New Roman" w:eastAsiaTheme="minorEastAsia" w:hAnsi="Times New Roman"/>
          <w:sz w:val="24"/>
          <w:szCs w:val="24"/>
          <w:lang w:eastAsia="fr-CA"/>
        </w:rPr>
        <w:t xml:space="preserve">’audit </w:t>
      </w:r>
      <w:r w:rsidRPr="00B5752E">
        <w:rPr>
          <w:rFonts w:ascii="Times New Roman" w:eastAsiaTheme="minorEastAsia" w:hAnsi="Times New Roman"/>
          <w:sz w:val="24"/>
          <w:szCs w:val="24"/>
          <w:lang w:eastAsia="fr-CA"/>
        </w:rPr>
        <w:t xml:space="preserve">des risques pesant sur notre indépendance et des mesures de sauvegarde appliquées. </w:t>
      </w:r>
    </w:p>
    <w:p w14:paraId="6CCF3421" w14:textId="77777777" w:rsidR="00ED30F8" w:rsidRPr="00127FEA" w:rsidRDefault="00ED30F8" w:rsidP="00ED30F8">
      <w:pPr>
        <w:pStyle w:val="Corpsdetexte"/>
        <w:rPr>
          <w:rFonts w:eastAsiaTheme="minorEastAsia" w:cs="Arial"/>
          <w:i/>
          <w:iCs/>
          <w:szCs w:val="22"/>
          <w:highlight w:val="yellow"/>
          <w:lang w:eastAsia="fr-CA"/>
        </w:rPr>
      </w:pPr>
      <w:r w:rsidRPr="00127FEA">
        <w:rPr>
          <w:rFonts w:eastAsiaTheme="minorEastAsia" w:cs="Arial"/>
          <w:i/>
          <w:iCs/>
          <w:szCs w:val="22"/>
          <w:highlight w:val="yellow"/>
          <w:lang w:eastAsia="fr-CA"/>
        </w:rPr>
        <w:t xml:space="preserve"> </w:t>
      </w:r>
    </w:p>
    <w:p w14:paraId="67D796FF" w14:textId="77777777" w:rsidR="00B5752E" w:rsidRPr="00B5752E" w:rsidRDefault="00B5752E" w:rsidP="00ED30F8">
      <w:pPr>
        <w:pStyle w:val="Corpsdetexte"/>
        <w:jc w:val="center"/>
        <w:rPr>
          <w:rFonts w:ascii="Times New Roman" w:hAnsi="Times New Roman"/>
          <w:sz w:val="24"/>
          <w:szCs w:val="24"/>
        </w:rPr>
      </w:pPr>
    </w:p>
    <w:p w14:paraId="640FCF72" w14:textId="77777777" w:rsidR="00ED30F8" w:rsidRDefault="00ED30F8" w:rsidP="00ED30F8">
      <w:pPr>
        <w:pStyle w:val="Corpsdetexte"/>
        <w:jc w:val="center"/>
        <w:rPr>
          <w:rFonts w:ascii="Times New Roman" w:hAnsi="Times New Roman"/>
          <w:sz w:val="24"/>
          <w:szCs w:val="24"/>
        </w:rPr>
      </w:pPr>
      <w:r w:rsidRPr="00B5752E">
        <w:rPr>
          <w:rFonts w:ascii="Times New Roman" w:hAnsi="Times New Roman"/>
          <w:sz w:val="24"/>
          <w:szCs w:val="24"/>
        </w:rPr>
        <w:t>Les commissaires aux comptes</w:t>
      </w:r>
    </w:p>
    <w:p w14:paraId="35A79F8A" w14:textId="77777777" w:rsidR="00CB51A4" w:rsidRDefault="00CB51A4" w:rsidP="00ED30F8">
      <w:pPr>
        <w:pStyle w:val="Corpsdetexte"/>
        <w:jc w:val="center"/>
        <w:rPr>
          <w:rFonts w:ascii="Times New Roman" w:hAnsi="Times New Roman"/>
          <w:sz w:val="24"/>
          <w:szCs w:val="24"/>
        </w:rPr>
      </w:pPr>
    </w:p>
    <w:p w14:paraId="010D5F58" w14:textId="080DD049" w:rsidR="00282CEE" w:rsidRPr="00282CEE" w:rsidRDefault="00282CEE" w:rsidP="001D7AE9">
      <w:pPr>
        <w:pStyle w:val="Default"/>
        <w:ind w:firstLine="709"/>
        <w:jc w:val="both"/>
        <w:rPr>
          <w:rFonts w:ascii="Arial" w:hAnsi="Arial" w:cs="Arial"/>
          <w:sz w:val="20"/>
          <w:szCs w:val="20"/>
        </w:rPr>
      </w:pPr>
      <w:r w:rsidRPr="001D7AE9">
        <w:rPr>
          <w:rFonts w:ascii="Times New Roman" w:eastAsiaTheme="minorEastAsia" w:hAnsi="Times New Roman" w:cs="Times New Roman"/>
          <w:noProof/>
          <w:color w:val="auto"/>
          <w:lang w:eastAsia="fr-CA"/>
        </w:rPr>
        <w:t xml:space="preserve">Paris La Défense, le 11 mars 2020 </w:t>
      </w:r>
      <w:r>
        <w:rPr>
          <w:rFonts w:eastAsiaTheme="minorEastAsia"/>
          <w:noProof/>
          <w:lang w:eastAsia="fr-CA"/>
        </w:rPr>
        <w:tab/>
      </w:r>
      <w:r>
        <w:rPr>
          <w:rFonts w:eastAsiaTheme="minorEastAsia"/>
          <w:noProof/>
          <w:lang w:eastAsia="fr-CA"/>
        </w:rPr>
        <w:tab/>
      </w:r>
      <w:r>
        <w:rPr>
          <w:rFonts w:eastAsiaTheme="minorEastAsia"/>
          <w:noProof/>
          <w:lang w:eastAsia="fr-CA"/>
        </w:rPr>
        <w:tab/>
      </w:r>
      <w:r>
        <w:rPr>
          <w:rFonts w:eastAsiaTheme="minorEastAsia"/>
          <w:noProof/>
          <w:lang w:eastAsia="fr-CA"/>
        </w:rPr>
        <w:tab/>
      </w:r>
      <w:r w:rsidRPr="001D7AE9">
        <w:rPr>
          <w:rFonts w:ascii="Times New Roman" w:eastAsiaTheme="minorEastAsia" w:hAnsi="Times New Roman" w:cs="Times New Roman"/>
          <w:noProof/>
          <w:color w:val="auto"/>
          <w:lang w:eastAsia="fr-CA"/>
        </w:rPr>
        <w:t>Neuilly-sur-Seine, le 11 mars 2020</w:t>
      </w:r>
      <w:r w:rsidRPr="00282CEE">
        <w:rPr>
          <w:rFonts w:ascii="Arial" w:hAnsi="Arial" w:cs="Arial"/>
          <w:sz w:val="20"/>
          <w:szCs w:val="20"/>
        </w:rPr>
        <w:t xml:space="preserve"> </w:t>
      </w:r>
    </w:p>
    <w:p w14:paraId="4D0648CF" w14:textId="51331525" w:rsidR="00282CEE" w:rsidRPr="001D7AE9" w:rsidRDefault="00282CEE" w:rsidP="00282CEE">
      <w:pPr>
        <w:autoSpaceDE w:val="0"/>
        <w:autoSpaceDN w:val="0"/>
        <w:adjustRightInd w:val="0"/>
        <w:jc w:val="both"/>
        <w:rPr>
          <w:rFonts w:eastAsiaTheme="minorEastAsia"/>
          <w:noProof/>
          <w:lang w:eastAsia="fr-CA"/>
        </w:rPr>
      </w:pPr>
    </w:p>
    <w:p w14:paraId="755224B2" w14:textId="77777777" w:rsidR="00282CEE" w:rsidRDefault="00282CEE" w:rsidP="001D7AE9">
      <w:pPr>
        <w:pStyle w:val="Corpsdetexte"/>
        <w:rPr>
          <w:rFonts w:ascii="Times New Roman" w:hAnsi="Times New Roman"/>
          <w:sz w:val="24"/>
          <w:szCs w:val="24"/>
        </w:rPr>
      </w:pPr>
    </w:p>
    <w:p w14:paraId="7AA034DD" w14:textId="1AED1643" w:rsidR="00CB51A4" w:rsidRPr="001D7AE9" w:rsidRDefault="00282CEE" w:rsidP="001D7AE9">
      <w:pPr>
        <w:pStyle w:val="Corpsdetexte"/>
        <w:rPr>
          <w:rFonts w:ascii="Times New Roman" w:hAnsi="Times New Roman"/>
          <w:sz w:val="24"/>
          <w:szCs w:val="24"/>
          <w:lang w:val="en-US"/>
        </w:rPr>
      </w:pPr>
      <w:r>
        <w:rPr>
          <w:rFonts w:ascii="Times New Roman" w:hAnsi="Times New Roman"/>
          <w:sz w:val="24"/>
          <w:szCs w:val="24"/>
        </w:rPr>
        <w:t xml:space="preserve">            </w:t>
      </w:r>
      <w:r w:rsidRPr="001D7AE9">
        <w:rPr>
          <w:rFonts w:ascii="Times New Roman" w:hAnsi="Times New Roman"/>
          <w:sz w:val="24"/>
          <w:szCs w:val="24"/>
          <w:lang w:val="en-US"/>
        </w:rPr>
        <w:t>KPMG S.A.</w:t>
      </w:r>
      <w:r w:rsidRPr="001D7AE9">
        <w:rPr>
          <w:rFonts w:ascii="Times New Roman" w:hAnsi="Times New Roman"/>
          <w:sz w:val="24"/>
          <w:szCs w:val="24"/>
          <w:lang w:val="en-US"/>
        </w:rPr>
        <w:tab/>
      </w:r>
      <w:r w:rsidRPr="001D7AE9">
        <w:rPr>
          <w:rFonts w:ascii="Times New Roman" w:hAnsi="Times New Roman"/>
          <w:sz w:val="24"/>
          <w:szCs w:val="24"/>
          <w:lang w:val="en-US"/>
        </w:rPr>
        <w:tab/>
      </w:r>
      <w:r w:rsidRPr="001D7AE9">
        <w:rPr>
          <w:rFonts w:ascii="Times New Roman" w:hAnsi="Times New Roman"/>
          <w:sz w:val="24"/>
          <w:szCs w:val="24"/>
          <w:lang w:val="en-US"/>
        </w:rPr>
        <w:tab/>
        <w:t>Pricewaterhouse</w:t>
      </w:r>
      <w:r w:rsidR="001D7AE9">
        <w:rPr>
          <w:rFonts w:ascii="Times New Roman" w:hAnsi="Times New Roman"/>
          <w:sz w:val="24"/>
          <w:szCs w:val="24"/>
          <w:lang w:val="en-US"/>
        </w:rPr>
        <w:t xml:space="preserve"> C</w:t>
      </w:r>
      <w:r w:rsidRPr="001D7AE9">
        <w:rPr>
          <w:rFonts w:ascii="Times New Roman" w:hAnsi="Times New Roman"/>
          <w:sz w:val="24"/>
          <w:szCs w:val="24"/>
          <w:lang w:val="en-US"/>
        </w:rPr>
        <w:t xml:space="preserve">oopers Audit </w:t>
      </w:r>
    </w:p>
    <w:p w14:paraId="6F190A47" w14:textId="77777777" w:rsidR="00CB51A4" w:rsidRPr="001D7AE9" w:rsidRDefault="00CB51A4" w:rsidP="00ED30F8">
      <w:pPr>
        <w:pStyle w:val="Corpsdetexte"/>
        <w:jc w:val="center"/>
        <w:rPr>
          <w:rFonts w:ascii="Times New Roman" w:hAnsi="Times New Roman"/>
          <w:sz w:val="24"/>
          <w:szCs w:val="24"/>
          <w:lang w:val="en-US"/>
        </w:rPr>
      </w:pPr>
    </w:p>
    <w:p w14:paraId="13B92851" w14:textId="02EAD487" w:rsidR="00282CEE" w:rsidRDefault="00282CEE" w:rsidP="001D7AE9">
      <w:pPr>
        <w:pStyle w:val="Corpsdetexte"/>
        <w:rPr>
          <w:rFonts w:ascii="Times New Roman" w:hAnsi="Times New Roman"/>
          <w:sz w:val="24"/>
          <w:szCs w:val="24"/>
        </w:rPr>
      </w:pPr>
      <w:r w:rsidRPr="001D7AE9">
        <w:rPr>
          <w:rFonts w:ascii="Times New Roman" w:hAnsi="Times New Roman"/>
          <w:sz w:val="24"/>
          <w:szCs w:val="24"/>
          <w:lang w:val="en-US"/>
        </w:rPr>
        <w:t xml:space="preserve">            </w:t>
      </w:r>
      <w:r>
        <w:rPr>
          <w:rFonts w:ascii="Times New Roman" w:hAnsi="Times New Roman"/>
          <w:sz w:val="24"/>
          <w:szCs w:val="24"/>
        </w:rPr>
        <w:t>Marie-Christine Jolys</w:t>
      </w:r>
      <w:r>
        <w:rPr>
          <w:rFonts w:ascii="Times New Roman" w:hAnsi="Times New Roman"/>
          <w:sz w:val="24"/>
          <w:szCs w:val="24"/>
        </w:rPr>
        <w:tab/>
        <w:t xml:space="preserve">    </w:t>
      </w:r>
      <w:r w:rsidR="000B0ED7">
        <w:rPr>
          <w:rFonts w:ascii="Times New Roman" w:hAnsi="Times New Roman"/>
          <w:sz w:val="24"/>
          <w:szCs w:val="24"/>
        </w:rPr>
        <w:t xml:space="preserve">                  </w:t>
      </w:r>
      <w:r w:rsidR="009657B7" w:rsidRPr="009657B7">
        <w:rPr>
          <w:rFonts w:ascii="Times New Roman" w:hAnsi="Times New Roman"/>
          <w:sz w:val="24"/>
          <w:szCs w:val="24"/>
        </w:rPr>
        <w:t>Jacques Lévi</w:t>
      </w:r>
    </w:p>
    <w:p w14:paraId="4894E8F0" w14:textId="532EE097" w:rsidR="00282CEE" w:rsidRPr="009657B7" w:rsidRDefault="000B0ED7" w:rsidP="001D7AE9">
      <w:pPr>
        <w:pStyle w:val="Corpsdetexte"/>
        <w:rPr>
          <w:rFonts w:ascii="Times New Roman" w:hAnsi="Times New Roman"/>
          <w:sz w:val="24"/>
          <w:szCs w:val="24"/>
        </w:rPr>
      </w:pPr>
      <w:r>
        <w:rPr>
          <w:rFonts w:ascii="Times New Roman" w:hAnsi="Times New Roman"/>
          <w:sz w:val="24"/>
          <w:szCs w:val="24"/>
        </w:rPr>
        <w:t xml:space="preserve">            Associée</w:t>
      </w:r>
      <w:r>
        <w:rPr>
          <w:rFonts w:ascii="Times New Roman" w:hAnsi="Times New Roman"/>
          <w:sz w:val="24"/>
          <w:szCs w:val="24"/>
        </w:rPr>
        <w:tab/>
      </w:r>
      <w:r>
        <w:rPr>
          <w:rFonts w:ascii="Times New Roman" w:hAnsi="Times New Roman"/>
          <w:sz w:val="24"/>
          <w:szCs w:val="24"/>
        </w:rPr>
        <w:tab/>
        <w:t xml:space="preserve">             </w:t>
      </w:r>
      <w:r w:rsidR="00282CEE">
        <w:rPr>
          <w:rFonts w:ascii="Times New Roman" w:hAnsi="Times New Roman"/>
          <w:sz w:val="24"/>
          <w:szCs w:val="24"/>
        </w:rPr>
        <w:t>Associé</w:t>
      </w:r>
    </w:p>
    <w:p w14:paraId="0070053E" w14:textId="7608AA4C" w:rsidR="009657B7" w:rsidRPr="009657B7" w:rsidRDefault="009657B7" w:rsidP="001D7AE9">
      <w:pPr>
        <w:pStyle w:val="Corpsdetexte"/>
        <w:rPr>
          <w:rFonts w:ascii="Times New Roman" w:hAnsi="Times New Roman"/>
          <w:sz w:val="24"/>
          <w:szCs w:val="24"/>
        </w:rPr>
      </w:pPr>
      <w:r w:rsidRPr="009657B7">
        <w:rPr>
          <w:rFonts w:ascii="Times New Roman" w:hAnsi="Times New Roman"/>
          <w:sz w:val="24"/>
          <w:szCs w:val="24"/>
        </w:rPr>
        <w:tab/>
      </w:r>
    </w:p>
    <w:p w14:paraId="485BFCCE" w14:textId="77777777" w:rsidR="00564E31" w:rsidRPr="009657B7" w:rsidRDefault="00564E31" w:rsidP="00281A16">
      <w:pPr>
        <w:ind w:right="387"/>
        <w:jc w:val="both"/>
        <w:rPr>
          <w:rFonts w:ascii="Arial" w:hAnsi="Arial" w:cs="Arial"/>
          <w:b/>
          <w:sz w:val="40"/>
          <w:szCs w:val="28"/>
          <w:highlight w:val="yellow"/>
          <w:u w:val="single"/>
        </w:rPr>
      </w:pPr>
    </w:p>
    <w:p w14:paraId="0BFE4820" w14:textId="77777777" w:rsidR="00564E31" w:rsidRPr="009657B7" w:rsidRDefault="00564E31" w:rsidP="00281A16">
      <w:pPr>
        <w:ind w:right="387"/>
        <w:jc w:val="both"/>
        <w:rPr>
          <w:rFonts w:ascii="Arial" w:hAnsi="Arial" w:cs="Arial"/>
          <w:b/>
          <w:sz w:val="40"/>
          <w:szCs w:val="28"/>
          <w:highlight w:val="yellow"/>
          <w:u w:val="single"/>
        </w:rPr>
      </w:pPr>
    </w:p>
    <w:p w14:paraId="3521AC92" w14:textId="77777777" w:rsidR="00564E31" w:rsidRPr="009657B7" w:rsidRDefault="00564E31" w:rsidP="00281A16">
      <w:pPr>
        <w:ind w:right="387"/>
        <w:jc w:val="both"/>
        <w:rPr>
          <w:rFonts w:ascii="Arial" w:hAnsi="Arial" w:cs="Arial"/>
          <w:b/>
          <w:sz w:val="40"/>
          <w:szCs w:val="28"/>
          <w:highlight w:val="yellow"/>
          <w:u w:val="single"/>
        </w:rPr>
      </w:pPr>
    </w:p>
    <w:p w14:paraId="67E638AD" w14:textId="77777777" w:rsidR="00564E31" w:rsidRPr="009657B7" w:rsidRDefault="00564E31" w:rsidP="00281A16">
      <w:pPr>
        <w:ind w:right="387"/>
        <w:jc w:val="both"/>
        <w:rPr>
          <w:rFonts w:ascii="Arial" w:hAnsi="Arial" w:cs="Arial"/>
          <w:b/>
          <w:sz w:val="40"/>
          <w:szCs w:val="28"/>
          <w:highlight w:val="yellow"/>
          <w:u w:val="single"/>
        </w:rPr>
      </w:pPr>
    </w:p>
    <w:p w14:paraId="0619244F" w14:textId="77777777" w:rsidR="00062017" w:rsidRPr="009657B7" w:rsidRDefault="00062017" w:rsidP="00281A16">
      <w:pPr>
        <w:spacing w:line="240" w:lineRule="atLeast"/>
        <w:jc w:val="both"/>
        <w:rPr>
          <w:rFonts w:ascii="Arial" w:hAnsi="Arial" w:cs="Arial"/>
          <w:color w:val="000000"/>
          <w:sz w:val="20"/>
          <w:highlight w:val="yellow"/>
        </w:rPr>
      </w:pPr>
    </w:p>
    <w:p w14:paraId="0D92ADEA" w14:textId="77777777" w:rsidR="00062017" w:rsidRPr="009657B7" w:rsidRDefault="00062017" w:rsidP="00281A16">
      <w:pPr>
        <w:jc w:val="both"/>
        <w:rPr>
          <w:rFonts w:ascii="Arial" w:hAnsi="Arial" w:cs="Arial"/>
          <w:highlight w:val="yellow"/>
        </w:rPr>
      </w:pPr>
    </w:p>
    <w:p w14:paraId="4F269ADC" w14:textId="77777777" w:rsidR="00062017" w:rsidRPr="009657B7" w:rsidRDefault="00062017" w:rsidP="00281A16">
      <w:pPr>
        <w:jc w:val="both"/>
        <w:rPr>
          <w:rFonts w:ascii="Arial" w:hAnsi="Arial" w:cs="Arial"/>
          <w:highlight w:val="yellow"/>
        </w:rPr>
      </w:pPr>
    </w:p>
    <w:p w14:paraId="170FD43F" w14:textId="77777777" w:rsidR="00062017" w:rsidRPr="009657B7" w:rsidRDefault="00062017" w:rsidP="00281A16">
      <w:pPr>
        <w:jc w:val="both"/>
        <w:rPr>
          <w:rFonts w:ascii="Arial" w:hAnsi="Arial" w:cs="Arial"/>
          <w:highlight w:val="yellow"/>
        </w:rPr>
        <w:sectPr w:rsidR="00062017" w:rsidRPr="009657B7" w:rsidSect="005472FE">
          <w:headerReference w:type="default" r:id="rId62"/>
          <w:headerReference w:type="first" r:id="rId63"/>
          <w:pgSz w:w="11906" w:h="16838" w:code="9"/>
          <w:pgMar w:top="1418" w:right="282" w:bottom="1418" w:left="851" w:header="709" w:footer="709" w:gutter="0"/>
          <w:cols w:space="708"/>
          <w:docGrid w:linePitch="360"/>
        </w:sectPr>
      </w:pPr>
    </w:p>
    <w:p w14:paraId="36BC37ED" w14:textId="77777777" w:rsidR="00DC4F96" w:rsidRPr="009657B7" w:rsidRDefault="00DC4F96" w:rsidP="0084548B">
      <w:pPr>
        <w:tabs>
          <w:tab w:val="left" w:pos="9540"/>
        </w:tabs>
        <w:ind w:right="387"/>
        <w:jc w:val="both"/>
        <w:rPr>
          <w:rFonts w:ascii="Arial" w:hAnsi="Arial" w:cs="Arial"/>
          <w:color w:val="FF0000"/>
          <w:highlight w:val="yellow"/>
        </w:rPr>
      </w:pPr>
    </w:p>
    <w:p w14:paraId="6DBA5304" w14:textId="56E1226A" w:rsidR="00E520C1" w:rsidRPr="00D11868" w:rsidRDefault="00543B54" w:rsidP="00281A16">
      <w:pPr>
        <w:pStyle w:val="Paragraphedeliste"/>
        <w:ind w:left="0" w:right="387"/>
        <w:jc w:val="both"/>
        <w:rPr>
          <w:b/>
          <w:sz w:val="40"/>
          <w:szCs w:val="28"/>
          <w:u w:val="single"/>
        </w:rPr>
      </w:pPr>
      <w:r>
        <w:rPr>
          <w:b/>
          <w:sz w:val="40"/>
          <w:szCs w:val="28"/>
          <w:u w:val="single"/>
        </w:rPr>
        <w:t>4</w:t>
      </w:r>
      <w:r w:rsidR="00D11868" w:rsidRPr="00D11868">
        <w:rPr>
          <w:b/>
          <w:sz w:val="40"/>
          <w:szCs w:val="28"/>
          <w:u w:val="single"/>
        </w:rPr>
        <w:t>. Rapport du Conseil</w:t>
      </w:r>
      <w:r w:rsidR="00DC4F96" w:rsidRPr="00D11868">
        <w:rPr>
          <w:b/>
          <w:sz w:val="40"/>
          <w:szCs w:val="28"/>
          <w:u w:val="single"/>
        </w:rPr>
        <w:t xml:space="preserve"> sur le</w:t>
      </w:r>
      <w:r w:rsidR="00E520C1" w:rsidRPr="00D11868">
        <w:rPr>
          <w:b/>
          <w:sz w:val="40"/>
          <w:szCs w:val="28"/>
          <w:u w:val="single"/>
        </w:rPr>
        <w:t xml:space="preserve"> gouvernement d’entreprise</w:t>
      </w:r>
    </w:p>
    <w:p w14:paraId="200FAB14" w14:textId="77777777" w:rsidR="00E520C1" w:rsidRPr="00D11868" w:rsidRDefault="00E520C1" w:rsidP="00281A16">
      <w:pPr>
        <w:pStyle w:val="Paragraphedeliste"/>
        <w:ind w:left="0" w:right="387"/>
        <w:jc w:val="both"/>
        <w:rPr>
          <w:b/>
          <w:sz w:val="40"/>
          <w:szCs w:val="28"/>
          <w:u w:val="single"/>
        </w:rPr>
      </w:pPr>
    </w:p>
    <w:p w14:paraId="1422E407" w14:textId="77777777" w:rsidR="00E520C1" w:rsidRPr="00D11868" w:rsidRDefault="00E520C1" w:rsidP="00E520C1">
      <w:pPr>
        <w:rPr>
          <w:szCs w:val="22"/>
        </w:rPr>
      </w:pPr>
      <w:r w:rsidRPr="00D11868">
        <w:rPr>
          <w:szCs w:val="22"/>
        </w:rPr>
        <w:t>Chers actionnaires,</w:t>
      </w:r>
    </w:p>
    <w:p w14:paraId="19929824" w14:textId="77777777" w:rsidR="00E520C1" w:rsidRPr="00127FEA" w:rsidRDefault="00E520C1" w:rsidP="00E520C1">
      <w:pPr>
        <w:rPr>
          <w:szCs w:val="22"/>
          <w:highlight w:val="yellow"/>
        </w:rPr>
      </w:pPr>
    </w:p>
    <w:p w14:paraId="4AE6D2EE" w14:textId="77777777" w:rsidR="00D11868" w:rsidRPr="0058465B" w:rsidRDefault="00D11868" w:rsidP="00D11868">
      <w:pPr>
        <w:jc w:val="both"/>
        <w:rPr>
          <w:szCs w:val="22"/>
        </w:rPr>
      </w:pPr>
      <w:r w:rsidRPr="0058465B">
        <w:rPr>
          <w:szCs w:val="22"/>
        </w:rPr>
        <w:t>Conformément aux dispositions de l’article L.225-37 du Code de commerce, le présent rapport sur le gouvernement d’entreprise joint au rapport de gestion (le « </w:t>
      </w:r>
      <w:r w:rsidRPr="0058465B">
        <w:rPr>
          <w:b/>
          <w:i/>
          <w:szCs w:val="22"/>
        </w:rPr>
        <w:t>Rapport</w:t>
      </w:r>
      <w:r w:rsidRPr="0058465B">
        <w:rPr>
          <w:szCs w:val="22"/>
        </w:rPr>
        <w:t> »), comprend les informations relatives aux rémunérations des dirigeants, à la gouvernance de la Société et aux éléments susceptibles d’avoir une incidence en cas d’offre publique.</w:t>
      </w:r>
    </w:p>
    <w:p w14:paraId="5B0E35C9" w14:textId="77777777" w:rsidR="00E520C1" w:rsidRPr="00127FEA" w:rsidRDefault="00E520C1" w:rsidP="00E520C1">
      <w:pPr>
        <w:rPr>
          <w:szCs w:val="22"/>
          <w:highlight w:val="yellow"/>
        </w:rPr>
      </w:pPr>
    </w:p>
    <w:p w14:paraId="4B3242D9" w14:textId="77777777" w:rsidR="00E520C1" w:rsidRPr="00127FEA" w:rsidRDefault="00E520C1" w:rsidP="00E520C1">
      <w:pPr>
        <w:rPr>
          <w:szCs w:val="22"/>
          <w:highlight w:val="yellow"/>
        </w:rPr>
      </w:pPr>
    </w:p>
    <w:p w14:paraId="623B6F13" w14:textId="77777777" w:rsidR="00E520C1" w:rsidRPr="00D11868" w:rsidRDefault="00E520C1" w:rsidP="00D032FF">
      <w:pPr>
        <w:pStyle w:val="Paragraphedeliste"/>
        <w:numPr>
          <w:ilvl w:val="0"/>
          <w:numId w:val="24"/>
        </w:numPr>
        <w:ind w:left="567" w:hanging="567"/>
        <w:jc w:val="both"/>
        <w:rPr>
          <w:b/>
          <w:szCs w:val="22"/>
        </w:rPr>
      </w:pPr>
      <w:r w:rsidRPr="00D11868">
        <w:rPr>
          <w:b/>
          <w:szCs w:val="22"/>
        </w:rPr>
        <w:t>INFORMATIONS SUR LES REMUNERATIONS</w:t>
      </w:r>
    </w:p>
    <w:p w14:paraId="1D21097D" w14:textId="77777777" w:rsidR="00E520C1" w:rsidRPr="00127FEA" w:rsidRDefault="00E520C1" w:rsidP="00E520C1">
      <w:pPr>
        <w:rPr>
          <w:szCs w:val="22"/>
          <w:highlight w:val="yellow"/>
        </w:rPr>
      </w:pPr>
    </w:p>
    <w:p w14:paraId="3CBBF0C1" w14:textId="77777777" w:rsidR="008D72A5" w:rsidRPr="008D72A5" w:rsidRDefault="008D72A5" w:rsidP="008D72A5">
      <w:pPr>
        <w:jc w:val="both"/>
        <w:rPr>
          <w:szCs w:val="22"/>
        </w:rPr>
      </w:pPr>
      <w:r w:rsidRPr="008D72A5">
        <w:rPr>
          <w:szCs w:val="22"/>
        </w:rPr>
        <w:t xml:space="preserve">Conformément aux dispositions de l’article L.225-37-3 du Code de commerce modifié par l’ordonnance du 27 novembre 2019, la Société n’ayant pas d’actions admises aux négociations sur un marché réglementé, n’est plus tenue de communiquer dans le présent rapport les informations sur les rémunérations et avantages perçus par ses mandataires sociaux en 2019. </w:t>
      </w:r>
    </w:p>
    <w:p w14:paraId="19B65CC0" w14:textId="77777777" w:rsidR="00E520C1" w:rsidRPr="00127FEA" w:rsidRDefault="00E520C1" w:rsidP="00E520C1">
      <w:pPr>
        <w:rPr>
          <w:szCs w:val="22"/>
          <w:highlight w:val="yellow"/>
        </w:rPr>
      </w:pPr>
    </w:p>
    <w:p w14:paraId="04110094" w14:textId="77777777" w:rsidR="00E520C1" w:rsidRPr="00127FEA" w:rsidRDefault="00E520C1" w:rsidP="00E520C1">
      <w:pPr>
        <w:rPr>
          <w:szCs w:val="22"/>
          <w:highlight w:val="yellow"/>
        </w:rPr>
      </w:pPr>
    </w:p>
    <w:p w14:paraId="1B4FE48A" w14:textId="77777777" w:rsidR="00E520C1" w:rsidRPr="00D11868" w:rsidRDefault="00E520C1" w:rsidP="00D032FF">
      <w:pPr>
        <w:pStyle w:val="Paragraphedeliste"/>
        <w:numPr>
          <w:ilvl w:val="0"/>
          <w:numId w:val="24"/>
        </w:numPr>
        <w:ind w:left="567" w:hanging="567"/>
        <w:jc w:val="both"/>
        <w:rPr>
          <w:b/>
          <w:szCs w:val="22"/>
        </w:rPr>
      </w:pPr>
      <w:r w:rsidRPr="00D11868">
        <w:rPr>
          <w:b/>
          <w:szCs w:val="22"/>
        </w:rPr>
        <w:t>GOUVERNANCE</w:t>
      </w:r>
    </w:p>
    <w:p w14:paraId="62FF5381" w14:textId="77777777" w:rsidR="00E520C1" w:rsidRPr="00D11868" w:rsidRDefault="00E520C1" w:rsidP="00E520C1">
      <w:pPr>
        <w:rPr>
          <w:szCs w:val="22"/>
        </w:rPr>
      </w:pPr>
    </w:p>
    <w:p w14:paraId="78335FBD" w14:textId="77777777" w:rsidR="00E520C1" w:rsidRPr="00D11868" w:rsidRDefault="00E520C1" w:rsidP="00D032FF">
      <w:pPr>
        <w:pStyle w:val="Paragraphedeliste"/>
        <w:numPr>
          <w:ilvl w:val="1"/>
          <w:numId w:val="24"/>
        </w:numPr>
        <w:ind w:left="567" w:hanging="567"/>
        <w:jc w:val="both"/>
        <w:rPr>
          <w:b/>
          <w:szCs w:val="22"/>
        </w:rPr>
      </w:pPr>
      <w:r w:rsidRPr="00D11868">
        <w:rPr>
          <w:b/>
          <w:szCs w:val="22"/>
        </w:rPr>
        <w:t>Composition du Conseil</w:t>
      </w:r>
    </w:p>
    <w:p w14:paraId="65ECDABB" w14:textId="77777777" w:rsidR="00E520C1" w:rsidRPr="00127FEA" w:rsidRDefault="00E520C1" w:rsidP="00E520C1">
      <w:pPr>
        <w:rPr>
          <w:szCs w:val="22"/>
          <w:highlight w:val="yellow"/>
        </w:rPr>
      </w:pPr>
    </w:p>
    <w:p w14:paraId="1FF035A1" w14:textId="77777777" w:rsidR="008D72A5" w:rsidRPr="008D72A5" w:rsidRDefault="008D72A5" w:rsidP="008D72A5">
      <w:pPr>
        <w:jc w:val="both"/>
        <w:rPr>
          <w:szCs w:val="22"/>
        </w:rPr>
      </w:pPr>
      <w:r w:rsidRPr="008D72A5">
        <w:rPr>
          <w:szCs w:val="22"/>
        </w:rPr>
        <w:t>Conformément à ses statuts, le Conseil d'administration est composé de trois à dix-huit membres.</w:t>
      </w:r>
    </w:p>
    <w:p w14:paraId="5D4632EF" w14:textId="77777777" w:rsidR="008D72A5" w:rsidRPr="008D72A5" w:rsidRDefault="008D72A5" w:rsidP="008D72A5">
      <w:pPr>
        <w:jc w:val="both"/>
        <w:rPr>
          <w:szCs w:val="22"/>
        </w:rPr>
      </w:pPr>
    </w:p>
    <w:p w14:paraId="691CE5AB" w14:textId="77777777" w:rsidR="008D72A5" w:rsidRPr="008D72A5" w:rsidRDefault="008D72A5" w:rsidP="008D72A5">
      <w:pPr>
        <w:jc w:val="both"/>
        <w:rPr>
          <w:szCs w:val="22"/>
        </w:rPr>
      </w:pPr>
      <w:r w:rsidRPr="008D72A5">
        <w:rPr>
          <w:szCs w:val="22"/>
        </w:rPr>
        <w:t>Le Conseil d'administration est actuellement composé de six administrateurs : une personne morale et cinq salariés de La Banque Postale, actionnaire majoritaire, choisis essentiellement en raison de leurs fonctions au sein de la Banque.</w:t>
      </w:r>
    </w:p>
    <w:p w14:paraId="14A3D213" w14:textId="77777777" w:rsidR="008D72A5" w:rsidRPr="008D72A5" w:rsidRDefault="008D72A5" w:rsidP="008D72A5">
      <w:pPr>
        <w:jc w:val="both"/>
        <w:rPr>
          <w:szCs w:val="22"/>
        </w:rPr>
      </w:pPr>
    </w:p>
    <w:p w14:paraId="6BBEED87" w14:textId="77777777" w:rsidR="008D72A5" w:rsidRPr="008D72A5" w:rsidRDefault="008D72A5" w:rsidP="008D72A5">
      <w:pPr>
        <w:jc w:val="both"/>
        <w:rPr>
          <w:szCs w:val="22"/>
        </w:rPr>
      </w:pPr>
      <w:r w:rsidRPr="008D72A5">
        <w:rPr>
          <w:szCs w:val="22"/>
        </w:rPr>
        <w:t>La durée des fonctions des administrateurs est de six ans, les mandats des administrateurs étant renouvelables.</w:t>
      </w:r>
    </w:p>
    <w:p w14:paraId="16AB50F4" w14:textId="77777777" w:rsidR="008D72A5" w:rsidRPr="008D72A5" w:rsidRDefault="008D72A5" w:rsidP="008D72A5">
      <w:pPr>
        <w:jc w:val="both"/>
        <w:rPr>
          <w:szCs w:val="22"/>
        </w:rPr>
      </w:pPr>
    </w:p>
    <w:p w14:paraId="454D4C53" w14:textId="77777777" w:rsidR="008D72A5" w:rsidRPr="008D72A5" w:rsidRDefault="008D72A5" w:rsidP="008D72A5">
      <w:pPr>
        <w:jc w:val="both"/>
        <w:rPr>
          <w:szCs w:val="22"/>
        </w:rPr>
      </w:pPr>
      <w:r w:rsidRPr="008D72A5">
        <w:rPr>
          <w:szCs w:val="22"/>
        </w:rPr>
        <w:t>Les administrateurs n'ont pas l'obligation de détenir un nombre minimum d'actions.</w:t>
      </w:r>
      <w:bookmarkStart w:id="24" w:name="_DV_M165"/>
      <w:bookmarkEnd w:id="24"/>
    </w:p>
    <w:p w14:paraId="4175E205" w14:textId="77777777" w:rsidR="008D72A5" w:rsidRPr="008D72A5" w:rsidRDefault="008D72A5" w:rsidP="008D72A5">
      <w:pPr>
        <w:jc w:val="both"/>
        <w:rPr>
          <w:szCs w:val="22"/>
        </w:rPr>
      </w:pPr>
    </w:p>
    <w:p w14:paraId="626CB9CC" w14:textId="77777777" w:rsidR="008D72A5" w:rsidRPr="008D72A5" w:rsidRDefault="008D72A5" w:rsidP="008D72A5">
      <w:pPr>
        <w:jc w:val="both"/>
        <w:rPr>
          <w:szCs w:val="22"/>
        </w:rPr>
      </w:pPr>
      <w:r w:rsidRPr="008D72A5">
        <w:rPr>
          <w:szCs w:val="22"/>
        </w:rPr>
        <w:t>Le nombre des administrateurs ayant atteint l'âge de soixante-dix ans ne peut être supérieur au tiers des administrateurs en fonction. Si cette limite est atteinte, l'administrateur le plus âgé est réputé démissionnaire d'office à l'issue de l'assemblée générale des actionnaires la plus proche. Cette disposition s'applique aux représentants permanents des personnes morales.</w:t>
      </w:r>
    </w:p>
    <w:p w14:paraId="0020BB1A" w14:textId="77777777" w:rsidR="008D72A5" w:rsidRPr="008D72A5" w:rsidRDefault="008D72A5" w:rsidP="008D72A5">
      <w:pPr>
        <w:jc w:val="both"/>
        <w:rPr>
          <w:szCs w:val="22"/>
        </w:rPr>
      </w:pPr>
    </w:p>
    <w:p w14:paraId="02B68ED2" w14:textId="77777777" w:rsidR="008D72A5" w:rsidRPr="008D72A5" w:rsidRDefault="008D72A5" w:rsidP="008D72A5">
      <w:pPr>
        <w:jc w:val="both"/>
        <w:rPr>
          <w:szCs w:val="22"/>
        </w:rPr>
      </w:pPr>
      <w:r w:rsidRPr="008D72A5">
        <w:rPr>
          <w:szCs w:val="22"/>
        </w:rPr>
        <w:t>A la date du présent rapport, le Conseil d’administration se compose d’une femme, et de cinq hommes.</w:t>
      </w:r>
    </w:p>
    <w:p w14:paraId="3091AE83" w14:textId="77777777" w:rsidR="008D72A5" w:rsidRDefault="008D72A5" w:rsidP="008D72A5">
      <w:pPr>
        <w:jc w:val="both"/>
        <w:rPr>
          <w:sz w:val="22"/>
          <w:szCs w:val="22"/>
          <w:lang w:eastAsia="en-US"/>
        </w:rPr>
      </w:pPr>
    </w:p>
    <w:p w14:paraId="0B69E305" w14:textId="77777777" w:rsidR="0084548B" w:rsidRPr="008D72A5" w:rsidRDefault="0084548B" w:rsidP="008D72A5">
      <w:pPr>
        <w:jc w:val="both"/>
        <w:rPr>
          <w:sz w:val="22"/>
          <w:szCs w:val="22"/>
          <w:lang w:eastAsia="en-US"/>
        </w:rPr>
      </w:pPr>
    </w:p>
    <w:p w14:paraId="5FC46CBD" w14:textId="77777777" w:rsidR="00E520C1" w:rsidRPr="00127FEA" w:rsidRDefault="00E520C1" w:rsidP="00E520C1">
      <w:pPr>
        <w:rPr>
          <w:szCs w:val="22"/>
          <w:highlight w:val="yellow"/>
        </w:rPr>
      </w:pPr>
    </w:p>
    <w:p w14:paraId="7836FC6C" w14:textId="77777777" w:rsidR="0084548B" w:rsidRDefault="0084548B" w:rsidP="0084548B">
      <w:pPr>
        <w:pStyle w:val="Paragraphedeliste"/>
        <w:ind w:left="567"/>
        <w:jc w:val="both"/>
        <w:rPr>
          <w:b/>
          <w:szCs w:val="22"/>
        </w:rPr>
      </w:pPr>
    </w:p>
    <w:p w14:paraId="0D8C6C66" w14:textId="5A4BE8B4" w:rsidR="00E520C1" w:rsidRPr="00485666" w:rsidRDefault="00E520C1" w:rsidP="00D032FF">
      <w:pPr>
        <w:pStyle w:val="Paragraphedeliste"/>
        <w:numPr>
          <w:ilvl w:val="1"/>
          <w:numId w:val="24"/>
        </w:numPr>
        <w:ind w:left="567" w:hanging="567"/>
        <w:jc w:val="both"/>
        <w:rPr>
          <w:b/>
          <w:szCs w:val="22"/>
        </w:rPr>
      </w:pPr>
      <w:r w:rsidRPr="00485666">
        <w:rPr>
          <w:b/>
          <w:szCs w:val="22"/>
        </w:rPr>
        <w:t xml:space="preserve">Mandats </w:t>
      </w:r>
      <w:r w:rsidR="008D72A5">
        <w:rPr>
          <w:b/>
          <w:szCs w:val="22"/>
        </w:rPr>
        <w:t>au sein de la Société</w:t>
      </w:r>
      <w:r w:rsidRPr="00485666">
        <w:rPr>
          <w:b/>
          <w:szCs w:val="22"/>
        </w:rPr>
        <w:t xml:space="preserve"> </w:t>
      </w:r>
    </w:p>
    <w:p w14:paraId="377A23A8" w14:textId="77777777" w:rsidR="008D72A5" w:rsidRDefault="008D72A5" w:rsidP="00485666">
      <w:pPr>
        <w:jc w:val="both"/>
        <w:rPr>
          <w:szCs w:val="22"/>
        </w:rPr>
      </w:pPr>
    </w:p>
    <w:p w14:paraId="726E5EE6" w14:textId="54DA8E06" w:rsidR="008D72A5" w:rsidRPr="008D72A5" w:rsidRDefault="008D72A5" w:rsidP="008D72A5">
      <w:pPr>
        <w:pStyle w:val="Paragraphedeliste"/>
        <w:numPr>
          <w:ilvl w:val="2"/>
          <w:numId w:val="39"/>
        </w:numPr>
        <w:jc w:val="both"/>
        <w:rPr>
          <w:b/>
          <w:szCs w:val="22"/>
        </w:rPr>
      </w:pPr>
      <w:r w:rsidRPr="008D72A5">
        <w:rPr>
          <w:b/>
          <w:szCs w:val="22"/>
        </w:rPr>
        <w:t>Mandats des administrateurs</w:t>
      </w:r>
    </w:p>
    <w:p w14:paraId="63B6AF42" w14:textId="77777777" w:rsidR="008D72A5" w:rsidRDefault="008D72A5" w:rsidP="00485666">
      <w:pPr>
        <w:jc w:val="both"/>
        <w:rPr>
          <w:szCs w:val="22"/>
        </w:rPr>
      </w:pPr>
    </w:p>
    <w:p w14:paraId="05718FB5" w14:textId="77777777" w:rsidR="008D72A5" w:rsidRPr="008D72A5" w:rsidRDefault="008D72A5" w:rsidP="008D72A5">
      <w:pPr>
        <w:jc w:val="both"/>
        <w:rPr>
          <w:szCs w:val="22"/>
        </w:rPr>
      </w:pPr>
      <w:r w:rsidRPr="008D72A5">
        <w:rPr>
          <w:szCs w:val="22"/>
        </w:rPr>
        <w:t>Le 25 septembre 2019, le Conseil d’administration a décidé de coopter aux fonctions d’administrateur Monsieur François Géronde, en remplacement de Madame Florence Lustman, démissionnaire, pour la durée du mandat de son prédécesseur. Cette cooptation est soumise à la ratification de la présente assemblée générale.</w:t>
      </w:r>
    </w:p>
    <w:p w14:paraId="70A2D044" w14:textId="77777777" w:rsidR="008D72A5" w:rsidRPr="008D72A5" w:rsidRDefault="008D72A5" w:rsidP="008D72A5">
      <w:pPr>
        <w:jc w:val="both"/>
        <w:rPr>
          <w:szCs w:val="22"/>
        </w:rPr>
      </w:pPr>
    </w:p>
    <w:p w14:paraId="311CC5C7" w14:textId="77777777" w:rsidR="008D72A5" w:rsidRDefault="008D72A5" w:rsidP="008D72A5">
      <w:pPr>
        <w:jc w:val="both"/>
        <w:rPr>
          <w:szCs w:val="22"/>
        </w:rPr>
      </w:pPr>
      <w:r w:rsidRPr="008D72A5">
        <w:rPr>
          <w:szCs w:val="22"/>
        </w:rPr>
        <w:t>Le 19 novembre 2019, le Conseil d’administration a également décidé de coopter aux fonctions d’administrateur Monsieur Pierre de Buhren, en remplacement de Monsieur Franck Oniga, démissionnaire, pour la durée du mandat de son prédécesseur. Cette cooptation est soumise à la ratification de la présente assemblée générale.</w:t>
      </w:r>
    </w:p>
    <w:p w14:paraId="2EEE4709" w14:textId="77777777" w:rsidR="008D72A5" w:rsidRPr="008D72A5" w:rsidRDefault="008D72A5" w:rsidP="008D72A5">
      <w:pPr>
        <w:jc w:val="both"/>
        <w:rPr>
          <w:szCs w:val="22"/>
        </w:rPr>
      </w:pPr>
    </w:p>
    <w:p w14:paraId="767930DB" w14:textId="5F57CDCB" w:rsidR="008D72A5" w:rsidRDefault="008D72A5" w:rsidP="008D72A5">
      <w:pPr>
        <w:pStyle w:val="Paragraphedeliste"/>
        <w:numPr>
          <w:ilvl w:val="2"/>
          <w:numId w:val="39"/>
        </w:numPr>
        <w:jc w:val="both"/>
        <w:rPr>
          <w:b/>
          <w:szCs w:val="22"/>
        </w:rPr>
      </w:pPr>
      <w:r>
        <w:rPr>
          <w:b/>
          <w:szCs w:val="22"/>
        </w:rPr>
        <w:t>Mandat du Président du Conseil d’administration</w:t>
      </w:r>
    </w:p>
    <w:p w14:paraId="414C828A" w14:textId="77777777" w:rsidR="008D72A5" w:rsidRDefault="008D72A5" w:rsidP="008D72A5">
      <w:pPr>
        <w:jc w:val="both"/>
        <w:rPr>
          <w:b/>
          <w:szCs w:val="22"/>
        </w:rPr>
      </w:pPr>
    </w:p>
    <w:p w14:paraId="224A2D24" w14:textId="77777777" w:rsidR="008D72A5" w:rsidRPr="008D72A5" w:rsidRDefault="008D72A5" w:rsidP="008D72A5">
      <w:pPr>
        <w:jc w:val="both"/>
        <w:rPr>
          <w:szCs w:val="22"/>
        </w:rPr>
      </w:pPr>
    </w:p>
    <w:p w14:paraId="1D2EAA5B" w14:textId="3B18D005" w:rsidR="008D72A5" w:rsidRPr="008D72A5" w:rsidRDefault="008D72A5" w:rsidP="008D72A5">
      <w:pPr>
        <w:jc w:val="both"/>
        <w:rPr>
          <w:szCs w:val="22"/>
        </w:rPr>
      </w:pPr>
      <w:r w:rsidRPr="008D72A5">
        <w:rPr>
          <w:szCs w:val="22"/>
        </w:rPr>
        <w:t>Madame Florence Lustman, Président du Conseil d’administration, ayant démissionné de son mandat au sein de la Société en date du 25 septembre 2019, Monsieur François Géronde a été nommé Président du Conseil d’administration par le Conseil dans sa séance du 25 septembre 2019.</w:t>
      </w:r>
    </w:p>
    <w:p w14:paraId="5B762819" w14:textId="77777777" w:rsidR="008D72A5" w:rsidRDefault="008D72A5" w:rsidP="00E520C1">
      <w:pPr>
        <w:rPr>
          <w:szCs w:val="22"/>
          <w:highlight w:val="yellow"/>
        </w:rPr>
      </w:pPr>
    </w:p>
    <w:p w14:paraId="724D51A4" w14:textId="51BE0F7A" w:rsidR="008D72A5" w:rsidRPr="008D72A5" w:rsidRDefault="008D72A5" w:rsidP="008D72A5">
      <w:pPr>
        <w:pStyle w:val="Paragraphedeliste"/>
        <w:numPr>
          <w:ilvl w:val="2"/>
          <w:numId w:val="39"/>
        </w:numPr>
        <w:jc w:val="both"/>
        <w:rPr>
          <w:b/>
          <w:szCs w:val="22"/>
        </w:rPr>
      </w:pPr>
      <w:r w:rsidRPr="008D72A5">
        <w:rPr>
          <w:b/>
          <w:szCs w:val="22"/>
        </w:rPr>
        <w:t>Mandat du Président du Conseil d’administration</w:t>
      </w:r>
    </w:p>
    <w:p w14:paraId="5EED397F" w14:textId="77777777" w:rsidR="008D72A5" w:rsidRDefault="008D72A5" w:rsidP="00E520C1">
      <w:pPr>
        <w:rPr>
          <w:szCs w:val="22"/>
          <w:highlight w:val="yellow"/>
        </w:rPr>
      </w:pPr>
    </w:p>
    <w:p w14:paraId="4DC3A4FD" w14:textId="77777777" w:rsidR="008D72A5" w:rsidRDefault="008D72A5" w:rsidP="00E520C1">
      <w:pPr>
        <w:rPr>
          <w:szCs w:val="22"/>
          <w:highlight w:val="yellow"/>
        </w:rPr>
      </w:pPr>
    </w:p>
    <w:p w14:paraId="0279BC0E" w14:textId="77777777" w:rsidR="0069145E" w:rsidRDefault="0069145E" w:rsidP="0069145E">
      <w:pPr>
        <w:spacing w:after="120"/>
        <w:jc w:val="both"/>
        <w:rPr>
          <w:szCs w:val="22"/>
        </w:rPr>
      </w:pPr>
      <w:r>
        <w:rPr>
          <w:szCs w:val="22"/>
        </w:rPr>
        <w:t>Le 25 septembre 2019, le Conseil d’administration a décidé de nommer Monsieur François Géronde en qualité de membre, du Comité des comptes et membre du Comité des risques. Ce dernier, ancien Directeur des Risques Groupe et désormais Directeur Financier de La Banque Postale dispose des connaissances, compétences et d’une expertise qui lui permette, d’une part, d’exercer les missions financières, comptables du Comité des comptes et d’autre part, de comprendre et de suivre la stratégie et l’appétence en matière de risques de la Société.</w:t>
      </w:r>
    </w:p>
    <w:p w14:paraId="133009BB" w14:textId="77777777" w:rsidR="0069145E" w:rsidRDefault="0069145E" w:rsidP="0069145E">
      <w:pPr>
        <w:spacing w:after="120"/>
        <w:jc w:val="both"/>
        <w:rPr>
          <w:szCs w:val="22"/>
        </w:rPr>
      </w:pPr>
      <w:r>
        <w:rPr>
          <w:szCs w:val="22"/>
        </w:rPr>
        <w:t>Le 19 novembre 2019, le Conseil d’administration a décidé de nommer Monsieur Pierre de Buhren  en qualité de membre du Comité des nominations, en remplacement de Monsieur Franck Oniga.</w:t>
      </w:r>
    </w:p>
    <w:p w14:paraId="34F1F798" w14:textId="77777777" w:rsidR="0069145E" w:rsidRDefault="0069145E" w:rsidP="0069145E">
      <w:pPr>
        <w:spacing w:after="120"/>
        <w:jc w:val="both"/>
        <w:rPr>
          <w:szCs w:val="22"/>
        </w:rPr>
      </w:pPr>
      <w:r>
        <w:rPr>
          <w:szCs w:val="22"/>
        </w:rPr>
        <w:t>Monsieur Pierre de Buhren dispose de l’expertise qui lui permet d’exercer les missions dévolues au Comité des nominations.</w:t>
      </w:r>
    </w:p>
    <w:p w14:paraId="41B45697" w14:textId="77777777" w:rsidR="0069145E" w:rsidRDefault="0069145E" w:rsidP="0069145E">
      <w:pPr>
        <w:spacing w:after="120"/>
        <w:jc w:val="both"/>
        <w:rPr>
          <w:szCs w:val="22"/>
        </w:rPr>
      </w:pPr>
      <w:r>
        <w:rPr>
          <w:szCs w:val="22"/>
        </w:rPr>
        <w:t>A cette même date, Monsieur Franco Oniga a également démissionné de ses fonctions de membre du Comité des comptes et membre du Comité des risques.</w:t>
      </w:r>
    </w:p>
    <w:p w14:paraId="3E6AA690" w14:textId="77777777" w:rsidR="0069145E" w:rsidRDefault="0069145E" w:rsidP="0069145E">
      <w:pPr>
        <w:spacing w:after="120"/>
        <w:jc w:val="both"/>
        <w:rPr>
          <w:szCs w:val="22"/>
        </w:rPr>
      </w:pPr>
      <w:r>
        <w:rPr>
          <w:szCs w:val="22"/>
        </w:rPr>
        <w:t>Le Comité des comptes et le Comité des risques sont composés respectivement à ce jour de trois membres : Monsieur Bertrand Sadorge, Président, Madame Tiphaine du Bois de Gaudusson, et Monsieur François Géronde.</w:t>
      </w:r>
    </w:p>
    <w:p w14:paraId="1C84B5A3" w14:textId="77777777" w:rsidR="0069145E" w:rsidRDefault="0069145E" w:rsidP="0069145E">
      <w:pPr>
        <w:spacing w:after="120"/>
        <w:jc w:val="both"/>
        <w:rPr>
          <w:szCs w:val="22"/>
        </w:rPr>
      </w:pPr>
      <w:r>
        <w:rPr>
          <w:szCs w:val="22"/>
        </w:rPr>
        <w:t>Le Comité des nominations est composé de deux membres : Monsieur Tony Blanco et Monsieur Pierre de Buhren.</w:t>
      </w:r>
    </w:p>
    <w:p w14:paraId="659D4E4E" w14:textId="77777777" w:rsidR="008D72A5" w:rsidRDefault="008D72A5" w:rsidP="00E520C1">
      <w:pPr>
        <w:rPr>
          <w:szCs w:val="22"/>
          <w:highlight w:val="yellow"/>
        </w:rPr>
      </w:pPr>
    </w:p>
    <w:p w14:paraId="5ED202B7" w14:textId="77777777" w:rsidR="008D72A5" w:rsidRDefault="008D72A5" w:rsidP="00E520C1">
      <w:pPr>
        <w:rPr>
          <w:szCs w:val="22"/>
          <w:highlight w:val="yellow"/>
        </w:rPr>
      </w:pPr>
    </w:p>
    <w:p w14:paraId="39BF1467" w14:textId="77777777" w:rsidR="008D72A5" w:rsidRDefault="008D72A5" w:rsidP="00E520C1">
      <w:pPr>
        <w:rPr>
          <w:szCs w:val="22"/>
          <w:highlight w:val="yellow"/>
        </w:rPr>
      </w:pPr>
    </w:p>
    <w:p w14:paraId="501C6A6F" w14:textId="502B17D6" w:rsidR="0069145E" w:rsidRPr="0069145E" w:rsidRDefault="0069145E" w:rsidP="0069145E">
      <w:pPr>
        <w:pStyle w:val="Paragraphedeliste"/>
        <w:numPr>
          <w:ilvl w:val="2"/>
          <w:numId w:val="39"/>
        </w:numPr>
        <w:jc w:val="both"/>
        <w:rPr>
          <w:b/>
          <w:szCs w:val="22"/>
        </w:rPr>
      </w:pPr>
      <w:r w:rsidRPr="0069145E">
        <w:rPr>
          <w:b/>
          <w:szCs w:val="22"/>
        </w:rPr>
        <w:t>Mandat du Président du Conseil d’administration</w:t>
      </w:r>
    </w:p>
    <w:p w14:paraId="727E78CC" w14:textId="77777777" w:rsidR="008D72A5" w:rsidRDefault="008D72A5" w:rsidP="00E520C1">
      <w:pPr>
        <w:rPr>
          <w:szCs w:val="22"/>
          <w:highlight w:val="yellow"/>
        </w:rPr>
      </w:pPr>
    </w:p>
    <w:p w14:paraId="4652E49A" w14:textId="77777777" w:rsidR="0069145E" w:rsidRDefault="0069145E" w:rsidP="00636659">
      <w:pPr>
        <w:jc w:val="both"/>
        <w:rPr>
          <w:szCs w:val="22"/>
        </w:rPr>
      </w:pPr>
      <w:r w:rsidRPr="0058465B">
        <w:rPr>
          <w:szCs w:val="22"/>
        </w:rPr>
        <w:t>Conformément aux dispositions de l’article L.225-37-4 du Code de commerce, nous vous présentons en annexe 1 du Rapport, la liste de l'ensemble des mandats et fonctions exercés dans toute société par chaque mandataire social durant l'exercice.</w:t>
      </w:r>
    </w:p>
    <w:p w14:paraId="78ED31F4" w14:textId="77777777" w:rsidR="008D72A5" w:rsidRDefault="008D72A5" w:rsidP="00E520C1">
      <w:pPr>
        <w:rPr>
          <w:szCs w:val="22"/>
          <w:highlight w:val="yellow"/>
        </w:rPr>
      </w:pPr>
    </w:p>
    <w:p w14:paraId="3EC3BEE1" w14:textId="77777777" w:rsidR="008D72A5" w:rsidRPr="00127FEA" w:rsidRDefault="008D72A5" w:rsidP="00E520C1">
      <w:pPr>
        <w:rPr>
          <w:szCs w:val="22"/>
          <w:highlight w:val="yellow"/>
        </w:rPr>
      </w:pPr>
    </w:p>
    <w:p w14:paraId="60342530" w14:textId="77777777" w:rsidR="00E520C1" w:rsidRPr="00485666" w:rsidRDefault="00E520C1" w:rsidP="00D032FF">
      <w:pPr>
        <w:pStyle w:val="Paragraphedeliste"/>
        <w:numPr>
          <w:ilvl w:val="1"/>
          <w:numId w:val="24"/>
        </w:numPr>
        <w:ind w:left="567" w:hanging="567"/>
        <w:jc w:val="both"/>
        <w:rPr>
          <w:b/>
          <w:szCs w:val="22"/>
        </w:rPr>
      </w:pPr>
      <w:r w:rsidRPr="00485666">
        <w:rPr>
          <w:b/>
          <w:szCs w:val="22"/>
        </w:rPr>
        <w:t>Conditions de préparation et d’organisation des travaux du Conseil</w:t>
      </w:r>
    </w:p>
    <w:p w14:paraId="4B838A83" w14:textId="77777777" w:rsidR="00E520C1" w:rsidRPr="00127FEA" w:rsidRDefault="00E520C1" w:rsidP="00E520C1">
      <w:pPr>
        <w:rPr>
          <w:szCs w:val="22"/>
          <w:highlight w:val="yellow"/>
        </w:rPr>
      </w:pPr>
    </w:p>
    <w:p w14:paraId="7F40B696" w14:textId="77777777" w:rsidR="00636659" w:rsidRPr="00636659" w:rsidRDefault="00636659" w:rsidP="00636659">
      <w:pPr>
        <w:jc w:val="both"/>
        <w:rPr>
          <w:szCs w:val="22"/>
        </w:rPr>
      </w:pPr>
      <w:r w:rsidRPr="00636659">
        <w:rPr>
          <w:szCs w:val="22"/>
        </w:rPr>
        <w:t>Le Conseil d'administration se réunit au moins quatre fois par an et aussi souvent que l’intérêt de la Société l'exige, sur la convocation de son président.</w:t>
      </w:r>
    </w:p>
    <w:p w14:paraId="70A988CF" w14:textId="77777777" w:rsidR="00636659" w:rsidRPr="00636659" w:rsidRDefault="00636659" w:rsidP="00636659">
      <w:pPr>
        <w:keepNext/>
        <w:keepLines/>
        <w:jc w:val="both"/>
        <w:rPr>
          <w:szCs w:val="22"/>
        </w:rPr>
      </w:pPr>
      <w:r w:rsidRPr="00636659">
        <w:rPr>
          <w:szCs w:val="22"/>
        </w:rPr>
        <w:t>Toutefois, (i) lorsqu'il ne s'est pas réuni depuis plus de deux mois, le tiers au moins des membres du conseil d'administration peut demander au président de convoquer sur un ordre du jour déterminé par ces administrateurs, (ii) et lorsque le directeur général n'assume pas les fonctions de président du conseil d'administration comme indiqué à l'article 18 ci-après, le directeur général peut demander au président de convoquer le conseil d'administration sur un ordre du jour déterminé dans cette demande.</w:t>
      </w:r>
    </w:p>
    <w:p w14:paraId="32F251D4" w14:textId="77777777" w:rsidR="00636659" w:rsidRPr="00636659" w:rsidRDefault="00636659" w:rsidP="00636659">
      <w:pPr>
        <w:keepNext/>
        <w:keepLines/>
        <w:jc w:val="both"/>
        <w:rPr>
          <w:szCs w:val="22"/>
        </w:rPr>
      </w:pPr>
    </w:p>
    <w:p w14:paraId="153A09C2" w14:textId="77777777" w:rsidR="00636659" w:rsidRPr="00636659" w:rsidRDefault="00636659" w:rsidP="00636659">
      <w:pPr>
        <w:jc w:val="both"/>
        <w:rPr>
          <w:szCs w:val="22"/>
        </w:rPr>
      </w:pPr>
      <w:bookmarkStart w:id="25" w:name="_DV_M188"/>
      <w:bookmarkEnd w:id="25"/>
      <w:r w:rsidRPr="00636659">
        <w:rPr>
          <w:szCs w:val="22"/>
        </w:rPr>
        <w:t>En cas de carence du Président et par dérogation à l’article 12 de l’ordonnance n° 2014-948 du 20 août 2014, le groupe d'administrateurs ou le directeur général qui auront sollicité la convocation du conseil d'administration, seront compétents pour procéder eux-mêmes à la convocation du conseil et fixer l'ordre du jour.</w:t>
      </w:r>
    </w:p>
    <w:p w14:paraId="6E9525D9" w14:textId="77777777" w:rsidR="00636659" w:rsidRPr="00636659" w:rsidRDefault="00636659" w:rsidP="00636659">
      <w:pPr>
        <w:jc w:val="both"/>
        <w:rPr>
          <w:szCs w:val="22"/>
        </w:rPr>
      </w:pPr>
    </w:p>
    <w:p w14:paraId="6AD9F5E2" w14:textId="77777777" w:rsidR="00636659" w:rsidRPr="00636659" w:rsidRDefault="00636659" w:rsidP="00636659">
      <w:pPr>
        <w:jc w:val="both"/>
        <w:rPr>
          <w:szCs w:val="22"/>
        </w:rPr>
      </w:pPr>
      <w:r w:rsidRPr="00636659">
        <w:rPr>
          <w:szCs w:val="22"/>
        </w:rPr>
        <w:t>Le conseil d’administration peut également être convoqué par plus du tiers de ses membres sur un ordre du jour et dans un lieu déterminé dans la convocation.</w:t>
      </w:r>
    </w:p>
    <w:p w14:paraId="46BAC946" w14:textId="77777777" w:rsidR="00636659" w:rsidRPr="00636659" w:rsidRDefault="00636659" w:rsidP="00636659">
      <w:pPr>
        <w:widowControl w:val="0"/>
        <w:jc w:val="both"/>
        <w:rPr>
          <w:szCs w:val="22"/>
        </w:rPr>
      </w:pPr>
    </w:p>
    <w:p w14:paraId="06C86B1C" w14:textId="77777777" w:rsidR="00636659" w:rsidRPr="00636659" w:rsidRDefault="00636659" w:rsidP="00636659">
      <w:pPr>
        <w:widowControl w:val="0"/>
        <w:jc w:val="both"/>
        <w:rPr>
          <w:szCs w:val="22"/>
        </w:rPr>
      </w:pPr>
      <w:r w:rsidRPr="00636659">
        <w:rPr>
          <w:szCs w:val="22"/>
        </w:rPr>
        <w:t>Les administrateurs sont convoqués par tous moyens. La convocation contient notamment la date, le lieu et l'ordre du jour identifiant les questions qui seront discutées lors de la réunion. Des copies des documents pertinents devant être discutés lors de la réunion sont également envoyées aux membres du Conseil.</w:t>
      </w:r>
    </w:p>
    <w:p w14:paraId="51C1BB22" w14:textId="77777777" w:rsidR="00636659" w:rsidRPr="00636659" w:rsidRDefault="00636659" w:rsidP="00636659">
      <w:pPr>
        <w:rPr>
          <w:szCs w:val="22"/>
        </w:rPr>
      </w:pPr>
    </w:p>
    <w:p w14:paraId="1034D667" w14:textId="77777777" w:rsidR="00636659" w:rsidRPr="00636659" w:rsidRDefault="00636659" w:rsidP="00636659">
      <w:pPr>
        <w:jc w:val="both"/>
        <w:rPr>
          <w:szCs w:val="22"/>
        </w:rPr>
      </w:pPr>
      <w:r w:rsidRPr="00636659">
        <w:rPr>
          <w:szCs w:val="22"/>
        </w:rPr>
        <w:t>Le Contrôleur Spécifique est convoqué à chaque réunion du Conseil d'administration selon les mêmes modalités que les administrateurs, et les Commissaires aux comptes sont convoqués à toutes les réunions du Conseil examinant ou arrêtant les comptes annuels ou intermédiaires.</w:t>
      </w:r>
    </w:p>
    <w:p w14:paraId="5611F918" w14:textId="77777777" w:rsidR="00636659" w:rsidRPr="00636659" w:rsidRDefault="00636659" w:rsidP="00636659">
      <w:pPr>
        <w:rPr>
          <w:szCs w:val="22"/>
        </w:rPr>
      </w:pPr>
    </w:p>
    <w:p w14:paraId="0A8DF918" w14:textId="77777777" w:rsidR="00636659" w:rsidRPr="00636659" w:rsidRDefault="00636659" w:rsidP="00636659">
      <w:pPr>
        <w:jc w:val="both"/>
        <w:rPr>
          <w:szCs w:val="22"/>
        </w:rPr>
      </w:pPr>
      <w:bookmarkStart w:id="26" w:name="_DV_M187"/>
      <w:bookmarkStart w:id="27" w:name="_DV_M189"/>
      <w:bookmarkStart w:id="28" w:name="_DV_M190"/>
      <w:bookmarkEnd w:id="26"/>
      <w:bookmarkEnd w:id="27"/>
      <w:bookmarkEnd w:id="28"/>
      <w:r w:rsidRPr="00636659">
        <w:rPr>
          <w:szCs w:val="22"/>
        </w:rPr>
        <w:t>Le Président préside les séances du Conseil. Le Conseil peut, s’il le juge utile, désigner un Vice-Président qui préside les séances en l'absence du Président. En cas d’absence ou d’empêchement du Président et à défaut de Vice-Président, la présidence de la séance est assurée par l’administrateur spécialement élu à cet effet par les membres du Conseil présents à la réunion ; en cas de partage des voix, c’est le plus âgé des postulants qui préside.</w:t>
      </w:r>
    </w:p>
    <w:p w14:paraId="0399CC5D" w14:textId="77777777" w:rsidR="00636659" w:rsidRPr="00636659" w:rsidRDefault="00636659" w:rsidP="00636659">
      <w:pPr>
        <w:jc w:val="both"/>
        <w:rPr>
          <w:szCs w:val="22"/>
        </w:rPr>
      </w:pPr>
      <w:bookmarkStart w:id="29" w:name="_DV_M191"/>
      <w:bookmarkStart w:id="30" w:name="_DV_M193"/>
      <w:bookmarkEnd w:id="29"/>
      <w:bookmarkEnd w:id="30"/>
    </w:p>
    <w:p w14:paraId="3E41B991" w14:textId="77777777" w:rsidR="00636659" w:rsidRPr="00636659" w:rsidRDefault="00636659" w:rsidP="00636659">
      <w:pPr>
        <w:jc w:val="both"/>
        <w:rPr>
          <w:szCs w:val="22"/>
        </w:rPr>
      </w:pPr>
      <w:r w:rsidRPr="00636659">
        <w:rPr>
          <w:szCs w:val="22"/>
        </w:rPr>
        <w:t>Un administrateur peut donner, même par lettre ou télécopie, mandat à un autre administrateur de le représenter. Chaque administrateur ne peut disposer, au cours d’une même séance, que d’une seule procuration.</w:t>
      </w:r>
    </w:p>
    <w:p w14:paraId="7A78C8D6" w14:textId="77777777" w:rsidR="00636659" w:rsidRPr="00636659" w:rsidRDefault="00636659" w:rsidP="00636659">
      <w:pPr>
        <w:jc w:val="both"/>
        <w:rPr>
          <w:szCs w:val="22"/>
        </w:rPr>
      </w:pPr>
      <w:bookmarkStart w:id="31" w:name="_DV_M194"/>
      <w:bookmarkStart w:id="32" w:name="_DV_M196"/>
      <w:bookmarkEnd w:id="31"/>
      <w:bookmarkEnd w:id="32"/>
    </w:p>
    <w:p w14:paraId="06BDBFCB" w14:textId="77777777" w:rsidR="00636659" w:rsidRPr="00636659" w:rsidRDefault="00636659" w:rsidP="00636659">
      <w:pPr>
        <w:jc w:val="both"/>
        <w:rPr>
          <w:szCs w:val="22"/>
        </w:rPr>
      </w:pPr>
      <w:r w:rsidRPr="00636659">
        <w:rPr>
          <w:szCs w:val="22"/>
        </w:rPr>
        <w:t>Les délibérations du Conseil sont constatées par des procès-verbaux établis conformément aux dispositions légales en vigueur, et signés par le président de séance et par un administrateur ou, en cas d'empêchement du président de séance, par deux administrateurs.</w:t>
      </w:r>
    </w:p>
    <w:p w14:paraId="38738093" w14:textId="77777777" w:rsidR="00636659" w:rsidRPr="00636659" w:rsidRDefault="00636659" w:rsidP="00636659">
      <w:pPr>
        <w:jc w:val="both"/>
        <w:rPr>
          <w:szCs w:val="22"/>
        </w:rPr>
      </w:pPr>
      <w:bookmarkStart w:id="33" w:name="_DV_M197"/>
      <w:bookmarkStart w:id="34" w:name="_DV_M198"/>
      <w:bookmarkEnd w:id="33"/>
      <w:bookmarkEnd w:id="34"/>
    </w:p>
    <w:p w14:paraId="42185939" w14:textId="77777777" w:rsidR="00636659" w:rsidRPr="00636659" w:rsidRDefault="00636659" w:rsidP="00636659">
      <w:pPr>
        <w:jc w:val="both"/>
        <w:rPr>
          <w:szCs w:val="22"/>
        </w:rPr>
      </w:pPr>
      <w:r w:rsidRPr="00636659">
        <w:rPr>
          <w:szCs w:val="22"/>
        </w:rPr>
        <w:t>Les administrateurs, comme toute personne appelée à assister aux réunions du Conseil, sont tenus à la discrétion à l’égard des informations présentant un caractère confidentiel.</w:t>
      </w:r>
    </w:p>
    <w:p w14:paraId="3B23C709" w14:textId="77777777" w:rsidR="00636659" w:rsidRPr="00636659" w:rsidRDefault="00636659" w:rsidP="00636659">
      <w:pPr>
        <w:jc w:val="both"/>
        <w:rPr>
          <w:szCs w:val="22"/>
        </w:rPr>
      </w:pPr>
      <w:bookmarkStart w:id="35" w:name="_DV_M199"/>
      <w:bookmarkEnd w:id="35"/>
    </w:p>
    <w:p w14:paraId="66976A40" w14:textId="77777777" w:rsidR="00636659" w:rsidRPr="00636659" w:rsidRDefault="00636659" w:rsidP="00636659">
      <w:pPr>
        <w:jc w:val="both"/>
        <w:rPr>
          <w:szCs w:val="22"/>
        </w:rPr>
      </w:pPr>
      <w:r w:rsidRPr="00636659">
        <w:rPr>
          <w:szCs w:val="22"/>
        </w:rPr>
        <w:t>Le Conseil d'administration a établi un règlement intérieur qui précise notamment les missions du Conseil, les modalités des réunions et prévoit la possibilité pour les administrateurs de participer au Conseil par visioconférence ou par tout autre moyen de télécommunication permettant leur identification et garantissant leur participation effective dans les conditions légales. Cette possibilité n’est pas applicable pour l’arrêté des comptes annuels et l’établissement du rapport de gestion.</w:t>
      </w:r>
    </w:p>
    <w:p w14:paraId="661A8058" w14:textId="77777777" w:rsidR="00E520C1" w:rsidRPr="00127FEA" w:rsidRDefault="00E520C1" w:rsidP="00E520C1">
      <w:pPr>
        <w:rPr>
          <w:szCs w:val="22"/>
          <w:highlight w:val="yellow"/>
        </w:rPr>
      </w:pPr>
    </w:p>
    <w:p w14:paraId="21BA9A12" w14:textId="6F3C2FF0" w:rsidR="00E520C1" w:rsidRPr="00485666" w:rsidRDefault="00636659" w:rsidP="00D032FF">
      <w:pPr>
        <w:pStyle w:val="Paragraphedeliste"/>
        <w:numPr>
          <w:ilvl w:val="1"/>
          <w:numId w:val="24"/>
        </w:numPr>
        <w:ind w:left="567" w:hanging="567"/>
        <w:jc w:val="both"/>
        <w:rPr>
          <w:b/>
          <w:szCs w:val="22"/>
        </w:rPr>
      </w:pPr>
      <w:r w:rsidRPr="003838F5">
        <w:rPr>
          <w:b/>
          <w:szCs w:val="22"/>
        </w:rPr>
        <w:t>Code de gouvernement d’entreprise</w:t>
      </w:r>
    </w:p>
    <w:p w14:paraId="0EB55FD0" w14:textId="77777777" w:rsidR="00E520C1" w:rsidRPr="00127FEA" w:rsidRDefault="00E520C1" w:rsidP="00E520C1">
      <w:pPr>
        <w:rPr>
          <w:szCs w:val="22"/>
          <w:highlight w:val="yellow"/>
        </w:rPr>
      </w:pPr>
    </w:p>
    <w:p w14:paraId="47C39E2F" w14:textId="77777777" w:rsidR="00636659" w:rsidRPr="00636659" w:rsidRDefault="00636659" w:rsidP="00636659">
      <w:pPr>
        <w:jc w:val="both"/>
        <w:rPr>
          <w:szCs w:val="22"/>
        </w:rPr>
      </w:pPr>
      <w:r w:rsidRPr="00636659">
        <w:rPr>
          <w:szCs w:val="22"/>
        </w:rPr>
        <w:t>La Société ne se réfère à aucun code de gouvernement d’entreprise dans la mesure où celle-ci n’a pas de salarié, ne verse pas de rémunération à ses mandataires sociaux qui sont essentiellement choisis en raison de leurs fonctions au sein de La Banque Postale, actionnaire à hauteur de 99,99 % et administrateur de la Société qui respecte le Code Afep-Medef.</w:t>
      </w:r>
    </w:p>
    <w:p w14:paraId="2B7BD9EA" w14:textId="77777777" w:rsidR="00E520C1" w:rsidRPr="00524581" w:rsidRDefault="00E520C1" w:rsidP="00E520C1">
      <w:pPr>
        <w:rPr>
          <w:szCs w:val="22"/>
        </w:rPr>
      </w:pPr>
    </w:p>
    <w:p w14:paraId="4963C012" w14:textId="77777777" w:rsidR="00E520C1" w:rsidRPr="00524581" w:rsidRDefault="00E520C1" w:rsidP="00D032FF">
      <w:pPr>
        <w:pStyle w:val="Paragraphedeliste"/>
        <w:numPr>
          <w:ilvl w:val="1"/>
          <w:numId w:val="24"/>
        </w:numPr>
        <w:ind w:left="567" w:hanging="567"/>
        <w:jc w:val="both"/>
        <w:rPr>
          <w:b/>
          <w:szCs w:val="22"/>
        </w:rPr>
      </w:pPr>
      <w:r w:rsidRPr="00524581">
        <w:rPr>
          <w:b/>
          <w:szCs w:val="22"/>
        </w:rPr>
        <w:t>Participations des actionnaires à l’Assemblée Générale</w:t>
      </w:r>
    </w:p>
    <w:p w14:paraId="12CC591E" w14:textId="77777777" w:rsidR="00E520C1" w:rsidRPr="00636659" w:rsidRDefault="00E520C1" w:rsidP="00E520C1">
      <w:pPr>
        <w:rPr>
          <w:szCs w:val="22"/>
        </w:rPr>
      </w:pPr>
    </w:p>
    <w:p w14:paraId="39C656C3" w14:textId="77777777" w:rsidR="00636659" w:rsidRPr="00636659" w:rsidRDefault="00636659" w:rsidP="00636659">
      <w:pPr>
        <w:jc w:val="both"/>
        <w:rPr>
          <w:szCs w:val="22"/>
        </w:rPr>
      </w:pPr>
      <w:r w:rsidRPr="00636659">
        <w:rPr>
          <w:szCs w:val="22"/>
        </w:rPr>
        <w:t>Conformément aux statuts de la Société, tout actionnaire, quel que soit le nombre d’actions qu’il possède, a le droit d’assister aux assemblées générales et de participer aux délibérations personnellement ou par mandataire ou de prendre part aux votes par correspondance dans les conditions légales et réglementaires.</w:t>
      </w:r>
    </w:p>
    <w:p w14:paraId="08FB39E8" w14:textId="77777777" w:rsidR="00636659" w:rsidRPr="00636659" w:rsidRDefault="00636659" w:rsidP="00636659">
      <w:pPr>
        <w:jc w:val="both"/>
        <w:rPr>
          <w:szCs w:val="22"/>
        </w:rPr>
      </w:pPr>
    </w:p>
    <w:p w14:paraId="28E91C33" w14:textId="77777777" w:rsidR="00636659" w:rsidRPr="00636659" w:rsidRDefault="00636659" w:rsidP="00636659">
      <w:pPr>
        <w:jc w:val="both"/>
        <w:rPr>
          <w:szCs w:val="22"/>
        </w:rPr>
      </w:pPr>
      <w:r w:rsidRPr="00636659">
        <w:rPr>
          <w:szCs w:val="22"/>
        </w:rPr>
        <w:t xml:space="preserve">Tout actionnaire peur se faire représenter par son conjoint, par le partenaire avec lequel il a conclu un pacte civil de solidarité ou par un autre actionnaire. </w:t>
      </w:r>
    </w:p>
    <w:p w14:paraId="11EB9CBC" w14:textId="77777777" w:rsidR="00636659" w:rsidRPr="00636659" w:rsidRDefault="00636659" w:rsidP="00636659">
      <w:pPr>
        <w:jc w:val="both"/>
        <w:rPr>
          <w:szCs w:val="22"/>
        </w:rPr>
      </w:pPr>
    </w:p>
    <w:p w14:paraId="16E8815C" w14:textId="77777777" w:rsidR="00636659" w:rsidRPr="00636659" w:rsidRDefault="00636659" w:rsidP="00636659">
      <w:pPr>
        <w:jc w:val="both"/>
        <w:rPr>
          <w:szCs w:val="22"/>
        </w:rPr>
      </w:pPr>
      <w:r w:rsidRPr="00636659">
        <w:rPr>
          <w:szCs w:val="22"/>
        </w:rPr>
        <w:t>Tout actionnaire peut voter par correspondance dans les conditions légales et réglementaires.</w:t>
      </w:r>
    </w:p>
    <w:p w14:paraId="3601F371" w14:textId="77777777" w:rsidR="00E520C1" w:rsidRPr="00127FEA" w:rsidRDefault="00E520C1" w:rsidP="00E520C1">
      <w:pPr>
        <w:rPr>
          <w:szCs w:val="22"/>
          <w:highlight w:val="yellow"/>
        </w:rPr>
      </w:pPr>
    </w:p>
    <w:p w14:paraId="03E50182" w14:textId="77777777" w:rsidR="00E520C1" w:rsidRPr="00524581" w:rsidRDefault="00E520C1" w:rsidP="00D032FF">
      <w:pPr>
        <w:pStyle w:val="Paragraphedeliste"/>
        <w:numPr>
          <w:ilvl w:val="1"/>
          <w:numId w:val="24"/>
        </w:numPr>
        <w:ind w:left="567" w:hanging="567"/>
        <w:jc w:val="both"/>
        <w:rPr>
          <w:b/>
          <w:szCs w:val="22"/>
        </w:rPr>
      </w:pPr>
      <w:r w:rsidRPr="00524581">
        <w:rPr>
          <w:b/>
          <w:szCs w:val="22"/>
        </w:rPr>
        <w:t>Limitations que le Conseil d’administration apporte aux pouvoirs du Directeur Général</w:t>
      </w:r>
    </w:p>
    <w:p w14:paraId="03778856" w14:textId="77777777" w:rsidR="00E520C1" w:rsidRPr="00127FEA" w:rsidRDefault="00E520C1" w:rsidP="00E520C1">
      <w:pPr>
        <w:rPr>
          <w:szCs w:val="22"/>
          <w:highlight w:val="yellow"/>
        </w:rPr>
      </w:pPr>
    </w:p>
    <w:p w14:paraId="4033280E" w14:textId="77777777" w:rsidR="00636659" w:rsidRPr="00636659" w:rsidRDefault="00636659" w:rsidP="00636659">
      <w:pPr>
        <w:jc w:val="both"/>
        <w:rPr>
          <w:szCs w:val="22"/>
        </w:rPr>
      </w:pPr>
      <w:r w:rsidRPr="00636659">
        <w:rPr>
          <w:szCs w:val="22"/>
        </w:rPr>
        <w:t>Sous réserve des pouvoirs attribués par la loi aux assemblées d'actionnaires et au Conseil d'administration, et dans la limite de l'objet social, le Directeur Général est investi des pouvoirs les plus étendus pour agir en toute circonstance au nom de la Société et représente la Société dans ses rapports avec les tiers. Le Conseil d'administration n'a pas apporté d'autre limitation aux pouvoirs du Directeur Général.</w:t>
      </w:r>
    </w:p>
    <w:p w14:paraId="059470AA" w14:textId="77777777" w:rsidR="00636659" w:rsidRPr="00636659" w:rsidRDefault="00636659" w:rsidP="00636659">
      <w:pPr>
        <w:jc w:val="both"/>
        <w:rPr>
          <w:szCs w:val="22"/>
        </w:rPr>
      </w:pPr>
    </w:p>
    <w:p w14:paraId="2AB2D97D" w14:textId="77777777" w:rsidR="00636659" w:rsidRPr="00636659" w:rsidRDefault="00636659" w:rsidP="00636659">
      <w:pPr>
        <w:jc w:val="both"/>
        <w:rPr>
          <w:szCs w:val="22"/>
        </w:rPr>
      </w:pPr>
      <w:r w:rsidRPr="00636659">
        <w:rPr>
          <w:szCs w:val="22"/>
        </w:rPr>
        <w:t>Conformément aux dispositions de l'article L.228-40 du Code de commerce et des statuts, le Conseil d'administration a qualité pour décider ou autoriser l'émission d'obligations. Il peut déléguer à un ou plusieurs de ses membres, au Directeur Général ou, en accord avec ce dernier, à un ou plusieurs Directeurs Généraux Délégués, ainsi qu’à toute personne de son choix, les pouvoirs nécessaires pour réaliser, dans un délai d'un an l'émission d'obligations et en arrêter les modalités.</w:t>
      </w:r>
    </w:p>
    <w:p w14:paraId="2A4E5EF0" w14:textId="77777777" w:rsidR="00636659" w:rsidRDefault="00636659" w:rsidP="00636659">
      <w:pPr>
        <w:tabs>
          <w:tab w:val="left" w:pos="1155"/>
        </w:tabs>
        <w:jc w:val="both"/>
        <w:rPr>
          <w:szCs w:val="22"/>
        </w:rPr>
      </w:pPr>
      <w:r w:rsidRPr="00636659">
        <w:rPr>
          <w:szCs w:val="22"/>
        </w:rPr>
        <w:tab/>
      </w:r>
    </w:p>
    <w:p w14:paraId="0E17A20E" w14:textId="77777777" w:rsidR="00636659" w:rsidRPr="00636659" w:rsidRDefault="00636659" w:rsidP="00636659">
      <w:pPr>
        <w:tabs>
          <w:tab w:val="left" w:pos="1155"/>
        </w:tabs>
        <w:jc w:val="both"/>
        <w:rPr>
          <w:szCs w:val="22"/>
        </w:rPr>
      </w:pPr>
    </w:p>
    <w:p w14:paraId="1B9CDE74" w14:textId="77777777" w:rsidR="00636659" w:rsidRPr="00636659" w:rsidRDefault="00636659" w:rsidP="00636659">
      <w:pPr>
        <w:jc w:val="both"/>
        <w:rPr>
          <w:szCs w:val="22"/>
        </w:rPr>
      </w:pPr>
      <w:r w:rsidRPr="00636659">
        <w:rPr>
          <w:szCs w:val="22"/>
        </w:rPr>
        <w:t>En pratique, le Conseil délègue au Directeur Général et aux Directeur Généraux Délégués, chacun pouvant agir conjointement ou séparément, les pouvoirs nécessaires aux fins de :</w:t>
      </w:r>
    </w:p>
    <w:p w14:paraId="6C0EC3A2" w14:textId="77777777" w:rsidR="00636659" w:rsidRPr="00636659" w:rsidRDefault="00636659" w:rsidP="00636659">
      <w:pPr>
        <w:widowControl w:val="0"/>
        <w:numPr>
          <w:ilvl w:val="0"/>
          <w:numId w:val="17"/>
        </w:numPr>
        <w:spacing w:before="120"/>
        <w:ind w:left="567" w:hanging="567"/>
        <w:jc w:val="both"/>
        <w:rPr>
          <w:szCs w:val="22"/>
        </w:rPr>
      </w:pPr>
      <w:r w:rsidRPr="00636659">
        <w:rPr>
          <w:szCs w:val="22"/>
        </w:rPr>
        <w:t>sans faculté de subdélégation, décider l'émission d'obligations de financement de l'habitat aux époques, taux et conditions d'émission qu'il juge appropriés et d'en arrêter les modalités ; et</w:t>
      </w:r>
    </w:p>
    <w:p w14:paraId="0D74003C" w14:textId="77777777" w:rsidR="00636659" w:rsidRPr="00636659" w:rsidRDefault="00636659" w:rsidP="00636659">
      <w:pPr>
        <w:widowControl w:val="0"/>
        <w:numPr>
          <w:ilvl w:val="0"/>
          <w:numId w:val="17"/>
        </w:numPr>
        <w:spacing w:before="120"/>
        <w:ind w:left="567" w:hanging="567"/>
        <w:jc w:val="both"/>
        <w:rPr>
          <w:szCs w:val="22"/>
        </w:rPr>
      </w:pPr>
      <w:r w:rsidRPr="00636659">
        <w:rPr>
          <w:szCs w:val="22"/>
        </w:rPr>
        <w:t>avec faculté de subdélégation dans les conditions légales applicables, procéder à la réalisation de toute émission.</w:t>
      </w:r>
    </w:p>
    <w:p w14:paraId="0F591BBA" w14:textId="77777777" w:rsidR="00E520C1" w:rsidRPr="00127FEA" w:rsidRDefault="00E520C1" w:rsidP="00E520C1">
      <w:pPr>
        <w:rPr>
          <w:szCs w:val="22"/>
          <w:highlight w:val="yellow"/>
        </w:rPr>
      </w:pPr>
    </w:p>
    <w:p w14:paraId="68897A2C" w14:textId="4F9A0A3F" w:rsidR="00E520C1" w:rsidRPr="00524581" w:rsidRDefault="00524581" w:rsidP="00D032FF">
      <w:pPr>
        <w:pStyle w:val="Paragraphedeliste"/>
        <w:numPr>
          <w:ilvl w:val="1"/>
          <w:numId w:val="24"/>
        </w:numPr>
        <w:ind w:left="567" w:hanging="567"/>
        <w:jc w:val="both"/>
        <w:rPr>
          <w:b/>
          <w:szCs w:val="22"/>
        </w:rPr>
      </w:pPr>
      <w:r w:rsidRPr="00524581">
        <w:rPr>
          <w:b/>
          <w:szCs w:val="22"/>
        </w:rPr>
        <w:t>Organe choisi pour exercer la d</w:t>
      </w:r>
      <w:r w:rsidR="00E520C1" w:rsidRPr="00524581">
        <w:rPr>
          <w:b/>
          <w:szCs w:val="22"/>
        </w:rPr>
        <w:t>irection générale de la Société</w:t>
      </w:r>
    </w:p>
    <w:p w14:paraId="7D20E563" w14:textId="77777777" w:rsidR="00E520C1" w:rsidRPr="00127FEA" w:rsidRDefault="00E520C1" w:rsidP="00E520C1">
      <w:pPr>
        <w:rPr>
          <w:szCs w:val="22"/>
          <w:highlight w:val="yellow"/>
        </w:rPr>
      </w:pPr>
    </w:p>
    <w:p w14:paraId="5EFA08A2" w14:textId="77777777" w:rsidR="00636659" w:rsidRPr="00636659" w:rsidRDefault="00636659" w:rsidP="00636659">
      <w:pPr>
        <w:jc w:val="both"/>
        <w:rPr>
          <w:szCs w:val="22"/>
        </w:rPr>
      </w:pPr>
      <w:r w:rsidRPr="00636659">
        <w:rPr>
          <w:szCs w:val="22"/>
        </w:rPr>
        <w:t>Conformément à la réglementation, les fonctions de Président du Conseil d’administration et de Directeur Général sont dissociées. La direction générale de la Société est assurée par un Directeur Général assisté d’un Directeur Général Délégué, tous deux non administrateurs.</w:t>
      </w:r>
    </w:p>
    <w:p w14:paraId="79C763B5" w14:textId="77777777" w:rsidR="00E520C1" w:rsidRPr="00127FEA" w:rsidRDefault="00E520C1" w:rsidP="00E520C1">
      <w:pPr>
        <w:rPr>
          <w:szCs w:val="22"/>
          <w:highlight w:val="yellow"/>
        </w:rPr>
      </w:pPr>
    </w:p>
    <w:p w14:paraId="71490160" w14:textId="77777777" w:rsidR="00E520C1" w:rsidRPr="00127FEA" w:rsidRDefault="00E520C1" w:rsidP="00E520C1">
      <w:pPr>
        <w:rPr>
          <w:szCs w:val="22"/>
          <w:highlight w:val="yellow"/>
        </w:rPr>
      </w:pPr>
    </w:p>
    <w:p w14:paraId="18C6AC00" w14:textId="77777777" w:rsidR="00E520C1" w:rsidRPr="00524581" w:rsidRDefault="00E520C1" w:rsidP="00D032FF">
      <w:pPr>
        <w:pStyle w:val="Paragraphedeliste"/>
        <w:keepNext/>
        <w:keepLines/>
        <w:numPr>
          <w:ilvl w:val="0"/>
          <w:numId w:val="24"/>
        </w:numPr>
        <w:ind w:left="567" w:hanging="567"/>
        <w:jc w:val="both"/>
        <w:rPr>
          <w:b/>
          <w:szCs w:val="22"/>
        </w:rPr>
      </w:pPr>
      <w:r w:rsidRPr="00524581">
        <w:rPr>
          <w:b/>
          <w:szCs w:val="22"/>
        </w:rPr>
        <w:t>CONVENTIONS VISEES A L’ARTICLE L.225-38 DU CODE DE COMMERCE</w:t>
      </w:r>
    </w:p>
    <w:p w14:paraId="18C133AD" w14:textId="77777777" w:rsidR="00E520C1" w:rsidRPr="00636659" w:rsidRDefault="00E520C1" w:rsidP="00E520C1">
      <w:pPr>
        <w:keepNext/>
        <w:keepLines/>
        <w:rPr>
          <w:szCs w:val="22"/>
        </w:rPr>
      </w:pPr>
    </w:p>
    <w:p w14:paraId="7475622F" w14:textId="77777777" w:rsidR="00636659" w:rsidRPr="00636659" w:rsidRDefault="00636659" w:rsidP="00636659">
      <w:pPr>
        <w:rPr>
          <w:szCs w:val="22"/>
        </w:rPr>
      </w:pPr>
      <w:r w:rsidRPr="00636659">
        <w:rPr>
          <w:szCs w:val="22"/>
        </w:rPr>
        <w:t>Nous vous informons avoir transmis aux Commissaires aux comptes de la Société toutes les indications utiles pour leur permettre de présenter leur rapport spécial sur les conventions visées à l’article L.225-38 du Code de commerce.</w:t>
      </w:r>
    </w:p>
    <w:p w14:paraId="56448EB9" w14:textId="77777777" w:rsidR="00636659" w:rsidRPr="00636659" w:rsidRDefault="00636659" w:rsidP="00636659">
      <w:pPr>
        <w:rPr>
          <w:szCs w:val="22"/>
        </w:rPr>
      </w:pPr>
    </w:p>
    <w:p w14:paraId="1F242D8B" w14:textId="77777777" w:rsidR="00636659" w:rsidRPr="00636659" w:rsidRDefault="00636659" w:rsidP="00636659">
      <w:pPr>
        <w:rPr>
          <w:szCs w:val="22"/>
        </w:rPr>
      </w:pPr>
      <w:r w:rsidRPr="00636659">
        <w:rPr>
          <w:szCs w:val="22"/>
        </w:rPr>
        <w:t>Nous vous informons également qu’il n’y a pas eu de conventions relevant de l’article L.225-37-4 du Code de commerce.</w:t>
      </w:r>
    </w:p>
    <w:p w14:paraId="52FD0F8A" w14:textId="77777777" w:rsidR="00E520C1" w:rsidRPr="00127FEA" w:rsidRDefault="00E520C1" w:rsidP="00E520C1">
      <w:pPr>
        <w:rPr>
          <w:szCs w:val="22"/>
          <w:highlight w:val="yellow"/>
        </w:rPr>
      </w:pPr>
    </w:p>
    <w:p w14:paraId="514A0456" w14:textId="77777777" w:rsidR="00E520C1" w:rsidRPr="00524581" w:rsidRDefault="00E520C1" w:rsidP="00E520C1">
      <w:pPr>
        <w:rPr>
          <w:szCs w:val="22"/>
        </w:rPr>
      </w:pPr>
    </w:p>
    <w:p w14:paraId="1F9543F7" w14:textId="77777777" w:rsidR="00E520C1" w:rsidRPr="00524581" w:rsidRDefault="00E520C1" w:rsidP="00D032FF">
      <w:pPr>
        <w:pStyle w:val="Paragraphedeliste"/>
        <w:numPr>
          <w:ilvl w:val="0"/>
          <w:numId w:val="24"/>
        </w:numPr>
        <w:ind w:left="567" w:hanging="567"/>
        <w:jc w:val="both"/>
        <w:rPr>
          <w:b/>
          <w:szCs w:val="22"/>
        </w:rPr>
      </w:pPr>
      <w:r w:rsidRPr="00524581">
        <w:rPr>
          <w:b/>
          <w:szCs w:val="22"/>
        </w:rPr>
        <w:t>DELEGATIONS EN MATIERE D’AUGMENTATION DE CAPITAL</w:t>
      </w:r>
    </w:p>
    <w:p w14:paraId="3C5D23B6" w14:textId="77777777" w:rsidR="00E520C1" w:rsidRPr="00127FEA" w:rsidRDefault="00E520C1" w:rsidP="00E520C1">
      <w:pPr>
        <w:rPr>
          <w:szCs w:val="22"/>
          <w:highlight w:val="yellow"/>
        </w:rPr>
      </w:pPr>
    </w:p>
    <w:p w14:paraId="53CDD3D5" w14:textId="77777777" w:rsidR="00636659" w:rsidRPr="00636659" w:rsidRDefault="00636659" w:rsidP="00636659">
      <w:pPr>
        <w:jc w:val="both"/>
        <w:rPr>
          <w:szCs w:val="22"/>
        </w:rPr>
      </w:pPr>
      <w:r w:rsidRPr="00636659">
        <w:rPr>
          <w:szCs w:val="22"/>
        </w:rPr>
        <w:t>Conformément aux dispositions de l’article L.225-37-4, 3° du Code de commerce, nous vous informons qu’il n’y a pas de délégations de pouvoirs et/ou de compétences accordées par l’Assemblée Générale au Conseil d’administration en matière d’augmentation de capital en application des dispositions des articles L.225-129-1 et L.225-129-2 dudit Code.</w:t>
      </w:r>
    </w:p>
    <w:p w14:paraId="31DD8C1C" w14:textId="77777777" w:rsidR="00E520C1" w:rsidRPr="00127FEA" w:rsidRDefault="00E520C1" w:rsidP="00E520C1">
      <w:pPr>
        <w:rPr>
          <w:szCs w:val="22"/>
          <w:highlight w:val="yellow"/>
        </w:rPr>
      </w:pPr>
    </w:p>
    <w:p w14:paraId="1B54D4D5" w14:textId="77777777" w:rsidR="00E520C1" w:rsidRPr="00127FEA" w:rsidRDefault="00E520C1" w:rsidP="00E520C1">
      <w:pPr>
        <w:rPr>
          <w:szCs w:val="22"/>
          <w:highlight w:val="yellow"/>
        </w:rPr>
      </w:pPr>
    </w:p>
    <w:p w14:paraId="2075ADDF" w14:textId="77777777" w:rsidR="00E520C1" w:rsidRPr="00524581" w:rsidRDefault="00E520C1" w:rsidP="00D032FF">
      <w:pPr>
        <w:pStyle w:val="Paragraphedeliste"/>
        <w:numPr>
          <w:ilvl w:val="0"/>
          <w:numId w:val="24"/>
        </w:numPr>
        <w:ind w:left="567" w:hanging="567"/>
        <w:jc w:val="both"/>
        <w:rPr>
          <w:b/>
          <w:szCs w:val="22"/>
        </w:rPr>
      </w:pPr>
      <w:r w:rsidRPr="00524581">
        <w:rPr>
          <w:b/>
          <w:szCs w:val="22"/>
        </w:rPr>
        <w:t xml:space="preserve">ELEMENTS SUSCEPTIBLES D’AVOIR UNE INCIDENCE EN CAS D’OFFRE PUBLIQUE D’ACHAT OU D’ECHANGE (ARTICLE L.225-37-5 DU CODE DE COMMERCE) </w:t>
      </w:r>
    </w:p>
    <w:p w14:paraId="5D9C0A38" w14:textId="77777777" w:rsidR="00E520C1" w:rsidRPr="00127FEA" w:rsidRDefault="00E520C1" w:rsidP="00E520C1">
      <w:pPr>
        <w:rPr>
          <w:szCs w:val="22"/>
          <w:highlight w:val="yellow"/>
        </w:rPr>
      </w:pPr>
    </w:p>
    <w:p w14:paraId="5BE16A84" w14:textId="77777777" w:rsidR="00636659" w:rsidRPr="00636659" w:rsidRDefault="00636659" w:rsidP="00636659">
      <w:pPr>
        <w:jc w:val="both"/>
        <w:rPr>
          <w:szCs w:val="22"/>
        </w:rPr>
      </w:pPr>
      <w:r w:rsidRPr="00636659">
        <w:rPr>
          <w:szCs w:val="22"/>
        </w:rPr>
        <w:t>Au 31 décembre 2019, La Banque Postale détenait 20 999 999 actions sur les 21 000 000 qui composent le capital social de la Société, soit 99,99 % du capital social.</w:t>
      </w:r>
    </w:p>
    <w:p w14:paraId="71C034E0" w14:textId="77777777" w:rsidR="00636659" w:rsidRPr="00636659" w:rsidRDefault="00636659" w:rsidP="00636659">
      <w:pPr>
        <w:jc w:val="both"/>
        <w:rPr>
          <w:szCs w:val="22"/>
        </w:rPr>
      </w:pPr>
    </w:p>
    <w:p w14:paraId="75B956EE" w14:textId="77777777" w:rsidR="00636659" w:rsidRPr="00636659" w:rsidRDefault="00636659" w:rsidP="00636659">
      <w:pPr>
        <w:jc w:val="both"/>
        <w:rPr>
          <w:szCs w:val="22"/>
        </w:rPr>
      </w:pPr>
      <w:r w:rsidRPr="00636659">
        <w:rPr>
          <w:szCs w:val="22"/>
        </w:rPr>
        <w:t>Conformément aux dispositions de l’article L.225-1 du Code de commerce, un second actionnaire détient une action de la Société.</w:t>
      </w:r>
    </w:p>
    <w:p w14:paraId="6248D57B" w14:textId="77777777" w:rsidR="00636659" w:rsidRPr="00636659" w:rsidRDefault="00636659" w:rsidP="00636659">
      <w:pPr>
        <w:jc w:val="both"/>
        <w:rPr>
          <w:szCs w:val="22"/>
        </w:rPr>
      </w:pPr>
    </w:p>
    <w:p w14:paraId="5D3DE898" w14:textId="2B10FB7E" w:rsidR="00926ADF" w:rsidRDefault="00636659" w:rsidP="007650FD">
      <w:pPr>
        <w:rPr>
          <w:rFonts w:cs="Arial"/>
          <w:szCs w:val="22"/>
        </w:rPr>
      </w:pPr>
      <w:r w:rsidRPr="00636659">
        <w:rPr>
          <w:szCs w:val="22"/>
        </w:rPr>
        <w:t>Il n’existe aucun autre élément susceptible d’avoir une incidence en cas d’offre publique d’achat ou d’échange.</w:t>
      </w:r>
      <w:r w:rsidR="00926ADF" w:rsidRPr="00926ADF">
        <w:rPr>
          <w:rFonts w:cs="Arial"/>
          <w:szCs w:val="22"/>
        </w:rPr>
        <w:t xml:space="preserve"> </w:t>
      </w:r>
      <w:r w:rsidR="00926ADF">
        <w:rPr>
          <w:rFonts w:cs="Arial"/>
          <w:szCs w:val="22"/>
        </w:rPr>
        <w:t>Le Conseil d’administration</w:t>
      </w:r>
    </w:p>
    <w:p w14:paraId="5E204BA5" w14:textId="77777777" w:rsidR="00E520C1" w:rsidRPr="00524581" w:rsidRDefault="00E520C1" w:rsidP="00E520C1">
      <w:pPr>
        <w:jc w:val="center"/>
        <w:rPr>
          <w:rFonts w:cs="Arial"/>
          <w:b/>
          <w:szCs w:val="22"/>
        </w:rPr>
      </w:pPr>
      <w:r w:rsidRPr="00524581">
        <w:rPr>
          <w:rFonts w:cs="Arial"/>
          <w:b/>
          <w:szCs w:val="22"/>
        </w:rPr>
        <w:t>Annexe 1</w:t>
      </w:r>
    </w:p>
    <w:p w14:paraId="54B51720" w14:textId="45CC75D5" w:rsidR="00AC1E4C" w:rsidRPr="0058465B" w:rsidRDefault="00AC1E4C" w:rsidP="00AC1E4C">
      <w:pPr>
        <w:jc w:val="center"/>
        <w:rPr>
          <w:b/>
          <w:szCs w:val="22"/>
        </w:rPr>
      </w:pPr>
      <w:r w:rsidRPr="0058465B">
        <w:rPr>
          <w:b/>
          <w:szCs w:val="22"/>
        </w:rPr>
        <w:t>Liste de l'ensemble des mandats et fonctions exercés dans toute société</w:t>
      </w:r>
      <w:r w:rsidRPr="0058465B">
        <w:rPr>
          <w:b/>
          <w:szCs w:val="22"/>
        </w:rPr>
        <w:br/>
        <w:t xml:space="preserve">par </w:t>
      </w:r>
      <w:r>
        <w:rPr>
          <w:b/>
          <w:szCs w:val="22"/>
        </w:rPr>
        <w:t>les</w:t>
      </w:r>
      <w:r w:rsidRPr="0058465B">
        <w:rPr>
          <w:b/>
          <w:szCs w:val="22"/>
        </w:rPr>
        <w:t xml:space="preserve"> mandataire</w:t>
      </w:r>
      <w:r>
        <w:rPr>
          <w:b/>
          <w:szCs w:val="22"/>
        </w:rPr>
        <w:t>s</w:t>
      </w:r>
      <w:r w:rsidRPr="0058465B">
        <w:rPr>
          <w:b/>
          <w:szCs w:val="22"/>
        </w:rPr>
        <w:t xml:space="preserve"> socia</w:t>
      </w:r>
      <w:r>
        <w:rPr>
          <w:b/>
          <w:szCs w:val="22"/>
        </w:rPr>
        <w:t>ux au 31 décembre</w:t>
      </w:r>
      <w:r w:rsidRPr="0058465B">
        <w:rPr>
          <w:b/>
          <w:szCs w:val="22"/>
        </w:rPr>
        <w:t xml:space="preserve"> 201</w:t>
      </w:r>
      <w:r>
        <w:rPr>
          <w:b/>
          <w:szCs w:val="22"/>
        </w:rPr>
        <w:t>9</w:t>
      </w:r>
    </w:p>
    <w:p w14:paraId="259B4E1C" w14:textId="61E6220C" w:rsidR="00524581" w:rsidRPr="0058465B" w:rsidRDefault="00524581" w:rsidP="00524581">
      <w:pPr>
        <w:jc w:val="center"/>
        <w:rPr>
          <w:b/>
          <w:szCs w:val="22"/>
        </w:rPr>
      </w:pPr>
    </w:p>
    <w:p w14:paraId="3F71336C" w14:textId="77777777" w:rsidR="00E520C1" w:rsidRPr="00127FEA" w:rsidRDefault="00E520C1" w:rsidP="00E520C1">
      <w:pPr>
        <w:rPr>
          <w:szCs w:val="22"/>
          <w:highlight w:val="yellow"/>
        </w:rPr>
      </w:pPr>
    </w:p>
    <w:p w14:paraId="74CE9923" w14:textId="77777777" w:rsidR="00E520C1" w:rsidRPr="00524581" w:rsidRDefault="00E520C1" w:rsidP="00E520C1">
      <w:pPr>
        <w:ind w:left="567"/>
        <w:rPr>
          <w:b/>
          <w:szCs w:val="22"/>
        </w:rPr>
      </w:pPr>
      <w:r w:rsidRPr="00524581">
        <w:rPr>
          <w:b/>
          <w:szCs w:val="22"/>
        </w:rPr>
        <w:t>DIRECTION GENERALE</w:t>
      </w:r>
    </w:p>
    <w:p w14:paraId="34D5CAED" w14:textId="77777777" w:rsidR="00E520C1" w:rsidRPr="00127FEA" w:rsidRDefault="00E520C1" w:rsidP="00524581">
      <w:pPr>
        <w:jc w:val="both"/>
        <w:rPr>
          <w:szCs w:val="22"/>
          <w:highlight w:val="yellow"/>
        </w:rPr>
      </w:pPr>
    </w:p>
    <w:p w14:paraId="1E1D4B7B" w14:textId="77777777" w:rsidR="00524581" w:rsidRDefault="00524581" w:rsidP="00524581">
      <w:pPr>
        <w:jc w:val="both"/>
        <w:rPr>
          <w:b/>
          <w:szCs w:val="22"/>
        </w:rPr>
      </w:pPr>
      <w:r w:rsidRPr="0058465B">
        <w:rPr>
          <w:b/>
          <w:szCs w:val="22"/>
        </w:rPr>
        <w:t>Monsieur Stéphane MAGNAN, Directeur Général :</w:t>
      </w:r>
      <w:r w:rsidRPr="0058465B" w:rsidDel="00057567">
        <w:rPr>
          <w:b/>
          <w:szCs w:val="22"/>
        </w:rPr>
        <w:t xml:space="preserve"> </w:t>
      </w:r>
      <w:r>
        <w:rPr>
          <w:b/>
          <w:szCs w:val="22"/>
        </w:rPr>
        <w:t xml:space="preserve"> </w:t>
      </w:r>
    </w:p>
    <w:p w14:paraId="64E56CD9" w14:textId="77777777" w:rsidR="00524581" w:rsidRDefault="00524581" w:rsidP="00524581">
      <w:pPr>
        <w:jc w:val="both"/>
        <w:rPr>
          <w:b/>
          <w:szCs w:val="22"/>
        </w:rPr>
      </w:pPr>
    </w:p>
    <w:p w14:paraId="508D9F64" w14:textId="77777777" w:rsidR="00524581" w:rsidRPr="00985E18" w:rsidRDefault="00524581" w:rsidP="00D032FF">
      <w:pPr>
        <w:pStyle w:val="Paragraphedeliste"/>
        <w:numPr>
          <w:ilvl w:val="0"/>
          <w:numId w:val="30"/>
        </w:numPr>
        <w:ind w:left="284" w:hanging="284"/>
        <w:jc w:val="both"/>
        <w:rPr>
          <w:szCs w:val="22"/>
        </w:rPr>
      </w:pPr>
      <w:r>
        <w:rPr>
          <w:szCs w:val="22"/>
        </w:rPr>
        <w:t xml:space="preserve">     </w:t>
      </w:r>
      <w:r w:rsidRPr="00985E18">
        <w:rPr>
          <w:szCs w:val="22"/>
        </w:rPr>
        <w:t>Directeur Général de La Banque Postale Home Loan SFH (SA)</w:t>
      </w:r>
    </w:p>
    <w:p w14:paraId="6428A202" w14:textId="77777777" w:rsidR="00524581" w:rsidRPr="0058465B" w:rsidRDefault="00524581" w:rsidP="00D032FF">
      <w:pPr>
        <w:pStyle w:val="Paragraphedeliste"/>
        <w:numPr>
          <w:ilvl w:val="0"/>
          <w:numId w:val="30"/>
        </w:numPr>
        <w:ind w:left="567" w:hanging="567"/>
        <w:jc w:val="both"/>
        <w:rPr>
          <w:szCs w:val="22"/>
        </w:rPr>
      </w:pPr>
      <w:r w:rsidRPr="0058465B">
        <w:rPr>
          <w:szCs w:val="22"/>
        </w:rPr>
        <w:t>Membre du Conseil de surveillance et du Comité d’audit</w:t>
      </w:r>
      <w:r>
        <w:rPr>
          <w:szCs w:val="22"/>
        </w:rPr>
        <w:t xml:space="preserve"> et des risques</w:t>
      </w:r>
      <w:r w:rsidRPr="0058465B">
        <w:rPr>
          <w:szCs w:val="22"/>
        </w:rPr>
        <w:t xml:space="preserve"> de La Banque Postale Asset Management (SA à directoire et conseil de surveillance)</w:t>
      </w:r>
    </w:p>
    <w:p w14:paraId="05DC0909" w14:textId="77777777" w:rsidR="00524581" w:rsidRDefault="00524581" w:rsidP="00524581">
      <w:pPr>
        <w:jc w:val="both"/>
        <w:rPr>
          <w:szCs w:val="22"/>
          <w:highlight w:val="yellow"/>
        </w:rPr>
      </w:pPr>
    </w:p>
    <w:p w14:paraId="65535DBB" w14:textId="77777777" w:rsidR="00524581" w:rsidRPr="0058465B" w:rsidRDefault="00524581" w:rsidP="00524581">
      <w:pPr>
        <w:jc w:val="both"/>
        <w:rPr>
          <w:szCs w:val="22"/>
          <w:highlight w:val="yellow"/>
        </w:rPr>
      </w:pPr>
    </w:p>
    <w:p w14:paraId="4A3FC95E" w14:textId="77777777" w:rsidR="00524581" w:rsidRDefault="00524581" w:rsidP="00524581">
      <w:pPr>
        <w:jc w:val="both"/>
        <w:rPr>
          <w:b/>
          <w:szCs w:val="22"/>
        </w:rPr>
      </w:pPr>
      <w:r w:rsidRPr="0058465B">
        <w:rPr>
          <w:b/>
          <w:szCs w:val="22"/>
        </w:rPr>
        <w:t>Monsieur Dominique HECKEL, Directeur Général Délégué :</w:t>
      </w:r>
    </w:p>
    <w:p w14:paraId="0C1CED59" w14:textId="77777777" w:rsidR="00524581" w:rsidRPr="0058465B" w:rsidRDefault="00524581" w:rsidP="00524581">
      <w:pPr>
        <w:jc w:val="both"/>
        <w:rPr>
          <w:b/>
          <w:szCs w:val="22"/>
        </w:rPr>
      </w:pPr>
    </w:p>
    <w:p w14:paraId="4CCA2CC6" w14:textId="77777777" w:rsidR="00524581" w:rsidRDefault="00524581" w:rsidP="00D032FF">
      <w:pPr>
        <w:pStyle w:val="Paragraphedeliste"/>
        <w:numPr>
          <w:ilvl w:val="0"/>
          <w:numId w:val="29"/>
        </w:numPr>
        <w:spacing w:before="120"/>
        <w:ind w:left="567" w:hanging="567"/>
        <w:jc w:val="both"/>
        <w:rPr>
          <w:szCs w:val="22"/>
        </w:rPr>
      </w:pPr>
      <w:r w:rsidRPr="0058465B">
        <w:rPr>
          <w:szCs w:val="22"/>
        </w:rPr>
        <w:t>Directeur Général Délégué de La Banque Postale Home Loan SFH (SA)</w:t>
      </w:r>
    </w:p>
    <w:p w14:paraId="03247FAD" w14:textId="77777777" w:rsidR="00524581" w:rsidRDefault="00524581" w:rsidP="00524581">
      <w:pPr>
        <w:pStyle w:val="Paragraphedeliste"/>
        <w:spacing w:before="120"/>
        <w:ind w:left="567"/>
        <w:jc w:val="both"/>
        <w:rPr>
          <w:szCs w:val="22"/>
        </w:rPr>
      </w:pPr>
    </w:p>
    <w:p w14:paraId="2A42B7DC" w14:textId="77777777" w:rsidR="00524581" w:rsidRDefault="00524581" w:rsidP="00524581">
      <w:pPr>
        <w:pStyle w:val="Paragraphedeliste"/>
        <w:spacing w:before="120"/>
        <w:ind w:left="567"/>
        <w:jc w:val="both"/>
        <w:rPr>
          <w:szCs w:val="22"/>
        </w:rPr>
      </w:pPr>
    </w:p>
    <w:p w14:paraId="5C944C9D" w14:textId="77777777" w:rsidR="00524581" w:rsidRDefault="00524581" w:rsidP="00524581">
      <w:pPr>
        <w:jc w:val="both"/>
        <w:rPr>
          <w:b/>
          <w:szCs w:val="22"/>
        </w:rPr>
      </w:pPr>
      <w:r w:rsidRPr="0058465B">
        <w:rPr>
          <w:b/>
          <w:szCs w:val="22"/>
        </w:rPr>
        <w:t xml:space="preserve">Monsieur </w:t>
      </w:r>
      <w:r>
        <w:rPr>
          <w:b/>
          <w:szCs w:val="22"/>
        </w:rPr>
        <w:t>Patrick PEAUCELLE</w:t>
      </w:r>
      <w:r w:rsidRPr="0058465B">
        <w:rPr>
          <w:b/>
          <w:szCs w:val="22"/>
        </w:rPr>
        <w:t>, Directeur Général Délégué :</w:t>
      </w:r>
    </w:p>
    <w:p w14:paraId="404BFDC6" w14:textId="77777777" w:rsidR="00524581" w:rsidRPr="0058465B" w:rsidRDefault="00524581" w:rsidP="00524581">
      <w:pPr>
        <w:jc w:val="both"/>
        <w:rPr>
          <w:b/>
          <w:szCs w:val="22"/>
        </w:rPr>
      </w:pPr>
    </w:p>
    <w:p w14:paraId="28353E66" w14:textId="77777777" w:rsidR="00AC1E4C" w:rsidRPr="005C0433" w:rsidRDefault="00AC1E4C" w:rsidP="00AC1E4C">
      <w:pPr>
        <w:pStyle w:val="Paragraphedeliste"/>
        <w:numPr>
          <w:ilvl w:val="0"/>
          <w:numId w:val="29"/>
        </w:numPr>
        <w:spacing w:before="120"/>
        <w:ind w:left="567" w:hanging="567"/>
        <w:jc w:val="both"/>
        <w:rPr>
          <w:szCs w:val="22"/>
        </w:rPr>
      </w:pPr>
      <w:r w:rsidRPr="005C0433">
        <w:rPr>
          <w:szCs w:val="22"/>
        </w:rPr>
        <w:t xml:space="preserve">Directeur Général Délégué de La Banque Postale Home Loan SFH (SA) </w:t>
      </w:r>
    </w:p>
    <w:p w14:paraId="219C6F70" w14:textId="77777777" w:rsidR="00524581" w:rsidRPr="00FB08F2" w:rsidRDefault="00524581" w:rsidP="00524581">
      <w:pPr>
        <w:spacing w:before="120"/>
        <w:rPr>
          <w:szCs w:val="22"/>
        </w:rPr>
      </w:pPr>
    </w:p>
    <w:p w14:paraId="148A4867" w14:textId="77777777" w:rsidR="00E520C1" w:rsidRPr="00524581" w:rsidRDefault="00E520C1" w:rsidP="00E520C1">
      <w:pPr>
        <w:ind w:left="567"/>
        <w:rPr>
          <w:b/>
          <w:szCs w:val="22"/>
        </w:rPr>
      </w:pPr>
      <w:r w:rsidRPr="00524581">
        <w:rPr>
          <w:b/>
          <w:szCs w:val="22"/>
        </w:rPr>
        <w:t>CONSEIL D’ADMINISTRATION</w:t>
      </w:r>
    </w:p>
    <w:p w14:paraId="78D4CF37" w14:textId="77777777" w:rsidR="00AC1E4C" w:rsidRDefault="00AC1E4C" w:rsidP="00AC1E4C">
      <w:pPr>
        <w:jc w:val="both"/>
        <w:rPr>
          <w:b/>
          <w:szCs w:val="22"/>
        </w:rPr>
      </w:pPr>
    </w:p>
    <w:p w14:paraId="031A4A28" w14:textId="4CB18E6A" w:rsidR="00AC1E4C" w:rsidRPr="00AC1E4C" w:rsidRDefault="00AC1E4C" w:rsidP="00AC1E4C">
      <w:pPr>
        <w:jc w:val="both"/>
        <w:rPr>
          <w:b/>
          <w:szCs w:val="22"/>
        </w:rPr>
      </w:pPr>
      <w:r w:rsidRPr="00AC1E4C">
        <w:rPr>
          <w:b/>
          <w:szCs w:val="22"/>
        </w:rPr>
        <w:t>Monsieur François G</w:t>
      </w:r>
      <w:r w:rsidR="00926ADF">
        <w:rPr>
          <w:b/>
          <w:szCs w:val="22"/>
        </w:rPr>
        <w:t>ERONDE</w:t>
      </w:r>
      <w:r w:rsidRPr="00AC1E4C">
        <w:rPr>
          <w:b/>
          <w:szCs w:val="22"/>
        </w:rPr>
        <w:t>, Président du Conseil d'administration, membre du Comité des comptes et membre du Comité des risques  depuis le 25 septembre 2019:</w:t>
      </w:r>
    </w:p>
    <w:p w14:paraId="267C25D0" w14:textId="062F405F" w:rsidR="00AC1E4C" w:rsidRPr="00AC1E4C" w:rsidRDefault="00AC1E4C" w:rsidP="00AC1E4C">
      <w:pPr>
        <w:pStyle w:val="Paragraphedeliste"/>
        <w:numPr>
          <w:ilvl w:val="0"/>
          <w:numId w:val="29"/>
        </w:numPr>
        <w:spacing w:before="120"/>
        <w:ind w:left="567" w:hanging="567"/>
        <w:jc w:val="both"/>
        <w:rPr>
          <w:szCs w:val="22"/>
        </w:rPr>
      </w:pPr>
      <w:r w:rsidRPr="00AC1E4C">
        <w:rPr>
          <w:szCs w:val="22"/>
        </w:rPr>
        <w:t>Directeur Financier de La Banque Postale (SA à directoire et conseil de surveillance)</w:t>
      </w:r>
    </w:p>
    <w:p w14:paraId="03C353DD" w14:textId="67BE2F73" w:rsidR="00AC1E4C" w:rsidRPr="00AC1E4C" w:rsidRDefault="00AC1E4C" w:rsidP="00AC1E4C">
      <w:pPr>
        <w:pStyle w:val="Paragraphedeliste"/>
        <w:numPr>
          <w:ilvl w:val="0"/>
          <w:numId w:val="29"/>
        </w:numPr>
        <w:spacing w:before="120"/>
        <w:ind w:left="567" w:hanging="567"/>
        <w:jc w:val="both"/>
        <w:rPr>
          <w:szCs w:val="22"/>
        </w:rPr>
      </w:pPr>
      <w:r w:rsidRPr="00AC1E4C">
        <w:rPr>
          <w:szCs w:val="22"/>
        </w:rPr>
        <w:t>Administrateur, Directeur Général de SF2 (SA)</w:t>
      </w:r>
    </w:p>
    <w:p w14:paraId="7774FAB5" w14:textId="5DC53E13" w:rsidR="00AC1E4C" w:rsidRPr="00AC1E4C" w:rsidRDefault="00AC1E4C" w:rsidP="00AC1E4C">
      <w:pPr>
        <w:pStyle w:val="Paragraphedeliste"/>
        <w:numPr>
          <w:ilvl w:val="0"/>
          <w:numId w:val="29"/>
        </w:numPr>
        <w:spacing w:before="120"/>
        <w:ind w:left="567" w:hanging="567"/>
        <w:jc w:val="both"/>
        <w:rPr>
          <w:szCs w:val="22"/>
        </w:rPr>
      </w:pPr>
      <w:r w:rsidRPr="00AC1E4C">
        <w:rPr>
          <w:szCs w:val="22"/>
        </w:rPr>
        <w:t>Membre du Conseil de surveillance, Président du Comité d’audit et des risques, de LBPAM (SA à directoire et conseil de surveillance)</w:t>
      </w:r>
    </w:p>
    <w:p w14:paraId="5DC2DF26" w14:textId="72EB3644" w:rsidR="00AC1E4C" w:rsidRPr="00AC1E4C" w:rsidRDefault="00AC1E4C" w:rsidP="00AC1E4C">
      <w:pPr>
        <w:pStyle w:val="Paragraphedeliste"/>
        <w:numPr>
          <w:ilvl w:val="0"/>
          <w:numId w:val="29"/>
        </w:numPr>
        <w:spacing w:before="120"/>
        <w:ind w:left="567" w:hanging="567"/>
        <w:jc w:val="both"/>
        <w:rPr>
          <w:szCs w:val="22"/>
        </w:rPr>
      </w:pPr>
      <w:r w:rsidRPr="00AC1E4C">
        <w:rPr>
          <w:szCs w:val="22"/>
        </w:rPr>
        <w:t>Administrateur, membre du comité d’audit et des  risques et membre du Comité financier de LBP Assurances IARD (SA)</w:t>
      </w:r>
    </w:p>
    <w:p w14:paraId="17F79624" w14:textId="448DC6F7" w:rsidR="00AC1E4C" w:rsidRPr="00AC1E4C" w:rsidRDefault="00AC1E4C" w:rsidP="00AC1E4C">
      <w:pPr>
        <w:pStyle w:val="Paragraphedeliste"/>
        <w:numPr>
          <w:ilvl w:val="0"/>
          <w:numId w:val="29"/>
        </w:numPr>
        <w:spacing w:before="120"/>
        <w:ind w:left="567" w:hanging="567"/>
        <w:jc w:val="both"/>
        <w:rPr>
          <w:szCs w:val="22"/>
        </w:rPr>
      </w:pPr>
      <w:r w:rsidRPr="00AC1E4C">
        <w:rPr>
          <w:szCs w:val="22"/>
        </w:rPr>
        <w:t>Président du Conseil d’administration, membre du Comité des comptes et membre du Comité des risques de La Banque Postale Home Loan SFH (SA)</w:t>
      </w:r>
    </w:p>
    <w:p w14:paraId="104794AF" w14:textId="0E16B9BD" w:rsidR="00AC1E4C" w:rsidRPr="00AC1E4C" w:rsidRDefault="00AC1E4C" w:rsidP="00AC1E4C">
      <w:pPr>
        <w:pStyle w:val="Paragraphedeliste"/>
        <w:numPr>
          <w:ilvl w:val="0"/>
          <w:numId w:val="29"/>
        </w:numPr>
        <w:spacing w:before="120"/>
        <w:ind w:left="567" w:hanging="567"/>
        <w:jc w:val="both"/>
        <w:rPr>
          <w:szCs w:val="22"/>
        </w:rPr>
      </w:pPr>
      <w:r w:rsidRPr="00AC1E4C">
        <w:rPr>
          <w:szCs w:val="22"/>
        </w:rPr>
        <w:t>Représentant permanent de SF2, administrateur, Président du Comité d’audit et des risques de LBP Prévoyance (SA)</w:t>
      </w:r>
    </w:p>
    <w:p w14:paraId="251FBA7E" w14:textId="18E0507E" w:rsidR="00AC1E4C" w:rsidRPr="00AC1E4C" w:rsidRDefault="00AC1E4C" w:rsidP="00AC1E4C">
      <w:pPr>
        <w:pStyle w:val="Paragraphedeliste"/>
        <w:numPr>
          <w:ilvl w:val="0"/>
          <w:numId w:val="29"/>
        </w:numPr>
        <w:spacing w:before="120"/>
        <w:ind w:left="567" w:hanging="567"/>
        <w:jc w:val="both"/>
        <w:rPr>
          <w:szCs w:val="22"/>
        </w:rPr>
      </w:pPr>
      <w:r w:rsidRPr="00AC1E4C">
        <w:rPr>
          <w:szCs w:val="22"/>
        </w:rPr>
        <w:t>Représentant permanent de La Banque Postale, administrateur, de LBP Assurance santé (SA)</w:t>
      </w:r>
    </w:p>
    <w:p w14:paraId="4D424119" w14:textId="707CBA87" w:rsidR="00AC1E4C" w:rsidRPr="00AC1E4C" w:rsidRDefault="00AC1E4C" w:rsidP="00AC1E4C">
      <w:pPr>
        <w:pStyle w:val="Paragraphedeliste"/>
        <w:numPr>
          <w:ilvl w:val="0"/>
          <w:numId w:val="29"/>
        </w:numPr>
        <w:spacing w:before="120"/>
        <w:ind w:left="567" w:hanging="567"/>
        <w:jc w:val="both"/>
        <w:rPr>
          <w:szCs w:val="22"/>
        </w:rPr>
      </w:pPr>
      <w:r w:rsidRPr="00AC1E4C">
        <w:rPr>
          <w:szCs w:val="22"/>
        </w:rPr>
        <w:t>Représentant permanent de SF2, administrateur de Suffren Ré (SA)</w:t>
      </w:r>
    </w:p>
    <w:p w14:paraId="01C8474F" w14:textId="7C0CB531" w:rsidR="00AC1E4C" w:rsidRPr="00AC1E4C" w:rsidRDefault="00AC1E4C" w:rsidP="00AC1E4C">
      <w:pPr>
        <w:pStyle w:val="Paragraphedeliste"/>
        <w:numPr>
          <w:ilvl w:val="0"/>
          <w:numId w:val="29"/>
        </w:numPr>
        <w:spacing w:before="120"/>
        <w:ind w:left="567" w:hanging="567"/>
        <w:jc w:val="both"/>
        <w:rPr>
          <w:szCs w:val="22"/>
        </w:rPr>
      </w:pPr>
      <w:r w:rsidRPr="00AC1E4C">
        <w:rPr>
          <w:szCs w:val="22"/>
        </w:rPr>
        <w:t>Représentant permanent de SF2, administrateur de Sèvres LBP1(SA)</w:t>
      </w:r>
    </w:p>
    <w:p w14:paraId="7B645266" w14:textId="0E90053A" w:rsidR="00AC1E4C" w:rsidRPr="00AC1E4C" w:rsidRDefault="00AC1E4C" w:rsidP="00AC1E4C">
      <w:pPr>
        <w:pStyle w:val="Paragraphedeliste"/>
        <w:numPr>
          <w:ilvl w:val="0"/>
          <w:numId w:val="29"/>
        </w:numPr>
        <w:spacing w:before="120"/>
        <w:ind w:left="567" w:hanging="567"/>
        <w:jc w:val="both"/>
        <w:rPr>
          <w:szCs w:val="22"/>
        </w:rPr>
      </w:pPr>
      <w:r w:rsidRPr="00AC1E4C">
        <w:rPr>
          <w:szCs w:val="22"/>
        </w:rPr>
        <w:t>Représentant permanent de SF2, administrateur de Sèvres de LBP 2 (SA)</w:t>
      </w:r>
    </w:p>
    <w:p w14:paraId="52BA15CE" w14:textId="47F9AF00" w:rsidR="00AC1E4C" w:rsidRPr="00AC1E4C" w:rsidRDefault="00AC1E4C" w:rsidP="00AC1E4C">
      <w:pPr>
        <w:pStyle w:val="Paragraphedeliste"/>
        <w:numPr>
          <w:ilvl w:val="0"/>
          <w:numId w:val="29"/>
        </w:numPr>
        <w:spacing w:before="120"/>
        <w:ind w:left="567" w:hanging="567"/>
        <w:jc w:val="both"/>
        <w:rPr>
          <w:szCs w:val="22"/>
        </w:rPr>
      </w:pPr>
      <w:r w:rsidRPr="00AC1E4C">
        <w:rPr>
          <w:szCs w:val="22"/>
        </w:rPr>
        <w:t>Représentant permanent de La Banque Postale, membre du Conseil de surveillance du Fonds de Garantie des Dépôts </w:t>
      </w:r>
    </w:p>
    <w:p w14:paraId="1808632C" w14:textId="77777777" w:rsidR="00E520C1" w:rsidRPr="00127FEA" w:rsidRDefault="00E520C1" w:rsidP="00E520C1">
      <w:pPr>
        <w:rPr>
          <w:szCs w:val="22"/>
          <w:highlight w:val="yellow"/>
        </w:rPr>
      </w:pPr>
    </w:p>
    <w:p w14:paraId="5258BCB3" w14:textId="77777777" w:rsidR="00E520C1" w:rsidRPr="00127FEA" w:rsidRDefault="00E520C1" w:rsidP="00E520C1">
      <w:pPr>
        <w:rPr>
          <w:szCs w:val="22"/>
          <w:highlight w:val="yellow"/>
        </w:rPr>
      </w:pPr>
    </w:p>
    <w:p w14:paraId="3634CA0D" w14:textId="77777777" w:rsidR="00524581" w:rsidRDefault="00524581" w:rsidP="00AC1E4C">
      <w:pPr>
        <w:keepNext/>
        <w:keepLines/>
        <w:jc w:val="both"/>
        <w:rPr>
          <w:b/>
          <w:szCs w:val="22"/>
        </w:rPr>
      </w:pPr>
      <w:r w:rsidRPr="0058465B">
        <w:rPr>
          <w:b/>
          <w:szCs w:val="22"/>
        </w:rPr>
        <w:t>Monsieur Serge BAYARD, administrateur :</w:t>
      </w:r>
    </w:p>
    <w:p w14:paraId="0E688E41" w14:textId="77777777" w:rsidR="00AC1E4C" w:rsidRPr="00AC1E4C" w:rsidRDefault="00AC1E4C" w:rsidP="00AC1E4C">
      <w:pPr>
        <w:pStyle w:val="Paragraphedeliste"/>
        <w:numPr>
          <w:ilvl w:val="0"/>
          <w:numId w:val="29"/>
        </w:numPr>
        <w:spacing w:before="120"/>
        <w:ind w:left="567" w:hanging="567"/>
        <w:jc w:val="both"/>
        <w:rPr>
          <w:szCs w:val="22"/>
        </w:rPr>
      </w:pPr>
      <w:r w:rsidRPr="00AC1E4C">
        <w:rPr>
          <w:szCs w:val="22"/>
        </w:rPr>
        <w:t>Président du Directoire de La Banque Postale Leasing &amp; Factoring (SA à directoire)</w:t>
      </w:r>
    </w:p>
    <w:p w14:paraId="5C261EC4" w14:textId="77777777" w:rsidR="00AC1E4C" w:rsidRPr="00AC1E4C" w:rsidRDefault="00AC1E4C" w:rsidP="00AC1E4C">
      <w:pPr>
        <w:pStyle w:val="Paragraphedeliste"/>
        <w:numPr>
          <w:ilvl w:val="0"/>
          <w:numId w:val="29"/>
        </w:numPr>
        <w:spacing w:before="120"/>
        <w:ind w:left="567" w:hanging="567"/>
        <w:jc w:val="both"/>
        <w:rPr>
          <w:szCs w:val="22"/>
        </w:rPr>
      </w:pPr>
      <w:r w:rsidRPr="00AC1E4C">
        <w:rPr>
          <w:szCs w:val="22"/>
        </w:rPr>
        <w:t>Président du Conseil d’administration de La Banque Postale Collectivités Locales (SA)</w:t>
      </w:r>
    </w:p>
    <w:p w14:paraId="3D772629" w14:textId="77777777" w:rsidR="00AC1E4C" w:rsidRPr="00AC1E4C" w:rsidRDefault="00AC1E4C" w:rsidP="00AC1E4C">
      <w:pPr>
        <w:pStyle w:val="Paragraphedeliste"/>
        <w:numPr>
          <w:ilvl w:val="0"/>
          <w:numId w:val="29"/>
        </w:numPr>
        <w:spacing w:before="120"/>
        <w:ind w:left="567" w:hanging="567"/>
        <w:jc w:val="both"/>
        <w:rPr>
          <w:szCs w:val="22"/>
        </w:rPr>
      </w:pPr>
      <w:r w:rsidRPr="00AC1E4C">
        <w:rPr>
          <w:szCs w:val="22"/>
        </w:rPr>
        <w:t>Administrateur de La Banque Postale Home Loan SFH (SA)</w:t>
      </w:r>
    </w:p>
    <w:p w14:paraId="1EFFCE62" w14:textId="77777777" w:rsidR="00AC1E4C" w:rsidRPr="00AC1E4C" w:rsidRDefault="00AC1E4C" w:rsidP="00AC1E4C">
      <w:pPr>
        <w:pStyle w:val="Paragraphedeliste"/>
        <w:numPr>
          <w:ilvl w:val="0"/>
          <w:numId w:val="29"/>
        </w:numPr>
        <w:spacing w:before="120"/>
        <w:ind w:left="567" w:hanging="567"/>
        <w:jc w:val="both"/>
        <w:rPr>
          <w:szCs w:val="22"/>
        </w:rPr>
      </w:pPr>
      <w:r w:rsidRPr="00AC1E4C">
        <w:rPr>
          <w:szCs w:val="22"/>
        </w:rPr>
        <w:t>Administrateur, membre du Comité des risques, membre du Comité interne, membre du Comité des Comptes de Société de Financement Local (SA)</w:t>
      </w:r>
    </w:p>
    <w:p w14:paraId="569D571F" w14:textId="77777777" w:rsidR="00AC1E4C" w:rsidRPr="00AC1E4C" w:rsidRDefault="00AC1E4C" w:rsidP="00AC1E4C">
      <w:pPr>
        <w:pStyle w:val="Paragraphedeliste"/>
        <w:numPr>
          <w:ilvl w:val="0"/>
          <w:numId w:val="29"/>
        </w:numPr>
        <w:spacing w:before="120"/>
        <w:ind w:left="567" w:hanging="567"/>
        <w:jc w:val="both"/>
        <w:rPr>
          <w:szCs w:val="22"/>
        </w:rPr>
      </w:pPr>
      <w:r w:rsidRPr="00AC1E4C">
        <w:rPr>
          <w:szCs w:val="22"/>
        </w:rPr>
        <w:t xml:space="preserve">Membre du Comité d’administration de KissKissBankBank &amp; Co. (SA) </w:t>
      </w:r>
    </w:p>
    <w:p w14:paraId="22381BC2" w14:textId="77777777" w:rsidR="00524581" w:rsidRPr="0058465B" w:rsidRDefault="00524581" w:rsidP="00524581">
      <w:pPr>
        <w:keepNext/>
        <w:keepLines/>
        <w:rPr>
          <w:b/>
          <w:szCs w:val="22"/>
        </w:rPr>
      </w:pPr>
    </w:p>
    <w:p w14:paraId="5F120FC4" w14:textId="77777777" w:rsidR="00E520C1" w:rsidRPr="00127FEA" w:rsidRDefault="00E520C1" w:rsidP="00E520C1">
      <w:pPr>
        <w:rPr>
          <w:szCs w:val="22"/>
          <w:highlight w:val="yellow"/>
        </w:rPr>
      </w:pPr>
    </w:p>
    <w:p w14:paraId="34A811E9" w14:textId="6E1C3F41" w:rsidR="00707B06" w:rsidRPr="00707B06" w:rsidRDefault="00AC1E4C" w:rsidP="00707B06">
      <w:pPr>
        <w:keepNext/>
        <w:keepLines/>
        <w:jc w:val="both"/>
        <w:rPr>
          <w:b/>
          <w:szCs w:val="22"/>
        </w:rPr>
      </w:pPr>
      <w:r w:rsidRPr="00AC1E4C">
        <w:rPr>
          <w:b/>
          <w:szCs w:val="22"/>
        </w:rPr>
        <w:t xml:space="preserve">Monsieur Tony BLANCO, représentant </w:t>
      </w:r>
      <w:r>
        <w:rPr>
          <w:b/>
          <w:szCs w:val="22"/>
        </w:rPr>
        <w:t xml:space="preserve">permanent de La Banque Postale, </w:t>
      </w:r>
      <w:r w:rsidRPr="00AC1E4C">
        <w:rPr>
          <w:b/>
          <w:szCs w:val="22"/>
        </w:rPr>
        <w:t>administrateur et Président du Comité des nominations</w:t>
      </w:r>
      <w:r w:rsidR="00707B06">
        <w:rPr>
          <w:b/>
          <w:szCs w:val="22"/>
        </w:rPr>
        <w:t> :</w:t>
      </w:r>
    </w:p>
    <w:p w14:paraId="2EC3D982" w14:textId="77777777" w:rsidR="00707B06" w:rsidRPr="00707B06" w:rsidRDefault="00707B06" w:rsidP="00707B06">
      <w:pPr>
        <w:pStyle w:val="Paragraphedeliste"/>
        <w:numPr>
          <w:ilvl w:val="0"/>
          <w:numId w:val="29"/>
        </w:numPr>
        <w:spacing w:before="120"/>
        <w:ind w:left="567" w:hanging="567"/>
        <w:jc w:val="both"/>
        <w:rPr>
          <w:szCs w:val="22"/>
        </w:rPr>
      </w:pPr>
      <w:r w:rsidRPr="00707B06">
        <w:rPr>
          <w:szCs w:val="22"/>
        </w:rPr>
        <w:t xml:space="preserve">Membre du Directoire et Secrétaire Général de La Banque Postale (SA à directoire et conseil de surveillance) </w:t>
      </w:r>
    </w:p>
    <w:p w14:paraId="76755638" w14:textId="19D17950" w:rsidR="00707B06" w:rsidRPr="00936FC1" w:rsidRDefault="00707B06" w:rsidP="007650FD">
      <w:pPr>
        <w:pStyle w:val="Paragraphedeliste"/>
        <w:numPr>
          <w:ilvl w:val="0"/>
          <w:numId w:val="29"/>
        </w:numPr>
        <w:spacing w:before="120"/>
        <w:ind w:left="567" w:hanging="567"/>
        <w:jc w:val="both"/>
        <w:rPr>
          <w:szCs w:val="22"/>
        </w:rPr>
      </w:pPr>
      <w:r w:rsidRPr="00936FC1">
        <w:rPr>
          <w:szCs w:val="22"/>
        </w:rPr>
        <w:t>Représentant permanent de SF2, membre du Conseil de surveillance</w:t>
      </w:r>
      <w:r w:rsidR="00936FC1" w:rsidRPr="00936FC1">
        <w:rPr>
          <w:szCs w:val="22"/>
        </w:rPr>
        <w:t>,</w:t>
      </w:r>
      <w:r w:rsidR="00135F66">
        <w:rPr>
          <w:szCs w:val="22"/>
        </w:rPr>
        <w:t xml:space="preserve"> </w:t>
      </w:r>
      <w:r w:rsidRPr="00936FC1">
        <w:rPr>
          <w:szCs w:val="22"/>
        </w:rPr>
        <w:t xml:space="preserve">Président du Comité des nominations, Président du Comité des risques, membre du Comité des rémunérations et membre du Comité d’audit de La Banque Postale Financement (SA à directoire et conseil de surveillance) </w:t>
      </w:r>
    </w:p>
    <w:p w14:paraId="0E799224" w14:textId="77777777" w:rsidR="00707B06" w:rsidRPr="00707B06" w:rsidRDefault="00707B06" w:rsidP="00707B06">
      <w:pPr>
        <w:pStyle w:val="Paragraphedeliste"/>
        <w:numPr>
          <w:ilvl w:val="0"/>
          <w:numId w:val="29"/>
        </w:numPr>
        <w:spacing w:before="120"/>
        <w:ind w:left="567" w:hanging="567"/>
        <w:jc w:val="both"/>
        <w:rPr>
          <w:szCs w:val="22"/>
        </w:rPr>
      </w:pPr>
      <w:r w:rsidRPr="00707B06">
        <w:rPr>
          <w:szCs w:val="22"/>
        </w:rPr>
        <w:t xml:space="preserve">Représentant permanent de La Banque Postale, administrateur et Président du Comité des nominations de La Banque Postale Home Loan SFH (SA) </w:t>
      </w:r>
    </w:p>
    <w:p w14:paraId="68E822DA" w14:textId="34E6D979" w:rsidR="00707B06" w:rsidRPr="00707B06" w:rsidRDefault="00707B06" w:rsidP="00707B06">
      <w:pPr>
        <w:pStyle w:val="Paragraphedeliste"/>
        <w:numPr>
          <w:ilvl w:val="0"/>
          <w:numId w:val="29"/>
        </w:numPr>
        <w:spacing w:before="120"/>
        <w:ind w:left="567" w:hanging="567"/>
        <w:jc w:val="both"/>
        <w:rPr>
          <w:szCs w:val="22"/>
        </w:rPr>
      </w:pPr>
      <w:r w:rsidRPr="00707B06">
        <w:rPr>
          <w:szCs w:val="22"/>
        </w:rPr>
        <w:t xml:space="preserve">Représentant permanent de SF2, administrateur et membre du Comité des rémunérations de Tocqueville Finance (SA) </w:t>
      </w:r>
    </w:p>
    <w:p w14:paraId="2C8DF2BE" w14:textId="77777777" w:rsidR="00707B06" w:rsidRPr="00707B06" w:rsidRDefault="00707B06" w:rsidP="00707B06">
      <w:pPr>
        <w:pStyle w:val="Paragraphedeliste"/>
        <w:numPr>
          <w:ilvl w:val="0"/>
          <w:numId w:val="29"/>
        </w:numPr>
        <w:spacing w:before="120"/>
        <w:ind w:left="567" w:hanging="567"/>
        <w:jc w:val="both"/>
        <w:rPr>
          <w:szCs w:val="22"/>
        </w:rPr>
      </w:pPr>
      <w:r w:rsidRPr="00707B06">
        <w:rPr>
          <w:szCs w:val="22"/>
        </w:rPr>
        <w:t xml:space="preserve">Représentant permanent de SF2, administrateur de Tocqueville Finance Holding (SAS) </w:t>
      </w:r>
    </w:p>
    <w:p w14:paraId="5CA62BED" w14:textId="77777777" w:rsidR="00707B06" w:rsidRPr="00707B06" w:rsidRDefault="00707B06" w:rsidP="00707B06">
      <w:pPr>
        <w:pStyle w:val="Paragraphedeliste"/>
        <w:numPr>
          <w:ilvl w:val="0"/>
          <w:numId w:val="29"/>
        </w:numPr>
        <w:spacing w:before="120"/>
        <w:ind w:left="567" w:hanging="567"/>
        <w:jc w:val="both"/>
        <w:rPr>
          <w:szCs w:val="22"/>
        </w:rPr>
      </w:pPr>
      <w:r w:rsidRPr="00707B06">
        <w:rPr>
          <w:szCs w:val="22"/>
        </w:rPr>
        <w:t xml:space="preserve">Administrateur et Président du Comité Financier de La Banque Postale Assurances IARD (SA) </w:t>
      </w:r>
    </w:p>
    <w:p w14:paraId="6DF0192F" w14:textId="77777777" w:rsidR="00707B06" w:rsidRPr="00707B06" w:rsidRDefault="00707B06" w:rsidP="00707B06">
      <w:pPr>
        <w:pStyle w:val="Paragraphedeliste"/>
        <w:numPr>
          <w:ilvl w:val="0"/>
          <w:numId w:val="29"/>
        </w:numPr>
        <w:spacing w:before="120"/>
        <w:ind w:left="567" w:hanging="567"/>
        <w:jc w:val="both"/>
        <w:rPr>
          <w:szCs w:val="22"/>
        </w:rPr>
      </w:pPr>
      <w:r w:rsidRPr="00707B06">
        <w:rPr>
          <w:szCs w:val="22"/>
        </w:rPr>
        <w:t>Administrateur de SF2 (SA)</w:t>
      </w:r>
    </w:p>
    <w:p w14:paraId="2F03041B" w14:textId="77777777" w:rsidR="00707B06" w:rsidRPr="00707B06" w:rsidRDefault="00707B06" w:rsidP="00707B06">
      <w:pPr>
        <w:pStyle w:val="Paragraphedeliste"/>
        <w:numPr>
          <w:ilvl w:val="0"/>
          <w:numId w:val="29"/>
        </w:numPr>
        <w:spacing w:before="120"/>
        <w:ind w:left="567" w:hanging="567"/>
        <w:jc w:val="both"/>
        <w:rPr>
          <w:szCs w:val="22"/>
        </w:rPr>
      </w:pPr>
      <w:r w:rsidRPr="00707B06">
        <w:rPr>
          <w:szCs w:val="22"/>
        </w:rPr>
        <w:t xml:space="preserve">Représentant permanent de La Banque Postale, membre du Conseil de surveillance, Président du Comité d’audit et des risques de La Banque Postale Asset Management (SA à directoire et conseil de surveillance) </w:t>
      </w:r>
    </w:p>
    <w:p w14:paraId="58BE3648" w14:textId="77777777" w:rsidR="00926ADF" w:rsidRDefault="00707B06" w:rsidP="00707B06">
      <w:pPr>
        <w:pStyle w:val="Paragraphedeliste"/>
        <w:numPr>
          <w:ilvl w:val="0"/>
          <w:numId w:val="29"/>
        </w:numPr>
        <w:spacing w:before="120"/>
        <w:ind w:left="567" w:hanging="567"/>
        <w:jc w:val="both"/>
        <w:rPr>
          <w:szCs w:val="22"/>
        </w:rPr>
      </w:pPr>
      <w:r w:rsidRPr="00707B06">
        <w:rPr>
          <w:szCs w:val="22"/>
        </w:rPr>
        <w:t>Représentant Permanent de La Banque Postale, administrateur de Suffren Ré (SA)</w:t>
      </w:r>
    </w:p>
    <w:p w14:paraId="21C1462B" w14:textId="1731B886" w:rsidR="00707B06" w:rsidRPr="00707B06" w:rsidRDefault="00707B06" w:rsidP="00707B06">
      <w:pPr>
        <w:pStyle w:val="Paragraphedeliste"/>
        <w:numPr>
          <w:ilvl w:val="0"/>
          <w:numId w:val="29"/>
        </w:numPr>
        <w:spacing w:before="120"/>
        <w:ind w:left="567" w:hanging="567"/>
        <w:jc w:val="both"/>
        <w:rPr>
          <w:szCs w:val="22"/>
        </w:rPr>
      </w:pPr>
      <w:r w:rsidRPr="00707B06">
        <w:rPr>
          <w:szCs w:val="22"/>
        </w:rPr>
        <w:t>Président du Conseil d’administration d’Ezyness (SAS)</w:t>
      </w:r>
    </w:p>
    <w:p w14:paraId="0EADA89B" w14:textId="77777777" w:rsidR="00707B06" w:rsidRPr="00707B06" w:rsidRDefault="00707B06" w:rsidP="00707B06">
      <w:pPr>
        <w:pStyle w:val="Paragraphedeliste"/>
        <w:numPr>
          <w:ilvl w:val="0"/>
          <w:numId w:val="29"/>
        </w:numPr>
        <w:spacing w:before="120"/>
        <w:ind w:left="567" w:hanging="567"/>
        <w:jc w:val="both"/>
        <w:rPr>
          <w:szCs w:val="22"/>
        </w:rPr>
      </w:pPr>
      <w:r w:rsidRPr="00707B06">
        <w:rPr>
          <w:szCs w:val="22"/>
        </w:rPr>
        <w:t>Vice-Président du Conseil de Transactis (SAS)</w:t>
      </w:r>
    </w:p>
    <w:p w14:paraId="3729F2A3" w14:textId="69809DAE" w:rsidR="00707B06" w:rsidRPr="00707B06" w:rsidRDefault="00707B06" w:rsidP="00707B06">
      <w:pPr>
        <w:pStyle w:val="Paragraphedeliste"/>
        <w:numPr>
          <w:ilvl w:val="0"/>
          <w:numId w:val="29"/>
        </w:numPr>
        <w:spacing w:before="120"/>
        <w:ind w:left="567" w:hanging="567"/>
        <w:jc w:val="both"/>
        <w:rPr>
          <w:szCs w:val="22"/>
        </w:rPr>
      </w:pPr>
      <w:r w:rsidRPr="00707B06">
        <w:rPr>
          <w:szCs w:val="22"/>
        </w:rPr>
        <w:t>Administrateur de Sopassure (SA)</w:t>
      </w:r>
    </w:p>
    <w:p w14:paraId="5F4E371F" w14:textId="6A78CB36" w:rsidR="00707B06" w:rsidRDefault="00707B06" w:rsidP="00707B06">
      <w:pPr>
        <w:pStyle w:val="Paragraphedeliste"/>
        <w:numPr>
          <w:ilvl w:val="0"/>
          <w:numId w:val="29"/>
        </w:numPr>
        <w:spacing w:before="120"/>
        <w:ind w:left="567" w:hanging="567"/>
        <w:jc w:val="both"/>
        <w:rPr>
          <w:szCs w:val="22"/>
        </w:rPr>
      </w:pPr>
      <w:r w:rsidRPr="00707B06">
        <w:rPr>
          <w:szCs w:val="22"/>
        </w:rPr>
        <w:t>Administrateur d’OCBF</w:t>
      </w:r>
      <w:r w:rsidR="006F7ABF">
        <w:rPr>
          <w:szCs w:val="22"/>
        </w:rPr>
        <w:t xml:space="preserve"> </w:t>
      </w:r>
      <w:r w:rsidR="00926ADF">
        <w:rPr>
          <w:szCs w:val="22"/>
        </w:rPr>
        <w:t>(</w:t>
      </w:r>
      <w:r w:rsidRPr="00707B06">
        <w:rPr>
          <w:szCs w:val="22"/>
        </w:rPr>
        <w:t>association</w:t>
      </w:r>
      <w:r w:rsidR="00926ADF">
        <w:rPr>
          <w:szCs w:val="22"/>
        </w:rPr>
        <w:t>)</w:t>
      </w:r>
    </w:p>
    <w:p w14:paraId="47DDCC97" w14:textId="77777777" w:rsidR="00707B06" w:rsidRDefault="00707B06" w:rsidP="00707B06">
      <w:pPr>
        <w:pStyle w:val="Paragraphedeliste"/>
        <w:spacing w:before="120"/>
        <w:ind w:left="567"/>
        <w:jc w:val="both"/>
        <w:rPr>
          <w:szCs w:val="22"/>
        </w:rPr>
      </w:pPr>
    </w:p>
    <w:p w14:paraId="76656D61" w14:textId="543F402D" w:rsidR="00707B06" w:rsidRPr="00707B06" w:rsidRDefault="00707B06" w:rsidP="00707B06">
      <w:pPr>
        <w:rPr>
          <w:b/>
          <w:szCs w:val="22"/>
        </w:rPr>
      </w:pPr>
      <w:r w:rsidRPr="00707B06">
        <w:rPr>
          <w:b/>
          <w:szCs w:val="22"/>
        </w:rPr>
        <w:t xml:space="preserve">Monsieur Pierre </w:t>
      </w:r>
      <w:r w:rsidR="00926ADF">
        <w:rPr>
          <w:b/>
          <w:szCs w:val="22"/>
        </w:rPr>
        <w:t>de</w:t>
      </w:r>
      <w:r w:rsidRPr="00707B06">
        <w:rPr>
          <w:b/>
          <w:szCs w:val="22"/>
        </w:rPr>
        <w:t xml:space="preserve"> BUHREN, administrateur,</w:t>
      </w:r>
      <w:r w:rsidR="00135F66">
        <w:rPr>
          <w:b/>
          <w:szCs w:val="22"/>
        </w:rPr>
        <w:t xml:space="preserve"> </w:t>
      </w:r>
      <w:r w:rsidRPr="00707B06">
        <w:rPr>
          <w:b/>
          <w:szCs w:val="22"/>
        </w:rPr>
        <w:t>membre du Comité des nominations depuis le 19 novembre 2019</w:t>
      </w:r>
      <w:r>
        <w:rPr>
          <w:b/>
          <w:szCs w:val="22"/>
        </w:rPr>
        <w:t> :</w:t>
      </w:r>
    </w:p>
    <w:p w14:paraId="2C22242A" w14:textId="77777777" w:rsidR="00707B06" w:rsidRPr="00707B06" w:rsidRDefault="00707B06" w:rsidP="00707B06">
      <w:pPr>
        <w:pStyle w:val="Paragraphedeliste"/>
        <w:rPr>
          <w:b/>
          <w:szCs w:val="22"/>
        </w:rPr>
      </w:pPr>
    </w:p>
    <w:p w14:paraId="34D237E6" w14:textId="64D0714F" w:rsidR="00707B06" w:rsidRPr="00707B06" w:rsidRDefault="00707B06" w:rsidP="00707B06">
      <w:pPr>
        <w:pStyle w:val="Paragraphedeliste"/>
        <w:numPr>
          <w:ilvl w:val="0"/>
          <w:numId w:val="29"/>
        </w:numPr>
        <w:spacing w:before="120"/>
        <w:ind w:left="567" w:hanging="567"/>
        <w:jc w:val="both"/>
        <w:rPr>
          <w:szCs w:val="22"/>
        </w:rPr>
      </w:pPr>
      <w:r w:rsidRPr="00707B06">
        <w:rPr>
          <w:szCs w:val="22"/>
        </w:rPr>
        <w:t>Administrateur de LBP Immobilier Conseil (SAS)</w:t>
      </w:r>
    </w:p>
    <w:p w14:paraId="7FB747D2" w14:textId="6C5DFBE0" w:rsidR="00707B06" w:rsidRPr="00707B06" w:rsidRDefault="00707B06" w:rsidP="00707B06">
      <w:pPr>
        <w:pStyle w:val="Paragraphedeliste"/>
        <w:numPr>
          <w:ilvl w:val="0"/>
          <w:numId w:val="29"/>
        </w:numPr>
        <w:spacing w:before="120"/>
        <w:ind w:left="567" w:hanging="567"/>
        <w:jc w:val="both"/>
        <w:rPr>
          <w:szCs w:val="22"/>
        </w:rPr>
      </w:pPr>
      <w:r w:rsidRPr="00707B06">
        <w:rPr>
          <w:szCs w:val="22"/>
        </w:rPr>
        <w:t>Administrateur et membre du Comité d’audit de Tocqueville Finance (SA)</w:t>
      </w:r>
    </w:p>
    <w:p w14:paraId="354B3841" w14:textId="1E936335" w:rsidR="00707B06" w:rsidRPr="00707B06" w:rsidRDefault="00707B06" w:rsidP="00707B06">
      <w:pPr>
        <w:pStyle w:val="Paragraphedeliste"/>
        <w:numPr>
          <w:ilvl w:val="0"/>
          <w:numId w:val="29"/>
        </w:numPr>
        <w:spacing w:before="120"/>
        <w:ind w:left="567" w:hanging="567"/>
        <w:jc w:val="both"/>
        <w:rPr>
          <w:szCs w:val="22"/>
        </w:rPr>
      </w:pPr>
      <w:r w:rsidRPr="00707B06">
        <w:rPr>
          <w:szCs w:val="22"/>
        </w:rPr>
        <w:t>Administrateur de Tocqueville Finance Holding (SAS)</w:t>
      </w:r>
    </w:p>
    <w:p w14:paraId="21B9DDEC" w14:textId="37F8F4B4" w:rsidR="00707B06" w:rsidRPr="00707B06" w:rsidRDefault="00707B06" w:rsidP="00707B06">
      <w:pPr>
        <w:pStyle w:val="Paragraphedeliste"/>
        <w:numPr>
          <w:ilvl w:val="0"/>
          <w:numId w:val="29"/>
        </w:numPr>
        <w:spacing w:before="120"/>
        <w:ind w:left="567" w:hanging="567"/>
        <w:jc w:val="both"/>
        <w:rPr>
          <w:szCs w:val="22"/>
        </w:rPr>
      </w:pPr>
      <w:r w:rsidRPr="00707B06">
        <w:rPr>
          <w:szCs w:val="22"/>
        </w:rPr>
        <w:t>Membre du Conseil de surveillance et membre du Comité d’audit et des Risques de BPE (SA),</w:t>
      </w:r>
    </w:p>
    <w:p w14:paraId="72836512" w14:textId="27EB9BC7" w:rsidR="00707B06" w:rsidRPr="00707B06" w:rsidRDefault="00707B06" w:rsidP="00707B06">
      <w:pPr>
        <w:pStyle w:val="Paragraphedeliste"/>
        <w:numPr>
          <w:ilvl w:val="0"/>
          <w:numId w:val="29"/>
        </w:numPr>
        <w:spacing w:before="120"/>
        <w:ind w:left="567" w:hanging="567"/>
        <w:jc w:val="both"/>
        <w:rPr>
          <w:szCs w:val="22"/>
        </w:rPr>
      </w:pPr>
      <w:r w:rsidRPr="00707B06">
        <w:rPr>
          <w:szCs w:val="22"/>
        </w:rPr>
        <w:t>Représentant permanent de La Banque Postale, administrateur d’AEW (SA)</w:t>
      </w:r>
    </w:p>
    <w:p w14:paraId="35C9688A" w14:textId="3C5E0658" w:rsidR="00707B06" w:rsidRPr="00707B06" w:rsidRDefault="00707B06" w:rsidP="00707B06">
      <w:pPr>
        <w:pStyle w:val="Paragraphedeliste"/>
        <w:numPr>
          <w:ilvl w:val="0"/>
          <w:numId w:val="29"/>
        </w:numPr>
        <w:spacing w:before="120"/>
        <w:ind w:left="567" w:hanging="567"/>
        <w:jc w:val="both"/>
        <w:rPr>
          <w:szCs w:val="22"/>
        </w:rPr>
      </w:pPr>
      <w:r w:rsidRPr="00707B06">
        <w:rPr>
          <w:szCs w:val="22"/>
        </w:rPr>
        <w:t>Administrateur et membre du comité des nominations de LBP Home Loan SFH (SA)</w:t>
      </w:r>
    </w:p>
    <w:p w14:paraId="1782AB75" w14:textId="77777777" w:rsidR="00707B06" w:rsidRPr="00707B06" w:rsidRDefault="00707B06" w:rsidP="00707B06">
      <w:pPr>
        <w:spacing w:before="120"/>
        <w:jc w:val="both"/>
        <w:rPr>
          <w:szCs w:val="22"/>
        </w:rPr>
      </w:pPr>
    </w:p>
    <w:p w14:paraId="10E5B395" w14:textId="23349E42" w:rsidR="00E520C1" w:rsidRDefault="00E520C1" w:rsidP="00707B06">
      <w:pPr>
        <w:pStyle w:val="Paragraphedeliste"/>
        <w:keepNext/>
        <w:keepLines/>
        <w:ind w:left="426"/>
        <w:jc w:val="both"/>
        <w:rPr>
          <w:szCs w:val="22"/>
          <w:highlight w:val="yellow"/>
        </w:rPr>
      </w:pPr>
    </w:p>
    <w:p w14:paraId="238DE9FD" w14:textId="2D0EFA20" w:rsidR="00707B06" w:rsidRDefault="00707B06" w:rsidP="00707B06">
      <w:pPr>
        <w:rPr>
          <w:b/>
          <w:szCs w:val="22"/>
        </w:rPr>
      </w:pPr>
      <w:r>
        <w:rPr>
          <w:b/>
          <w:szCs w:val="22"/>
        </w:rPr>
        <w:t xml:space="preserve">Madame Tiphaine </w:t>
      </w:r>
      <w:r w:rsidR="00926ADF">
        <w:rPr>
          <w:b/>
          <w:szCs w:val="22"/>
        </w:rPr>
        <w:t>du</w:t>
      </w:r>
      <w:r>
        <w:rPr>
          <w:b/>
          <w:szCs w:val="22"/>
        </w:rPr>
        <w:t xml:space="preserve"> BOIS </w:t>
      </w:r>
      <w:r w:rsidR="00926ADF">
        <w:rPr>
          <w:b/>
          <w:szCs w:val="22"/>
        </w:rPr>
        <w:t>de</w:t>
      </w:r>
      <w:r>
        <w:rPr>
          <w:b/>
          <w:szCs w:val="22"/>
        </w:rPr>
        <w:t xml:space="preserve"> GAUDUSSON</w:t>
      </w:r>
      <w:r w:rsidRPr="0058465B">
        <w:rPr>
          <w:b/>
          <w:szCs w:val="22"/>
        </w:rPr>
        <w:t>, administrateur</w:t>
      </w:r>
      <w:r>
        <w:rPr>
          <w:b/>
          <w:szCs w:val="22"/>
        </w:rPr>
        <w:t>,</w:t>
      </w:r>
      <w:r w:rsidRPr="0058465B">
        <w:rPr>
          <w:b/>
          <w:szCs w:val="22"/>
        </w:rPr>
        <w:t xml:space="preserve"> membre du Comité d</w:t>
      </w:r>
      <w:r>
        <w:rPr>
          <w:b/>
          <w:szCs w:val="22"/>
        </w:rPr>
        <w:t xml:space="preserve">es risques et membre du Comité des comptes </w:t>
      </w:r>
      <w:r w:rsidRPr="0058465B">
        <w:rPr>
          <w:b/>
          <w:szCs w:val="22"/>
        </w:rPr>
        <w:t>:</w:t>
      </w:r>
    </w:p>
    <w:p w14:paraId="165663E2" w14:textId="77777777" w:rsidR="00707B06" w:rsidRPr="0058465B" w:rsidRDefault="00707B06" w:rsidP="00707B06">
      <w:pPr>
        <w:keepNext/>
        <w:keepLines/>
        <w:rPr>
          <w:b/>
          <w:szCs w:val="22"/>
        </w:rPr>
      </w:pPr>
    </w:p>
    <w:p w14:paraId="0B4287D5" w14:textId="77777777" w:rsidR="00707B06" w:rsidRDefault="00707B06" w:rsidP="00707B06">
      <w:pPr>
        <w:pStyle w:val="Paragraphedeliste"/>
        <w:numPr>
          <w:ilvl w:val="0"/>
          <w:numId w:val="26"/>
        </w:numPr>
        <w:spacing w:before="120"/>
        <w:ind w:left="567" w:hanging="567"/>
        <w:jc w:val="both"/>
        <w:rPr>
          <w:szCs w:val="22"/>
        </w:rPr>
      </w:pPr>
      <w:r w:rsidRPr="0058465B">
        <w:rPr>
          <w:szCs w:val="22"/>
        </w:rPr>
        <w:t>Administrateur</w:t>
      </w:r>
      <w:r>
        <w:rPr>
          <w:szCs w:val="22"/>
        </w:rPr>
        <w:t>,</w:t>
      </w:r>
      <w:r w:rsidRPr="0058465B">
        <w:rPr>
          <w:szCs w:val="22"/>
        </w:rPr>
        <w:t xml:space="preserve"> membre du Comité d</w:t>
      </w:r>
      <w:r>
        <w:rPr>
          <w:szCs w:val="22"/>
        </w:rPr>
        <w:t xml:space="preserve">es risques, membre du Comité des comptes </w:t>
      </w:r>
      <w:r w:rsidRPr="0058465B">
        <w:rPr>
          <w:szCs w:val="22"/>
        </w:rPr>
        <w:t>de La Banque Postale Home Loan SFH (SA)</w:t>
      </w:r>
    </w:p>
    <w:p w14:paraId="4FBBECCA" w14:textId="77777777" w:rsidR="00707B06" w:rsidRDefault="00707B06" w:rsidP="00707B06">
      <w:pPr>
        <w:pStyle w:val="Paragraphedeliste"/>
        <w:keepNext/>
        <w:keepLines/>
        <w:ind w:left="426"/>
        <w:jc w:val="both"/>
        <w:rPr>
          <w:szCs w:val="22"/>
          <w:highlight w:val="yellow"/>
        </w:rPr>
      </w:pPr>
    </w:p>
    <w:p w14:paraId="1B94B680" w14:textId="093B02D8" w:rsidR="00707B06" w:rsidRDefault="00707B06" w:rsidP="00707B06">
      <w:pPr>
        <w:rPr>
          <w:b/>
          <w:szCs w:val="22"/>
        </w:rPr>
      </w:pPr>
      <w:r w:rsidRPr="0058465B">
        <w:rPr>
          <w:b/>
          <w:szCs w:val="22"/>
        </w:rPr>
        <w:t>Monsieur Bertrand SADORGE, administrateur</w:t>
      </w:r>
      <w:r>
        <w:rPr>
          <w:b/>
          <w:szCs w:val="22"/>
        </w:rPr>
        <w:t>, Président du Comité des Comptes</w:t>
      </w:r>
      <w:r w:rsidRPr="0058465B">
        <w:rPr>
          <w:b/>
          <w:szCs w:val="22"/>
        </w:rPr>
        <w:t xml:space="preserve"> et Président du Comité d</w:t>
      </w:r>
      <w:r>
        <w:rPr>
          <w:b/>
          <w:szCs w:val="22"/>
        </w:rPr>
        <w:t xml:space="preserve">es risques </w:t>
      </w:r>
      <w:r w:rsidRPr="0058465B">
        <w:rPr>
          <w:b/>
          <w:szCs w:val="22"/>
        </w:rPr>
        <w:t>:</w:t>
      </w:r>
    </w:p>
    <w:p w14:paraId="3329FD94" w14:textId="77777777" w:rsidR="00707B06" w:rsidRPr="0058465B" w:rsidRDefault="00707B06" w:rsidP="00707B06">
      <w:pPr>
        <w:rPr>
          <w:b/>
          <w:szCs w:val="22"/>
        </w:rPr>
      </w:pPr>
    </w:p>
    <w:p w14:paraId="6CF1EFA1" w14:textId="77777777" w:rsidR="00707B06" w:rsidRPr="0080068C" w:rsidRDefault="00707B06" w:rsidP="00707B06">
      <w:pPr>
        <w:pStyle w:val="Paragraphedeliste"/>
        <w:numPr>
          <w:ilvl w:val="0"/>
          <w:numId w:val="26"/>
        </w:numPr>
        <w:spacing w:before="120"/>
        <w:ind w:left="567" w:hanging="567"/>
        <w:jc w:val="both"/>
        <w:rPr>
          <w:szCs w:val="22"/>
        </w:rPr>
      </w:pPr>
      <w:r w:rsidRPr="0080068C">
        <w:rPr>
          <w:szCs w:val="22"/>
        </w:rPr>
        <w:t xml:space="preserve">Membre du Directoire et Directeur Général de La Banque Postale </w:t>
      </w:r>
      <w:r w:rsidRPr="003838F5">
        <w:rPr>
          <w:szCs w:val="22"/>
        </w:rPr>
        <w:t>Leasing &amp; Factoring</w:t>
      </w:r>
      <w:r w:rsidRPr="0080068C">
        <w:rPr>
          <w:szCs w:val="22"/>
        </w:rPr>
        <w:t xml:space="preserve"> (SA à directoire et conseil de surveillance) </w:t>
      </w:r>
    </w:p>
    <w:p w14:paraId="1882DDAA" w14:textId="77777777" w:rsidR="00707B06" w:rsidRPr="006D2758" w:rsidRDefault="00707B06" w:rsidP="00707B06">
      <w:pPr>
        <w:pStyle w:val="Paragraphedeliste"/>
        <w:numPr>
          <w:ilvl w:val="0"/>
          <w:numId w:val="26"/>
        </w:numPr>
        <w:ind w:left="567" w:hanging="567"/>
        <w:jc w:val="both"/>
        <w:rPr>
          <w:szCs w:val="22"/>
        </w:rPr>
      </w:pPr>
      <w:r w:rsidRPr="00FF0C46">
        <w:rPr>
          <w:szCs w:val="22"/>
        </w:rPr>
        <w:t>Administrateur, Président du Comité des Comptes, et Président du Comité des risques</w:t>
      </w:r>
      <w:r w:rsidRPr="006D2758">
        <w:rPr>
          <w:szCs w:val="22"/>
        </w:rPr>
        <w:t xml:space="preserve"> de La Banque Postale Home Loan SFH (SA)</w:t>
      </w:r>
    </w:p>
    <w:p w14:paraId="6F7E8511" w14:textId="77777777" w:rsidR="00707B06" w:rsidRPr="0080068C" w:rsidRDefault="00707B06" w:rsidP="00707B06">
      <w:pPr>
        <w:pStyle w:val="Paragraphedeliste"/>
        <w:numPr>
          <w:ilvl w:val="0"/>
          <w:numId w:val="26"/>
        </w:numPr>
        <w:ind w:left="567" w:hanging="567"/>
        <w:jc w:val="both"/>
        <w:rPr>
          <w:szCs w:val="22"/>
        </w:rPr>
      </w:pPr>
      <w:r w:rsidRPr="006D2758">
        <w:rPr>
          <w:szCs w:val="22"/>
        </w:rPr>
        <w:t>Memb</w:t>
      </w:r>
      <w:r w:rsidRPr="0080068C">
        <w:rPr>
          <w:szCs w:val="22"/>
        </w:rPr>
        <w:t>re du Comité Stratégique de Domiserve Holding</w:t>
      </w:r>
    </w:p>
    <w:p w14:paraId="5C2B21FF" w14:textId="77777777" w:rsidR="00707B06" w:rsidRDefault="00707B06" w:rsidP="00707B06">
      <w:pPr>
        <w:rPr>
          <w:szCs w:val="22"/>
        </w:rPr>
      </w:pPr>
    </w:p>
    <w:p w14:paraId="4E25B11B" w14:textId="77777777" w:rsidR="00707B06" w:rsidRDefault="00707B06" w:rsidP="00707B06">
      <w:pPr>
        <w:rPr>
          <w:szCs w:val="22"/>
        </w:rPr>
      </w:pPr>
    </w:p>
    <w:p w14:paraId="67429C19" w14:textId="1BCB6A6B" w:rsidR="00707B06" w:rsidRDefault="00707B06" w:rsidP="00707B06">
      <w:pPr>
        <w:rPr>
          <w:szCs w:val="22"/>
        </w:rPr>
      </w:pPr>
      <w:r w:rsidRPr="00057567">
        <w:rPr>
          <w:b/>
          <w:szCs w:val="22"/>
        </w:rPr>
        <w:t>M</w:t>
      </w:r>
      <w:r>
        <w:rPr>
          <w:b/>
          <w:szCs w:val="22"/>
        </w:rPr>
        <w:t>adame Florence LUSTMAN</w:t>
      </w:r>
      <w:r w:rsidRPr="00057567">
        <w:rPr>
          <w:b/>
          <w:szCs w:val="22"/>
        </w:rPr>
        <w:t xml:space="preserve">, </w:t>
      </w:r>
      <w:r>
        <w:rPr>
          <w:b/>
          <w:szCs w:val="22"/>
        </w:rPr>
        <w:t>Présidente du Conseil d’administration</w:t>
      </w:r>
      <w:r w:rsidRPr="00057567">
        <w:rPr>
          <w:b/>
          <w:szCs w:val="22"/>
        </w:rPr>
        <w:t xml:space="preserve">, </w:t>
      </w:r>
      <w:r w:rsidRPr="00490CDF">
        <w:rPr>
          <w:szCs w:val="22"/>
        </w:rPr>
        <w:t xml:space="preserve"> a démissionné de ses fonctions le </w:t>
      </w:r>
      <w:r>
        <w:rPr>
          <w:szCs w:val="22"/>
        </w:rPr>
        <w:t>25</w:t>
      </w:r>
      <w:r w:rsidRPr="00490CDF">
        <w:rPr>
          <w:szCs w:val="22"/>
        </w:rPr>
        <w:t xml:space="preserve"> septembre 201</w:t>
      </w:r>
      <w:r>
        <w:rPr>
          <w:szCs w:val="22"/>
        </w:rPr>
        <w:t>9.</w:t>
      </w:r>
    </w:p>
    <w:p w14:paraId="016B6A64" w14:textId="77777777" w:rsidR="00707B06" w:rsidRDefault="00707B06" w:rsidP="00707B06">
      <w:pPr>
        <w:rPr>
          <w:szCs w:val="22"/>
        </w:rPr>
      </w:pPr>
    </w:p>
    <w:p w14:paraId="65BE3C8C" w14:textId="77777777" w:rsidR="00707B06" w:rsidRDefault="00707B06" w:rsidP="00707B06">
      <w:pPr>
        <w:rPr>
          <w:szCs w:val="22"/>
        </w:rPr>
      </w:pPr>
    </w:p>
    <w:p w14:paraId="10DD22BF" w14:textId="77777777" w:rsidR="00707B06" w:rsidRDefault="00707B06" w:rsidP="00707B06">
      <w:pPr>
        <w:rPr>
          <w:szCs w:val="22"/>
        </w:rPr>
      </w:pPr>
      <w:r w:rsidRPr="003838F5">
        <w:rPr>
          <w:b/>
          <w:szCs w:val="22"/>
        </w:rPr>
        <w:t>Monsieur Franck O</w:t>
      </w:r>
      <w:r>
        <w:rPr>
          <w:b/>
          <w:szCs w:val="22"/>
        </w:rPr>
        <w:t>NIGA</w:t>
      </w:r>
      <w:r w:rsidRPr="003838F5">
        <w:rPr>
          <w:b/>
          <w:szCs w:val="22"/>
        </w:rPr>
        <w:t>, administrateur, membre du Comité des comptes, membre du Comité des risques, membre du Comité des nominations,</w:t>
      </w:r>
      <w:r w:rsidRPr="00707B06">
        <w:rPr>
          <w:b/>
          <w:szCs w:val="22"/>
        </w:rPr>
        <w:t xml:space="preserve"> </w:t>
      </w:r>
      <w:r>
        <w:rPr>
          <w:szCs w:val="22"/>
        </w:rPr>
        <w:t>a démissionné de ses fonctions le 19 novembre 2019.</w:t>
      </w:r>
    </w:p>
    <w:p w14:paraId="2248C144" w14:textId="77777777" w:rsidR="00707B06" w:rsidRPr="00707B06" w:rsidRDefault="00707B06" w:rsidP="00707B06">
      <w:pPr>
        <w:keepNext/>
        <w:keepLines/>
        <w:jc w:val="both"/>
        <w:rPr>
          <w:szCs w:val="22"/>
          <w:highlight w:val="yellow"/>
        </w:rPr>
      </w:pPr>
    </w:p>
    <w:p w14:paraId="035527BA" w14:textId="77777777" w:rsidR="00707B06" w:rsidRDefault="00707B06" w:rsidP="00707B06">
      <w:pPr>
        <w:pStyle w:val="Paragraphedeliste"/>
        <w:keepNext/>
        <w:keepLines/>
        <w:ind w:left="426"/>
        <w:jc w:val="both"/>
        <w:rPr>
          <w:szCs w:val="22"/>
          <w:highlight w:val="yellow"/>
        </w:rPr>
      </w:pPr>
    </w:p>
    <w:p w14:paraId="74E1CBE8" w14:textId="77777777" w:rsidR="00707B06" w:rsidRDefault="00707B06" w:rsidP="00707B06">
      <w:pPr>
        <w:pStyle w:val="Paragraphedeliste"/>
        <w:keepNext/>
        <w:keepLines/>
        <w:ind w:left="426"/>
        <w:jc w:val="both"/>
        <w:rPr>
          <w:szCs w:val="22"/>
          <w:highlight w:val="yellow"/>
        </w:rPr>
      </w:pPr>
    </w:p>
    <w:p w14:paraId="15586C1C" w14:textId="77777777" w:rsidR="00707B06" w:rsidRDefault="00707B06" w:rsidP="00707B06">
      <w:pPr>
        <w:pStyle w:val="Paragraphedeliste"/>
        <w:keepNext/>
        <w:keepLines/>
        <w:ind w:left="426"/>
        <w:jc w:val="both"/>
        <w:rPr>
          <w:szCs w:val="22"/>
          <w:highlight w:val="yellow"/>
        </w:rPr>
      </w:pPr>
    </w:p>
    <w:p w14:paraId="116E0624" w14:textId="77777777" w:rsidR="00062017" w:rsidRPr="00127FEA" w:rsidRDefault="00062017" w:rsidP="00281A16">
      <w:pPr>
        <w:pStyle w:val="Paragraphedeliste"/>
        <w:ind w:left="0" w:right="387"/>
        <w:jc w:val="both"/>
        <w:rPr>
          <w:rFonts w:ascii="Arial" w:hAnsi="Arial" w:cs="Arial"/>
          <w:b/>
          <w:sz w:val="40"/>
          <w:szCs w:val="40"/>
          <w:highlight w:val="yellow"/>
          <w:u w:val="single"/>
        </w:rPr>
      </w:pPr>
    </w:p>
    <w:p w14:paraId="585C80EB" w14:textId="77777777" w:rsidR="00CD7D75" w:rsidRDefault="00CD7D75">
      <w:pPr>
        <w:rPr>
          <w:b/>
          <w:sz w:val="40"/>
          <w:szCs w:val="40"/>
          <w:u w:val="single"/>
        </w:rPr>
      </w:pPr>
      <w:r>
        <w:rPr>
          <w:b/>
          <w:sz w:val="40"/>
          <w:szCs w:val="40"/>
          <w:u w:val="single"/>
        </w:rPr>
        <w:br w:type="page"/>
      </w:r>
    </w:p>
    <w:p w14:paraId="44EE5803" w14:textId="457A2374" w:rsidR="00062017" w:rsidRPr="001D7AE9" w:rsidRDefault="00543B54" w:rsidP="00281A16">
      <w:pPr>
        <w:pStyle w:val="Paragraphedeliste"/>
        <w:ind w:left="0" w:right="387"/>
        <w:jc w:val="both"/>
        <w:rPr>
          <w:rFonts w:ascii="Arial" w:hAnsi="Arial" w:cs="Arial"/>
          <w:b/>
          <w:sz w:val="40"/>
          <w:u w:val="single"/>
        </w:rPr>
      </w:pPr>
      <w:r w:rsidRPr="001D7AE9">
        <w:rPr>
          <w:rFonts w:ascii="Arial" w:hAnsi="Arial" w:cs="Arial"/>
          <w:b/>
          <w:sz w:val="40"/>
          <w:u w:val="single"/>
        </w:rPr>
        <w:t>5</w:t>
      </w:r>
      <w:r w:rsidR="00062017" w:rsidRPr="001D7AE9">
        <w:rPr>
          <w:rFonts w:ascii="Arial" w:hAnsi="Arial" w:cs="Arial"/>
          <w:b/>
          <w:sz w:val="40"/>
          <w:u w:val="single"/>
        </w:rPr>
        <w:t xml:space="preserve">. </w:t>
      </w:r>
      <w:r w:rsidR="00062017" w:rsidRPr="001D7AE9">
        <w:rPr>
          <w:rFonts w:ascii="Arial" w:hAnsi="Arial" w:cs="Arial"/>
          <w:b/>
          <w:sz w:val="40"/>
          <w:u w:val="single"/>
        </w:rPr>
        <w:fldChar w:fldCharType="begin"/>
      </w:r>
      <w:r w:rsidR="00062017" w:rsidRPr="001D7AE9">
        <w:rPr>
          <w:rFonts w:ascii="Arial" w:hAnsi="Arial" w:cs="Arial"/>
          <w:b/>
          <w:sz w:val="40"/>
          <w:u w:val="single"/>
        </w:rPr>
        <w:instrText xml:space="preserve"> DOCPROPERTY  KISSubject  \* MERGEFORMAT </w:instrText>
      </w:r>
      <w:r w:rsidR="00062017" w:rsidRPr="001D7AE9">
        <w:rPr>
          <w:rFonts w:ascii="Arial" w:hAnsi="Arial" w:cs="Arial"/>
          <w:b/>
          <w:sz w:val="40"/>
          <w:u w:val="single"/>
        </w:rPr>
        <w:fldChar w:fldCharType="separate"/>
      </w:r>
      <w:r w:rsidR="00062017" w:rsidRPr="001D7AE9">
        <w:rPr>
          <w:rFonts w:ascii="Arial" w:hAnsi="Arial" w:cs="Arial"/>
          <w:b/>
          <w:sz w:val="40"/>
          <w:u w:val="single"/>
        </w:rPr>
        <w:t>Rapport spécial des commissaires aux comptes sur les conventions réglementé</w:t>
      </w:r>
      <w:r w:rsidR="00C03CCD" w:rsidRPr="001D7AE9">
        <w:rPr>
          <w:rFonts w:ascii="Arial" w:hAnsi="Arial" w:cs="Arial"/>
          <w:b/>
          <w:sz w:val="40"/>
          <w:u w:val="single"/>
        </w:rPr>
        <w:t>e</w:t>
      </w:r>
      <w:r w:rsidR="00062017" w:rsidRPr="001D7AE9">
        <w:rPr>
          <w:rFonts w:ascii="Arial" w:hAnsi="Arial" w:cs="Arial"/>
          <w:b/>
          <w:sz w:val="40"/>
          <w:u w:val="single"/>
        </w:rPr>
        <w:t>s</w:t>
      </w:r>
      <w:r w:rsidR="00062017" w:rsidRPr="001D7AE9">
        <w:rPr>
          <w:rFonts w:ascii="Arial" w:hAnsi="Arial" w:cs="Arial"/>
          <w:b/>
          <w:sz w:val="40"/>
          <w:u w:val="single"/>
        </w:rPr>
        <w:fldChar w:fldCharType="end"/>
      </w:r>
    </w:p>
    <w:p w14:paraId="714FC60A" w14:textId="77777777" w:rsidR="00BA3181" w:rsidRPr="00DD011F" w:rsidRDefault="00BA3181" w:rsidP="00BA3181">
      <w:pPr>
        <w:pStyle w:val="Corpsdetexte"/>
        <w:jc w:val="center"/>
        <w:rPr>
          <w:rFonts w:ascii="Times New Roman" w:hAnsi="Times New Roman"/>
        </w:rPr>
      </w:pPr>
    </w:p>
    <w:p w14:paraId="1C6D5E2D" w14:textId="74857E21" w:rsidR="00BA3181" w:rsidRPr="00DD011F" w:rsidRDefault="00DD011F" w:rsidP="00DD011F">
      <w:pPr>
        <w:pStyle w:val="Corpsdetexte"/>
        <w:jc w:val="left"/>
        <w:rPr>
          <w:rFonts w:ascii="Times New Roman" w:hAnsi="Times New Roman"/>
          <w:b/>
          <w:sz w:val="24"/>
          <w:szCs w:val="24"/>
        </w:rPr>
      </w:pPr>
      <w:r w:rsidRPr="00DD011F">
        <w:rPr>
          <w:rFonts w:ascii="Times New Roman" w:hAnsi="Times New Roman"/>
          <w:b/>
          <w:sz w:val="24"/>
          <w:szCs w:val="24"/>
        </w:rPr>
        <w:t>La Banque Postale Home Loan SFH</w:t>
      </w:r>
    </w:p>
    <w:p w14:paraId="61888AE1" w14:textId="5176A99A" w:rsidR="00DD011F" w:rsidRPr="00DD011F" w:rsidRDefault="00DD011F" w:rsidP="00DD011F">
      <w:pPr>
        <w:pStyle w:val="Corpsdetexte"/>
        <w:jc w:val="left"/>
        <w:rPr>
          <w:rFonts w:ascii="Times New Roman" w:hAnsi="Times New Roman"/>
          <w:sz w:val="24"/>
          <w:szCs w:val="24"/>
        </w:rPr>
      </w:pPr>
      <w:r w:rsidRPr="00DD011F">
        <w:rPr>
          <w:rFonts w:ascii="Times New Roman" w:hAnsi="Times New Roman"/>
          <w:sz w:val="24"/>
          <w:szCs w:val="24"/>
        </w:rPr>
        <w:t>115 rue de Sèvres</w:t>
      </w:r>
    </w:p>
    <w:p w14:paraId="3FFFC007" w14:textId="77C5531D" w:rsidR="00DD011F" w:rsidRPr="00DD011F" w:rsidRDefault="00DD011F" w:rsidP="00DD011F">
      <w:pPr>
        <w:pStyle w:val="Corpsdetexte"/>
        <w:jc w:val="left"/>
        <w:rPr>
          <w:rFonts w:ascii="Times New Roman" w:hAnsi="Times New Roman"/>
          <w:sz w:val="24"/>
          <w:szCs w:val="24"/>
        </w:rPr>
      </w:pPr>
      <w:r w:rsidRPr="00DD011F">
        <w:rPr>
          <w:rFonts w:ascii="Times New Roman" w:hAnsi="Times New Roman"/>
          <w:sz w:val="24"/>
          <w:szCs w:val="24"/>
        </w:rPr>
        <w:t>75275 Paris Cedex 06</w:t>
      </w:r>
    </w:p>
    <w:tbl>
      <w:tblPr>
        <w:tblW w:w="9405" w:type="dxa"/>
        <w:tblInd w:w="-108" w:type="dxa"/>
        <w:tblBorders>
          <w:top w:val="nil"/>
          <w:left w:val="nil"/>
          <w:bottom w:val="nil"/>
          <w:right w:val="nil"/>
        </w:tblBorders>
        <w:tblLayout w:type="fixed"/>
        <w:tblLook w:val="0000" w:firstRow="0" w:lastRow="0" w:firstColumn="0" w:lastColumn="0" w:noHBand="0" w:noVBand="0"/>
      </w:tblPr>
      <w:tblGrid>
        <w:gridCol w:w="9405"/>
      </w:tblGrid>
      <w:tr w:rsidR="007079FC" w:rsidRPr="007079FC" w14:paraId="4C335F72" w14:textId="77777777" w:rsidTr="001D7AE9">
        <w:trPr>
          <w:trHeight w:val="153"/>
        </w:trPr>
        <w:tc>
          <w:tcPr>
            <w:tcW w:w="9405" w:type="dxa"/>
          </w:tcPr>
          <w:p w14:paraId="57671AE2" w14:textId="77777777" w:rsidR="007079FC" w:rsidRPr="001D7AE9" w:rsidRDefault="007079FC" w:rsidP="007079FC">
            <w:pPr>
              <w:autoSpaceDE w:val="0"/>
              <w:autoSpaceDN w:val="0"/>
              <w:adjustRightInd w:val="0"/>
              <w:rPr>
                <w:noProof/>
              </w:rPr>
            </w:pPr>
          </w:p>
          <w:p w14:paraId="565D1675" w14:textId="77777777" w:rsidR="007079FC" w:rsidRPr="001D7AE9" w:rsidRDefault="007079FC" w:rsidP="007079FC">
            <w:pPr>
              <w:autoSpaceDE w:val="0"/>
              <w:autoSpaceDN w:val="0"/>
              <w:adjustRightInd w:val="0"/>
              <w:rPr>
                <w:noProof/>
              </w:rPr>
            </w:pPr>
            <w:r w:rsidRPr="001D7AE9">
              <w:rPr>
                <w:noProof/>
              </w:rPr>
              <w:t xml:space="preserve">Rapport spécial des commissaires aux comptes sur les conventions réglementées </w:t>
            </w:r>
          </w:p>
        </w:tc>
      </w:tr>
      <w:tr w:rsidR="007079FC" w:rsidRPr="007079FC" w14:paraId="06A73349" w14:textId="77777777" w:rsidTr="001D7AE9">
        <w:trPr>
          <w:trHeight w:val="287"/>
        </w:trPr>
        <w:tc>
          <w:tcPr>
            <w:tcW w:w="9405" w:type="dxa"/>
          </w:tcPr>
          <w:p w14:paraId="297F461E" w14:textId="77777777" w:rsidR="007079FC" w:rsidRPr="001D7AE9" w:rsidRDefault="007079FC" w:rsidP="007079FC">
            <w:pPr>
              <w:autoSpaceDE w:val="0"/>
              <w:autoSpaceDN w:val="0"/>
              <w:adjustRightInd w:val="0"/>
              <w:rPr>
                <w:noProof/>
              </w:rPr>
            </w:pPr>
          </w:p>
          <w:p w14:paraId="69E16331" w14:textId="02E06463" w:rsidR="007079FC" w:rsidRPr="001D7AE9" w:rsidRDefault="007079FC" w:rsidP="007079FC">
            <w:pPr>
              <w:autoSpaceDE w:val="0"/>
              <w:autoSpaceDN w:val="0"/>
              <w:adjustRightInd w:val="0"/>
              <w:rPr>
                <w:noProof/>
              </w:rPr>
            </w:pPr>
            <w:r w:rsidRPr="001D7AE9">
              <w:rPr>
                <w:noProof/>
              </w:rPr>
              <w:t>Assemblée générale d’approbation des</w:t>
            </w:r>
            <w:r>
              <w:rPr>
                <w:noProof/>
              </w:rPr>
              <w:t xml:space="preserve"> comptes de l’exercice clos le 3</w:t>
            </w:r>
            <w:r w:rsidRPr="001D7AE9">
              <w:rPr>
                <w:noProof/>
              </w:rPr>
              <w:t xml:space="preserve">1 décembre 2019 </w:t>
            </w:r>
          </w:p>
        </w:tc>
      </w:tr>
    </w:tbl>
    <w:p w14:paraId="505569B6" w14:textId="77777777" w:rsidR="00DD011F" w:rsidRPr="00DD011F" w:rsidRDefault="00DD011F" w:rsidP="00DD011F">
      <w:pPr>
        <w:pStyle w:val="Corpsdetexte"/>
        <w:jc w:val="left"/>
        <w:rPr>
          <w:rFonts w:ascii="Times New Roman" w:hAnsi="Times New Roman"/>
          <w:sz w:val="24"/>
          <w:szCs w:val="24"/>
        </w:rPr>
      </w:pPr>
    </w:p>
    <w:p w14:paraId="6812843B" w14:textId="77777777" w:rsidR="00DD011F" w:rsidRPr="00DD011F" w:rsidRDefault="00DD011F" w:rsidP="00DD011F">
      <w:pPr>
        <w:pStyle w:val="Corpsdetexte"/>
        <w:jc w:val="left"/>
        <w:rPr>
          <w:rFonts w:ascii="Times New Roman" w:hAnsi="Times New Roman"/>
          <w:sz w:val="24"/>
          <w:szCs w:val="24"/>
        </w:rPr>
      </w:pPr>
    </w:p>
    <w:p w14:paraId="2AC2B798" w14:textId="79AEE258" w:rsidR="00BA3181" w:rsidRPr="00DD011F" w:rsidRDefault="00C03CCD" w:rsidP="00DD011F">
      <w:pPr>
        <w:pStyle w:val="Corpsdetexte"/>
        <w:jc w:val="left"/>
        <w:rPr>
          <w:rFonts w:ascii="Times New Roman" w:hAnsi="Times New Roman"/>
          <w:sz w:val="24"/>
          <w:szCs w:val="24"/>
        </w:rPr>
      </w:pPr>
      <w:r>
        <w:rPr>
          <w:rFonts w:ascii="Times New Roman" w:hAnsi="Times New Roman"/>
          <w:sz w:val="24"/>
          <w:szCs w:val="24"/>
        </w:rPr>
        <w:t>A l’assemblée générale</w:t>
      </w:r>
      <w:r w:rsidR="007079FC">
        <w:rPr>
          <w:rFonts w:ascii="Times New Roman" w:hAnsi="Times New Roman"/>
          <w:sz w:val="24"/>
          <w:szCs w:val="24"/>
        </w:rPr>
        <w:t>,</w:t>
      </w:r>
    </w:p>
    <w:p w14:paraId="7AF7D152" w14:textId="58842B93" w:rsidR="00BA3181" w:rsidRPr="00DD011F" w:rsidRDefault="00BA3181" w:rsidP="00BA3181">
      <w:pPr>
        <w:pStyle w:val="Corpsdetexte"/>
        <w:jc w:val="center"/>
        <w:rPr>
          <w:rFonts w:ascii="Times New Roman" w:hAnsi="Times New Roman"/>
          <w:sz w:val="24"/>
          <w:szCs w:val="24"/>
        </w:rPr>
      </w:pPr>
    </w:p>
    <w:p w14:paraId="04856A48" w14:textId="77777777" w:rsidR="00393575" w:rsidRPr="00DD011F" w:rsidRDefault="00393575" w:rsidP="00393575">
      <w:pPr>
        <w:pStyle w:val="Corpsdetexte"/>
        <w:rPr>
          <w:rFonts w:ascii="Times New Roman" w:hAnsi="Times New Roman"/>
          <w:sz w:val="24"/>
          <w:szCs w:val="24"/>
        </w:rPr>
      </w:pPr>
      <w:r w:rsidRPr="00DD011F">
        <w:rPr>
          <w:rFonts w:ascii="Times New Roman" w:hAnsi="Times New Roman"/>
          <w:sz w:val="24"/>
          <w:szCs w:val="24"/>
        </w:rPr>
        <w:t>En notre qualité de commissaires aux comptes de votre société, nous</w:t>
      </w:r>
      <w:r w:rsidRPr="00DD011F">
        <w:rPr>
          <w:rStyle w:val="Appelnotedebasdep"/>
          <w:rFonts w:ascii="Times New Roman" w:hAnsi="Times New Roman"/>
          <w:sz w:val="24"/>
          <w:szCs w:val="24"/>
        </w:rPr>
        <w:t xml:space="preserve"> </w:t>
      </w:r>
      <w:r w:rsidRPr="00DD011F">
        <w:rPr>
          <w:rFonts w:ascii="Times New Roman" w:hAnsi="Times New Roman"/>
          <w:sz w:val="24"/>
          <w:szCs w:val="24"/>
        </w:rPr>
        <w:t>vous présentons notre rapport sur les conventions et engagements réglementés.</w:t>
      </w:r>
    </w:p>
    <w:p w14:paraId="0D4AF4C5" w14:textId="77777777" w:rsidR="00393575" w:rsidRDefault="00393575" w:rsidP="00393575">
      <w:pPr>
        <w:pStyle w:val="Corpsdetexte"/>
        <w:rPr>
          <w:highlight w:val="yellow"/>
        </w:rPr>
      </w:pPr>
    </w:p>
    <w:p w14:paraId="7299D547" w14:textId="77777777" w:rsidR="009D52FD" w:rsidRPr="00127FEA" w:rsidRDefault="009D52FD" w:rsidP="00393575">
      <w:pPr>
        <w:pStyle w:val="Corpsdetexte"/>
        <w:rPr>
          <w:highlight w:val="yellow"/>
        </w:rPr>
      </w:pPr>
    </w:p>
    <w:p w14:paraId="0F9CEE47" w14:textId="18C9CF39" w:rsidR="00393575" w:rsidRPr="00DD011F" w:rsidRDefault="00393575" w:rsidP="00393575">
      <w:pPr>
        <w:spacing w:line="260" w:lineRule="atLeast"/>
        <w:jc w:val="both"/>
      </w:pPr>
      <w:r w:rsidRPr="00DD011F">
        <w:t>Il nous appartient de vous communiquer, sur la base des informations qui nous ont été données, les caractéristiques, les modalités essentielles ainsi que</w:t>
      </w:r>
      <w:r w:rsidR="00DD011F" w:rsidRPr="00DD011F">
        <w:t xml:space="preserve"> sur</w:t>
      </w:r>
      <w:r w:rsidRPr="00DD011F">
        <w:t xml:space="preserve"> les motifs justifiant de l'intérêt pour la société des conventions dont nous avons été avisés ou que nous aurions découvert</w:t>
      </w:r>
      <w:r w:rsidR="00C03CCD">
        <w:t>e</w:t>
      </w:r>
      <w:r w:rsidRPr="00DD011F">
        <w:t>s à l’occasion de notre mission, sans avoir à nous prononcer sur leur utilité et leur bien-fondé ni à rechercher l'existence d’autres conventions. Il vous appartient, selon les termes de l’article R.225-31 du code de commerce, d'apprécier l'intérêt qui s'attachait à la conclusion de</w:t>
      </w:r>
      <w:r w:rsidR="00DD011F" w:rsidRPr="00DD011F">
        <w:t xml:space="preserve"> ces conventions </w:t>
      </w:r>
      <w:r w:rsidRPr="00DD011F">
        <w:t>en vue de leur approbation.</w:t>
      </w:r>
      <w:r w:rsidR="00A234F8" w:rsidRPr="00DD011F">
        <w:t xml:space="preserve"> </w:t>
      </w:r>
    </w:p>
    <w:p w14:paraId="126DE2ED" w14:textId="77777777" w:rsidR="00393575" w:rsidRPr="00127FEA" w:rsidRDefault="00393575" w:rsidP="00393575">
      <w:pPr>
        <w:spacing w:line="260" w:lineRule="atLeast"/>
        <w:jc w:val="both"/>
        <w:rPr>
          <w:highlight w:val="yellow"/>
        </w:rPr>
      </w:pPr>
    </w:p>
    <w:p w14:paraId="1CA75C5E" w14:textId="111F857E" w:rsidR="00393575" w:rsidRPr="00DD011F" w:rsidRDefault="00393575" w:rsidP="00393575">
      <w:pPr>
        <w:spacing w:line="260" w:lineRule="atLeast"/>
        <w:jc w:val="both"/>
      </w:pPr>
      <w:r w:rsidRPr="00DD011F">
        <w:t>Par ailleurs, il nous appartient, le cas échéant, de vous communiquer les informations p</w:t>
      </w:r>
      <w:r w:rsidR="00DD011F" w:rsidRPr="00DD011F">
        <w:t>révues à l’article R.225-31 du c</w:t>
      </w:r>
      <w:r w:rsidRPr="00DD011F">
        <w:t>ode de commerce relatives à l’exécution, au cours de l’exercice écoulé, des conventions déjà approuvé</w:t>
      </w:r>
      <w:r w:rsidR="00C03CCD">
        <w:t>e</w:t>
      </w:r>
      <w:r w:rsidRPr="00DD011F">
        <w:t>s par l’assemblée générale.</w:t>
      </w:r>
    </w:p>
    <w:p w14:paraId="5B8F3373" w14:textId="77777777" w:rsidR="00393575" w:rsidRPr="00DD011F" w:rsidRDefault="00393575" w:rsidP="00393575">
      <w:pPr>
        <w:spacing w:line="260" w:lineRule="atLeast"/>
        <w:jc w:val="both"/>
      </w:pPr>
    </w:p>
    <w:p w14:paraId="1FB5B08D" w14:textId="77777777" w:rsidR="00393575" w:rsidRPr="00DD011F" w:rsidRDefault="00393575" w:rsidP="00393575">
      <w:pPr>
        <w:spacing w:line="260" w:lineRule="atLeast"/>
        <w:jc w:val="both"/>
      </w:pPr>
      <w:r w:rsidRPr="00DD011F">
        <w:t xml:space="preserve">Nous avons mis en œuvre les diligences que nous avons estimé nécessaires au regard de la doctrine professionnelle de la Compagnie nationale des commissaires aux comptes relative à cette mission. </w:t>
      </w:r>
    </w:p>
    <w:p w14:paraId="1842C8AC" w14:textId="77777777" w:rsidR="00393575" w:rsidRPr="00DD011F" w:rsidRDefault="00393575" w:rsidP="00393575">
      <w:pPr>
        <w:pBdr>
          <w:bottom w:val="single" w:sz="4" w:space="1" w:color="auto"/>
        </w:pBdr>
        <w:spacing w:before="130" w:after="240" w:line="260" w:lineRule="atLeast"/>
        <w:jc w:val="both"/>
        <w:rPr>
          <w:bCs/>
          <w:i/>
          <w:smallCaps/>
        </w:rPr>
      </w:pPr>
      <w:r w:rsidRPr="00DD011F">
        <w:rPr>
          <w:b/>
          <w:bCs/>
          <w:i/>
          <w:smallCaps/>
        </w:rPr>
        <w:t>Conventions et engagements soumis à l’approbation de l’assemblée générale</w:t>
      </w:r>
    </w:p>
    <w:p w14:paraId="1D7D7826" w14:textId="353F55CA" w:rsidR="00DD011F" w:rsidRPr="00DD011F" w:rsidRDefault="00DD011F" w:rsidP="00393575">
      <w:pPr>
        <w:spacing w:before="130" w:after="130" w:line="260" w:lineRule="atLeast"/>
        <w:jc w:val="both"/>
        <w:rPr>
          <w:b/>
        </w:rPr>
      </w:pPr>
      <w:r w:rsidRPr="00DD011F">
        <w:rPr>
          <w:b/>
        </w:rPr>
        <w:t>Conventions autorisées et conclues au cours de l’exercice écoulé</w:t>
      </w:r>
    </w:p>
    <w:p w14:paraId="551931D8" w14:textId="37BD1078" w:rsidR="00393575" w:rsidRPr="00DD011F" w:rsidRDefault="00393575" w:rsidP="00393575">
      <w:pPr>
        <w:spacing w:before="130" w:after="130" w:line="260" w:lineRule="atLeast"/>
        <w:jc w:val="both"/>
      </w:pPr>
      <w:r w:rsidRPr="00DD011F">
        <w:t>Nous vous informons qu’il ne nous a été donné avis d’aucune autorisé</w:t>
      </w:r>
      <w:r w:rsidR="00C03CCD">
        <w:t>e</w:t>
      </w:r>
      <w:r w:rsidR="00DD011F" w:rsidRPr="00DD011F">
        <w:t xml:space="preserve"> et conclu</w:t>
      </w:r>
      <w:r w:rsidR="00C03CCD">
        <w:t>e</w:t>
      </w:r>
      <w:r w:rsidRPr="00DD011F">
        <w:t xml:space="preserve"> </w:t>
      </w:r>
      <w:r w:rsidRPr="00DD011F">
        <w:rPr>
          <w:bCs/>
        </w:rPr>
        <w:t xml:space="preserve">au cours de l’exercice écoulé </w:t>
      </w:r>
      <w:r w:rsidRPr="00DD011F">
        <w:t>à soumettre à l’approbation de l’assemblée générale en application des dispositions de l’article L.225-38 du code de commerce.</w:t>
      </w:r>
    </w:p>
    <w:p w14:paraId="429A109F" w14:textId="77777777" w:rsidR="00393575" w:rsidRPr="00127FEA" w:rsidRDefault="00393575" w:rsidP="00393575">
      <w:pPr>
        <w:spacing w:before="130" w:after="130" w:line="260" w:lineRule="atLeast"/>
        <w:jc w:val="both"/>
        <w:rPr>
          <w:highlight w:val="yellow"/>
        </w:rPr>
      </w:pPr>
    </w:p>
    <w:p w14:paraId="2B7C85D8" w14:textId="77777777" w:rsidR="00393575" w:rsidRPr="00127FEA" w:rsidRDefault="00393575" w:rsidP="00393575">
      <w:pPr>
        <w:rPr>
          <w:b/>
          <w:bCs/>
          <w:smallCaps/>
          <w:szCs w:val="22"/>
          <w:highlight w:val="yellow"/>
        </w:rPr>
      </w:pPr>
      <w:r w:rsidRPr="00127FEA">
        <w:rPr>
          <w:b/>
          <w:bCs/>
          <w:smallCaps/>
          <w:szCs w:val="22"/>
          <w:highlight w:val="yellow"/>
        </w:rPr>
        <w:br w:type="page"/>
      </w:r>
    </w:p>
    <w:p w14:paraId="63278064" w14:textId="6B2DA791" w:rsidR="00393575" w:rsidRPr="00DD011F" w:rsidRDefault="00393575" w:rsidP="00393575">
      <w:pPr>
        <w:pBdr>
          <w:bottom w:val="single" w:sz="4" w:space="1" w:color="auto"/>
        </w:pBdr>
        <w:spacing w:before="130" w:after="130" w:line="260" w:lineRule="atLeast"/>
        <w:jc w:val="both"/>
        <w:rPr>
          <w:bCs/>
          <w:i/>
          <w:smallCaps/>
          <w:szCs w:val="22"/>
        </w:rPr>
      </w:pPr>
      <w:r w:rsidRPr="00DD011F">
        <w:rPr>
          <w:b/>
          <w:bCs/>
          <w:i/>
          <w:smallCaps/>
          <w:szCs w:val="22"/>
        </w:rPr>
        <w:t>Conventions déjà approuv</w:t>
      </w:r>
      <w:r w:rsidR="007079FC">
        <w:rPr>
          <w:b/>
          <w:bCs/>
          <w:i/>
          <w:smallCaps/>
          <w:szCs w:val="22"/>
        </w:rPr>
        <w:t>e</w:t>
      </w:r>
      <w:r w:rsidRPr="00DD011F">
        <w:rPr>
          <w:b/>
          <w:bCs/>
          <w:i/>
          <w:smallCaps/>
          <w:szCs w:val="22"/>
        </w:rPr>
        <w:t>és par l’assemblée générale</w:t>
      </w:r>
    </w:p>
    <w:p w14:paraId="7D755CC2" w14:textId="77777777" w:rsidR="00393575" w:rsidRPr="00127FEA" w:rsidRDefault="00393575" w:rsidP="00393575">
      <w:pPr>
        <w:autoSpaceDE w:val="0"/>
        <w:autoSpaceDN w:val="0"/>
        <w:adjustRightInd w:val="0"/>
        <w:spacing w:line="260" w:lineRule="atLeast"/>
        <w:rPr>
          <w:highlight w:val="yellow"/>
        </w:rPr>
      </w:pPr>
    </w:p>
    <w:p w14:paraId="005C9CE8" w14:textId="0F74BDFA" w:rsidR="00A14BE9" w:rsidRDefault="00393575" w:rsidP="00393575">
      <w:pPr>
        <w:autoSpaceDE w:val="0"/>
        <w:autoSpaceDN w:val="0"/>
        <w:adjustRightInd w:val="0"/>
        <w:spacing w:line="260" w:lineRule="atLeast"/>
        <w:jc w:val="both"/>
      </w:pPr>
      <w:r w:rsidRPr="00DD011F">
        <w:t>Nous vous informons qu’il ne nous a été donné avis d’aucune convention déjà approuvé</w:t>
      </w:r>
      <w:r w:rsidR="00C03CCD">
        <w:t>e</w:t>
      </w:r>
      <w:r w:rsidRPr="00DD011F">
        <w:t xml:space="preserve"> par l’assemblée générale dont l’exécution se serait poursuivie au cours de l’exercice écoulé.</w:t>
      </w:r>
    </w:p>
    <w:p w14:paraId="1A7475EA" w14:textId="7BFC13DE" w:rsidR="00393575" w:rsidRPr="00DD011F" w:rsidRDefault="00393575" w:rsidP="00393575">
      <w:pPr>
        <w:autoSpaceDE w:val="0"/>
        <w:autoSpaceDN w:val="0"/>
        <w:adjustRightInd w:val="0"/>
        <w:spacing w:line="260" w:lineRule="atLeast"/>
        <w:jc w:val="both"/>
      </w:pPr>
      <w:r w:rsidRPr="00DD011F">
        <w:rPr>
          <w:i/>
        </w:rPr>
        <w:t xml:space="preserve"> </w:t>
      </w:r>
    </w:p>
    <w:tbl>
      <w:tblPr>
        <w:tblW w:w="8585" w:type="dxa"/>
        <w:tblLayout w:type="fixed"/>
        <w:tblCellMar>
          <w:left w:w="80" w:type="dxa"/>
          <w:right w:w="80" w:type="dxa"/>
        </w:tblCellMar>
        <w:tblLook w:val="0000" w:firstRow="0" w:lastRow="0" w:firstColumn="0" w:lastColumn="0" w:noHBand="0" w:noVBand="0"/>
      </w:tblPr>
      <w:tblGrid>
        <w:gridCol w:w="8585"/>
      </w:tblGrid>
      <w:tr w:rsidR="00393575" w:rsidRPr="00127FEA" w14:paraId="207BD407" w14:textId="77777777" w:rsidTr="00C2019C">
        <w:trPr>
          <w:cantSplit/>
        </w:trPr>
        <w:tc>
          <w:tcPr>
            <w:tcW w:w="8585" w:type="dxa"/>
          </w:tcPr>
          <w:p w14:paraId="00DC5A2B" w14:textId="77777777" w:rsidR="00393575" w:rsidRPr="00127FEA" w:rsidRDefault="00393575" w:rsidP="00C2019C">
            <w:pPr>
              <w:rPr>
                <w:highlight w:val="yellow"/>
              </w:rPr>
            </w:pPr>
          </w:p>
        </w:tc>
      </w:tr>
    </w:tbl>
    <w:p w14:paraId="7420A678" w14:textId="77777777" w:rsidR="0078597E" w:rsidRDefault="0078597E" w:rsidP="0078597E">
      <w:pPr>
        <w:pStyle w:val="Corpsdetexte"/>
        <w:jc w:val="center"/>
        <w:rPr>
          <w:rFonts w:ascii="Times New Roman" w:hAnsi="Times New Roman"/>
          <w:sz w:val="24"/>
          <w:szCs w:val="24"/>
        </w:rPr>
      </w:pPr>
      <w:r w:rsidRPr="00B5752E">
        <w:rPr>
          <w:rFonts w:ascii="Times New Roman" w:hAnsi="Times New Roman"/>
          <w:sz w:val="24"/>
          <w:szCs w:val="24"/>
        </w:rPr>
        <w:t>Les commissaires aux comptes</w:t>
      </w:r>
    </w:p>
    <w:p w14:paraId="7AE94A4E" w14:textId="10C34A3A" w:rsidR="007079FC" w:rsidRDefault="007079FC" w:rsidP="001D7AE9">
      <w:pPr>
        <w:pStyle w:val="Corpsdetexte"/>
        <w:rPr>
          <w:rFonts w:ascii="Times New Roman" w:hAnsi="Times New Roman"/>
          <w:sz w:val="24"/>
          <w:szCs w:val="24"/>
        </w:rPr>
      </w:pPr>
    </w:p>
    <w:p w14:paraId="62D49A54" w14:textId="77777777" w:rsidR="007079FC" w:rsidRDefault="007079FC" w:rsidP="007079FC">
      <w:pPr>
        <w:pStyle w:val="Corpsdetexte"/>
        <w:jc w:val="center"/>
        <w:rPr>
          <w:rFonts w:ascii="Times New Roman" w:hAnsi="Times New Roman"/>
          <w:sz w:val="24"/>
          <w:szCs w:val="24"/>
        </w:rPr>
      </w:pPr>
    </w:p>
    <w:p w14:paraId="11317C6F" w14:textId="3E04A92C" w:rsidR="007079FC" w:rsidRPr="00282CEE" w:rsidRDefault="007079FC" w:rsidP="001D7AE9">
      <w:pPr>
        <w:pStyle w:val="Default"/>
        <w:jc w:val="both"/>
        <w:rPr>
          <w:rFonts w:ascii="Arial" w:hAnsi="Arial" w:cs="Arial"/>
          <w:sz w:val="20"/>
          <w:szCs w:val="20"/>
        </w:rPr>
      </w:pPr>
      <w:r w:rsidRPr="00036A95">
        <w:rPr>
          <w:rFonts w:ascii="Times New Roman" w:eastAsiaTheme="minorEastAsia" w:hAnsi="Times New Roman" w:cs="Times New Roman"/>
          <w:noProof/>
          <w:color w:val="auto"/>
          <w:lang w:eastAsia="fr-CA"/>
        </w:rPr>
        <w:t xml:space="preserve">Paris La Défense, le 11 mars 2020 </w:t>
      </w:r>
      <w:r>
        <w:rPr>
          <w:rFonts w:eastAsiaTheme="minorEastAsia"/>
          <w:noProof/>
          <w:lang w:eastAsia="fr-CA"/>
        </w:rPr>
        <w:tab/>
      </w:r>
      <w:r>
        <w:rPr>
          <w:rFonts w:eastAsiaTheme="minorEastAsia"/>
          <w:noProof/>
          <w:lang w:eastAsia="fr-CA"/>
        </w:rPr>
        <w:tab/>
      </w:r>
      <w:r>
        <w:rPr>
          <w:rFonts w:eastAsiaTheme="minorEastAsia"/>
          <w:noProof/>
          <w:lang w:eastAsia="fr-CA"/>
        </w:rPr>
        <w:tab/>
      </w:r>
      <w:r w:rsidRPr="00036A95">
        <w:rPr>
          <w:rFonts w:ascii="Times New Roman" w:eastAsiaTheme="minorEastAsia" w:hAnsi="Times New Roman" w:cs="Times New Roman"/>
          <w:noProof/>
          <w:color w:val="auto"/>
          <w:lang w:eastAsia="fr-CA"/>
        </w:rPr>
        <w:t>Neuilly-sur-Seine, le 11 mars 2020</w:t>
      </w:r>
      <w:r w:rsidRPr="00282CEE">
        <w:rPr>
          <w:rFonts w:ascii="Arial" w:hAnsi="Arial" w:cs="Arial"/>
          <w:sz w:val="20"/>
          <w:szCs w:val="20"/>
        </w:rPr>
        <w:t xml:space="preserve"> </w:t>
      </w:r>
    </w:p>
    <w:p w14:paraId="0A625181" w14:textId="77777777" w:rsidR="007079FC" w:rsidRDefault="007079FC" w:rsidP="007079FC">
      <w:pPr>
        <w:pStyle w:val="Corpsdetexte"/>
        <w:rPr>
          <w:rFonts w:ascii="Times New Roman" w:eastAsiaTheme="minorEastAsia" w:hAnsi="Times New Roman"/>
          <w:sz w:val="24"/>
          <w:szCs w:val="24"/>
          <w:lang w:eastAsia="fr-CA"/>
        </w:rPr>
      </w:pPr>
    </w:p>
    <w:p w14:paraId="11B945F1" w14:textId="371BD73E" w:rsidR="007079FC" w:rsidRPr="001D7AE9" w:rsidRDefault="007079FC" w:rsidP="007079FC">
      <w:pPr>
        <w:pStyle w:val="Corpsdetexte"/>
        <w:rPr>
          <w:rFonts w:ascii="Times New Roman" w:hAnsi="Times New Roman"/>
          <w:sz w:val="24"/>
          <w:szCs w:val="24"/>
          <w:lang w:val="en-US"/>
        </w:rPr>
      </w:pPr>
      <w:r w:rsidRPr="001D7AE9">
        <w:rPr>
          <w:rFonts w:ascii="Times New Roman" w:hAnsi="Times New Roman"/>
          <w:sz w:val="24"/>
          <w:szCs w:val="24"/>
          <w:lang w:val="en-US"/>
        </w:rPr>
        <w:t xml:space="preserve">KPMG S.A.                                                              </w:t>
      </w:r>
      <w:r w:rsidR="0078597E" w:rsidRPr="001D7AE9">
        <w:rPr>
          <w:rFonts w:ascii="Times New Roman" w:hAnsi="Times New Roman"/>
          <w:sz w:val="24"/>
          <w:szCs w:val="24"/>
          <w:lang w:val="en-US"/>
        </w:rPr>
        <w:t xml:space="preserve"> </w:t>
      </w:r>
      <w:r w:rsidRPr="001D7AE9">
        <w:rPr>
          <w:rFonts w:ascii="Times New Roman" w:hAnsi="Times New Roman"/>
          <w:sz w:val="24"/>
          <w:szCs w:val="24"/>
          <w:lang w:val="en-US"/>
        </w:rPr>
        <w:t xml:space="preserve">Pricewaterhouse Coopers Audit </w:t>
      </w:r>
    </w:p>
    <w:p w14:paraId="0BBCFC68" w14:textId="77777777" w:rsidR="007079FC" w:rsidRPr="001D7AE9" w:rsidRDefault="007079FC" w:rsidP="007079FC">
      <w:pPr>
        <w:pStyle w:val="Corpsdetexte"/>
        <w:jc w:val="center"/>
        <w:rPr>
          <w:rFonts w:ascii="Times New Roman" w:hAnsi="Times New Roman"/>
          <w:sz w:val="24"/>
          <w:szCs w:val="24"/>
          <w:lang w:val="en-US"/>
        </w:rPr>
      </w:pPr>
    </w:p>
    <w:p w14:paraId="6A18B229" w14:textId="77777777" w:rsidR="0078597E" w:rsidRDefault="007079FC" w:rsidP="007079FC">
      <w:pPr>
        <w:pStyle w:val="Corpsdetexte"/>
        <w:rPr>
          <w:rFonts w:ascii="Times New Roman" w:hAnsi="Times New Roman"/>
          <w:sz w:val="24"/>
          <w:szCs w:val="24"/>
        </w:rPr>
      </w:pPr>
      <w:r>
        <w:rPr>
          <w:rFonts w:ascii="Times New Roman" w:hAnsi="Times New Roman"/>
          <w:sz w:val="24"/>
          <w:szCs w:val="24"/>
        </w:rPr>
        <w:t xml:space="preserve">Marie-Christine Jolys                                     </w:t>
      </w:r>
      <w:r w:rsidR="0078597E">
        <w:rPr>
          <w:rFonts w:ascii="Times New Roman" w:hAnsi="Times New Roman"/>
          <w:sz w:val="24"/>
          <w:szCs w:val="24"/>
        </w:rPr>
        <w:t xml:space="preserve">           </w:t>
      </w:r>
      <w:r w:rsidRPr="009657B7">
        <w:rPr>
          <w:rFonts w:ascii="Times New Roman" w:hAnsi="Times New Roman"/>
          <w:sz w:val="24"/>
          <w:szCs w:val="24"/>
        </w:rPr>
        <w:t>Jacques Lévi</w:t>
      </w:r>
    </w:p>
    <w:p w14:paraId="670BC8E2" w14:textId="1F0BC6DC" w:rsidR="007079FC" w:rsidRPr="009657B7" w:rsidRDefault="007079FC" w:rsidP="007079FC">
      <w:pPr>
        <w:pStyle w:val="Corpsdetexte"/>
        <w:rPr>
          <w:rFonts w:ascii="Times New Roman" w:hAnsi="Times New Roman"/>
          <w:sz w:val="24"/>
          <w:szCs w:val="24"/>
        </w:rPr>
      </w:pPr>
      <w:r>
        <w:rPr>
          <w:rFonts w:ascii="Times New Roman" w:hAnsi="Times New Roman"/>
          <w:sz w:val="24"/>
          <w:szCs w:val="24"/>
        </w:rPr>
        <w:t xml:space="preserve">Associée                         </w:t>
      </w:r>
      <w:r w:rsidR="0078597E">
        <w:rPr>
          <w:rFonts w:ascii="Times New Roman" w:hAnsi="Times New Roman"/>
          <w:sz w:val="24"/>
          <w:szCs w:val="24"/>
        </w:rPr>
        <w:t xml:space="preserve">                                            </w:t>
      </w:r>
      <w:r>
        <w:rPr>
          <w:rFonts w:ascii="Times New Roman" w:hAnsi="Times New Roman"/>
          <w:sz w:val="24"/>
          <w:szCs w:val="24"/>
        </w:rPr>
        <w:t>Associé</w:t>
      </w:r>
    </w:p>
    <w:p w14:paraId="4A26652F" w14:textId="77777777" w:rsidR="007079FC" w:rsidRPr="009657B7" w:rsidRDefault="007079FC" w:rsidP="007079FC">
      <w:pPr>
        <w:pStyle w:val="Corpsdetexte"/>
        <w:rPr>
          <w:rFonts w:ascii="Times New Roman" w:hAnsi="Times New Roman"/>
          <w:sz w:val="24"/>
          <w:szCs w:val="24"/>
        </w:rPr>
      </w:pPr>
      <w:r w:rsidRPr="009657B7">
        <w:rPr>
          <w:rFonts w:ascii="Times New Roman" w:hAnsi="Times New Roman"/>
          <w:sz w:val="24"/>
          <w:szCs w:val="24"/>
        </w:rPr>
        <w:tab/>
      </w:r>
    </w:p>
    <w:p w14:paraId="0C2BE5B4" w14:textId="77777777" w:rsidR="00393575" w:rsidRPr="00127FEA" w:rsidRDefault="00393575" w:rsidP="00393575">
      <w:pPr>
        <w:pStyle w:val="Corpsdetexte"/>
        <w:rPr>
          <w:highlight w:val="yellow"/>
        </w:rPr>
      </w:pPr>
    </w:p>
    <w:p w14:paraId="0B17F253" w14:textId="77777777" w:rsidR="002A18F7" w:rsidRPr="00127FEA" w:rsidRDefault="002A18F7" w:rsidP="00281A16">
      <w:pPr>
        <w:tabs>
          <w:tab w:val="left" w:pos="-720"/>
        </w:tabs>
        <w:suppressAutoHyphens/>
        <w:spacing w:line="240" w:lineRule="atLeast"/>
        <w:jc w:val="both"/>
        <w:rPr>
          <w:rFonts w:ascii="Arial" w:hAnsi="Arial" w:cs="Arial"/>
          <w:b/>
          <w:spacing w:val="-3"/>
          <w:sz w:val="22"/>
          <w:szCs w:val="22"/>
          <w:highlight w:val="yellow"/>
        </w:rPr>
      </w:pPr>
    </w:p>
    <w:p w14:paraId="30B81C04" w14:textId="77777777" w:rsidR="002A18F7" w:rsidRPr="00127FEA" w:rsidRDefault="002A18F7" w:rsidP="00281A16">
      <w:pPr>
        <w:tabs>
          <w:tab w:val="left" w:pos="-720"/>
        </w:tabs>
        <w:suppressAutoHyphens/>
        <w:spacing w:line="240" w:lineRule="atLeast"/>
        <w:jc w:val="both"/>
        <w:rPr>
          <w:rFonts w:ascii="Arial" w:hAnsi="Arial" w:cs="Arial"/>
          <w:b/>
          <w:spacing w:val="-3"/>
          <w:sz w:val="22"/>
          <w:szCs w:val="22"/>
          <w:highlight w:val="yellow"/>
        </w:rPr>
      </w:pPr>
    </w:p>
    <w:p w14:paraId="22179255" w14:textId="77777777" w:rsidR="002A18F7" w:rsidRPr="00127FEA" w:rsidRDefault="002A18F7" w:rsidP="00281A16">
      <w:pPr>
        <w:tabs>
          <w:tab w:val="left" w:pos="-720"/>
        </w:tabs>
        <w:suppressAutoHyphens/>
        <w:spacing w:line="240" w:lineRule="atLeast"/>
        <w:jc w:val="both"/>
        <w:rPr>
          <w:rFonts w:ascii="Arial" w:hAnsi="Arial" w:cs="Arial"/>
          <w:b/>
          <w:spacing w:val="-3"/>
          <w:sz w:val="22"/>
          <w:szCs w:val="22"/>
          <w:highlight w:val="yellow"/>
        </w:rPr>
      </w:pPr>
    </w:p>
    <w:p w14:paraId="7D55884A" w14:textId="77777777" w:rsidR="002A18F7" w:rsidRPr="00127FEA" w:rsidRDefault="002A18F7" w:rsidP="00281A16">
      <w:pPr>
        <w:tabs>
          <w:tab w:val="left" w:pos="-720"/>
        </w:tabs>
        <w:suppressAutoHyphens/>
        <w:spacing w:line="240" w:lineRule="atLeast"/>
        <w:jc w:val="both"/>
        <w:rPr>
          <w:rFonts w:ascii="Arial" w:hAnsi="Arial" w:cs="Arial"/>
          <w:b/>
          <w:spacing w:val="-3"/>
          <w:sz w:val="22"/>
          <w:szCs w:val="22"/>
          <w:highlight w:val="yellow"/>
        </w:rPr>
      </w:pPr>
    </w:p>
    <w:p w14:paraId="555A6EAD" w14:textId="77777777" w:rsidR="002A18F7" w:rsidRPr="00127FEA" w:rsidRDefault="002A18F7" w:rsidP="00281A16">
      <w:pPr>
        <w:tabs>
          <w:tab w:val="left" w:pos="-720"/>
        </w:tabs>
        <w:suppressAutoHyphens/>
        <w:spacing w:line="240" w:lineRule="atLeast"/>
        <w:jc w:val="both"/>
        <w:rPr>
          <w:rFonts w:ascii="Arial" w:hAnsi="Arial" w:cs="Arial"/>
          <w:b/>
          <w:spacing w:val="-3"/>
          <w:sz w:val="22"/>
          <w:szCs w:val="22"/>
          <w:highlight w:val="yellow"/>
        </w:rPr>
      </w:pPr>
    </w:p>
    <w:p w14:paraId="0954BCFD" w14:textId="77777777" w:rsidR="002A18F7" w:rsidRPr="00127FEA" w:rsidRDefault="002A18F7" w:rsidP="00281A16">
      <w:pPr>
        <w:tabs>
          <w:tab w:val="left" w:pos="-720"/>
        </w:tabs>
        <w:suppressAutoHyphens/>
        <w:spacing w:line="240" w:lineRule="atLeast"/>
        <w:jc w:val="both"/>
        <w:rPr>
          <w:rFonts w:ascii="Arial" w:hAnsi="Arial" w:cs="Arial"/>
          <w:b/>
          <w:spacing w:val="-3"/>
          <w:sz w:val="22"/>
          <w:szCs w:val="22"/>
          <w:highlight w:val="yellow"/>
        </w:rPr>
      </w:pPr>
    </w:p>
    <w:p w14:paraId="12E2FD18" w14:textId="77777777" w:rsidR="002A18F7" w:rsidRPr="00127FEA" w:rsidRDefault="002A18F7" w:rsidP="00281A16">
      <w:pPr>
        <w:tabs>
          <w:tab w:val="left" w:pos="-720"/>
        </w:tabs>
        <w:suppressAutoHyphens/>
        <w:spacing w:line="240" w:lineRule="atLeast"/>
        <w:jc w:val="both"/>
        <w:rPr>
          <w:rFonts w:ascii="Arial" w:hAnsi="Arial" w:cs="Arial"/>
          <w:b/>
          <w:spacing w:val="-3"/>
          <w:sz w:val="22"/>
          <w:szCs w:val="22"/>
          <w:highlight w:val="yellow"/>
        </w:rPr>
      </w:pPr>
    </w:p>
    <w:p w14:paraId="29144AA0" w14:textId="77777777" w:rsidR="00281A16" w:rsidRPr="00127FEA" w:rsidRDefault="00281A16" w:rsidP="00281A16">
      <w:pPr>
        <w:spacing w:line="240" w:lineRule="atLeast"/>
        <w:jc w:val="both"/>
        <w:rPr>
          <w:rFonts w:ascii="Arial" w:hAnsi="Arial" w:cs="Arial"/>
          <w:b/>
          <w:sz w:val="22"/>
          <w:szCs w:val="22"/>
          <w:highlight w:val="yellow"/>
        </w:rPr>
      </w:pPr>
    </w:p>
    <w:p w14:paraId="0A7FABDA" w14:textId="77777777" w:rsidR="00660BDD" w:rsidRPr="00127FEA" w:rsidRDefault="00660BDD" w:rsidP="00281A16">
      <w:pPr>
        <w:pStyle w:val="Head"/>
        <w:ind w:right="387"/>
        <w:rPr>
          <w:rFonts w:cs="Arial"/>
          <w:highlight w:val="yellow"/>
        </w:rPr>
      </w:pPr>
    </w:p>
    <w:p w14:paraId="5EF087DC" w14:textId="77777777" w:rsidR="00660BDD" w:rsidRPr="00127FEA" w:rsidRDefault="00660BDD" w:rsidP="00660BDD">
      <w:pPr>
        <w:pStyle w:val="Body"/>
        <w:rPr>
          <w:highlight w:val="yellow"/>
        </w:rPr>
      </w:pPr>
    </w:p>
    <w:p w14:paraId="4C98EF91" w14:textId="77777777" w:rsidR="00660BDD" w:rsidRPr="00127FEA" w:rsidRDefault="00660BDD" w:rsidP="00660BDD">
      <w:pPr>
        <w:pStyle w:val="Body"/>
        <w:rPr>
          <w:highlight w:val="yellow"/>
        </w:rPr>
      </w:pPr>
    </w:p>
    <w:p w14:paraId="222B760E" w14:textId="77777777" w:rsidR="00660BDD" w:rsidRPr="00127FEA" w:rsidRDefault="00660BDD" w:rsidP="00660BDD">
      <w:pPr>
        <w:pStyle w:val="Body"/>
        <w:rPr>
          <w:highlight w:val="yellow"/>
        </w:rPr>
      </w:pPr>
    </w:p>
    <w:p w14:paraId="785CAB88" w14:textId="77777777" w:rsidR="00660BDD" w:rsidRPr="00127FEA" w:rsidRDefault="00660BDD" w:rsidP="00660BDD">
      <w:pPr>
        <w:pStyle w:val="Body"/>
        <w:rPr>
          <w:highlight w:val="yellow"/>
        </w:rPr>
      </w:pPr>
    </w:p>
    <w:p w14:paraId="162D864E" w14:textId="77777777" w:rsidR="00660BDD" w:rsidRPr="00127FEA" w:rsidRDefault="00660BDD" w:rsidP="00281A16">
      <w:pPr>
        <w:pStyle w:val="Head"/>
        <w:ind w:right="387"/>
        <w:rPr>
          <w:rFonts w:cs="Arial"/>
          <w:highlight w:val="yellow"/>
        </w:rPr>
      </w:pPr>
    </w:p>
    <w:p w14:paraId="6B862896" w14:textId="77777777" w:rsidR="00660BDD" w:rsidRPr="00127FEA" w:rsidRDefault="00660BDD" w:rsidP="00281A16">
      <w:pPr>
        <w:pStyle w:val="Head"/>
        <w:ind w:right="387"/>
        <w:rPr>
          <w:rFonts w:cs="Arial"/>
          <w:highlight w:val="yellow"/>
        </w:rPr>
      </w:pPr>
    </w:p>
    <w:p w14:paraId="14D002EC" w14:textId="77777777" w:rsidR="00660BDD" w:rsidRPr="00127FEA" w:rsidRDefault="00660BDD" w:rsidP="00660BDD">
      <w:pPr>
        <w:pStyle w:val="Body"/>
        <w:rPr>
          <w:highlight w:val="yellow"/>
        </w:rPr>
      </w:pPr>
    </w:p>
    <w:p w14:paraId="0B0CD81A" w14:textId="77777777" w:rsidR="00660BDD" w:rsidRPr="00127FEA" w:rsidRDefault="00660BDD" w:rsidP="00660BDD">
      <w:pPr>
        <w:pStyle w:val="Body"/>
        <w:rPr>
          <w:highlight w:val="yellow"/>
        </w:rPr>
      </w:pPr>
    </w:p>
    <w:p w14:paraId="06CB120C" w14:textId="77777777" w:rsidR="00660BDD" w:rsidRPr="00127FEA" w:rsidRDefault="00660BDD" w:rsidP="00660BDD">
      <w:pPr>
        <w:pStyle w:val="Body"/>
        <w:rPr>
          <w:highlight w:val="yellow"/>
        </w:rPr>
      </w:pPr>
    </w:p>
    <w:p w14:paraId="37801D78" w14:textId="77777777" w:rsidR="00660BDD" w:rsidRPr="00127FEA" w:rsidRDefault="00660BDD" w:rsidP="00660BDD">
      <w:pPr>
        <w:pStyle w:val="Body"/>
        <w:rPr>
          <w:highlight w:val="yellow"/>
        </w:rPr>
      </w:pPr>
    </w:p>
    <w:p w14:paraId="48F74688" w14:textId="77777777" w:rsidR="00660BDD" w:rsidRPr="00127FEA" w:rsidRDefault="00660BDD" w:rsidP="00660BDD">
      <w:pPr>
        <w:pStyle w:val="Body"/>
        <w:rPr>
          <w:highlight w:val="yellow"/>
        </w:rPr>
      </w:pPr>
    </w:p>
    <w:p w14:paraId="5159A340" w14:textId="77777777" w:rsidR="00660BDD" w:rsidRPr="00127FEA" w:rsidRDefault="00660BDD" w:rsidP="00660BDD">
      <w:pPr>
        <w:pStyle w:val="Body"/>
        <w:rPr>
          <w:highlight w:val="yellow"/>
        </w:rPr>
      </w:pPr>
    </w:p>
    <w:p w14:paraId="76D8B1E7" w14:textId="77777777" w:rsidR="00660BDD" w:rsidRPr="00127FEA" w:rsidRDefault="00660BDD" w:rsidP="00660BDD">
      <w:pPr>
        <w:pStyle w:val="Body"/>
        <w:rPr>
          <w:highlight w:val="yellow"/>
        </w:rPr>
      </w:pPr>
    </w:p>
    <w:p w14:paraId="722DDB15" w14:textId="77777777" w:rsidR="00E03757" w:rsidRPr="00A14BE9" w:rsidRDefault="00660BDD" w:rsidP="00281A16">
      <w:pPr>
        <w:pStyle w:val="Head"/>
        <w:ind w:right="387"/>
        <w:rPr>
          <w:rFonts w:ascii="Times New Roman" w:hAnsi="Times New Roman"/>
        </w:rPr>
      </w:pPr>
      <w:r w:rsidRPr="00A14BE9">
        <w:rPr>
          <w:rFonts w:ascii="Times New Roman" w:hAnsi="Times New Roman"/>
        </w:rPr>
        <w:t>A</w:t>
      </w:r>
      <w:r w:rsidR="00E03757" w:rsidRPr="00A14BE9">
        <w:rPr>
          <w:rFonts w:ascii="Times New Roman" w:hAnsi="Times New Roman"/>
        </w:rPr>
        <w:t xml:space="preserve">TTESTATION DE LA PERSONNE RESPONSABLE DU RAPPORT FINANCIER </w:t>
      </w:r>
      <w:r w:rsidR="00B83A20" w:rsidRPr="00A14BE9">
        <w:rPr>
          <w:rFonts w:ascii="Times New Roman" w:hAnsi="Times New Roman"/>
        </w:rPr>
        <w:t>ANNUEL</w:t>
      </w:r>
    </w:p>
    <w:p w14:paraId="643AB1AF" w14:textId="77777777" w:rsidR="00B83A20" w:rsidRPr="00A14BE9" w:rsidRDefault="00B83A20" w:rsidP="00281A16">
      <w:pPr>
        <w:pStyle w:val="Body"/>
        <w:ind w:right="387"/>
        <w:rPr>
          <w:rFonts w:ascii="Times New Roman" w:hAnsi="Times New Roman"/>
        </w:rPr>
      </w:pPr>
    </w:p>
    <w:p w14:paraId="3ABF668F" w14:textId="174E58E1" w:rsidR="00DC4F96" w:rsidRPr="00A14BE9" w:rsidRDefault="00DC4F96" w:rsidP="00281A16">
      <w:pPr>
        <w:pStyle w:val="Body"/>
        <w:ind w:right="387"/>
        <w:rPr>
          <w:rFonts w:ascii="Times New Roman" w:hAnsi="Times New Roman"/>
        </w:rPr>
      </w:pPr>
      <w:r w:rsidRPr="00A14BE9">
        <w:rPr>
          <w:rFonts w:ascii="Times New Roman" w:hAnsi="Times New Roman"/>
        </w:rPr>
        <w:t>J’atteste, qu’à ma connaissance, les comptes annuels sont établis conformément aux normes comptables applicables et donnent une image fidèle du patrimoine, de la situation financière et du résultat de la société et que le rapport de gestion ci-joint présente un tableau fidèle de l'évolution des affaires, des résultats et de la situation financière de la société ainsi qu'une description des principaux risques et incertitudes auxquelles elle est confrontée.</w:t>
      </w:r>
    </w:p>
    <w:p w14:paraId="5BCE4993" w14:textId="77777777" w:rsidR="00E03757" w:rsidRPr="00A14BE9" w:rsidRDefault="00E03757" w:rsidP="00281A16">
      <w:pPr>
        <w:pStyle w:val="Body"/>
        <w:ind w:right="387"/>
        <w:rPr>
          <w:rFonts w:ascii="Times New Roman" w:hAnsi="Times New Roman"/>
          <w:sz w:val="22"/>
        </w:rPr>
      </w:pPr>
    </w:p>
    <w:p w14:paraId="13E96D23" w14:textId="16F060BF" w:rsidR="00E03757" w:rsidRPr="003B35A3" w:rsidRDefault="00421478" w:rsidP="00281A16">
      <w:pPr>
        <w:pStyle w:val="Body"/>
        <w:ind w:right="387"/>
        <w:rPr>
          <w:rFonts w:ascii="Times New Roman" w:hAnsi="Times New Roman"/>
          <w:szCs w:val="20"/>
        </w:rPr>
      </w:pPr>
      <w:r w:rsidRPr="003B35A3">
        <w:rPr>
          <w:rFonts w:ascii="Times New Roman" w:hAnsi="Times New Roman"/>
          <w:szCs w:val="20"/>
        </w:rPr>
        <w:t xml:space="preserve">Fait à Paris, le </w:t>
      </w:r>
      <w:r w:rsidR="00C03CCD" w:rsidRPr="001D7AE9">
        <w:rPr>
          <w:rFonts w:ascii="Times New Roman" w:hAnsi="Times New Roman"/>
          <w:szCs w:val="20"/>
        </w:rPr>
        <w:t>11</w:t>
      </w:r>
      <w:r w:rsidR="003B35A3" w:rsidRPr="001D7AE9">
        <w:rPr>
          <w:rFonts w:ascii="Times New Roman" w:hAnsi="Times New Roman"/>
          <w:szCs w:val="20"/>
        </w:rPr>
        <w:t>/</w:t>
      </w:r>
      <w:r w:rsidR="00C03CCD" w:rsidRPr="001D7AE9">
        <w:rPr>
          <w:rFonts w:ascii="Times New Roman" w:hAnsi="Times New Roman"/>
          <w:szCs w:val="20"/>
        </w:rPr>
        <w:t>03</w:t>
      </w:r>
      <w:r w:rsidR="003B35A3" w:rsidRPr="001D7AE9">
        <w:rPr>
          <w:rFonts w:ascii="Times New Roman" w:hAnsi="Times New Roman"/>
          <w:szCs w:val="20"/>
        </w:rPr>
        <w:t>/</w:t>
      </w:r>
      <w:r w:rsidR="002E3358" w:rsidRPr="001D7AE9">
        <w:rPr>
          <w:rFonts w:ascii="Times New Roman" w:hAnsi="Times New Roman"/>
          <w:szCs w:val="20"/>
        </w:rPr>
        <w:t>2020</w:t>
      </w:r>
    </w:p>
    <w:p w14:paraId="7D0C9E4B" w14:textId="77777777" w:rsidR="00E03757" w:rsidRPr="003B35A3" w:rsidRDefault="00E03757" w:rsidP="00281A16">
      <w:pPr>
        <w:pStyle w:val="Body"/>
        <w:ind w:right="387"/>
        <w:rPr>
          <w:rFonts w:ascii="Times New Roman" w:hAnsi="Times New Roman"/>
          <w:szCs w:val="20"/>
        </w:rPr>
      </w:pPr>
    </w:p>
    <w:p w14:paraId="6821A77E" w14:textId="77777777" w:rsidR="00E03757" w:rsidRPr="003B35A3" w:rsidRDefault="00E03757" w:rsidP="00281A16">
      <w:pPr>
        <w:pStyle w:val="Body"/>
        <w:ind w:right="387"/>
        <w:rPr>
          <w:rFonts w:ascii="Times New Roman" w:hAnsi="Times New Roman"/>
          <w:szCs w:val="20"/>
        </w:rPr>
      </w:pPr>
    </w:p>
    <w:p w14:paraId="6E237D8A" w14:textId="77777777" w:rsidR="00404CAA" w:rsidRPr="003B35A3" w:rsidRDefault="00404CAA" w:rsidP="00281A16">
      <w:pPr>
        <w:pStyle w:val="Body"/>
        <w:tabs>
          <w:tab w:val="left" w:pos="0"/>
        </w:tabs>
        <w:rPr>
          <w:rFonts w:ascii="Times New Roman" w:hAnsi="Times New Roman"/>
          <w:szCs w:val="20"/>
        </w:rPr>
      </w:pPr>
    </w:p>
    <w:p w14:paraId="6293FF22" w14:textId="77777777" w:rsidR="00404CAA" w:rsidRPr="003B35A3" w:rsidRDefault="00404CAA" w:rsidP="00281A16">
      <w:pPr>
        <w:pStyle w:val="Body"/>
        <w:tabs>
          <w:tab w:val="left" w:pos="0"/>
        </w:tabs>
        <w:rPr>
          <w:rFonts w:ascii="Times New Roman" w:hAnsi="Times New Roman"/>
          <w:szCs w:val="20"/>
        </w:rPr>
      </w:pPr>
    </w:p>
    <w:p w14:paraId="62AF99AF" w14:textId="449604CD" w:rsidR="00E03757" w:rsidRPr="003B35A3" w:rsidRDefault="00404CAA" w:rsidP="00281A16">
      <w:pPr>
        <w:pStyle w:val="Body"/>
        <w:tabs>
          <w:tab w:val="left" w:pos="0"/>
        </w:tabs>
        <w:rPr>
          <w:rFonts w:ascii="Times New Roman" w:hAnsi="Times New Roman"/>
          <w:szCs w:val="20"/>
        </w:rPr>
      </w:pP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00C03CCD">
        <w:rPr>
          <w:rFonts w:ascii="Times New Roman" w:hAnsi="Times New Roman"/>
          <w:szCs w:val="20"/>
        </w:rPr>
        <w:t>Patrick Peaucelle</w:t>
      </w:r>
    </w:p>
    <w:p w14:paraId="05A7C2B8" w14:textId="4A430A6F" w:rsidR="00B83A20" w:rsidRPr="003B35A3" w:rsidRDefault="00404CAA" w:rsidP="00281A16">
      <w:pPr>
        <w:pStyle w:val="Body"/>
        <w:tabs>
          <w:tab w:val="left" w:pos="0"/>
        </w:tabs>
        <w:rPr>
          <w:rFonts w:ascii="Times New Roman" w:hAnsi="Times New Roman"/>
          <w:szCs w:val="20"/>
        </w:rPr>
      </w:pP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Pr="003B35A3">
        <w:rPr>
          <w:rFonts w:ascii="Times New Roman" w:hAnsi="Times New Roman"/>
          <w:szCs w:val="20"/>
        </w:rPr>
        <w:tab/>
      </w:r>
      <w:r w:rsidR="00B83A20" w:rsidRPr="003B35A3">
        <w:rPr>
          <w:rFonts w:ascii="Times New Roman" w:hAnsi="Times New Roman"/>
          <w:szCs w:val="20"/>
        </w:rPr>
        <w:t>Directeur général</w:t>
      </w:r>
      <w:r w:rsidR="00C03CCD">
        <w:rPr>
          <w:rFonts w:ascii="Times New Roman" w:hAnsi="Times New Roman"/>
          <w:szCs w:val="20"/>
        </w:rPr>
        <w:t xml:space="preserve"> délégué</w:t>
      </w:r>
    </w:p>
    <w:p w14:paraId="0FE5AECA" w14:textId="77777777" w:rsidR="00E03757" w:rsidRPr="00127FEA" w:rsidRDefault="00E03757" w:rsidP="00281A16">
      <w:pPr>
        <w:pStyle w:val="Body"/>
        <w:ind w:right="387"/>
        <w:rPr>
          <w:rFonts w:cs="Arial"/>
          <w:highlight w:val="yellow"/>
        </w:rPr>
      </w:pPr>
    </w:p>
    <w:p w14:paraId="796F39B8" w14:textId="77777777" w:rsidR="00C06922" w:rsidRPr="00127FEA" w:rsidRDefault="00C06922" w:rsidP="00281A16">
      <w:pPr>
        <w:pStyle w:val="Body"/>
        <w:ind w:right="387"/>
        <w:rPr>
          <w:rFonts w:cs="Arial"/>
          <w:highlight w:val="yellow"/>
        </w:rPr>
      </w:pPr>
    </w:p>
    <w:p w14:paraId="3B064CD8" w14:textId="77777777" w:rsidR="00C06922" w:rsidRPr="00127FEA" w:rsidRDefault="00C06922" w:rsidP="00281A16">
      <w:pPr>
        <w:pStyle w:val="Body"/>
        <w:ind w:right="387"/>
        <w:rPr>
          <w:rFonts w:cs="Arial"/>
          <w:highlight w:val="yellow"/>
        </w:rPr>
      </w:pPr>
    </w:p>
    <w:p w14:paraId="7BBEBDD3" w14:textId="77777777" w:rsidR="00C06922" w:rsidRPr="00127FEA" w:rsidRDefault="00C06922" w:rsidP="00281A16">
      <w:pPr>
        <w:pStyle w:val="Body"/>
        <w:ind w:right="387"/>
        <w:rPr>
          <w:rFonts w:cs="Arial"/>
          <w:highlight w:val="yellow"/>
        </w:rPr>
      </w:pPr>
    </w:p>
    <w:p w14:paraId="5F85532B" w14:textId="77777777" w:rsidR="00E03757" w:rsidRPr="00127FEA" w:rsidRDefault="00E03757" w:rsidP="00281A16">
      <w:pPr>
        <w:spacing w:before="3"/>
        <w:ind w:left="626" w:right="387"/>
        <w:jc w:val="both"/>
        <w:rPr>
          <w:rFonts w:ascii="Arial" w:hAnsi="Arial" w:cs="Arial"/>
          <w:sz w:val="21"/>
          <w:szCs w:val="21"/>
          <w:highlight w:val="yellow"/>
        </w:rPr>
      </w:pPr>
    </w:p>
    <w:p w14:paraId="18D47ADB" w14:textId="77777777" w:rsidR="00F04197" w:rsidRPr="00127FEA" w:rsidRDefault="00F04197" w:rsidP="00281A16">
      <w:pPr>
        <w:spacing w:before="3"/>
        <w:ind w:left="626" w:right="387"/>
        <w:jc w:val="both"/>
        <w:rPr>
          <w:rFonts w:ascii="Arial" w:hAnsi="Arial" w:cs="Arial"/>
          <w:sz w:val="21"/>
          <w:szCs w:val="21"/>
          <w:highlight w:val="yellow"/>
        </w:rPr>
      </w:pPr>
    </w:p>
    <w:p w14:paraId="2A79DC0E" w14:textId="77777777" w:rsidR="00F04197" w:rsidRPr="00127FEA" w:rsidRDefault="00F04197" w:rsidP="00281A16">
      <w:pPr>
        <w:spacing w:before="3"/>
        <w:ind w:left="626" w:right="387"/>
        <w:jc w:val="both"/>
        <w:rPr>
          <w:rFonts w:ascii="Arial" w:hAnsi="Arial" w:cs="Arial"/>
          <w:sz w:val="21"/>
          <w:szCs w:val="21"/>
          <w:highlight w:val="yellow"/>
        </w:rPr>
      </w:pPr>
    </w:p>
    <w:p w14:paraId="1FFBDD47" w14:textId="77777777" w:rsidR="00F04197" w:rsidRPr="00127FEA" w:rsidRDefault="00F04197" w:rsidP="00281A16">
      <w:pPr>
        <w:spacing w:before="3"/>
        <w:ind w:left="626" w:right="387"/>
        <w:jc w:val="both"/>
        <w:rPr>
          <w:rFonts w:ascii="Arial" w:hAnsi="Arial" w:cs="Arial"/>
          <w:sz w:val="21"/>
          <w:szCs w:val="21"/>
          <w:highlight w:val="yellow"/>
        </w:rPr>
      </w:pPr>
    </w:p>
    <w:p w14:paraId="1C64BE9E" w14:textId="77777777" w:rsidR="00F04197" w:rsidRPr="00127FEA" w:rsidRDefault="00F04197" w:rsidP="00281A16">
      <w:pPr>
        <w:spacing w:before="3"/>
        <w:ind w:left="626" w:right="387"/>
        <w:jc w:val="both"/>
        <w:rPr>
          <w:rFonts w:ascii="Arial" w:hAnsi="Arial" w:cs="Arial"/>
          <w:sz w:val="21"/>
          <w:szCs w:val="21"/>
          <w:highlight w:val="yellow"/>
        </w:rPr>
      </w:pPr>
    </w:p>
    <w:p w14:paraId="5FF1745C" w14:textId="77777777" w:rsidR="00F04197" w:rsidRDefault="00F04197" w:rsidP="00281A16">
      <w:pPr>
        <w:spacing w:before="3"/>
        <w:ind w:left="626" w:right="387"/>
        <w:jc w:val="both"/>
        <w:rPr>
          <w:rFonts w:ascii="Arial" w:hAnsi="Arial" w:cs="Arial"/>
          <w:sz w:val="21"/>
          <w:szCs w:val="21"/>
          <w:highlight w:val="yellow"/>
        </w:rPr>
      </w:pPr>
    </w:p>
    <w:p w14:paraId="7D68439D" w14:textId="77777777" w:rsidR="007701A6" w:rsidRDefault="007701A6" w:rsidP="00281A16">
      <w:pPr>
        <w:spacing w:before="3"/>
        <w:ind w:left="626" w:right="387"/>
        <w:jc w:val="both"/>
        <w:rPr>
          <w:rFonts w:ascii="Arial" w:hAnsi="Arial" w:cs="Arial"/>
          <w:sz w:val="21"/>
          <w:szCs w:val="21"/>
          <w:highlight w:val="yellow"/>
        </w:rPr>
      </w:pPr>
    </w:p>
    <w:p w14:paraId="23F6D76C" w14:textId="77777777" w:rsidR="007701A6" w:rsidRDefault="007701A6" w:rsidP="00281A16">
      <w:pPr>
        <w:spacing w:before="3"/>
        <w:ind w:left="626" w:right="387"/>
        <w:jc w:val="both"/>
        <w:rPr>
          <w:rFonts w:ascii="Arial" w:hAnsi="Arial" w:cs="Arial"/>
          <w:sz w:val="21"/>
          <w:szCs w:val="21"/>
          <w:highlight w:val="yellow"/>
        </w:rPr>
      </w:pPr>
    </w:p>
    <w:p w14:paraId="4FB31324" w14:textId="77777777" w:rsidR="007701A6" w:rsidRDefault="007701A6" w:rsidP="00281A16">
      <w:pPr>
        <w:spacing w:before="3"/>
        <w:ind w:left="626" w:right="387"/>
        <w:jc w:val="both"/>
        <w:rPr>
          <w:rFonts w:ascii="Arial" w:hAnsi="Arial" w:cs="Arial"/>
          <w:sz w:val="21"/>
          <w:szCs w:val="21"/>
          <w:highlight w:val="yellow"/>
        </w:rPr>
      </w:pPr>
    </w:p>
    <w:p w14:paraId="23F21BCE" w14:textId="77777777" w:rsidR="007701A6" w:rsidRDefault="007701A6" w:rsidP="00281A16">
      <w:pPr>
        <w:spacing w:before="3"/>
        <w:ind w:left="626" w:right="387"/>
        <w:jc w:val="both"/>
        <w:rPr>
          <w:rFonts w:ascii="Arial" w:hAnsi="Arial" w:cs="Arial"/>
          <w:sz w:val="21"/>
          <w:szCs w:val="21"/>
          <w:highlight w:val="yellow"/>
        </w:rPr>
      </w:pPr>
    </w:p>
    <w:p w14:paraId="1A216B81" w14:textId="77777777" w:rsidR="007701A6" w:rsidRDefault="007701A6" w:rsidP="00281A16">
      <w:pPr>
        <w:spacing w:before="3"/>
        <w:ind w:left="626" w:right="387"/>
        <w:jc w:val="both"/>
        <w:rPr>
          <w:rFonts w:ascii="Arial" w:hAnsi="Arial" w:cs="Arial"/>
          <w:sz w:val="21"/>
          <w:szCs w:val="21"/>
          <w:highlight w:val="yellow"/>
        </w:rPr>
      </w:pPr>
    </w:p>
    <w:p w14:paraId="0F25FA26" w14:textId="77777777" w:rsidR="007701A6" w:rsidRDefault="007701A6" w:rsidP="00281A16">
      <w:pPr>
        <w:spacing w:before="3"/>
        <w:ind w:left="626" w:right="387"/>
        <w:jc w:val="both"/>
        <w:rPr>
          <w:rFonts w:ascii="Arial" w:hAnsi="Arial" w:cs="Arial"/>
          <w:sz w:val="21"/>
          <w:szCs w:val="21"/>
          <w:highlight w:val="yellow"/>
        </w:rPr>
      </w:pPr>
    </w:p>
    <w:p w14:paraId="3EFA45D1" w14:textId="77777777" w:rsidR="007701A6" w:rsidRPr="00127FEA" w:rsidRDefault="007701A6" w:rsidP="00281A16">
      <w:pPr>
        <w:spacing w:before="3"/>
        <w:ind w:left="626" w:right="387"/>
        <w:jc w:val="both"/>
        <w:rPr>
          <w:rFonts w:ascii="Arial" w:hAnsi="Arial" w:cs="Arial"/>
          <w:sz w:val="21"/>
          <w:szCs w:val="21"/>
          <w:highlight w:val="yellow"/>
        </w:rPr>
      </w:pPr>
    </w:p>
    <w:p w14:paraId="4D09D9C5" w14:textId="77777777" w:rsidR="00F04197" w:rsidRPr="00127FEA" w:rsidRDefault="00F04197" w:rsidP="00281A16">
      <w:pPr>
        <w:spacing w:before="3"/>
        <w:ind w:left="626" w:right="387"/>
        <w:jc w:val="both"/>
        <w:rPr>
          <w:rFonts w:ascii="Arial" w:hAnsi="Arial" w:cs="Arial"/>
          <w:sz w:val="21"/>
          <w:szCs w:val="21"/>
          <w:highlight w:val="yellow"/>
        </w:rPr>
      </w:pPr>
    </w:p>
    <w:p w14:paraId="4E8253F0" w14:textId="77777777" w:rsidR="00F04197" w:rsidRPr="00127FEA" w:rsidRDefault="00F04197" w:rsidP="00281A16">
      <w:pPr>
        <w:spacing w:before="3"/>
        <w:ind w:left="626" w:right="387"/>
        <w:jc w:val="both"/>
        <w:rPr>
          <w:rFonts w:ascii="Arial" w:hAnsi="Arial" w:cs="Arial"/>
          <w:sz w:val="21"/>
          <w:szCs w:val="21"/>
          <w:highlight w:val="yellow"/>
        </w:rPr>
      </w:pPr>
    </w:p>
    <w:p w14:paraId="78DB0AE8" w14:textId="77777777" w:rsidR="00F04197" w:rsidRPr="00127FEA" w:rsidRDefault="00F04197" w:rsidP="00281A16">
      <w:pPr>
        <w:spacing w:before="3"/>
        <w:ind w:right="387"/>
        <w:jc w:val="both"/>
        <w:rPr>
          <w:rFonts w:ascii="Arial" w:hAnsi="Arial" w:cs="Arial"/>
          <w:sz w:val="21"/>
          <w:szCs w:val="21"/>
          <w:highlight w:val="yellow"/>
        </w:rPr>
      </w:pPr>
    </w:p>
    <w:p w14:paraId="063E55A1" w14:textId="77777777" w:rsidR="00DC4F96" w:rsidRPr="00127FEA" w:rsidRDefault="00DC4F96" w:rsidP="00281A16">
      <w:pPr>
        <w:spacing w:before="3"/>
        <w:ind w:right="387"/>
        <w:jc w:val="both"/>
        <w:rPr>
          <w:rFonts w:ascii="Arial" w:hAnsi="Arial" w:cs="Arial"/>
          <w:sz w:val="21"/>
          <w:szCs w:val="21"/>
          <w:highlight w:val="yellow"/>
        </w:rPr>
      </w:pPr>
    </w:p>
    <w:p w14:paraId="2067B1F8" w14:textId="77777777" w:rsidR="00DC4F96" w:rsidRDefault="00DC4F96" w:rsidP="00281A16">
      <w:pPr>
        <w:spacing w:before="3"/>
        <w:ind w:right="387"/>
        <w:jc w:val="both"/>
        <w:rPr>
          <w:rFonts w:ascii="Arial" w:hAnsi="Arial" w:cs="Arial"/>
          <w:sz w:val="21"/>
          <w:szCs w:val="21"/>
          <w:highlight w:val="yellow"/>
        </w:rPr>
      </w:pPr>
    </w:p>
    <w:p w14:paraId="4822F627" w14:textId="77777777" w:rsidR="00F723AC" w:rsidRPr="00127FEA" w:rsidRDefault="00F723AC" w:rsidP="00281A16">
      <w:pPr>
        <w:spacing w:before="3"/>
        <w:ind w:right="387"/>
        <w:jc w:val="both"/>
        <w:rPr>
          <w:rFonts w:ascii="Arial" w:hAnsi="Arial" w:cs="Arial"/>
          <w:sz w:val="21"/>
          <w:szCs w:val="21"/>
          <w:highlight w:val="yellow"/>
        </w:rPr>
      </w:pPr>
    </w:p>
    <w:p w14:paraId="45233E93" w14:textId="77777777" w:rsidR="00DC4F96" w:rsidRPr="00127FEA" w:rsidRDefault="00DC4F96" w:rsidP="00281A16">
      <w:pPr>
        <w:spacing w:before="3"/>
        <w:ind w:right="387"/>
        <w:jc w:val="both"/>
        <w:rPr>
          <w:rFonts w:ascii="Arial" w:hAnsi="Arial" w:cs="Arial"/>
          <w:sz w:val="21"/>
          <w:szCs w:val="21"/>
          <w:highlight w:val="yellow"/>
        </w:rPr>
      </w:pPr>
    </w:p>
    <w:p w14:paraId="7424722E" w14:textId="77777777" w:rsidR="00DC4F96" w:rsidRPr="00127FEA" w:rsidRDefault="00DC4F96" w:rsidP="00281A16">
      <w:pPr>
        <w:spacing w:before="3"/>
        <w:ind w:right="387"/>
        <w:jc w:val="both"/>
        <w:rPr>
          <w:rFonts w:ascii="Arial" w:hAnsi="Arial" w:cs="Arial"/>
          <w:sz w:val="21"/>
          <w:szCs w:val="21"/>
          <w:highlight w:val="yellow"/>
        </w:rPr>
      </w:pPr>
    </w:p>
    <w:p w14:paraId="353D3451" w14:textId="5AA242E6" w:rsidR="00F04197" w:rsidRPr="00281A16" w:rsidRDefault="00F04197" w:rsidP="00281A16">
      <w:pPr>
        <w:pStyle w:val="Pieddepage"/>
        <w:jc w:val="both"/>
        <w:rPr>
          <w:rFonts w:ascii="Arial" w:hAnsi="Arial" w:cs="Arial"/>
          <w:color w:val="A6A6A6" w:themeColor="background1" w:themeShade="A6"/>
          <w:sz w:val="16"/>
          <w:szCs w:val="16"/>
        </w:rPr>
      </w:pPr>
    </w:p>
    <w:sectPr w:rsidR="00F04197" w:rsidRPr="00281A16" w:rsidSect="009B7597">
      <w:headerReference w:type="even" r:id="rId64"/>
      <w:headerReference w:type="default" r:id="rId65"/>
      <w:footerReference w:type="even"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B66D2" w14:textId="77777777" w:rsidR="009D7413" w:rsidRDefault="009D7413">
      <w:r>
        <w:separator/>
      </w:r>
    </w:p>
  </w:endnote>
  <w:endnote w:type="continuationSeparator" w:id="0">
    <w:p w14:paraId="35DBAACA" w14:textId="77777777" w:rsidR="009D7413" w:rsidRDefault="009D7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EYInterstate Light">
    <w:altName w:val="Times New Roman"/>
    <w:charset w:val="00"/>
    <w:family w:val="auto"/>
    <w:pitch w:val="variable"/>
    <w:sig w:usb0="00000001" w:usb1="5000206A" w:usb2="00000000" w:usb3="00000000" w:csb0="0000009F" w:csb1="00000000"/>
  </w:font>
  <w:font w:name="EYInterstate">
    <w:altName w:val="Corbel"/>
    <w:charset w:val="00"/>
    <w:family w:val="auto"/>
    <w:pitch w:val="variable"/>
    <w:sig w:usb0="00000001" w:usb1="5000206A"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2A6AD" w14:textId="77777777" w:rsidR="00454589" w:rsidRDefault="0045458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D1FA0" w14:textId="77777777" w:rsidR="009D7413" w:rsidRPr="00F723AC" w:rsidRDefault="009D7413" w:rsidP="00F723AC">
    <w:pPr>
      <w:pStyle w:val="Pieddepage"/>
      <w:jc w:val="both"/>
      <w:rPr>
        <w:rFonts w:ascii="Arial" w:hAnsi="Arial" w:cs="Arial"/>
        <w:color w:val="7F7F7F" w:themeColor="text1" w:themeTint="80"/>
        <w:sz w:val="12"/>
        <w:szCs w:val="16"/>
      </w:rPr>
    </w:pPr>
    <w:r w:rsidRPr="00F723AC">
      <w:rPr>
        <w:rFonts w:ascii="Arial" w:hAnsi="Arial" w:cs="Arial"/>
        <w:color w:val="7F7F7F" w:themeColor="text1" w:themeTint="80"/>
        <w:sz w:val="12"/>
        <w:szCs w:val="16"/>
      </w:rPr>
      <w:t>La Banque Postale Home Loan SFH- Société Anonyme au capital de 210 000 000 euros</w:t>
    </w:r>
  </w:p>
  <w:p w14:paraId="19B73A2F" w14:textId="1911699E" w:rsidR="009D7413" w:rsidRPr="000913EC" w:rsidRDefault="009D7413" w:rsidP="00F723AC">
    <w:pPr>
      <w:pStyle w:val="Pieddepage"/>
      <w:jc w:val="both"/>
      <w:rPr>
        <w:rFonts w:asciiTheme="minorHAnsi" w:hAnsiTheme="minorHAnsi"/>
      </w:rPr>
    </w:pPr>
    <w:r w:rsidRPr="00F723AC">
      <w:rPr>
        <w:rFonts w:ascii="Arial" w:hAnsi="Arial" w:cs="Arial"/>
        <w:color w:val="7F7F7F" w:themeColor="text1" w:themeTint="80"/>
        <w:sz w:val="12"/>
        <w:szCs w:val="16"/>
      </w:rPr>
      <w:t>Siège social: 115 rue de Sèvres – 75275 Paris Cedex 06 - 522 047 570 RCS Paris</w:t>
    </w:r>
    <w:r>
      <w:rPr>
        <w:rFonts w:asciiTheme="minorHAnsi" w:hAnsiTheme="minorHAnsi"/>
        <w:noProof/>
      </w:rPr>
      <mc:AlternateContent>
        <mc:Choice Requires="wps">
          <w:drawing>
            <wp:anchor distT="0" distB="0" distL="114300" distR="114300" simplePos="0" relativeHeight="251659264" behindDoc="0" locked="0" layoutInCell="0" allowOverlap="1" wp14:anchorId="3E79F147" wp14:editId="7014E98A">
              <wp:simplePos x="0" y="0"/>
              <wp:positionH relativeFrom="page">
                <wp:align>center</wp:align>
              </wp:positionH>
              <wp:positionV relativeFrom="page">
                <wp:align>bottom</wp:align>
              </wp:positionV>
              <wp:extent cx="7772400" cy="457200"/>
              <wp:effectExtent l="0" t="0" r="0" b="0"/>
              <wp:wrapNone/>
              <wp:docPr id="2" name="MSIPCMf9264216b67e14088f324ff3" descr="{&quot;HashCode&quot;:-64109908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2D393D" w14:textId="778E6A8D" w:rsidR="009D7413" w:rsidRPr="00454589" w:rsidRDefault="00454589" w:rsidP="00454589">
                          <w:pPr>
                            <w:jc w:val="center"/>
                            <w:rPr>
                              <w:rFonts w:ascii="Calibri" w:hAnsi="Calibri" w:cs="Calibri"/>
                              <w:color w:val="317100"/>
                              <w:sz w:val="20"/>
                            </w:rPr>
                          </w:pPr>
                          <w:r w:rsidRPr="00454589">
                            <w:rPr>
                              <w:rFonts w:ascii="Calibri" w:hAnsi="Calibri" w:cs="Calibri"/>
                              <w:color w:val="317100"/>
                              <w:sz w:val="20"/>
                            </w:rPr>
                            <w:t>C0 - 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79F147" id="_x0000_t202" coordsize="21600,21600" o:spt="202" path="m,l,21600r21600,l21600,xe">
              <v:stroke joinstyle="miter"/>
              <v:path gradientshapeok="t" o:connecttype="rect"/>
            </v:shapetype>
            <v:shape id="MSIPCMf9264216b67e14088f324ff3" o:spid="_x0000_s1026" type="#_x0000_t202" alt="{&quot;HashCode&quot;:-641099087,&quot;Height&quot;:9999999.0,&quot;Width&quot;:9999999.0,&quot;Placement&quot;:&quot;Footer&quot;,&quot;Index&quot;:&quot;Primary&quot;,&quot;Section&quot;:1,&quot;Top&quot;:0.0,&quot;Left&quot;:0.0}" style="position:absolute;left:0;text-align:left;margin-left:0;margin-top:0;width:612pt;height:36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" o:allowincell="f" filled="f" stroked="f" strokeweight=".5pt">
              <v:textbox inset=",0,,0">
                <w:txbxContent>
                  <w:p w14:paraId="6B2D393D" w14:textId="778E6A8D" w:rsidR="009D7413" w:rsidRPr="00454589" w:rsidRDefault="00454589" w:rsidP="00454589">
                    <w:pPr>
                      <w:jc w:val="center"/>
                      <w:rPr>
                        <w:rFonts w:ascii="Calibri" w:hAnsi="Calibri" w:cs="Calibri"/>
                        <w:color w:val="317100"/>
                        <w:sz w:val="20"/>
                      </w:rPr>
                    </w:pPr>
                    <w:r w:rsidRPr="00454589">
                      <w:rPr>
                        <w:rFonts w:ascii="Calibri" w:hAnsi="Calibri" w:cs="Calibri"/>
                        <w:color w:val="317100"/>
                        <w:sz w:val="20"/>
                      </w:rPr>
                      <w:t>C0 - Public</w:t>
                    </w:r>
                  </w:p>
                </w:txbxContent>
              </v:textbox>
              <w10:wrap anchorx="page" anchory="page"/>
            </v:shape>
          </w:pict>
        </mc:Fallback>
      </mc:AlternateContent>
    </w:r>
  </w:p>
  <w:p w14:paraId="253FE143" w14:textId="77777777" w:rsidR="009D7413" w:rsidRPr="000913EC" w:rsidRDefault="009D7413" w:rsidP="001F01AA">
    <w:pPr>
      <w:pStyle w:val="Pieddepage"/>
      <w:tabs>
        <w:tab w:val="clear" w:pos="9072"/>
        <w:tab w:val="right" w:pos="10080"/>
      </w:tabs>
      <w:rPr>
        <w:rFonts w:asciiTheme="minorHAnsi" w:hAnsiTheme="minorHAnsi"/>
      </w:rPr>
    </w:pPr>
    <w:r w:rsidRPr="000913EC">
      <w:rPr>
        <w:rFonts w:asciiTheme="minorHAnsi" w:hAnsiTheme="minorHAnsi"/>
      </w:rPr>
      <w:tab/>
    </w:r>
    <w:r w:rsidRPr="000913EC">
      <w:rPr>
        <w:rFonts w:asciiTheme="minorHAnsi" w:hAnsiTheme="minorHAnsi"/>
      </w:rPr>
      <w:tab/>
    </w:r>
    <w:r w:rsidRPr="00F723AC">
      <w:rPr>
        <w:rFonts w:asciiTheme="minorHAnsi" w:hAnsiTheme="minorHAnsi"/>
        <w:sz w:val="20"/>
      </w:rPr>
      <w:t xml:space="preserve">Page </w:t>
    </w:r>
    <w:r w:rsidRPr="00F723AC">
      <w:rPr>
        <w:rStyle w:val="Numrodepage"/>
        <w:rFonts w:asciiTheme="minorHAnsi" w:hAnsiTheme="minorHAnsi"/>
        <w:sz w:val="20"/>
      </w:rPr>
      <w:fldChar w:fldCharType="begin"/>
    </w:r>
    <w:r w:rsidRPr="00F723AC">
      <w:rPr>
        <w:rStyle w:val="Numrodepage"/>
        <w:rFonts w:asciiTheme="minorHAnsi" w:hAnsiTheme="minorHAnsi"/>
        <w:sz w:val="20"/>
      </w:rPr>
      <w:instrText xml:space="preserve"> PAGE </w:instrText>
    </w:r>
    <w:r w:rsidRPr="00F723AC">
      <w:rPr>
        <w:rStyle w:val="Numrodepage"/>
        <w:rFonts w:asciiTheme="minorHAnsi" w:hAnsiTheme="minorHAnsi"/>
        <w:sz w:val="20"/>
      </w:rPr>
      <w:fldChar w:fldCharType="separate"/>
    </w:r>
    <w:r w:rsidR="00454589">
      <w:rPr>
        <w:rStyle w:val="Numrodepage"/>
        <w:rFonts w:asciiTheme="minorHAnsi" w:hAnsiTheme="minorHAnsi"/>
        <w:noProof/>
        <w:sz w:val="20"/>
      </w:rPr>
      <w:t>1</w:t>
    </w:r>
    <w:r w:rsidRPr="00F723AC">
      <w:rPr>
        <w:rStyle w:val="Numrodepage"/>
        <w:rFonts w:asciiTheme="minorHAnsi" w:hAnsiTheme="minorHAns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02175" w14:textId="77777777" w:rsidR="00454589" w:rsidRDefault="0045458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3E549" w14:textId="77777777" w:rsidR="009D7413" w:rsidRDefault="009D7413" w:rsidP="007E084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0E00481" w14:textId="77777777" w:rsidR="009D7413" w:rsidRDefault="009D7413" w:rsidP="00F63120">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18F8D" w14:textId="77777777" w:rsidR="009D7413" w:rsidRDefault="009D7413">
      <w:r>
        <w:separator/>
      </w:r>
    </w:p>
  </w:footnote>
  <w:footnote w:type="continuationSeparator" w:id="0">
    <w:p w14:paraId="4940D5F2" w14:textId="77777777" w:rsidR="009D7413" w:rsidRDefault="009D7413">
      <w:r>
        <w:continuationSeparator/>
      </w:r>
    </w:p>
  </w:footnote>
  <w:footnote w:id="1">
    <w:p w14:paraId="7BF0117D" w14:textId="54E3F744" w:rsidR="009D7413" w:rsidRDefault="009D7413">
      <w:pPr>
        <w:pStyle w:val="Notedebasdepage"/>
      </w:pPr>
      <w:r>
        <w:rPr>
          <w:rStyle w:val="Appelnotedebasdep"/>
        </w:rPr>
        <w:footnoteRef/>
      </w:r>
      <w:r>
        <w:t xml:space="preserve"> </w:t>
      </w:r>
      <w:r w:rsidRPr="000439D3">
        <w:rPr>
          <w:rFonts w:cs="Arial"/>
        </w:rPr>
        <w:t>La Banque Postale Home Loan SFH ou LBP HL SFH ou la SFH ou l’Emetteur.</w:t>
      </w:r>
    </w:p>
  </w:footnote>
  <w:footnote w:id="2">
    <w:p w14:paraId="054D0F88" w14:textId="19A1FD00" w:rsidR="009D7413" w:rsidRDefault="009D7413">
      <w:pPr>
        <w:pStyle w:val="Notedebasdepage"/>
      </w:pPr>
      <w:r>
        <w:rPr>
          <w:rStyle w:val="Appelnotedebasdep"/>
        </w:rPr>
        <w:footnoteRef/>
      </w:r>
      <w:r>
        <w:t xml:space="preserve"> </w:t>
      </w:r>
      <w:r w:rsidRPr="000439D3">
        <w:rPr>
          <w:rFonts w:cs="Arial"/>
        </w:rPr>
        <w:t>Cf. glossaire en annexe 2.</w:t>
      </w:r>
    </w:p>
  </w:footnote>
  <w:footnote w:id="3">
    <w:p w14:paraId="6D271815" w14:textId="11116166" w:rsidR="009D7413" w:rsidRDefault="009D7413">
      <w:pPr>
        <w:pStyle w:val="Notedebasdepage"/>
      </w:pPr>
      <w:r>
        <w:rPr>
          <w:rStyle w:val="Appelnotedebasdep"/>
        </w:rPr>
        <w:footnoteRef/>
      </w:r>
      <w:r>
        <w:t xml:space="preserve"> </w:t>
      </w:r>
      <w:r w:rsidRPr="000439D3">
        <w:rPr>
          <w:rFonts w:cs="Arial"/>
        </w:rPr>
        <w:t>A l’entrée en vigueur du règlement européen Capital Requirements Regulation (CRR), la société a pris le statut d’établissement de crédit spécialisé (depuis le 1er janvier 2014). La Banque Postale Home Loan SFH est sous la supervision de la Banque Centrale Européenne.</w:t>
      </w:r>
    </w:p>
  </w:footnote>
  <w:footnote w:id="4">
    <w:p w14:paraId="072E9518" w14:textId="20D1A638" w:rsidR="009D7413" w:rsidRDefault="009D7413">
      <w:pPr>
        <w:pStyle w:val="Notedebasdepage"/>
      </w:pPr>
      <w:r>
        <w:rPr>
          <w:rStyle w:val="Appelnotedebasdep"/>
        </w:rPr>
        <w:footnoteRef/>
      </w:r>
      <w:r>
        <w:t xml:space="preserve"> </w:t>
      </w:r>
      <w:r w:rsidRPr="000439D3">
        <w:rPr>
          <w:rFonts w:cs="Arial"/>
        </w:rPr>
        <w:t>A la date de parution du présent document.</w:t>
      </w:r>
    </w:p>
  </w:footnote>
  <w:footnote w:id="5">
    <w:p w14:paraId="6CF7D8DF" w14:textId="6C4F36AB" w:rsidR="009D7413" w:rsidRDefault="009D7413">
      <w:pPr>
        <w:pStyle w:val="Notedebasdepage"/>
      </w:pPr>
      <w:r>
        <w:rPr>
          <w:rStyle w:val="Appelnotedebasdep"/>
        </w:rPr>
        <w:footnoteRef/>
      </w:r>
      <w:r>
        <w:t xml:space="preserve"> </w:t>
      </w:r>
      <w:r w:rsidRPr="00E16F70">
        <w:rPr>
          <w:rFonts w:cs="Arial"/>
          <w:iCs/>
          <w:szCs w:val="22"/>
        </w:rPr>
        <w:t>En vertu des et conformément aux dispositions des articles L. 211-36 à L. 211-40 ou des articles L. 313-23 à L. 313-35 du Code monétaire et financier.</w:t>
      </w:r>
    </w:p>
  </w:footnote>
  <w:footnote w:id="6">
    <w:p w14:paraId="08AC0AD7" w14:textId="77777777" w:rsidR="009D7413" w:rsidRPr="000439D3" w:rsidRDefault="009D7413" w:rsidP="0078649A">
      <w:pPr>
        <w:pStyle w:val="Notedebasdepage"/>
        <w:rPr>
          <w:rFonts w:cs="Arial"/>
        </w:rPr>
      </w:pPr>
      <w:r w:rsidRPr="000439D3">
        <w:rPr>
          <w:rStyle w:val="Appelnotedebasdep"/>
          <w:rFonts w:cs="Arial"/>
        </w:rPr>
        <w:footnoteRef/>
      </w:r>
      <w:r w:rsidRPr="000439D3">
        <w:rPr>
          <w:rFonts w:cs="Arial"/>
        </w:rPr>
        <w:t xml:space="preserve"> </w:t>
      </w:r>
      <w:r w:rsidRPr="000439D3">
        <w:rPr>
          <w:rFonts w:cs="Arial"/>
          <w:iCs/>
          <w:szCs w:val="22"/>
        </w:rPr>
        <w:t>En vertu des et conformément aux dispositions des articles L.313-43 à L. 313-48 du Code monétaire et financier et dont l'émission a pour objet de refinancer les créances attachées à des crédits à l'habitat qui satisfont aux critères juridiques définis par l'article L. 513-29 du Code monétaire et financier.</w:t>
      </w:r>
    </w:p>
  </w:footnote>
  <w:footnote w:id="7">
    <w:p w14:paraId="4B289393" w14:textId="77777777" w:rsidR="009D7413" w:rsidRPr="000439D3" w:rsidRDefault="009D7413" w:rsidP="0078649A">
      <w:pPr>
        <w:pStyle w:val="Notedebasdepage"/>
        <w:rPr>
          <w:rFonts w:cs="Arial"/>
        </w:rPr>
      </w:pPr>
      <w:r w:rsidRPr="000439D3">
        <w:rPr>
          <w:rStyle w:val="Appelnotedebasdep"/>
          <w:rFonts w:cs="Arial"/>
        </w:rPr>
        <w:footnoteRef/>
      </w:r>
      <w:r w:rsidRPr="000439D3">
        <w:rPr>
          <w:rFonts w:cs="Arial"/>
        </w:rPr>
        <w:t xml:space="preserve"> Cf. paragraphe 2 relatif au risque de taux</w:t>
      </w:r>
    </w:p>
  </w:footnote>
  <w:footnote w:id="8">
    <w:p w14:paraId="15211D12" w14:textId="30D651AF" w:rsidR="009D7413" w:rsidRDefault="009D7413">
      <w:pPr>
        <w:pStyle w:val="Notedebasdepage"/>
      </w:pPr>
      <w:r>
        <w:rPr>
          <w:rStyle w:val="Appelnotedebasdep"/>
        </w:rPr>
        <w:footnoteRef/>
      </w:r>
      <w:r>
        <w:t xml:space="preserve"> </w:t>
      </w:r>
      <w:r w:rsidRPr="006B7086">
        <w:rPr>
          <w:rFonts w:cs="Arial"/>
          <w:iCs/>
          <w:szCs w:val="22"/>
        </w:rPr>
        <w:t>La Banque Postale ou LBP.</w:t>
      </w:r>
    </w:p>
  </w:footnote>
  <w:footnote w:id="9">
    <w:p w14:paraId="2CFB9ACF" w14:textId="191BF104" w:rsidR="009D7413" w:rsidRDefault="009D7413">
      <w:pPr>
        <w:pStyle w:val="Notedebasdepage"/>
      </w:pPr>
      <w:r>
        <w:rPr>
          <w:rStyle w:val="Appelnotedebasdep"/>
        </w:rPr>
        <w:footnoteRef/>
      </w:r>
      <w:r>
        <w:t xml:space="preserve"> </w:t>
      </w:r>
      <w:r w:rsidRPr="006B7086">
        <w:rPr>
          <w:rFonts w:cs="Arial"/>
          <w:iCs/>
          <w:szCs w:val="22"/>
        </w:rPr>
        <w:t>Conformément aux articles L. 211-36 et suivants du Code monétaire et financier</w:t>
      </w:r>
    </w:p>
  </w:footnote>
  <w:footnote w:id="10">
    <w:p w14:paraId="59BB84D6" w14:textId="7C50C722" w:rsidR="009D7413" w:rsidRPr="00FF6A25" w:rsidRDefault="009D7413" w:rsidP="00F66BD7">
      <w:pPr>
        <w:pStyle w:val="Notedebasdepage"/>
        <w:rPr>
          <w:rFonts w:asciiTheme="minorHAnsi" w:hAnsiTheme="minorHAnsi"/>
        </w:rPr>
      </w:pPr>
      <w:r w:rsidRPr="00FF6A25">
        <w:rPr>
          <w:rStyle w:val="Appelnotedebasdep"/>
          <w:rFonts w:asciiTheme="minorHAnsi" w:hAnsiTheme="minorHAnsi"/>
        </w:rPr>
        <w:footnoteRef/>
      </w:r>
      <w:r w:rsidRPr="00FF6A25">
        <w:rPr>
          <w:rFonts w:asciiTheme="minorHAnsi" w:hAnsiTheme="minorHAnsi"/>
        </w:rPr>
        <w:t xml:space="preserve"> </w:t>
      </w:r>
      <w:r w:rsidRPr="006B7086">
        <w:rPr>
          <w:rFonts w:cs="Arial"/>
          <w:iCs/>
          <w:szCs w:val="22"/>
        </w:rPr>
        <w:t>Ces paragraphes sont extraits de l’Universal Reference Document La Banque Postale portant sur l’année 2019.</w:t>
      </w:r>
    </w:p>
  </w:footnote>
  <w:footnote w:id="11">
    <w:p w14:paraId="6B9743C7" w14:textId="14B78268" w:rsidR="00E15691" w:rsidRDefault="00E15691" w:rsidP="00E15691">
      <w:pPr>
        <w:pStyle w:val="Notedebasdepage"/>
      </w:pPr>
      <w:r>
        <w:rPr>
          <w:rStyle w:val="Appelnotedebasdep"/>
        </w:rPr>
        <w:footnoteRef/>
      </w:r>
      <w:r>
        <w:t xml:space="preserve"> </w:t>
      </w:r>
      <w:r>
        <w:rPr>
          <w:bCs/>
        </w:rPr>
        <w:t xml:space="preserve">Un résumé des facteurs de risques figure en page 48 </w:t>
      </w:r>
      <w:r w:rsidR="00454589">
        <w:rPr>
          <w:bCs/>
        </w:rPr>
        <w:t xml:space="preserve">du prospectus de base </w:t>
      </w:r>
      <w:bookmarkStart w:id="0" w:name="_GoBack"/>
      <w:bookmarkEnd w:id="0"/>
      <w:r>
        <w:rPr>
          <w:bCs/>
        </w:rPr>
        <w:t xml:space="preserve">et suivantes. </w:t>
      </w:r>
    </w:p>
  </w:footnote>
  <w:footnote w:id="12">
    <w:p w14:paraId="43C05589" w14:textId="77777777" w:rsidR="009D7413" w:rsidRPr="000439D3" w:rsidRDefault="009D7413" w:rsidP="00EB44E4">
      <w:pPr>
        <w:pStyle w:val="Notedebasdepage"/>
      </w:pPr>
      <w:r w:rsidRPr="000439D3">
        <w:rPr>
          <w:rStyle w:val="Appelnotedebasdep"/>
          <w:rFonts w:cs="Arial"/>
        </w:rPr>
        <w:footnoteRef/>
      </w:r>
      <w:r w:rsidRPr="000439D3">
        <w:t xml:space="preserve"> Le cas </w:t>
      </w:r>
      <w:r w:rsidRPr="00AA4E7E">
        <w:t>échéant</w:t>
      </w:r>
      <w:r w:rsidRPr="000439D3">
        <w:t xml:space="preserve"> son ou ses avenants.</w:t>
      </w:r>
    </w:p>
  </w:footnote>
  <w:footnote w:id="13">
    <w:p w14:paraId="14EDBB65" w14:textId="77777777" w:rsidR="009D7413" w:rsidRDefault="009D7413" w:rsidP="00EB44E4">
      <w:pPr>
        <w:pStyle w:val="Notedebasdepage"/>
      </w:pPr>
      <w:r>
        <w:rPr>
          <w:rStyle w:val="Appelnotedebasdep"/>
        </w:rPr>
        <w:footnoteRef/>
      </w:r>
      <w:r>
        <w:t xml:space="preserve"> Le risk management de la BFI est rattaché hiérarchiquement à la direction des risques du groupe et fonctionnellement au directeur de la BFI</w:t>
      </w:r>
    </w:p>
  </w:footnote>
  <w:footnote w:id="14">
    <w:p w14:paraId="64BC8A73" w14:textId="734071BE" w:rsidR="009D7413" w:rsidRDefault="009D7413" w:rsidP="00083D7A">
      <w:pPr>
        <w:pStyle w:val="Notedebasdepage"/>
      </w:pPr>
      <w:r>
        <w:rPr>
          <w:rStyle w:val="Appelnotedebasdep"/>
        </w:rPr>
        <w:footnoteRef/>
      </w:r>
      <w:r>
        <w:t xml:space="preserve"> </w:t>
      </w:r>
      <w:r w:rsidR="000B2EEF" w:rsidRPr="000439D3">
        <w:t>La</w:t>
      </w:r>
      <w:r w:rsidRPr="000439D3">
        <w:t xml:space="preserve"> terminologie « entité » fait référence aux pôles, métiers, domaines et filiales du Groupe La Banque Postale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C905E" w14:textId="77777777" w:rsidR="00454589" w:rsidRDefault="0045458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E19D1" w14:textId="77777777" w:rsidR="00454589" w:rsidRDefault="0045458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64B13" w14:textId="77777777" w:rsidR="00454589" w:rsidRDefault="0045458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0A234" w14:textId="77777777" w:rsidR="009D7413" w:rsidRDefault="009D7413" w:rsidP="00B83A20">
    <w:pPr>
      <w:pStyle w:val="En-tte"/>
    </w:pPr>
    <w:r>
      <w:rPr>
        <w:noProof/>
      </w:rPr>
      <w:drawing>
        <wp:inline distT="0" distB="0" distL="0" distR="0" wp14:anchorId="6ACCDD9D" wp14:editId="505EB0C4">
          <wp:extent cx="748937" cy="980901"/>
          <wp:effectExtent l="0" t="0" r="0" b="0"/>
          <wp:docPr id="45" name="Image 45" descr="C:\Users\vcfn352\AppData\Local\Temp\notes236E71\~6198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cfn352\AppData\Local\Temp\notes236E71\~61987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462" cy="982898"/>
                  </a:xfrm>
                  <a:prstGeom prst="rect">
                    <a:avLst/>
                  </a:prstGeom>
                  <a:noFill/>
                  <a:ln>
                    <a:noFill/>
                  </a:ln>
                </pic:spPr>
              </pic:pic>
            </a:graphicData>
          </a:graphic>
        </wp:inline>
      </w:drawing>
    </w:r>
  </w:p>
  <w:p w14:paraId="4B0B5392" w14:textId="77777777" w:rsidR="009D7413" w:rsidRDefault="009D741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83409" w14:textId="77777777" w:rsidR="009D7413" w:rsidRDefault="009D7413">
    <w:pPr>
      <w:pStyle w:val="En-tte"/>
    </w:pPr>
    <w:r>
      <w:rPr>
        <w:noProof/>
      </w:rPr>
      <w:drawing>
        <wp:inline distT="0" distB="0" distL="0" distR="0" wp14:anchorId="5BB03C39" wp14:editId="13033B90">
          <wp:extent cx="748937" cy="980901"/>
          <wp:effectExtent l="0" t="0" r="0" b="0"/>
          <wp:docPr id="46" name="Image 46" descr="C:\Users\vcfn352\AppData\Local\Temp\notes236E71\~6198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cfn352\AppData\Local\Temp\notes236E71\~61987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462" cy="982898"/>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254B0" w14:textId="77777777" w:rsidR="009D7413" w:rsidRDefault="009D7413" w:rsidP="007E084B">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C37AAF9" w14:textId="77777777" w:rsidR="009D7413" w:rsidRDefault="009D7413" w:rsidP="00F63120">
    <w:pPr>
      <w:pStyle w:val="En-tte"/>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3A691" w14:textId="77777777" w:rsidR="009D7413" w:rsidRDefault="009D7413" w:rsidP="00F63120">
    <w:pPr>
      <w:pStyle w:val="En-tte"/>
      <w:ind w:right="360"/>
    </w:pPr>
    <w:r>
      <w:rPr>
        <w:noProof/>
      </w:rPr>
      <w:drawing>
        <wp:inline distT="0" distB="0" distL="0" distR="0" wp14:anchorId="31D028AE" wp14:editId="19B556A2">
          <wp:extent cx="606056" cy="793767"/>
          <wp:effectExtent l="0" t="0" r="3810" b="6350"/>
          <wp:docPr id="34" name="Image 34" descr="C:\Users\vcfn352\AppData\Local\Temp\notes236E71\~7388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cfn352\AppData\Local\Temp\notes236E71\~738896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969" cy="794962"/>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9482BE2"/>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15105608"/>
    <w:lvl w:ilvl="0">
      <w:start w:val="1"/>
      <w:numFmt w:val="decimal"/>
      <w:pStyle w:val="Listenumros"/>
      <w:lvlText w:val="%1."/>
      <w:lvlJc w:val="left"/>
      <w:pPr>
        <w:tabs>
          <w:tab w:val="num" w:pos="360"/>
        </w:tabs>
        <w:ind w:left="360" w:hanging="360"/>
      </w:pPr>
    </w:lvl>
  </w:abstractNum>
  <w:abstractNum w:abstractNumId="2" w15:restartNumberingAfterBreak="0">
    <w:nsid w:val="02AD6666"/>
    <w:multiLevelType w:val="hybridMultilevel"/>
    <w:tmpl w:val="89922D4C"/>
    <w:lvl w:ilvl="0" w:tplc="C2D641BA">
      <w:start w:val="1"/>
      <w:numFmt w:val="bullet"/>
      <w:pStyle w:val="Listepuces"/>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A5EDE"/>
    <w:multiLevelType w:val="hybridMultilevel"/>
    <w:tmpl w:val="130AB5A6"/>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6047850"/>
    <w:multiLevelType w:val="hybridMultilevel"/>
    <w:tmpl w:val="DC2E510A"/>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5A4C8B"/>
    <w:multiLevelType w:val="singleLevel"/>
    <w:tmpl w:val="693ED564"/>
    <w:lvl w:ilvl="0">
      <w:start w:val="1"/>
      <w:numFmt w:val="bullet"/>
      <w:pStyle w:val="StylePuce"/>
      <w:lvlText w:val=""/>
      <w:lvlJc w:val="left"/>
      <w:pPr>
        <w:tabs>
          <w:tab w:val="num" w:pos="567"/>
        </w:tabs>
        <w:ind w:left="567" w:hanging="567"/>
      </w:pPr>
      <w:rPr>
        <w:rFonts w:ascii="Symbol" w:hAnsi="Symbol" w:hint="default"/>
      </w:rPr>
    </w:lvl>
  </w:abstractNum>
  <w:abstractNum w:abstractNumId="6" w15:restartNumberingAfterBreak="0">
    <w:nsid w:val="09873D42"/>
    <w:multiLevelType w:val="multilevel"/>
    <w:tmpl w:val="C99E4BB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A691E0D"/>
    <w:multiLevelType w:val="hybridMultilevel"/>
    <w:tmpl w:val="277E5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37893"/>
    <w:multiLevelType w:val="hybridMultilevel"/>
    <w:tmpl w:val="CA20B1E4"/>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832FBF"/>
    <w:multiLevelType w:val="hybridMultilevel"/>
    <w:tmpl w:val="393AD9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22103A"/>
    <w:multiLevelType w:val="hybridMultilevel"/>
    <w:tmpl w:val="71E6FDA2"/>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0815636"/>
    <w:multiLevelType w:val="hybridMultilevel"/>
    <w:tmpl w:val="077EC1AC"/>
    <w:lvl w:ilvl="0" w:tplc="54A4A6BA">
      <w:start w:val="4"/>
      <w:numFmt w:val="bullet"/>
      <w:pStyle w:val="SGACP-enumerationniveau1"/>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013392"/>
    <w:multiLevelType w:val="hybridMultilevel"/>
    <w:tmpl w:val="370049CC"/>
    <w:lvl w:ilvl="0" w:tplc="040C0003">
      <w:start w:val="1"/>
      <w:numFmt w:val="bullet"/>
      <w:lvlText w:val="o"/>
      <w:lvlJc w:val="left"/>
      <w:pPr>
        <w:ind w:left="643" w:hanging="360"/>
      </w:pPr>
      <w:rPr>
        <w:rFonts w:ascii="Courier New" w:hAnsi="Courier New" w:cs="Courier New" w:hint="default"/>
      </w:rPr>
    </w:lvl>
    <w:lvl w:ilvl="1" w:tplc="040C0003">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3" w15:restartNumberingAfterBreak="0">
    <w:nsid w:val="17315D07"/>
    <w:multiLevelType w:val="hybridMultilevel"/>
    <w:tmpl w:val="527010F2"/>
    <w:lvl w:ilvl="0" w:tplc="0DC23436">
      <w:start w:val="1"/>
      <w:numFmt w:val="bullet"/>
      <w:pStyle w:val="Puces"/>
      <w:lvlText w:val=""/>
      <w:lvlJc w:val="left"/>
      <w:pPr>
        <w:tabs>
          <w:tab w:val="num" w:pos="1080"/>
        </w:tabs>
        <w:ind w:left="108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6B760088">
      <w:numFmt w:val="bullet"/>
      <w:lvlText w:val="-"/>
      <w:lvlJc w:val="left"/>
      <w:pPr>
        <w:tabs>
          <w:tab w:val="num" w:pos="2880"/>
        </w:tabs>
        <w:ind w:left="2880" w:hanging="360"/>
      </w:pPr>
      <w:rPr>
        <w:rFonts w:ascii="Arial" w:eastAsia="Times New Roman" w:hAnsi="Arial" w:cs="Arial" w:hint="default"/>
      </w:rPr>
    </w:lvl>
    <w:lvl w:ilvl="4" w:tplc="040C0019" w:tentative="1">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78C7CB1"/>
    <w:multiLevelType w:val="hybridMultilevel"/>
    <w:tmpl w:val="D9EE130C"/>
    <w:lvl w:ilvl="0" w:tplc="E402BB58">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F46C91"/>
    <w:multiLevelType w:val="hybridMultilevel"/>
    <w:tmpl w:val="9B7EB96C"/>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414C58"/>
    <w:multiLevelType w:val="multilevel"/>
    <w:tmpl w:val="2B968864"/>
    <w:lvl w:ilvl="0">
      <w:start w:val="2"/>
      <w:numFmt w:val="decimal"/>
      <w:lvlText w:val="%1."/>
      <w:lvlJc w:val="left"/>
      <w:pPr>
        <w:ind w:left="720" w:hanging="360"/>
      </w:pPr>
      <w:rPr>
        <w:rFonts w:hint="default"/>
      </w:rPr>
    </w:lvl>
    <w:lvl w:ilvl="1">
      <w:start w:val="2"/>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7" w15:restartNumberingAfterBreak="0">
    <w:nsid w:val="1DE80F50"/>
    <w:multiLevelType w:val="hybridMultilevel"/>
    <w:tmpl w:val="64B054D6"/>
    <w:lvl w:ilvl="0" w:tplc="2ECEFD3C">
      <w:start w:val="1"/>
      <w:numFmt w:val="bullet"/>
      <w:pStyle w:val="StylePuce1erNiveau"/>
      <w:lvlText w:val=""/>
      <w:lvlJc w:val="left"/>
      <w:pPr>
        <w:tabs>
          <w:tab w:val="num" w:pos="1287"/>
        </w:tabs>
        <w:ind w:left="1287" w:hanging="360"/>
      </w:pPr>
      <w:rPr>
        <w:rFonts w:ascii="Symbol" w:hAnsi="Symbol" w:hint="default"/>
      </w:rPr>
    </w:lvl>
    <w:lvl w:ilvl="1" w:tplc="040C0003">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2253147A"/>
    <w:multiLevelType w:val="multilevel"/>
    <w:tmpl w:val="2B968864"/>
    <w:lvl w:ilvl="0">
      <w:start w:val="2"/>
      <w:numFmt w:val="decimal"/>
      <w:lvlText w:val="%1."/>
      <w:lvlJc w:val="left"/>
      <w:pPr>
        <w:ind w:left="720" w:hanging="360"/>
      </w:pPr>
      <w:rPr>
        <w:rFonts w:hint="default"/>
      </w:rPr>
    </w:lvl>
    <w:lvl w:ilvl="1">
      <w:start w:val="2"/>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9" w15:restartNumberingAfterBreak="0">
    <w:nsid w:val="2D236283"/>
    <w:multiLevelType w:val="multilevel"/>
    <w:tmpl w:val="EA06A3F2"/>
    <w:lvl w:ilvl="0">
      <w:start w:val="1"/>
      <w:numFmt w:val="decimal"/>
      <w:lvlText w:val="%1"/>
      <w:lvlJc w:val="left"/>
      <w:pPr>
        <w:tabs>
          <w:tab w:val="num" w:pos="432"/>
        </w:tabs>
        <w:ind w:left="432" w:hanging="432"/>
      </w:pPr>
      <w:rPr>
        <w:rFonts w:hint="default"/>
      </w:rPr>
    </w:lvl>
    <w:lvl w:ilvl="1">
      <w:start w:val="1"/>
      <w:numFmt w:val="decimal"/>
      <w:pStyle w:val="Titre2"/>
      <w:lvlText w:val="%1.%2"/>
      <w:lvlJc w:val="left"/>
      <w:pPr>
        <w:tabs>
          <w:tab w:val="num" w:pos="936"/>
        </w:tabs>
        <w:ind w:left="93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864"/>
        </w:tabs>
        <w:ind w:left="864" w:hanging="864"/>
      </w:pPr>
      <w:rPr>
        <w:rFonts w:hint="default"/>
        <w:color w:val="00008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14010AB"/>
    <w:multiLevelType w:val="hybridMultilevel"/>
    <w:tmpl w:val="96E676A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3CB3FF3"/>
    <w:multiLevelType w:val="hybridMultilevel"/>
    <w:tmpl w:val="32CE803A"/>
    <w:lvl w:ilvl="0" w:tplc="040C0003">
      <w:start w:val="1"/>
      <w:numFmt w:val="bullet"/>
      <w:lvlText w:val="o"/>
      <w:lvlJc w:val="left"/>
      <w:pPr>
        <w:ind w:left="2138" w:hanging="360"/>
      </w:pPr>
      <w:rPr>
        <w:rFonts w:ascii="Courier New" w:hAnsi="Courier New" w:cs="Courier New"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2" w15:restartNumberingAfterBreak="0">
    <w:nsid w:val="35B947BF"/>
    <w:multiLevelType w:val="multilevel"/>
    <w:tmpl w:val="478C563C"/>
    <w:lvl w:ilvl="0">
      <w:start w:val="1"/>
      <w:numFmt w:val="decimal"/>
      <w:lvlText w:val="%1"/>
      <w:lvlJc w:val="left"/>
      <w:pPr>
        <w:ind w:left="432" w:hanging="432"/>
      </w:pPr>
      <w:rPr>
        <w:b/>
        <w:i w:val="0"/>
        <w:sz w:val="28"/>
        <w:szCs w:val="28"/>
      </w:rPr>
    </w:lvl>
    <w:lvl w:ilvl="1">
      <w:start w:val="1"/>
      <w:numFmt w:val="decimal"/>
      <w:lvlText w:val="%1.%2"/>
      <w:lvlJc w:val="left"/>
      <w:pPr>
        <w:ind w:left="576" w:hanging="576"/>
      </w:pPr>
      <w:rPr>
        <w:b/>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7B255FE"/>
    <w:multiLevelType w:val="hybridMultilevel"/>
    <w:tmpl w:val="5E4E337C"/>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062C02"/>
    <w:multiLevelType w:val="hybridMultilevel"/>
    <w:tmpl w:val="03345374"/>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2A06E2"/>
    <w:multiLevelType w:val="hybridMultilevel"/>
    <w:tmpl w:val="C87E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5204D8"/>
    <w:multiLevelType w:val="hybridMultilevel"/>
    <w:tmpl w:val="07848F12"/>
    <w:lvl w:ilvl="0" w:tplc="ADBA3C7A">
      <w:start w:val="1"/>
      <w:numFmt w:val="bullet"/>
      <w:pStyle w:val="Bullet"/>
      <w:lvlText w:val=""/>
      <w:lvlJc w:val="left"/>
      <w:pPr>
        <w:tabs>
          <w:tab w:val="num" w:pos="284"/>
        </w:tabs>
        <w:ind w:left="284" w:hanging="284"/>
      </w:pPr>
      <w:rPr>
        <w:rFonts w:ascii="Symbol" w:hAnsi="Symbol" w:hint="default"/>
        <w:b w:val="0"/>
        <w:i w:val="0"/>
        <w:color w:val="auto"/>
        <w:sz w:val="18"/>
      </w:rPr>
    </w:lvl>
    <w:lvl w:ilvl="1" w:tplc="040C0001">
      <w:start w:val="1"/>
      <w:numFmt w:val="bullet"/>
      <w:lvlText w:val=""/>
      <w:lvlJc w:val="left"/>
      <w:pPr>
        <w:tabs>
          <w:tab w:val="num" w:pos="1440"/>
        </w:tabs>
        <w:ind w:left="1440" w:hanging="360"/>
      </w:pPr>
      <w:rPr>
        <w:rFonts w:ascii="Symbol" w:hAnsi="Symbol" w:hint="default"/>
        <w:b w:val="0"/>
        <w:i w:val="0"/>
        <w:color w:val="auto"/>
        <w:sz w:val="1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16786F"/>
    <w:multiLevelType w:val="hybridMultilevel"/>
    <w:tmpl w:val="7B260536"/>
    <w:lvl w:ilvl="0" w:tplc="7CE4A34E">
      <w:numFmt w:val="bullet"/>
      <w:lvlText w:val="-"/>
      <w:lvlJc w:val="left"/>
      <w:pPr>
        <w:ind w:left="720" w:hanging="360"/>
      </w:pPr>
      <w:rPr>
        <w:rFonts w:ascii="Times New Roman" w:eastAsia="Times New Roman" w:hAnsi="Times New Roman"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4C1736D"/>
    <w:multiLevelType w:val="hybridMultilevel"/>
    <w:tmpl w:val="D1B6DD50"/>
    <w:lvl w:ilvl="0" w:tplc="6ACC8CC6">
      <w:numFmt w:val="bullet"/>
      <w:lvlText w:val="-"/>
      <w:lvlJc w:val="left"/>
      <w:pPr>
        <w:ind w:left="1854" w:hanging="360"/>
      </w:pPr>
      <w:rPr>
        <w:rFonts w:ascii="Arial" w:eastAsia="Calibri" w:hAnsi="Arial" w:cs="Aria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9" w15:restartNumberingAfterBreak="0">
    <w:nsid w:val="46FC0187"/>
    <w:multiLevelType w:val="hybridMultilevel"/>
    <w:tmpl w:val="95C4FD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75B3203"/>
    <w:multiLevelType w:val="multilevel"/>
    <w:tmpl w:val="6096DEFC"/>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4"/>
      <w:suff w:val="nothing"/>
      <w:lvlText w:val=""/>
      <w:lvlJc w:val="left"/>
      <w:pPr>
        <w:ind w:left="2880"/>
      </w:pPr>
    </w:lvl>
    <w:lvl w:ilvl="5">
      <w:start w:val="1"/>
      <w:numFmt w:val="none"/>
      <w:pStyle w:val="AODocTxtL5"/>
      <w:suff w:val="nothing"/>
      <w:lvlText w:val=""/>
      <w:lvlJc w:val="left"/>
      <w:pPr>
        <w:ind w:left="3600"/>
      </w:pPr>
    </w:lvl>
    <w:lvl w:ilvl="6">
      <w:start w:val="1"/>
      <w:numFmt w:val="none"/>
      <w:pStyle w:val="AODocTxtL6"/>
      <w:suff w:val="nothing"/>
      <w:lvlText w:val=""/>
      <w:lvlJc w:val="left"/>
      <w:pPr>
        <w:ind w:left="4320"/>
      </w:pPr>
    </w:lvl>
    <w:lvl w:ilvl="7">
      <w:start w:val="1"/>
      <w:numFmt w:val="none"/>
      <w:pStyle w:val="AODocTxtL7"/>
      <w:suff w:val="nothing"/>
      <w:lvlText w:val=""/>
      <w:lvlJc w:val="left"/>
      <w:pPr>
        <w:ind w:left="5040"/>
      </w:pPr>
    </w:lvl>
    <w:lvl w:ilvl="8">
      <w:start w:val="1"/>
      <w:numFmt w:val="none"/>
      <w:pStyle w:val="AODocTxtL8"/>
      <w:suff w:val="nothing"/>
      <w:lvlText w:val=""/>
      <w:lvlJc w:val="left"/>
      <w:pPr>
        <w:ind w:left="5760"/>
      </w:pPr>
    </w:lvl>
  </w:abstractNum>
  <w:abstractNum w:abstractNumId="31" w15:restartNumberingAfterBreak="0">
    <w:nsid w:val="48EC598C"/>
    <w:multiLevelType w:val="multilevel"/>
    <w:tmpl w:val="B23E8972"/>
    <w:lvl w:ilvl="0">
      <w:start w:val="9"/>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pStyle w:val="Titre4"/>
      <w:lvlText w:val="%1.%2.%3.%4"/>
      <w:lvlJc w:val="left"/>
      <w:pPr>
        <w:tabs>
          <w:tab w:val="num" w:pos="864"/>
        </w:tabs>
        <w:ind w:left="864" w:hanging="864"/>
      </w:pPr>
      <w:rPr>
        <w:rFonts w:hint="default"/>
        <w:color w:val="000080"/>
      </w:rPr>
    </w:lvl>
    <w:lvl w:ilvl="4">
      <w:start w:val="1"/>
      <w:numFmt w:val="decimal"/>
      <w:pStyle w:val="Titre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2" w15:restartNumberingAfterBreak="0">
    <w:nsid w:val="4DA16FA8"/>
    <w:multiLevelType w:val="multilevel"/>
    <w:tmpl w:val="073ABECA"/>
    <w:lvl w:ilvl="0">
      <w:start w:val="6"/>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pStyle w:val="Titre3"/>
      <w:lvlText w:val="%1.%2.%3"/>
      <w:lvlJc w:val="left"/>
      <w:pPr>
        <w:tabs>
          <w:tab w:val="num" w:pos="862"/>
        </w:tabs>
        <w:ind w:left="862" w:hanging="720"/>
      </w:pPr>
      <w:rPr>
        <w:rFonts w:hint="default"/>
        <w:color w:val="auto"/>
      </w:rPr>
    </w:lvl>
    <w:lvl w:ilvl="3">
      <w:start w:val="1"/>
      <w:numFmt w:val="decimal"/>
      <w:lvlText w:val="%1.%2.%3.%4"/>
      <w:lvlJc w:val="left"/>
      <w:pPr>
        <w:tabs>
          <w:tab w:val="num" w:pos="864"/>
        </w:tabs>
        <w:ind w:left="864" w:hanging="864"/>
      </w:pPr>
      <w:rPr>
        <w:rFonts w:hint="default"/>
        <w:color w:val="00008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4E461340"/>
    <w:multiLevelType w:val="hybridMultilevel"/>
    <w:tmpl w:val="6944E8F2"/>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0131D6C"/>
    <w:multiLevelType w:val="multilevel"/>
    <w:tmpl w:val="BC72DFCE"/>
    <w:lvl w:ilvl="0">
      <w:start w:val="1"/>
      <w:numFmt w:val="decimal"/>
      <w:lvlText w:val="%1"/>
      <w:lvlJc w:val="left"/>
      <w:pPr>
        <w:ind w:left="432" w:hanging="432"/>
      </w:pPr>
      <w:rPr>
        <w:rFonts w:hint="default"/>
        <w:b/>
        <w:i w:val="0"/>
        <w:sz w:val="28"/>
        <w:szCs w:val="28"/>
      </w:rPr>
    </w:lvl>
    <w:lvl w:ilvl="1">
      <w:start w:val="1"/>
      <w:numFmt w:val="decimal"/>
      <w:lvlText w:val="%1.%2"/>
      <w:lvlJc w:val="left"/>
      <w:pPr>
        <w:ind w:left="576" w:hanging="576"/>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EBA4D01"/>
    <w:multiLevelType w:val="hybridMultilevel"/>
    <w:tmpl w:val="B942A0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BB6430"/>
    <w:multiLevelType w:val="hybridMultilevel"/>
    <w:tmpl w:val="AECA2C58"/>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3325EB"/>
    <w:multiLevelType w:val="hybridMultilevel"/>
    <w:tmpl w:val="D924E7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4A29F6"/>
    <w:multiLevelType w:val="hybridMultilevel"/>
    <w:tmpl w:val="AB8224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657D0B"/>
    <w:multiLevelType w:val="hybridMultilevel"/>
    <w:tmpl w:val="EF123312"/>
    <w:lvl w:ilvl="0" w:tplc="3CC0E3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9806D0"/>
    <w:multiLevelType w:val="hybridMultilevel"/>
    <w:tmpl w:val="3418D2C8"/>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8FE14EC"/>
    <w:multiLevelType w:val="hybridMultilevel"/>
    <w:tmpl w:val="4B1493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AE2336"/>
    <w:multiLevelType w:val="hybridMultilevel"/>
    <w:tmpl w:val="0CC2D73C"/>
    <w:lvl w:ilvl="0" w:tplc="7CE4A34E">
      <w:numFmt w:val="bullet"/>
      <w:lvlText w:val="-"/>
      <w:lvlJc w:val="left"/>
      <w:pPr>
        <w:ind w:left="720" w:hanging="360"/>
      </w:pPr>
      <w:rPr>
        <w:rFonts w:ascii="Times New Roman" w:eastAsia="Times New Roman" w:hAnsi="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D2B4DDE"/>
    <w:multiLevelType w:val="multilevel"/>
    <w:tmpl w:val="2B968864"/>
    <w:lvl w:ilvl="0">
      <w:start w:val="2"/>
      <w:numFmt w:val="decimal"/>
      <w:lvlText w:val="%1."/>
      <w:lvlJc w:val="left"/>
      <w:pPr>
        <w:ind w:left="720" w:hanging="360"/>
      </w:pPr>
      <w:rPr>
        <w:rFonts w:hint="default"/>
      </w:rPr>
    </w:lvl>
    <w:lvl w:ilvl="1">
      <w:start w:val="2"/>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4" w15:restartNumberingAfterBreak="0">
    <w:nsid w:val="73E14A2D"/>
    <w:multiLevelType w:val="hybridMultilevel"/>
    <w:tmpl w:val="8B388A4E"/>
    <w:lvl w:ilvl="0" w:tplc="D3AE602A">
      <w:start w:val="2"/>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76FE47F0"/>
    <w:multiLevelType w:val="hybridMultilevel"/>
    <w:tmpl w:val="0B16ACE2"/>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46" w15:restartNumberingAfterBreak="0">
    <w:nsid w:val="777E5F97"/>
    <w:multiLevelType w:val="multilevel"/>
    <w:tmpl w:val="12941D3A"/>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78BD34CC"/>
    <w:multiLevelType w:val="hybridMultilevel"/>
    <w:tmpl w:val="A6F24252"/>
    <w:lvl w:ilvl="0" w:tplc="6F44E0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2F255F"/>
    <w:multiLevelType w:val="hybridMultilevel"/>
    <w:tmpl w:val="2F3C92D4"/>
    <w:lvl w:ilvl="0" w:tplc="EEC6C07E">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4A453E"/>
    <w:multiLevelType w:val="multilevel"/>
    <w:tmpl w:val="2B968864"/>
    <w:lvl w:ilvl="0">
      <w:start w:val="2"/>
      <w:numFmt w:val="decimal"/>
      <w:lvlText w:val="%1."/>
      <w:lvlJc w:val="left"/>
      <w:pPr>
        <w:ind w:left="720" w:hanging="360"/>
      </w:pPr>
      <w:rPr>
        <w:rFonts w:hint="default"/>
      </w:rPr>
    </w:lvl>
    <w:lvl w:ilvl="1">
      <w:start w:val="2"/>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50" w15:restartNumberingAfterBreak="0">
    <w:nsid w:val="7D6977A3"/>
    <w:multiLevelType w:val="hybridMultilevel"/>
    <w:tmpl w:val="0B10CE12"/>
    <w:lvl w:ilvl="0" w:tplc="F34C4856">
      <w:start w:val="1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3"/>
  </w:num>
  <w:num w:numId="4">
    <w:abstractNumId w:val="32"/>
  </w:num>
  <w:num w:numId="5">
    <w:abstractNumId w:val="31"/>
  </w:num>
  <w:num w:numId="6">
    <w:abstractNumId w:val="19"/>
  </w:num>
  <w:num w:numId="7">
    <w:abstractNumId w:val="11"/>
  </w:num>
  <w:num w:numId="8">
    <w:abstractNumId w:val="25"/>
  </w:num>
  <w:num w:numId="9">
    <w:abstractNumId w:val="30"/>
  </w:num>
  <w:num w:numId="10">
    <w:abstractNumId w:val="46"/>
  </w:num>
  <w:num w:numId="11">
    <w:abstractNumId w:val="26"/>
  </w:num>
  <w:num w:numId="12">
    <w:abstractNumId w:val="2"/>
  </w:num>
  <w:num w:numId="13">
    <w:abstractNumId w:val="27"/>
  </w:num>
  <w:num w:numId="14">
    <w:abstractNumId w:val="48"/>
  </w:num>
  <w:num w:numId="15">
    <w:abstractNumId w:val="29"/>
  </w:num>
  <w:num w:numId="16">
    <w:abstractNumId w:val="42"/>
  </w:num>
  <w:num w:numId="17">
    <w:abstractNumId w:val="10"/>
  </w:num>
  <w:num w:numId="18">
    <w:abstractNumId w:val="3"/>
  </w:num>
  <w:num w:numId="19">
    <w:abstractNumId w:val="41"/>
  </w:num>
  <w:num w:numId="20">
    <w:abstractNumId w:val="9"/>
  </w:num>
  <w:num w:numId="21">
    <w:abstractNumId w:val="22"/>
  </w:num>
  <w:num w:numId="22">
    <w:abstractNumId w:val="15"/>
  </w:num>
  <w:num w:numId="23">
    <w:abstractNumId w:val="47"/>
  </w:num>
  <w:num w:numId="24">
    <w:abstractNumId w:val="6"/>
  </w:num>
  <w:num w:numId="25">
    <w:abstractNumId w:val="40"/>
  </w:num>
  <w:num w:numId="26">
    <w:abstractNumId w:val="50"/>
  </w:num>
  <w:num w:numId="27">
    <w:abstractNumId w:val="24"/>
  </w:num>
  <w:num w:numId="28">
    <w:abstractNumId w:val="23"/>
  </w:num>
  <w:num w:numId="29">
    <w:abstractNumId w:val="8"/>
  </w:num>
  <w:num w:numId="30">
    <w:abstractNumId w:val="4"/>
  </w:num>
  <w:num w:numId="31">
    <w:abstractNumId w:val="33"/>
  </w:num>
  <w:num w:numId="32">
    <w:abstractNumId w:val="45"/>
  </w:num>
  <w:num w:numId="33">
    <w:abstractNumId w:val="38"/>
  </w:num>
  <w:num w:numId="34">
    <w:abstractNumId w:val="34"/>
  </w:num>
  <w:num w:numId="35">
    <w:abstractNumId w:val="7"/>
  </w:num>
  <w:num w:numId="36">
    <w:abstractNumId w:val="14"/>
  </w:num>
  <w:num w:numId="37">
    <w:abstractNumId w:val="28"/>
  </w:num>
  <w:num w:numId="38">
    <w:abstractNumId w:val="5"/>
  </w:num>
  <w:num w:numId="39">
    <w:abstractNumId w:val="49"/>
  </w:num>
  <w:num w:numId="40">
    <w:abstractNumId w:val="39"/>
  </w:num>
  <w:num w:numId="41">
    <w:abstractNumId w:val="0"/>
  </w:num>
  <w:num w:numId="42">
    <w:abstractNumId w:val="12"/>
  </w:num>
  <w:num w:numId="43">
    <w:abstractNumId w:val="37"/>
  </w:num>
  <w:num w:numId="44">
    <w:abstractNumId w:val="35"/>
  </w:num>
  <w:num w:numId="45">
    <w:abstractNumId w:val="20"/>
  </w:num>
  <w:num w:numId="46">
    <w:abstractNumId w:val="36"/>
  </w:num>
  <w:num w:numId="47">
    <w:abstractNumId w:val="21"/>
  </w:num>
  <w:num w:numId="48">
    <w:abstractNumId w:val="44"/>
  </w:num>
  <w:num w:numId="49">
    <w:abstractNumId w:val="18"/>
  </w:num>
  <w:num w:numId="50">
    <w:abstractNumId w:val="16"/>
  </w:num>
  <w:num w:numId="51">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110"/>
    <w:rsid w:val="0000067E"/>
    <w:rsid w:val="0000147A"/>
    <w:rsid w:val="000019DC"/>
    <w:rsid w:val="00001BFE"/>
    <w:rsid w:val="00001F9F"/>
    <w:rsid w:val="000040D5"/>
    <w:rsid w:val="00005ADF"/>
    <w:rsid w:val="00006EDF"/>
    <w:rsid w:val="00007B79"/>
    <w:rsid w:val="00007FAB"/>
    <w:rsid w:val="00011979"/>
    <w:rsid w:val="00011CE8"/>
    <w:rsid w:val="000121FB"/>
    <w:rsid w:val="000123B4"/>
    <w:rsid w:val="00013437"/>
    <w:rsid w:val="00013979"/>
    <w:rsid w:val="00014B4C"/>
    <w:rsid w:val="00014C51"/>
    <w:rsid w:val="000161EF"/>
    <w:rsid w:val="00017695"/>
    <w:rsid w:val="00017711"/>
    <w:rsid w:val="00020F0F"/>
    <w:rsid w:val="00021B28"/>
    <w:rsid w:val="00022251"/>
    <w:rsid w:val="00025678"/>
    <w:rsid w:val="0002589C"/>
    <w:rsid w:val="00025BB7"/>
    <w:rsid w:val="000265FC"/>
    <w:rsid w:val="000308C0"/>
    <w:rsid w:val="0003114F"/>
    <w:rsid w:val="00032011"/>
    <w:rsid w:val="000331E6"/>
    <w:rsid w:val="00033DE5"/>
    <w:rsid w:val="000351D9"/>
    <w:rsid w:val="00035DF2"/>
    <w:rsid w:val="00036C44"/>
    <w:rsid w:val="00037162"/>
    <w:rsid w:val="00037A39"/>
    <w:rsid w:val="00040376"/>
    <w:rsid w:val="00040FDA"/>
    <w:rsid w:val="00042356"/>
    <w:rsid w:val="0004241D"/>
    <w:rsid w:val="00042707"/>
    <w:rsid w:val="00042BFE"/>
    <w:rsid w:val="00042D98"/>
    <w:rsid w:val="000433BA"/>
    <w:rsid w:val="00043803"/>
    <w:rsid w:val="000438BA"/>
    <w:rsid w:val="00045EB8"/>
    <w:rsid w:val="0004683E"/>
    <w:rsid w:val="00046A54"/>
    <w:rsid w:val="000473A8"/>
    <w:rsid w:val="00050A37"/>
    <w:rsid w:val="00050D43"/>
    <w:rsid w:val="00051659"/>
    <w:rsid w:val="000534A1"/>
    <w:rsid w:val="00053E2E"/>
    <w:rsid w:val="0005460C"/>
    <w:rsid w:val="000558B0"/>
    <w:rsid w:val="00055FC4"/>
    <w:rsid w:val="000566EE"/>
    <w:rsid w:val="000609E0"/>
    <w:rsid w:val="00060A4E"/>
    <w:rsid w:val="00061331"/>
    <w:rsid w:val="00061F45"/>
    <w:rsid w:val="00062017"/>
    <w:rsid w:val="000631F8"/>
    <w:rsid w:val="00063EDA"/>
    <w:rsid w:val="000656DC"/>
    <w:rsid w:val="000664D2"/>
    <w:rsid w:val="00066595"/>
    <w:rsid w:val="00066DEE"/>
    <w:rsid w:val="00073096"/>
    <w:rsid w:val="00073729"/>
    <w:rsid w:val="00074716"/>
    <w:rsid w:val="00075DBD"/>
    <w:rsid w:val="0007614B"/>
    <w:rsid w:val="00076BBE"/>
    <w:rsid w:val="00077BDA"/>
    <w:rsid w:val="00080C51"/>
    <w:rsid w:val="00082F84"/>
    <w:rsid w:val="0008389E"/>
    <w:rsid w:val="00083996"/>
    <w:rsid w:val="00083D7A"/>
    <w:rsid w:val="000843F6"/>
    <w:rsid w:val="00084A07"/>
    <w:rsid w:val="000853F6"/>
    <w:rsid w:val="00085E8C"/>
    <w:rsid w:val="00086E82"/>
    <w:rsid w:val="00087286"/>
    <w:rsid w:val="000903A0"/>
    <w:rsid w:val="000903FC"/>
    <w:rsid w:val="00090496"/>
    <w:rsid w:val="0009096F"/>
    <w:rsid w:val="000910F1"/>
    <w:rsid w:val="000914E6"/>
    <w:rsid w:val="00091D1B"/>
    <w:rsid w:val="0009213F"/>
    <w:rsid w:val="000923D5"/>
    <w:rsid w:val="000924C9"/>
    <w:rsid w:val="00093195"/>
    <w:rsid w:val="00093B01"/>
    <w:rsid w:val="000958C9"/>
    <w:rsid w:val="000966E2"/>
    <w:rsid w:val="000967FD"/>
    <w:rsid w:val="00097707"/>
    <w:rsid w:val="000977B7"/>
    <w:rsid w:val="000977DC"/>
    <w:rsid w:val="000A0378"/>
    <w:rsid w:val="000A1511"/>
    <w:rsid w:val="000A1C6D"/>
    <w:rsid w:val="000A1EED"/>
    <w:rsid w:val="000A2317"/>
    <w:rsid w:val="000A2967"/>
    <w:rsid w:val="000A37DE"/>
    <w:rsid w:val="000A39F9"/>
    <w:rsid w:val="000A432B"/>
    <w:rsid w:val="000A45A0"/>
    <w:rsid w:val="000A4BED"/>
    <w:rsid w:val="000A54BA"/>
    <w:rsid w:val="000A57A2"/>
    <w:rsid w:val="000A5FE9"/>
    <w:rsid w:val="000A663B"/>
    <w:rsid w:val="000A66DE"/>
    <w:rsid w:val="000A6E85"/>
    <w:rsid w:val="000A7E30"/>
    <w:rsid w:val="000B0ED7"/>
    <w:rsid w:val="000B0F5A"/>
    <w:rsid w:val="000B15D2"/>
    <w:rsid w:val="000B16D9"/>
    <w:rsid w:val="000B29CD"/>
    <w:rsid w:val="000B2EEF"/>
    <w:rsid w:val="000B4962"/>
    <w:rsid w:val="000B6E7D"/>
    <w:rsid w:val="000B7B31"/>
    <w:rsid w:val="000C02A9"/>
    <w:rsid w:val="000C143C"/>
    <w:rsid w:val="000C4E28"/>
    <w:rsid w:val="000C4FB2"/>
    <w:rsid w:val="000C6106"/>
    <w:rsid w:val="000C647A"/>
    <w:rsid w:val="000C6A5B"/>
    <w:rsid w:val="000C78DE"/>
    <w:rsid w:val="000D08C7"/>
    <w:rsid w:val="000D0F9E"/>
    <w:rsid w:val="000D2A73"/>
    <w:rsid w:val="000D3228"/>
    <w:rsid w:val="000D404F"/>
    <w:rsid w:val="000D4573"/>
    <w:rsid w:val="000D6ECB"/>
    <w:rsid w:val="000E04B8"/>
    <w:rsid w:val="000E0DE3"/>
    <w:rsid w:val="000E0F05"/>
    <w:rsid w:val="000E13A4"/>
    <w:rsid w:val="000E192E"/>
    <w:rsid w:val="000E1BE6"/>
    <w:rsid w:val="000E1D18"/>
    <w:rsid w:val="000E2A00"/>
    <w:rsid w:val="000E2B77"/>
    <w:rsid w:val="000E331A"/>
    <w:rsid w:val="000E60A7"/>
    <w:rsid w:val="000E6881"/>
    <w:rsid w:val="000E689E"/>
    <w:rsid w:val="000E6E97"/>
    <w:rsid w:val="000F143A"/>
    <w:rsid w:val="000F1452"/>
    <w:rsid w:val="000F1BD0"/>
    <w:rsid w:val="000F1DA3"/>
    <w:rsid w:val="000F2263"/>
    <w:rsid w:val="000F35D7"/>
    <w:rsid w:val="000F3623"/>
    <w:rsid w:val="000F4E23"/>
    <w:rsid w:val="000F55B8"/>
    <w:rsid w:val="000F6128"/>
    <w:rsid w:val="000F6DFA"/>
    <w:rsid w:val="000F7D68"/>
    <w:rsid w:val="00101903"/>
    <w:rsid w:val="00101FF4"/>
    <w:rsid w:val="00104396"/>
    <w:rsid w:val="00104ED9"/>
    <w:rsid w:val="00105B20"/>
    <w:rsid w:val="00106560"/>
    <w:rsid w:val="0010688C"/>
    <w:rsid w:val="00106A0F"/>
    <w:rsid w:val="001071AC"/>
    <w:rsid w:val="00107331"/>
    <w:rsid w:val="00107898"/>
    <w:rsid w:val="00111DAA"/>
    <w:rsid w:val="00112639"/>
    <w:rsid w:val="00112889"/>
    <w:rsid w:val="001129C3"/>
    <w:rsid w:val="00114192"/>
    <w:rsid w:val="00114CC1"/>
    <w:rsid w:val="00116EE6"/>
    <w:rsid w:val="00117C1A"/>
    <w:rsid w:val="00117C33"/>
    <w:rsid w:val="00117EE3"/>
    <w:rsid w:val="00123468"/>
    <w:rsid w:val="001237A9"/>
    <w:rsid w:val="00125E60"/>
    <w:rsid w:val="00127038"/>
    <w:rsid w:val="00127FEA"/>
    <w:rsid w:val="001318C8"/>
    <w:rsid w:val="00133B0A"/>
    <w:rsid w:val="0013446F"/>
    <w:rsid w:val="00135736"/>
    <w:rsid w:val="00135976"/>
    <w:rsid w:val="00135F66"/>
    <w:rsid w:val="0013640B"/>
    <w:rsid w:val="001365CA"/>
    <w:rsid w:val="00136723"/>
    <w:rsid w:val="0013793E"/>
    <w:rsid w:val="00137EBC"/>
    <w:rsid w:val="001404BB"/>
    <w:rsid w:val="001406A6"/>
    <w:rsid w:val="00140F99"/>
    <w:rsid w:val="0014163A"/>
    <w:rsid w:val="00141E66"/>
    <w:rsid w:val="001425BE"/>
    <w:rsid w:val="001433DA"/>
    <w:rsid w:val="0014399C"/>
    <w:rsid w:val="00143C33"/>
    <w:rsid w:val="00143DD2"/>
    <w:rsid w:val="00144B78"/>
    <w:rsid w:val="001458EA"/>
    <w:rsid w:val="00145F3C"/>
    <w:rsid w:val="00150D19"/>
    <w:rsid w:val="00151188"/>
    <w:rsid w:val="001513ED"/>
    <w:rsid w:val="00151686"/>
    <w:rsid w:val="001519FA"/>
    <w:rsid w:val="00151FB6"/>
    <w:rsid w:val="0015219C"/>
    <w:rsid w:val="0015264E"/>
    <w:rsid w:val="00152D0B"/>
    <w:rsid w:val="00153CD9"/>
    <w:rsid w:val="00153D91"/>
    <w:rsid w:val="00154B1D"/>
    <w:rsid w:val="00156653"/>
    <w:rsid w:val="00156F39"/>
    <w:rsid w:val="00157840"/>
    <w:rsid w:val="00160575"/>
    <w:rsid w:val="00160FB6"/>
    <w:rsid w:val="001619AA"/>
    <w:rsid w:val="00163255"/>
    <w:rsid w:val="00163353"/>
    <w:rsid w:val="00163A18"/>
    <w:rsid w:val="00165FEE"/>
    <w:rsid w:val="0016733E"/>
    <w:rsid w:val="001717A8"/>
    <w:rsid w:val="001718AB"/>
    <w:rsid w:val="00171915"/>
    <w:rsid w:val="00173C93"/>
    <w:rsid w:val="00174579"/>
    <w:rsid w:val="00174A34"/>
    <w:rsid w:val="001757FE"/>
    <w:rsid w:val="00175BC2"/>
    <w:rsid w:val="001760FC"/>
    <w:rsid w:val="00176E3A"/>
    <w:rsid w:val="00177C93"/>
    <w:rsid w:val="00180404"/>
    <w:rsid w:val="001808E5"/>
    <w:rsid w:val="00180D5A"/>
    <w:rsid w:val="001814F4"/>
    <w:rsid w:val="001823FA"/>
    <w:rsid w:val="001824F9"/>
    <w:rsid w:val="0018250B"/>
    <w:rsid w:val="001827A7"/>
    <w:rsid w:val="001844F7"/>
    <w:rsid w:val="00184AAA"/>
    <w:rsid w:val="001855F1"/>
    <w:rsid w:val="00185987"/>
    <w:rsid w:val="001860F7"/>
    <w:rsid w:val="001866B6"/>
    <w:rsid w:val="001874E5"/>
    <w:rsid w:val="001875E8"/>
    <w:rsid w:val="00187F80"/>
    <w:rsid w:val="001904FC"/>
    <w:rsid w:val="001905A1"/>
    <w:rsid w:val="00190DB6"/>
    <w:rsid w:val="0019302C"/>
    <w:rsid w:val="00196DF6"/>
    <w:rsid w:val="00197597"/>
    <w:rsid w:val="001A1970"/>
    <w:rsid w:val="001A1B74"/>
    <w:rsid w:val="001A2562"/>
    <w:rsid w:val="001A2868"/>
    <w:rsid w:val="001A32D6"/>
    <w:rsid w:val="001A3E65"/>
    <w:rsid w:val="001A3EBE"/>
    <w:rsid w:val="001A4317"/>
    <w:rsid w:val="001A4598"/>
    <w:rsid w:val="001A5537"/>
    <w:rsid w:val="001A5906"/>
    <w:rsid w:val="001A5DC8"/>
    <w:rsid w:val="001A708A"/>
    <w:rsid w:val="001A78CD"/>
    <w:rsid w:val="001B00E6"/>
    <w:rsid w:val="001B24CB"/>
    <w:rsid w:val="001B24F2"/>
    <w:rsid w:val="001B24F6"/>
    <w:rsid w:val="001B25B3"/>
    <w:rsid w:val="001B2606"/>
    <w:rsid w:val="001B2AF5"/>
    <w:rsid w:val="001B339F"/>
    <w:rsid w:val="001B379D"/>
    <w:rsid w:val="001B52D5"/>
    <w:rsid w:val="001B6294"/>
    <w:rsid w:val="001B62C6"/>
    <w:rsid w:val="001B7797"/>
    <w:rsid w:val="001B77AA"/>
    <w:rsid w:val="001B7BAF"/>
    <w:rsid w:val="001C03C4"/>
    <w:rsid w:val="001C1144"/>
    <w:rsid w:val="001C1CF0"/>
    <w:rsid w:val="001C2082"/>
    <w:rsid w:val="001C2472"/>
    <w:rsid w:val="001C26BC"/>
    <w:rsid w:val="001C3102"/>
    <w:rsid w:val="001C36B3"/>
    <w:rsid w:val="001C3A29"/>
    <w:rsid w:val="001C4377"/>
    <w:rsid w:val="001C47BB"/>
    <w:rsid w:val="001C5B7F"/>
    <w:rsid w:val="001C63FE"/>
    <w:rsid w:val="001C64D5"/>
    <w:rsid w:val="001C6D10"/>
    <w:rsid w:val="001C7BBC"/>
    <w:rsid w:val="001D0374"/>
    <w:rsid w:val="001D0440"/>
    <w:rsid w:val="001D0FBD"/>
    <w:rsid w:val="001D165B"/>
    <w:rsid w:val="001D180A"/>
    <w:rsid w:val="001D3198"/>
    <w:rsid w:val="001D4330"/>
    <w:rsid w:val="001D4C5B"/>
    <w:rsid w:val="001D4F1B"/>
    <w:rsid w:val="001D5250"/>
    <w:rsid w:val="001D6078"/>
    <w:rsid w:val="001D6733"/>
    <w:rsid w:val="001D6752"/>
    <w:rsid w:val="001D7AE9"/>
    <w:rsid w:val="001E0F21"/>
    <w:rsid w:val="001E1419"/>
    <w:rsid w:val="001E35F3"/>
    <w:rsid w:val="001E4490"/>
    <w:rsid w:val="001E5541"/>
    <w:rsid w:val="001E5CDC"/>
    <w:rsid w:val="001E75F2"/>
    <w:rsid w:val="001E78AD"/>
    <w:rsid w:val="001E7C8F"/>
    <w:rsid w:val="001E7DE1"/>
    <w:rsid w:val="001F01AA"/>
    <w:rsid w:val="001F111F"/>
    <w:rsid w:val="001F1620"/>
    <w:rsid w:val="001F1A15"/>
    <w:rsid w:val="001F2A05"/>
    <w:rsid w:val="001F2E51"/>
    <w:rsid w:val="001F3434"/>
    <w:rsid w:val="001F3641"/>
    <w:rsid w:val="001F3D3E"/>
    <w:rsid w:val="001F56F0"/>
    <w:rsid w:val="001F6781"/>
    <w:rsid w:val="001F691C"/>
    <w:rsid w:val="001F7358"/>
    <w:rsid w:val="001F7EA9"/>
    <w:rsid w:val="00200256"/>
    <w:rsid w:val="00200307"/>
    <w:rsid w:val="002004B4"/>
    <w:rsid w:val="002006FA"/>
    <w:rsid w:val="002009DA"/>
    <w:rsid w:val="00200D44"/>
    <w:rsid w:val="00204AFC"/>
    <w:rsid w:val="00205668"/>
    <w:rsid w:val="00205C0A"/>
    <w:rsid w:val="0020601A"/>
    <w:rsid w:val="00206032"/>
    <w:rsid w:val="0020645B"/>
    <w:rsid w:val="00206EEA"/>
    <w:rsid w:val="002077EF"/>
    <w:rsid w:val="002078F0"/>
    <w:rsid w:val="00207E84"/>
    <w:rsid w:val="00211DFD"/>
    <w:rsid w:val="00212B78"/>
    <w:rsid w:val="002135DE"/>
    <w:rsid w:val="0021413B"/>
    <w:rsid w:val="00214624"/>
    <w:rsid w:val="00214B57"/>
    <w:rsid w:val="00215992"/>
    <w:rsid w:val="00216AD6"/>
    <w:rsid w:val="002232E8"/>
    <w:rsid w:val="002245E6"/>
    <w:rsid w:val="002249C9"/>
    <w:rsid w:val="002259F2"/>
    <w:rsid w:val="00225F55"/>
    <w:rsid w:val="00226D95"/>
    <w:rsid w:val="00230715"/>
    <w:rsid w:val="002307B0"/>
    <w:rsid w:val="00230DDB"/>
    <w:rsid w:val="002312BA"/>
    <w:rsid w:val="002316E7"/>
    <w:rsid w:val="00232274"/>
    <w:rsid w:val="00232496"/>
    <w:rsid w:val="00232632"/>
    <w:rsid w:val="0023404F"/>
    <w:rsid w:val="00234326"/>
    <w:rsid w:val="00234A33"/>
    <w:rsid w:val="002351FA"/>
    <w:rsid w:val="002361B5"/>
    <w:rsid w:val="0023642E"/>
    <w:rsid w:val="0023648A"/>
    <w:rsid w:val="0023758E"/>
    <w:rsid w:val="00237FB7"/>
    <w:rsid w:val="0024055F"/>
    <w:rsid w:val="0024145B"/>
    <w:rsid w:val="002415E2"/>
    <w:rsid w:val="00241B4F"/>
    <w:rsid w:val="00242D0E"/>
    <w:rsid w:val="002434A5"/>
    <w:rsid w:val="002437B1"/>
    <w:rsid w:val="00244153"/>
    <w:rsid w:val="00245B0E"/>
    <w:rsid w:val="002471AB"/>
    <w:rsid w:val="00247C26"/>
    <w:rsid w:val="00250080"/>
    <w:rsid w:val="002502DF"/>
    <w:rsid w:val="00250E67"/>
    <w:rsid w:val="002537D2"/>
    <w:rsid w:val="00254668"/>
    <w:rsid w:val="002546AC"/>
    <w:rsid w:val="0025581F"/>
    <w:rsid w:val="00256DF2"/>
    <w:rsid w:val="0025734F"/>
    <w:rsid w:val="0025742A"/>
    <w:rsid w:val="0025749B"/>
    <w:rsid w:val="00260084"/>
    <w:rsid w:val="00261EC5"/>
    <w:rsid w:val="0026233C"/>
    <w:rsid w:val="002631DE"/>
    <w:rsid w:val="0026346D"/>
    <w:rsid w:val="0026615D"/>
    <w:rsid w:val="00266572"/>
    <w:rsid w:val="00266BD3"/>
    <w:rsid w:val="00270C39"/>
    <w:rsid w:val="00272359"/>
    <w:rsid w:val="00272411"/>
    <w:rsid w:val="002753EC"/>
    <w:rsid w:val="002754EA"/>
    <w:rsid w:val="00275516"/>
    <w:rsid w:val="00275592"/>
    <w:rsid w:val="002761A0"/>
    <w:rsid w:val="00276507"/>
    <w:rsid w:val="00276F89"/>
    <w:rsid w:val="0028035C"/>
    <w:rsid w:val="0028142F"/>
    <w:rsid w:val="00281A16"/>
    <w:rsid w:val="00281ECC"/>
    <w:rsid w:val="00282ABA"/>
    <w:rsid w:val="00282CEE"/>
    <w:rsid w:val="00282E2E"/>
    <w:rsid w:val="00284024"/>
    <w:rsid w:val="002846B1"/>
    <w:rsid w:val="00285383"/>
    <w:rsid w:val="00285627"/>
    <w:rsid w:val="00286B5B"/>
    <w:rsid w:val="00287C7F"/>
    <w:rsid w:val="002903A9"/>
    <w:rsid w:val="0029088D"/>
    <w:rsid w:val="002922FE"/>
    <w:rsid w:val="002925C6"/>
    <w:rsid w:val="00292C96"/>
    <w:rsid w:val="00292CF6"/>
    <w:rsid w:val="002942A4"/>
    <w:rsid w:val="00294B7C"/>
    <w:rsid w:val="0029589F"/>
    <w:rsid w:val="00295FC5"/>
    <w:rsid w:val="00297B31"/>
    <w:rsid w:val="002A1659"/>
    <w:rsid w:val="002A18F7"/>
    <w:rsid w:val="002A2387"/>
    <w:rsid w:val="002A2547"/>
    <w:rsid w:val="002A257B"/>
    <w:rsid w:val="002A2B07"/>
    <w:rsid w:val="002A3E23"/>
    <w:rsid w:val="002A44C3"/>
    <w:rsid w:val="002A5407"/>
    <w:rsid w:val="002A58AC"/>
    <w:rsid w:val="002A5CE5"/>
    <w:rsid w:val="002A64C4"/>
    <w:rsid w:val="002A689C"/>
    <w:rsid w:val="002A7199"/>
    <w:rsid w:val="002A7463"/>
    <w:rsid w:val="002A7A22"/>
    <w:rsid w:val="002B0C17"/>
    <w:rsid w:val="002B0E67"/>
    <w:rsid w:val="002B0EAB"/>
    <w:rsid w:val="002B1D93"/>
    <w:rsid w:val="002B2234"/>
    <w:rsid w:val="002B25E3"/>
    <w:rsid w:val="002B4464"/>
    <w:rsid w:val="002B5844"/>
    <w:rsid w:val="002B6318"/>
    <w:rsid w:val="002B6661"/>
    <w:rsid w:val="002B700D"/>
    <w:rsid w:val="002B7046"/>
    <w:rsid w:val="002B76BF"/>
    <w:rsid w:val="002B7927"/>
    <w:rsid w:val="002C008C"/>
    <w:rsid w:val="002C0A67"/>
    <w:rsid w:val="002C0E17"/>
    <w:rsid w:val="002C105D"/>
    <w:rsid w:val="002C121D"/>
    <w:rsid w:val="002C1847"/>
    <w:rsid w:val="002C2340"/>
    <w:rsid w:val="002C2F71"/>
    <w:rsid w:val="002C3750"/>
    <w:rsid w:val="002C42E5"/>
    <w:rsid w:val="002C4520"/>
    <w:rsid w:val="002C4996"/>
    <w:rsid w:val="002C53B8"/>
    <w:rsid w:val="002D00BC"/>
    <w:rsid w:val="002D0974"/>
    <w:rsid w:val="002D0F22"/>
    <w:rsid w:val="002D1274"/>
    <w:rsid w:val="002D1F11"/>
    <w:rsid w:val="002D284E"/>
    <w:rsid w:val="002D2C3C"/>
    <w:rsid w:val="002D3D20"/>
    <w:rsid w:val="002D6061"/>
    <w:rsid w:val="002D6674"/>
    <w:rsid w:val="002D6ACA"/>
    <w:rsid w:val="002D6B92"/>
    <w:rsid w:val="002E16EF"/>
    <w:rsid w:val="002E1E1C"/>
    <w:rsid w:val="002E2907"/>
    <w:rsid w:val="002E2CAB"/>
    <w:rsid w:val="002E3358"/>
    <w:rsid w:val="002E3F0A"/>
    <w:rsid w:val="002E51EB"/>
    <w:rsid w:val="002E538C"/>
    <w:rsid w:val="002E5EA7"/>
    <w:rsid w:val="002E5ED8"/>
    <w:rsid w:val="002E61FA"/>
    <w:rsid w:val="002E659D"/>
    <w:rsid w:val="002E6EAF"/>
    <w:rsid w:val="002F0146"/>
    <w:rsid w:val="002F0157"/>
    <w:rsid w:val="002F05DA"/>
    <w:rsid w:val="002F072D"/>
    <w:rsid w:val="002F0ADB"/>
    <w:rsid w:val="002F1052"/>
    <w:rsid w:val="002F187E"/>
    <w:rsid w:val="002F22D4"/>
    <w:rsid w:val="002F270E"/>
    <w:rsid w:val="002F30B5"/>
    <w:rsid w:val="002F331A"/>
    <w:rsid w:val="002F472E"/>
    <w:rsid w:val="002F4C2A"/>
    <w:rsid w:val="002F542F"/>
    <w:rsid w:val="002F5CCA"/>
    <w:rsid w:val="002F5CDA"/>
    <w:rsid w:val="002F698A"/>
    <w:rsid w:val="002F6E67"/>
    <w:rsid w:val="002F7410"/>
    <w:rsid w:val="0030016E"/>
    <w:rsid w:val="00300544"/>
    <w:rsid w:val="003006F7"/>
    <w:rsid w:val="00300B8B"/>
    <w:rsid w:val="00300E4B"/>
    <w:rsid w:val="003018F7"/>
    <w:rsid w:val="003025C8"/>
    <w:rsid w:val="00302ADB"/>
    <w:rsid w:val="00302B50"/>
    <w:rsid w:val="00303F7A"/>
    <w:rsid w:val="0030402E"/>
    <w:rsid w:val="00304B40"/>
    <w:rsid w:val="00306B9C"/>
    <w:rsid w:val="00306D55"/>
    <w:rsid w:val="0030728E"/>
    <w:rsid w:val="00310F57"/>
    <w:rsid w:val="00311111"/>
    <w:rsid w:val="00311F2A"/>
    <w:rsid w:val="0031266F"/>
    <w:rsid w:val="003207A2"/>
    <w:rsid w:val="003208D9"/>
    <w:rsid w:val="0032213B"/>
    <w:rsid w:val="00323967"/>
    <w:rsid w:val="00323BF8"/>
    <w:rsid w:val="00325ABB"/>
    <w:rsid w:val="00325B82"/>
    <w:rsid w:val="00326029"/>
    <w:rsid w:val="0032611E"/>
    <w:rsid w:val="003272A7"/>
    <w:rsid w:val="003317B4"/>
    <w:rsid w:val="00331CE4"/>
    <w:rsid w:val="00333A51"/>
    <w:rsid w:val="003367D6"/>
    <w:rsid w:val="0033740D"/>
    <w:rsid w:val="003403C9"/>
    <w:rsid w:val="00341912"/>
    <w:rsid w:val="00341BC0"/>
    <w:rsid w:val="0034217E"/>
    <w:rsid w:val="00342466"/>
    <w:rsid w:val="00342701"/>
    <w:rsid w:val="00342A3A"/>
    <w:rsid w:val="0034512D"/>
    <w:rsid w:val="00345398"/>
    <w:rsid w:val="00345CCE"/>
    <w:rsid w:val="00346A11"/>
    <w:rsid w:val="003471AA"/>
    <w:rsid w:val="0035018A"/>
    <w:rsid w:val="003506C9"/>
    <w:rsid w:val="00350DC2"/>
    <w:rsid w:val="00351F91"/>
    <w:rsid w:val="0035307D"/>
    <w:rsid w:val="0035313E"/>
    <w:rsid w:val="00353721"/>
    <w:rsid w:val="003539B0"/>
    <w:rsid w:val="00353AA2"/>
    <w:rsid w:val="0035519B"/>
    <w:rsid w:val="00355A01"/>
    <w:rsid w:val="00356B1D"/>
    <w:rsid w:val="00357215"/>
    <w:rsid w:val="0035797F"/>
    <w:rsid w:val="00357EB4"/>
    <w:rsid w:val="00360359"/>
    <w:rsid w:val="003605E7"/>
    <w:rsid w:val="00360768"/>
    <w:rsid w:val="003613E5"/>
    <w:rsid w:val="0036174A"/>
    <w:rsid w:val="00362293"/>
    <w:rsid w:val="00362743"/>
    <w:rsid w:val="00362CA6"/>
    <w:rsid w:val="00363BE2"/>
    <w:rsid w:val="00363CC7"/>
    <w:rsid w:val="00364085"/>
    <w:rsid w:val="00364702"/>
    <w:rsid w:val="00364B30"/>
    <w:rsid w:val="00365144"/>
    <w:rsid w:val="003673DC"/>
    <w:rsid w:val="00370A20"/>
    <w:rsid w:val="00371D85"/>
    <w:rsid w:val="003721E9"/>
    <w:rsid w:val="0037232E"/>
    <w:rsid w:val="003730BC"/>
    <w:rsid w:val="00373995"/>
    <w:rsid w:val="003746AE"/>
    <w:rsid w:val="0037552A"/>
    <w:rsid w:val="00377961"/>
    <w:rsid w:val="00377EFF"/>
    <w:rsid w:val="003814B3"/>
    <w:rsid w:val="003824BB"/>
    <w:rsid w:val="00382561"/>
    <w:rsid w:val="00382A13"/>
    <w:rsid w:val="00383131"/>
    <w:rsid w:val="00383F78"/>
    <w:rsid w:val="00384083"/>
    <w:rsid w:val="003840B4"/>
    <w:rsid w:val="0038460A"/>
    <w:rsid w:val="00385684"/>
    <w:rsid w:val="00386668"/>
    <w:rsid w:val="003872ED"/>
    <w:rsid w:val="003873EC"/>
    <w:rsid w:val="0039000D"/>
    <w:rsid w:val="00390D9B"/>
    <w:rsid w:val="00392DFC"/>
    <w:rsid w:val="00393575"/>
    <w:rsid w:val="0039459A"/>
    <w:rsid w:val="00396648"/>
    <w:rsid w:val="0039776B"/>
    <w:rsid w:val="00397A47"/>
    <w:rsid w:val="00397E0A"/>
    <w:rsid w:val="00397EE0"/>
    <w:rsid w:val="003A1496"/>
    <w:rsid w:val="003A2A70"/>
    <w:rsid w:val="003A2E70"/>
    <w:rsid w:val="003A3675"/>
    <w:rsid w:val="003A3970"/>
    <w:rsid w:val="003A4543"/>
    <w:rsid w:val="003A51A8"/>
    <w:rsid w:val="003A5E45"/>
    <w:rsid w:val="003A7BAD"/>
    <w:rsid w:val="003B0A20"/>
    <w:rsid w:val="003B0E1F"/>
    <w:rsid w:val="003B120F"/>
    <w:rsid w:val="003B13B0"/>
    <w:rsid w:val="003B18BD"/>
    <w:rsid w:val="003B1DD8"/>
    <w:rsid w:val="003B2DC5"/>
    <w:rsid w:val="003B2F21"/>
    <w:rsid w:val="003B2FAF"/>
    <w:rsid w:val="003B35A3"/>
    <w:rsid w:val="003B3E0E"/>
    <w:rsid w:val="003B42E0"/>
    <w:rsid w:val="003B508F"/>
    <w:rsid w:val="003B539F"/>
    <w:rsid w:val="003B593D"/>
    <w:rsid w:val="003C04FF"/>
    <w:rsid w:val="003C0702"/>
    <w:rsid w:val="003C0F4E"/>
    <w:rsid w:val="003C18B4"/>
    <w:rsid w:val="003C61BC"/>
    <w:rsid w:val="003C6EBA"/>
    <w:rsid w:val="003C7B2F"/>
    <w:rsid w:val="003D03F7"/>
    <w:rsid w:val="003D211C"/>
    <w:rsid w:val="003D2D64"/>
    <w:rsid w:val="003D3A23"/>
    <w:rsid w:val="003D428F"/>
    <w:rsid w:val="003D4B66"/>
    <w:rsid w:val="003D62AF"/>
    <w:rsid w:val="003D633C"/>
    <w:rsid w:val="003D6F23"/>
    <w:rsid w:val="003D7321"/>
    <w:rsid w:val="003D78B2"/>
    <w:rsid w:val="003D7D8D"/>
    <w:rsid w:val="003D7DBD"/>
    <w:rsid w:val="003E04CE"/>
    <w:rsid w:val="003E15A0"/>
    <w:rsid w:val="003E29B4"/>
    <w:rsid w:val="003E3794"/>
    <w:rsid w:val="003E3B0D"/>
    <w:rsid w:val="003E3E63"/>
    <w:rsid w:val="003E46E0"/>
    <w:rsid w:val="003E5341"/>
    <w:rsid w:val="003E6002"/>
    <w:rsid w:val="003E7359"/>
    <w:rsid w:val="003E740F"/>
    <w:rsid w:val="003F1A26"/>
    <w:rsid w:val="003F324C"/>
    <w:rsid w:val="003F570C"/>
    <w:rsid w:val="003F65DC"/>
    <w:rsid w:val="003F669D"/>
    <w:rsid w:val="003F72A2"/>
    <w:rsid w:val="003F7878"/>
    <w:rsid w:val="003F7AC0"/>
    <w:rsid w:val="004004FD"/>
    <w:rsid w:val="00400966"/>
    <w:rsid w:val="0040254D"/>
    <w:rsid w:val="00404CA6"/>
    <w:rsid w:val="00404CAA"/>
    <w:rsid w:val="00405F01"/>
    <w:rsid w:val="00406042"/>
    <w:rsid w:val="00406640"/>
    <w:rsid w:val="0040726F"/>
    <w:rsid w:val="00407EC6"/>
    <w:rsid w:val="00410751"/>
    <w:rsid w:val="00410EDD"/>
    <w:rsid w:val="00410EEB"/>
    <w:rsid w:val="00411ED8"/>
    <w:rsid w:val="004130F9"/>
    <w:rsid w:val="0041421A"/>
    <w:rsid w:val="004143F5"/>
    <w:rsid w:val="004160BD"/>
    <w:rsid w:val="00416131"/>
    <w:rsid w:val="00416CA7"/>
    <w:rsid w:val="00417F42"/>
    <w:rsid w:val="004200D1"/>
    <w:rsid w:val="004206A0"/>
    <w:rsid w:val="00420748"/>
    <w:rsid w:val="00420E44"/>
    <w:rsid w:val="00421478"/>
    <w:rsid w:val="004221A6"/>
    <w:rsid w:val="0042240F"/>
    <w:rsid w:val="004231FD"/>
    <w:rsid w:val="00424EB2"/>
    <w:rsid w:val="00426BC4"/>
    <w:rsid w:val="00426CA2"/>
    <w:rsid w:val="00426D2B"/>
    <w:rsid w:val="00427BCB"/>
    <w:rsid w:val="00427F9C"/>
    <w:rsid w:val="004300F9"/>
    <w:rsid w:val="004306E5"/>
    <w:rsid w:val="00431D79"/>
    <w:rsid w:val="00431E5E"/>
    <w:rsid w:val="00431E62"/>
    <w:rsid w:val="00432098"/>
    <w:rsid w:val="004325F4"/>
    <w:rsid w:val="00432F40"/>
    <w:rsid w:val="00434075"/>
    <w:rsid w:val="004344CF"/>
    <w:rsid w:val="00434933"/>
    <w:rsid w:val="00435EC8"/>
    <w:rsid w:val="004367DB"/>
    <w:rsid w:val="004379FD"/>
    <w:rsid w:val="00441052"/>
    <w:rsid w:val="004412E2"/>
    <w:rsid w:val="00441767"/>
    <w:rsid w:val="00441F40"/>
    <w:rsid w:val="00442020"/>
    <w:rsid w:val="00442256"/>
    <w:rsid w:val="00445F52"/>
    <w:rsid w:val="00447824"/>
    <w:rsid w:val="00450AEB"/>
    <w:rsid w:val="00450B4F"/>
    <w:rsid w:val="00452664"/>
    <w:rsid w:val="004533DB"/>
    <w:rsid w:val="00454589"/>
    <w:rsid w:val="004548B8"/>
    <w:rsid w:val="004552C0"/>
    <w:rsid w:val="004568A6"/>
    <w:rsid w:val="00456E11"/>
    <w:rsid w:val="00457D6D"/>
    <w:rsid w:val="00460013"/>
    <w:rsid w:val="00460A6C"/>
    <w:rsid w:val="00460C14"/>
    <w:rsid w:val="00460E9C"/>
    <w:rsid w:val="0046112A"/>
    <w:rsid w:val="004612DF"/>
    <w:rsid w:val="00461C09"/>
    <w:rsid w:val="00461D92"/>
    <w:rsid w:val="00462878"/>
    <w:rsid w:val="00465D2D"/>
    <w:rsid w:val="0046777C"/>
    <w:rsid w:val="00470DE7"/>
    <w:rsid w:val="0047276E"/>
    <w:rsid w:val="00473D47"/>
    <w:rsid w:val="00475839"/>
    <w:rsid w:val="00475D09"/>
    <w:rsid w:val="00476723"/>
    <w:rsid w:val="00476CB9"/>
    <w:rsid w:val="004772D5"/>
    <w:rsid w:val="0047759F"/>
    <w:rsid w:val="00477A37"/>
    <w:rsid w:val="00480435"/>
    <w:rsid w:val="00480B2E"/>
    <w:rsid w:val="004830DC"/>
    <w:rsid w:val="004842A1"/>
    <w:rsid w:val="00484CFB"/>
    <w:rsid w:val="00485666"/>
    <w:rsid w:val="00485D1C"/>
    <w:rsid w:val="00486440"/>
    <w:rsid w:val="00487013"/>
    <w:rsid w:val="004878D4"/>
    <w:rsid w:val="00487CC9"/>
    <w:rsid w:val="0049002A"/>
    <w:rsid w:val="004911C2"/>
    <w:rsid w:val="004919BE"/>
    <w:rsid w:val="00492147"/>
    <w:rsid w:val="004934FA"/>
    <w:rsid w:val="004935A6"/>
    <w:rsid w:val="004939C3"/>
    <w:rsid w:val="00493B7C"/>
    <w:rsid w:val="00494F45"/>
    <w:rsid w:val="00495473"/>
    <w:rsid w:val="004955B8"/>
    <w:rsid w:val="00495B1F"/>
    <w:rsid w:val="004960AD"/>
    <w:rsid w:val="00496143"/>
    <w:rsid w:val="004961AE"/>
    <w:rsid w:val="00497937"/>
    <w:rsid w:val="004A09B0"/>
    <w:rsid w:val="004A0C14"/>
    <w:rsid w:val="004A16C0"/>
    <w:rsid w:val="004A1AF5"/>
    <w:rsid w:val="004A1DF3"/>
    <w:rsid w:val="004A2642"/>
    <w:rsid w:val="004A2C04"/>
    <w:rsid w:val="004A2D77"/>
    <w:rsid w:val="004A317F"/>
    <w:rsid w:val="004A3B6B"/>
    <w:rsid w:val="004A3D84"/>
    <w:rsid w:val="004A3DFF"/>
    <w:rsid w:val="004A40F6"/>
    <w:rsid w:val="004A5A28"/>
    <w:rsid w:val="004A603E"/>
    <w:rsid w:val="004A66F7"/>
    <w:rsid w:val="004A7BA5"/>
    <w:rsid w:val="004B0564"/>
    <w:rsid w:val="004B0826"/>
    <w:rsid w:val="004B0B08"/>
    <w:rsid w:val="004B0C28"/>
    <w:rsid w:val="004B0D3B"/>
    <w:rsid w:val="004B1062"/>
    <w:rsid w:val="004B1F89"/>
    <w:rsid w:val="004B209C"/>
    <w:rsid w:val="004B37BD"/>
    <w:rsid w:val="004B408E"/>
    <w:rsid w:val="004B5267"/>
    <w:rsid w:val="004B56F0"/>
    <w:rsid w:val="004B6DEC"/>
    <w:rsid w:val="004C0DD4"/>
    <w:rsid w:val="004C1C83"/>
    <w:rsid w:val="004C22D2"/>
    <w:rsid w:val="004C2516"/>
    <w:rsid w:val="004C2789"/>
    <w:rsid w:val="004C2B47"/>
    <w:rsid w:val="004C3EEF"/>
    <w:rsid w:val="004C4037"/>
    <w:rsid w:val="004C4401"/>
    <w:rsid w:val="004C4925"/>
    <w:rsid w:val="004C4B45"/>
    <w:rsid w:val="004C4DA7"/>
    <w:rsid w:val="004C4E24"/>
    <w:rsid w:val="004C54BA"/>
    <w:rsid w:val="004C54DF"/>
    <w:rsid w:val="004C5963"/>
    <w:rsid w:val="004C632E"/>
    <w:rsid w:val="004C6A96"/>
    <w:rsid w:val="004C6BA7"/>
    <w:rsid w:val="004C7E95"/>
    <w:rsid w:val="004D0798"/>
    <w:rsid w:val="004D0ADD"/>
    <w:rsid w:val="004D0CE6"/>
    <w:rsid w:val="004D0D82"/>
    <w:rsid w:val="004D10C8"/>
    <w:rsid w:val="004D1A6D"/>
    <w:rsid w:val="004D1F40"/>
    <w:rsid w:val="004D2286"/>
    <w:rsid w:val="004D3125"/>
    <w:rsid w:val="004D37AA"/>
    <w:rsid w:val="004D4999"/>
    <w:rsid w:val="004D545D"/>
    <w:rsid w:val="004D5630"/>
    <w:rsid w:val="004D576B"/>
    <w:rsid w:val="004D6372"/>
    <w:rsid w:val="004D699C"/>
    <w:rsid w:val="004D6D8A"/>
    <w:rsid w:val="004E2391"/>
    <w:rsid w:val="004E2CB2"/>
    <w:rsid w:val="004E3504"/>
    <w:rsid w:val="004E3D1D"/>
    <w:rsid w:val="004E40EE"/>
    <w:rsid w:val="004E46CE"/>
    <w:rsid w:val="004E48E0"/>
    <w:rsid w:val="004E4C05"/>
    <w:rsid w:val="004E4D89"/>
    <w:rsid w:val="004E582C"/>
    <w:rsid w:val="004E6931"/>
    <w:rsid w:val="004F0390"/>
    <w:rsid w:val="004F03CF"/>
    <w:rsid w:val="004F0437"/>
    <w:rsid w:val="004F0848"/>
    <w:rsid w:val="004F12B6"/>
    <w:rsid w:val="004F1824"/>
    <w:rsid w:val="004F2A36"/>
    <w:rsid w:val="004F2F03"/>
    <w:rsid w:val="004F4EF5"/>
    <w:rsid w:val="004F52F4"/>
    <w:rsid w:val="004F64EF"/>
    <w:rsid w:val="004F7110"/>
    <w:rsid w:val="004F7333"/>
    <w:rsid w:val="004F73BE"/>
    <w:rsid w:val="004F77EF"/>
    <w:rsid w:val="004F7BD7"/>
    <w:rsid w:val="0050204C"/>
    <w:rsid w:val="00502249"/>
    <w:rsid w:val="00502427"/>
    <w:rsid w:val="005039F9"/>
    <w:rsid w:val="00503AB0"/>
    <w:rsid w:val="0050411C"/>
    <w:rsid w:val="00504CBF"/>
    <w:rsid w:val="00505058"/>
    <w:rsid w:val="00505952"/>
    <w:rsid w:val="00506616"/>
    <w:rsid w:val="00506806"/>
    <w:rsid w:val="0050781C"/>
    <w:rsid w:val="005078B9"/>
    <w:rsid w:val="00507CE5"/>
    <w:rsid w:val="00510751"/>
    <w:rsid w:val="00510A32"/>
    <w:rsid w:val="00511625"/>
    <w:rsid w:val="00512CEE"/>
    <w:rsid w:val="0051373B"/>
    <w:rsid w:val="00514285"/>
    <w:rsid w:val="00514595"/>
    <w:rsid w:val="00515854"/>
    <w:rsid w:val="00515867"/>
    <w:rsid w:val="00516316"/>
    <w:rsid w:val="00516F84"/>
    <w:rsid w:val="005173E1"/>
    <w:rsid w:val="0052170B"/>
    <w:rsid w:val="00522B74"/>
    <w:rsid w:val="00522BA9"/>
    <w:rsid w:val="00522CAA"/>
    <w:rsid w:val="00523AC8"/>
    <w:rsid w:val="00523D88"/>
    <w:rsid w:val="00524581"/>
    <w:rsid w:val="00524ECC"/>
    <w:rsid w:val="0052629E"/>
    <w:rsid w:val="00527022"/>
    <w:rsid w:val="005277DD"/>
    <w:rsid w:val="005279AD"/>
    <w:rsid w:val="00530094"/>
    <w:rsid w:val="005300B3"/>
    <w:rsid w:val="00531C4C"/>
    <w:rsid w:val="005329F4"/>
    <w:rsid w:val="00532FD6"/>
    <w:rsid w:val="00533EFD"/>
    <w:rsid w:val="0053567A"/>
    <w:rsid w:val="00536747"/>
    <w:rsid w:val="00536A0C"/>
    <w:rsid w:val="00540337"/>
    <w:rsid w:val="0054047B"/>
    <w:rsid w:val="00540ECA"/>
    <w:rsid w:val="00542869"/>
    <w:rsid w:val="00542BA5"/>
    <w:rsid w:val="0054332E"/>
    <w:rsid w:val="00543433"/>
    <w:rsid w:val="005439DA"/>
    <w:rsid w:val="00543B54"/>
    <w:rsid w:val="00544006"/>
    <w:rsid w:val="005445C7"/>
    <w:rsid w:val="00545843"/>
    <w:rsid w:val="005458BC"/>
    <w:rsid w:val="005472FE"/>
    <w:rsid w:val="005507B0"/>
    <w:rsid w:val="00550A27"/>
    <w:rsid w:val="0055236A"/>
    <w:rsid w:val="0055295B"/>
    <w:rsid w:val="00552BA8"/>
    <w:rsid w:val="0055391A"/>
    <w:rsid w:val="00554181"/>
    <w:rsid w:val="005558C0"/>
    <w:rsid w:val="00555E02"/>
    <w:rsid w:val="00556E1B"/>
    <w:rsid w:val="005600E1"/>
    <w:rsid w:val="0056037B"/>
    <w:rsid w:val="0056075C"/>
    <w:rsid w:val="00560A90"/>
    <w:rsid w:val="00560F18"/>
    <w:rsid w:val="00561FDD"/>
    <w:rsid w:val="00564347"/>
    <w:rsid w:val="00564E31"/>
    <w:rsid w:val="00565551"/>
    <w:rsid w:val="0056559D"/>
    <w:rsid w:val="00565BB7"/>
    <w:rsid w:val="00566271"/>
    <w:rsid w:val="005672E3"/>
    <w:rsid w:val="00567445"/>
    <w:rsid w:val="005675E6"/>
    <w:rsid w:val="00570121"/>
    <w:rsid w:val="0057035F"/>
    <w:rsid w:val="0057076E"/>
    <w:rsid w:val="005712C3"/>
    <w:rsid w:val="00571FE8"/>
    <w:rsid w:val="0057246E"/>
    <w:rsid w:val="00572DCB"/>
    <w:rsid w:val="00574BD6"/>
    <w:rsid w:val="00574EFA"/>
    <w:rsid w:val="005752E5"/>
    <w:rsid w:val="005759B5"/>
    <w:rsid w:val="00575DD8"/>
    <w:rsid w:val="005761DC"/>
    <w:rsid w:val="00576649"/>
    <w:rsid w:val="0057697B"/>
    <w:rsid w:val="00580323"/>
    <w:rsid w:val="00580610"/>
    <w:rsid w:val="0058142E"/>
    <w:rsid w:val="0058143B"/>
    <w:rsid w:val="005816EC"/>
    <w:rsid w:val="00581ABD"/>
    <w:rsid w:val="0058201A"/>
    <w:rsid w:val="005829A1"/>
    <w:rsid w:val="00582AD4"/>
    <w:rsid w:val="00582D31"/>
    <w:rsid w:val="0058341E"/>
    <w:rsid w:val="005835FD"/>
    <w:rsid w:val="005836D3"/>
    <w:rsid w:val="00583972"/>
    <w:rsid w:val="00584228"/>
    <w:rsid w:val="00584922"/>
    <w:rsid w:val="00584FC8"/>
    <w:rsid w:val="00585763"/>
    <w:rsid w:val="0058679F"/>
    <w:rsid w:val="005870A7"/>
    <w:rsid w:val="0059071E"/>
    <w:rsid w:val="0059078A"/>
    <w:rsid w:val="005913A7"/>
    <w:rsid w:val="00591FDF"/>
    <w:rsid w:val="00592514"/>
    <w:rsid w:val="00592CBD"/>
    <w:rsid w:val="00593659"/>
    <w:rsid w:val="005939A5"/>
    <w:rsid w:val="005939AF"/>
    <w:rsid w:val="0059690C"/>
    <w:rsid w:val="00596A74"/>
    <w:rsid w:val="00597E7C"/>
    <w:rsid w:val="005A062B"/>
    <w:rsid w:val="005A1794"/>
    <w:rsid w:val="005A1D82"/>
    <w:rsid w:val="005A27E9"/>
    <w:rsid w:val="005A4974"/>
    <w:rsid w:val="005A6E05"/>
    <w:rsid w:val="005A7628"/>
    <w:rsid w:val="005B1DFC"/>
    <w:rsid w:val="005B2C0A"/>
    <w:rsid w:val="005B2C54"/>
    <w:rsid w:val="005B358F"/>
    <w:rsid w:val="005B37FD"/>
    <w:rsid w:val="005B4D56"/>
    <w:rsid w:val="005B5087"/>
    <w:rsid w:val="005B591D"/>
    <w:rsid w:val="005B6F9D"/>
    <w:rsid w:val="005B787D"/>
    <w:rsid w:val="005B7B51"/>
    <w:rsid w:val="005C01ED"/>
    <w:rsid w:val="005C0210"/>
    <w:rsid w:val="005C0761"/>
    <w:rsid w:val="005C2B0F"/>
    <w:rsid w:val="005C41E2"/>
    <w:rsid w:val="005C525E"/>
    <w:rsid w:val="005D072E"/>
    <w:rsid w:val="005D15AB"/>
    <w:rsid w:val="005D217A"/>
    <w:rsid w:val="005D28BE"/>
    <w:rsid w:val="005D323D"/>
    <w:rsid w:val="005D45AE"/>
    <w:rsid w:val="005D51BA"/>
    <w:rsid w:val="005D52D5"/>
    <w:rsid w:val="005D6A96"/>
    <w:rsid w:val="005E01A8"/>
    <w:rsid w:val="005E0639"/>
    <w:rsid w:val="005E1608"/>
    <w:rsid w:val="005E1E16"/>
    <w:rsid w:val="005E2428"/>
    <w:rsid w:val="005E27DA"/>
    <w:rsid w:val="005E2B85"/>
    <w:rsid w:val="005E3381"/>
    <w:rsid w:val="005E38F0"/>
    <w:rsid w:val="005E6C09"/>
    <w:rsid w:val="005E7537"/>
    <w:rsid w:val="005E786D"/>
    <w:rsid w:val="005E7BFE"/>
    <w:rsid w:val="005F01C4"/>
    <w:rsid w:val="005F082E"/>
    <w:rsid w:val="005F1447"/>
    <w:rsid w:val="005F1658"/>
    <w:rsid w:val="005F1DA9"/>
    <w:rsid w:val="005F22FC"/>
    <w:rsid w:val="005F2A81"/>
    <w:rsid w:val="005F42ED"/>
    <w:rsid w:val="005F5172"/>
    <w:rsid w:val="005F518E"/>
    <w:rsid w:val="005F5960"/>
    <w:rsid w:val="005F5C0F"/>
    <w:rsid w:val="005F632B"/>
    <w:rsid w:val="005F643C"/>
    <w:rsid w:val="005F7516"/>
    <w:rsid w:val="00600383"/>
    <w:rsid w:val="00600E53"/>
    <w:rsid w:val="00601903"/>
    <w:rsid w:val="006021A6"/>
    <w:rsid w:val="00604721"/>
    <w:rsid w:val="00605D13"/>
    <w:rsid w:val="00605F2B"/>
    <w:rsid w:val="00605F93"/>
    <w:rsid w:val="00606445"/>
    <w:rsid w:val="00606856"/>
    <w:rsid w:val="00606ADC"/>
    <w:rsid w:val="00610BC9"/>
    <w:rsid w:val="00610E18"/>
    <w:rsid w:val="006110B5"/>
    <w:rsid w:val="00613CFB"/>
    <w:rsid w:val="00620866"/>
    <w:rsid w:val="00621BE4"/>
    <w:rsid w:val="00622752"/>
    <w:rsid w:val="00622B87"/>
    <w:rsid w:val="00622BE7"/>
    <w:rsid w:val="006230EA"/>
    <w:rsid w:val="00623B7C"/>
    <w:rsid w:val="00624397"/>
    <w:rsid w:val="0062487D"/>
    <w:rsid w:val="00625477"/>
    <w:rsid w:val="00626280"/>
    <w:rsid w:val="00626F39"/>
    <w:rsid w:val="00627C65"/>
    <w:rsid w:val="00627C91"/>
    <w:rsid w:val="00627D6A"/>
    <w:rsid w:val="006311EC"/>
    <w:rsid w:val="00631616"/>
    <w:rsid w:val="006323F5"/>
    <w:rsid w:val="0063542F"/>
    <w:rsid w:val="0063546D"/>
    <w:rsid w:val="00635833"/>
    <w:rsid w:val="00635E0F"/>
    <w:rsid w:val="00636659"/>
    <w:rsid w:val="00636935"/>
    <w:rsid w:val="00637032"/>
    <w:rsid w:val="00637EA5"/>
    <w:rsid w:val="0064192F"/>
    <w:rsid w:val="00642DFF"/>
    <w:rsid w:val="006433E8"/>
    <w:rsid w:val="006435E7"/>
    <w:rsid w:val="00643A0E"/>
    <w:rsid w:val="00645A7A"/>
    <w:rsid w:val="00646A63"/>
    <w:rsid w:val="00646AD2"/>
    <w:rsid w:val="00647955"/>
    <w:rsid w:val="00650EF7"/>
    <w:rsid w:val="00651110"/>
    <w:rsid w:val="006512FD"/>
    <w:rsid w:val="0065168E"/>
    <w:rsid w:val="0065220E"/>
    <w:rsid w:val="00652598"/>
    <w:rsid w:val="0065301D"/>
    <w:rsid w:val="006533E7"/>
    <w:rsid w:val="00653AF2"/>
    <w:rsid w:val="00653D38"/>
    <w:rsid w:val="006541B0"/>
    <w:rsid w:val="00654774"/>
    <w:rsid w:val="006561F6"/>
    <w:rsid w:val="00656EC2"/>
    <w:rsid w:val="00657F2E"/>
    <w:rsid w:val="00660BDD"/>
    <w:rsid w:val="00660E21"/>
    <w:rsid w:val="00661AA3"/>
    <w:rsid w:val="00661C35"/>
    <w:rsid w:val="006626E4"/>
    <w:rsid w:val="00663864"/>
    <w:rsid w:val="00663A5E"/>
    <w:rsid w:val="00663CF9"/>
    <w:rsid w:val="006644A1"/>
    <w:rsid w:val="00664EFE"/>
    <w:rsid w:val="00665493"/>
    <w:rsid w:val="006656D1"/>
    <w:rsid w:val="0066578E"/>
    <w:rsid w:val="00665F9C"/>
    <w:rsid w:val="0066602B"/>
    <w:rsid w:val="0066640C"/>
    <w:rsid w:val="00666868"/>
    <w:rsid w:val="00666A3E"/>
    <w:rsid w:val="00667367"/>
    <w:rsid w:val="00667B97"/>
    <w:rsid w:val="00667E51"/>
    <w:rsid w:val="00670BE1"/>
    <w:rsid w:val="00670EA1"/>
    <w:rsid w:val="00671683"/>
    <w:rsid w:val="00671E61"/>
    <w:rsid w:val="006724AF"/>
    <w:rsid w:val="0067260F"/>
    <w:rsid w:val="0067656F"/>
    <w:rsid w:val="00677173"/>
    <w:rsid w:val="00677342"/>
    <w:rsid w:val="00680F8F"/>
    <w:rsid w:val="006819A3"/>
    <w:rsid w:val="00683434"/>
    <w:rsid w:val="00683C84"/>
    <w:rsid w:val="00683F56"/>
    <w:rsid w:val="006846F5"/>
    <w:rsid w:val="006849C4"/>
    <w:rsid w:val="00684BEE"/>
    <w:rsid w:val="00685A54"/>
    <w:rsid w:val="00685F7A"/>
    <w:rsid w:val="006862A8"/>
    <w:rsid w:val="00686365"/>
    <w:rsid w:val="0069145E"/>
    <w:rsid w:val="00691951"/>
    <w:rsid w:val="006952D9"/>
    <w:rsid w:val="006953FD"/>
    <w:rsid w:val="00696085"/>
    <w:rsid w:val="006964DB"/>
    <w:rsid w:val="00696660"/>
    <w:rsid w:val="006966E6"/>
    <w:rsid w:val="00696A44"/>
    <w:rsid w:val="00696C06"/>
    <w:rsid w:val="006977BD"/>
    <w:rsid w:val="006A09C7"/>
    <w:rsid w:val="006A0CA5"/>
    <w:rsid w:val="006A107F"/>
    <w:rsid w:val="006A16B5"/>
    <w:rsid w:val="006A225B"/>
    <w:rsid w:val="006A2E64"/>
    <w:rsid w:val="006A406F"/>
    <w:rsid w:val="006A468F"/>
    <w:rsid w:val="006A4B71"/>
    <w:rsid w:val="006A4E18"/>
    <w:rsid w:val="006A5B93"/>
    <w:rsid w:val="006A61AC"/>
    <w:rsid w:val="006A62C8"/>
    <w:rsid w:val="006A75C8"/>
    <w:rsid w:val="006A77CA"/>
    <w:rsid w:val="006A7F0D"/>
    <w:rsid w:val="006B0346"/>
    <w:rsid w:val="006B0591"/>
    <w:rsid w:val="006B13DF"/>
    <w:rsid w:val="006B1513"/>
    <w:rsid w:val="006B1FCD"/>
    <w:rsid w:val="006B4533"/>
    <w:rsid w:val="006B6540"/>
    <w:rsid w:val="006B657A"/>
    <w:rsid w:val="006B7086"/>
    <w:rsid w:val="006B7277"/>
    <w:rsid w:val="006C03B4"/>
    <w:rsid w:val="006C06B0"/>
    <w:rsid w:val="006C13A3"/>
    <w:rsid w:val="006C1D14"/>
    <w:rsid w:val="006C2540"/>
    <w:rsid w:val="006C27DC"/>
    <w:rsid w:val="006C28A4"/>
    <w:rsid w:val="006C2E8D"/>
    <w:rsid w:val="006C4CA8"/>
    <w:rsid w:val="006C5BDA"/>
    <w:rsid w:val="006C7376"/>
    <w:rsid w:val="006D05E6"/>
    <w:rsid w:val="006D0E6F"/>
    <w:rsid w:val="006D1097"/>
    <w:rsid w:val="006D1753"/>
    <w:rsid w:val="006D23AA"/>
    <w:rsid w:val="006D25A5"/>
    <w:rsid w:val="006D2917"/>
    <w:rsid w:val="006D5292"/>
    <w:rsid w:val="006D5725"/>
    <w:rsid w:val="006D5CA0"/>
    <w:rsid w:val="006D61A2"/>
    <w:rsid w:val="006D7B00"/>
    <w:rsid w:val="006E03E3"/>
    <w:rsid w:val="006E0E64"/>
    <w:rsid w:val="006E1154"/>
    <w:rsid w:val="006E12AF"/>
    <w:rsid w:val="006E1836"/>
    <w:rsid w:val="006E198C"/>
    <w:rsid w:val="006E26EE"/>
    <w:rsid w:val="006E2E46"/>
    <w:rsid w:val="006E431C"/>
    <w:rsid w:val="006E48BC"/>
    <w:rsid w:val="006E4A91"/>
    <w:rsid w:val="006E57D2"/>
    <w:rsid w:val="006E6493"/>
    <w:rsid w:val="006E7440"/>
    <w:rsid w:val="006E7CC2"/>
    <w:rsid w:val="006E7FFA"/>
    <w:rsid w:val="006F0C45"/>
    <w:rsid w:val="006F1588"/>
    <w:rsid w:val="006F1951"/>
    <w:rsid w:val="006F1A80"/>
    <w:rsid w:val="006F1B2E"/>
    <w:rsid w:val="006F3484"/>
    <w:rsid w:val="006F369E"/>
    <w:rsid w:val="006F375A"/>
    <w:rsid w:val="006F3C89"/>
    <w:rsid w:val="006F4787"/>
    <w:rsid w:val="006F48AC"/>
    <w:rsid w:val="006F4B75"/>
    <w:rsid w:val="006F57CF"/>
    <w:rsid w:val="006F7ABF"/>
    <w:rsid w:val="00700543"/>
    <w:rsid w:val="00700B2F"/>
    <w:rsid w:val="0070186C"/>
    <w:rsid w:val="007023D9"/>
    <w:rsid w:val="00702568"/>
    <w:rsid w:val="00702899"/>
    <w:rsid w:val="00703EC4"/>
    <w:rsid w:val="00705488"/>
    <w:rsid w:val="00706EB9"/>
    <w:rsid w:val="007074EB"/>
    <w:rsid w:val="007079FC"/>
    <w:rsid w:val="00707B06"/>
    <w:rsid w:val="00707EA5"/>
    <w:rsid w:val="00710CA1"/>
    <w:rsid w:val="0071182F"/>
    <w:rsid w:val="0071317A"/>
    <w:rsid w:val="00714921"/>
    <w:rsid w:val="00714A58"/>
    <w:rsid w:val="00714AB3"/>
    <w:rsid w:val="00714BF8"/>
    <w:rsid w:val="007155BF"/>
    <w:rsid w:val="007161B2"/>
    <w:rsid w:val="00716673"/>
    <w:rsid w:val="00717285"/>
    <w:rsid w:val="00717904"/>
    <w:rsid w:val="00717969"/>
    <w:rsid w:val="00717B68"/>
    <w:rsid w:val="00720551"/>
    <w:rsid w:val="00720577"/>
    <w:rsid w:val="00721258"/>
    <w:rsid w:val="007223F3"/>
    <w:rsid w:val="00722BB5"/>
    <w:rsid w:val="007233BB"/>
    <w:rsid w:val="00723B0B"/>
    <w:rsid w:val="00723CB5"/>
    <w:rsid w:val="00724360"/>
    <w:rsid w:val="00725376"/>
    <w:rsid w:val="0072681C"/>
    <w:rsid w:val="00726FE0"/>
    <w:rsid w:val="00727A13"/>
    <w:rsid w:val="00727A57"/>
    <w:rsid w:val="0073014E"/>
    <w:rsid w:val="0073142F"/>
    <w:rsid w:val="00731D2A"/>
    <w:rsid w:val="007331BD"/>
    <w:rsid w:val="0073351D"/>
    <w:rsid w:val="00733E2B"/>
    <w:rsid w:val="00734F3D"/>
    <w:rsid w:val="007363E4"/>
    <w:rsid w:val="007368BA"/>
    <w:rsid w:val="00736E8E"/>
    <w:rsid w:val="0073709B"/>
    <w:rsid w:val="007372F8"/>
    <w:rsid w:val="00737632"/>
    <w:rsid w:val="0073775E"/>
    <w:rsid w:val="00737AF5"/>
    <w:rsid w:val="00737FCF"/>
    <w:rsid w:val="00740A7F"/>
    <w:rsid w:val="00741124"/>
    <w:rsid w:val="00743517"/>
    <w:rsid w:val="00743C41"/>
    <w:rsid w:val="007442AE"/>
    <w:rsid w:val="0074538F"/>
    <w:rsid w:val="007464D8"/>
    <w:rsid w:val="00750C2A"/>
    <w:rsid w:val="00751C52"/>
    <w:rsid w:val="00752AE0"/>
    <w:rsid w:val="00754ECA"/>
    <w:rsid w:val="00754EEC"/>
    <w:rsid w:val="00754F56"/>
    <w:rsid w:val="0075556E"/>
    <w:rsid w:val="00756E96"/>
    <w:rsid w:val="00757048"/>
    <w:rsid w:val="00757069"/>
    <w:rsid w:val="0075786B"/>
    <w:rsid w:val="00757979"/>
    <w:rsid w:val="00760EED"/>
    <w:rsid w:val="00760EF2"/>
    <w:rsid w:val="00761B37"/>
    <w:rsid w:val="007620BA"/>
    <w:rsid w:val="0076257C"/>
    <w:rsid w:val="00762E1F"/>
    <w:rsid w:val="00763972"/>
    <w:rsid w:val="007639A3"/>
    <w:rsid w:val="00763B94"/>
    <w:rsid w:val="00763DAB"/>
    <w:rsid w:val="00763FE0"/>
    <w:rsid w:val="007650FD"/>
    <w:rsid w:val="00765201"/>
    <w:rsid w:val="007662D7"/>
    <w:rsid w:val="00767452"/>
    <w:rsid w:val="00767626"/>
    <w:rsid w:val="00767B8E"/>
    <w:rsid w:val="007701A6"/>
    <w:rsid w:val="0077093A"/>
    <w:rsid w:val="00770B55"/>
    <w:rsid w:val="00770DD6"/>
    <w:rsid w:val="00771137"/>
    <w:rsid w:val="007728AB"/>
    <w:rsid w:val="00772D9C"/>
    <w:rsid w:val="007735C5"/>
    <w:rsid w:val="0077406B"/>
    <w:rsid w:val="00774F17"/>
    <w:rsid w:val="007754F3"/>
    <w:rsid w:val="00776C32"/>
    <w:rsid w:val="00776D1D"/>
    <w:rsid w:val="00776F66"/>
    <w:rsid w:val="007772D6"/>
    <w:rsid w:val="0077747F"/>
    <w:rsid w:val="0078083F"/>
    <w:rsid w:val="007828ED"/>
    <w:rsid w:val="00783690"/>
    <w:rsid w:val="00783ADB"/>
    <w:rsid w:val="007849D9"/>
    <w:rsid w:val="00784A55"/>
    <w:rsid w:val="00784EFC"/>
    <w:rsid w:val="0078597E"/>
    <w:rsid w:val="0078620B"/>
    <w:rsid w:val="0078649A"/>
    <w:rsid w:val="00786C61"/>
    <w:rsid w:val="00790764"/>
    <w:rsid w:val="00790A6A"/>
    <w:rsid w:val="00790FF2"/>
    <w:rsid w:val="00791608"/>
    <w:rsid w:val="007926B3"/>
    <w:rsid w:val="007927A4"/>
    <w:rsid w:val="0079367D"/>
    <w:rsid w:val="00793E86"/>
    <w:rsid w:val="00794A0D"/>
    <w:rsid w:val="007956A6"/>
    <w:rsid w:val="00796843"/>
    <w:rsid w:val="00797D90"/>
    <w:rsid w:val="007A0051"/>
    <w:rsid w:val="007A0260"/>
    <w:rsid w:val="007A0410"/>
    <w:rsid w:val="007A07FB"/>
    <w:rsid w:val="007A0A13"/>
    <w:rsid w:val="007A1337"/>
    <w:rsid w:val="007A4630"/>
    <w:rsid w:val="007A469F"/>
    <w:rsid w:val="007A46F3"/>
    <w:rsid w:val="007A5442"/>
    <w:rsid w:val="007A6F19"/>
    <w:rsid w:val="007B07C1"/>
    <w:rsid w:val="007B0914"/>
    <w:rsid w:val="007B21F1"/>
    <w:rsid w:val="007B25F1"/>
    <w:rsid w:val="007B282A"/>
    <w:rsid w:val="007B2966"/>
    <w:rsid w:val="007B3D05"/>
    <w:rsid w:val="007B3EF1"/>
    <w:rsid w:val="007B44A6"/>
    <w:rsid w:val="007B46AF"/>
    <w:rsid w:val="007B47FD"/>
    <w:rsid w:val="007B4974"/>
    <w:rsid w:val="007B4D3F"/>
    <w:rsid w:val="007B615E"/>
    <w:rsid w:val="007B77F1"/>
    <w:rsid w:val="007B7FE2"/>
    <w:rsid w:val="007C0011"/>
    <w:rsid w:val="007C0808"/>
    <w:rsid w:val="007C1B0D"/>
    <w:rsid w:val="007C1E82"/>
    <w:rsid w:val="007C3E67"/>
    <w:rsid w:val="007C4058"/>
    <w:rsid w:val="007C4274"/>
    <w:rsid w:val="007C4713"/>
    <w:rsid w:val="007C47E2"/>
    <w:rsid w:val="007C4C98"/>
    <w:rsid w:val="007C505A"/>
    <w:rsid w:val="007C56DB"/>
    <w:rsid w:val="007C6624"/>
    <w:rsid w:val="007C7093"/>
    <w:rsid w:val="007C7300"/>
    <w:rsid w:val="007D26A2"/>
    <w:rsid w:val="007D2A8C"/>
    <w:rsid w:val="007D34C0"/>
    <w:rsid w:val="007D3A4B"/>
    <w:rsid w:val="007D432D"/>
    <w:rsid w:val="007D55B2"/>
    <w:rsid w:val="007E02CC"/>
    <w:rsid w:val="007E084B"/>
    <w:rsid w:val="007E0FC2"/>
    <w:rsid w:val="007E1679"/>
    <w:rsid w:val="007E2DF7"/>
    <w:rsid w:val="007E30CB"/>
    <w:rsid w:val="007E3151"/>
    <w:rsid w:val="007E46B9"/>
    <w:rsid w:val="007E52EE"/>
    <w:rsid w:val="007E5971"/>
    <w:rsid w:val="007E6014"/>
    <w:rsid w:val="007E67A7"/>
    <w:rsid w:val="007E6BFD"/>
    <w:rsid w:val="007E6FBF"/>
    <w:rsid w:val="007E72C2"/>
    <w:rsid w:val="007E7B17"/>
    <w:rsid w:val="007F0409"/>
    <w:rsid w:val="007F0C51"/>
    <w:rsid w:val="007F1484"/>
    <w:rsid w:val="007F1D6F"/>
    <w:rsid w:val="007F33C3"/>
    <w:rsid w:val="007F5308"/>
    <w:rsid w:val="007F53CD"/>
    <w:rsid w:val="007F5DE3"/>
    <w:rsid w:val="007F6816"/>
    <w:rsid w:val="007F7171"/>
    <w:rsid w:val="007F75C9"/>
    <w:rsid w:val="007F7715"/>
    <w:rsid w:val="00800904"/>
    <w:rsid w:val="00802050"/>
    <w:rsid w:val="00802823"/>
    <w:rsid w:val="00802F91"/>
    <w:rsid w:val="0080399C"/>
    <w:rsid w:val="00804FEF"/>
    <w:rsid w:val="00805B62"/>
    <w:rsid w:val="00806954"/>
    <w:rsid w:val="008103A5"/>
    <w:rsid w:val="00810CCD"/>
    <w:rsid w:val="008122AF"/>
    <w:rsid w:val="00812784"/>
    <w:rsid w:val="008133A9"/>
    <w:rsid w:val="008144E2"/>
    <w:rsid w:val="008160FF"/>
    <w:rsid w:val="0081786F"/>
    <w:rsid w:val="00817ABD"/>
    <w:rsid w:val="00817B7C"/>
    <w:rsid w:val="00820F68"/>
    <w:rsid w:val="008220BC"/>
    <w:rsid w:val="00823EEC"/>
    <w:rsid w:val="00824023"/>
    <w:rsid w:val="008240F9"/>
    <w:rsid w:val="0082474F"/>
    <w:rsid w:val="0082478F"/>
    <w:rsid w:val="008269BF"/>
    <w:rsid w:val="008270F3"/>
    <w:rsid w:val="008275A8"/>
    <w:rsid w:val="00827665"/>
    <w:rsid w:val="0082773A"/>
    <w:rsid w:val="00827D64"/>
    <w:rsid w:val="00830BEC"/>
    <w:rsid w:val="00830EDC"/>
    <w:rsid w:val="0083153E"/>
    <w:rsid w:val="008318F3"/>
    <w:rsid w:val="00831E5E"/>
    <w:rsid w:val="00832101"/>
    <w:rsid w:val="008321B6"/>
    <w:rsid w:val="00833124"/>
    <w:rsid w:val="008335DF"/>
    <w:rsid w:val="0083426E"/>
    <w:rsid w:val="008343BB"/>
    <w:rsid w:val="00835587"/>
    <w:rsid w:val="008357CE"/>
    <w:rsid w:val="00836B0F"/>
    <w:rsid w:val="00837757"/>
    <w:rsid w:val="008377AE"/>
    <w:rsid w:val="00840C6A"/>
    <w:rsid w:val="008411DA"/>
    <w:rsid w:val="00842696"/>
    <w:rsid w:val="00842D75"/>
    <w:rsid w:val="00842F89"/>
    <w:rsid w:val="0084446D"/>
    <w:rsid w:val="00844B8A"/>
    <w:rsid w:val="00844FA7"/>
    <w:rsid w:val="0084548B"/>
    <w:rsid w:val="00845891"/>
    <w:rsid w:val="00845965"/>
    <w:rsid w:val="0084655F"/>
    <w:rsid w:val="008467CA"/>
    <w:rsid w:val="008468BF"/>
    <w:rsid w:val="00847251"/>
    <w:rsid w:val="0084780F"/>
    <w:rsid w:val="008478E3"/>
    <w:rsid w:val="0085189D"/>
    <w:rsid w:val="00851AE6"/>
    <w:rsid w:val="0085229C"/>
    <w:rsid w:val="00854187"/>
    <w:rsid w:val="00854998"/>
    <w:rsid w:val="0085603B"/>
    <w:rsid w:val="008572AA"/>
    <w:rsid w:val="00857402"/>
    <w:rsid w:val="00857F17"/>
    <w:rsid w:val="008607F1"/>
    <w:rsid w:val="0086236F"/>
    <w:rsid w:val="00862EE7"/>
    <w:rsid w:val="0086514A"/>
    <w:rsid w:val="00865450"/>
    <w:rsid w:val="00865C98"/>
    <w:rsid w:val="00865E7E"/>
    <w:rsid w:val="0086647E"/>
    <w:rsid w:val="00873240"/>
    <w:rsid w:val="00874552"/>
    <w:rsid w:val="008754CF"/>
    <w:rsid w:val="0087607C"/>
    <w:rsid w:val="008761D5"/>
    <w:rsid w:val="008763B4"/>
    <w:rsid w:val="00876577"/>
    <w:rsid w:val="008770A3"/>
    <w:rsid w:val="0087775C"/>
    <w:rsid w:val="008777C3"/>
    <w:rsid w:val="00880174"/>
    <w:rsid w:val="00881567"/>
    <w:rsid w:val="00881C60"/>
    <w:rsid w:val="0088267C"/>
    <w:rsid w:val="0088329C"/>
    <w:rsid w:val="00883803"/>
    <w:rsid w:val="00884F6A"/>
    <w:rsid w:val="00885FB9"/>
    <w:rsid w:val="00887AD1"/>
    <w:rsid w:val="0089065B"/>
    <w:rsid w:val="0089126D"/>
    <w:rsid w:val="008924E1"/>
    <w:rsid w:val="00892B4E"/>
    <w:rsid w:val="00893300"/>
    <w:rsid w:val="00893F5E"/>
    <w:rsid w:val="00894CCE"/>
    <w:rsid w:val="008954A4"/>
    <w:rsid w:val="00896267"/>
    <w:rsid w:val="00896F61"/>
    <w:rsid w:val="00897042"/>
    <w:rsid w:val="00897DEC"/>
    <w:rsid w:val="00897FA2"/>
    <w:rsid w:val="008A0110"/>
    <w:rsid w:val="008A15EB"/>
    <w:rsid w:val="008A1962"/>
    <w:rsid w:val="008A3100"/>
    <w:rsid w:val="008A34E3"/>
    <w:rsid w:val="008A3A47"/>
    <w:rsid w:val="008A3FEF"/>
    <w:rsid w:val="008A4A4D"/>
    <w:rsid w:val="008A4A73"/>
    <w:rsid w:val="008A4AB5"/>
    <w:rsid w:val="008A60E4"/>
    <w:rsid w:val="008A74E8"/>
    <w:rsid w:val="008A78FB"/>
    <w:rsid w:val="008B0A55"/>
    <w:rsid w:val="008B16B5"/>
    <w:rsid w:val="008B1FFB"/>
    <w:rsid w:val="008B32DE"/>
    <w:rsid w:val="008B35D1"/>
    <w:rsid w:val="008B3BCB"/>
    <w:rsid w:val="008B3D9B"/>
    <w:rsid w:val="008B4485"/>
    <w:rsid w:val="008B475F"/>
    <w:rsid w:val="008B4FFE"/>
    <w:rsid w:val="008B5366"/>
    <w:rsid w:val="008B724D"/>
    <w:rsid w:val="008C050D"/>
    <w:rsid w:val="008C2406"/>
    <w:rsid w:val="008C4B1D"/>
    <w:rsid w:val="008C6F64"/>
    <w:rsid w:val="008C7FC5"/>
    <w:rsid w:val="008D0228"/>
    <w:rsid w:val="008D07B9"/>
    <w:rsid w:val="008D1EB7"/>
    <w:rsid w:val="008D23CC"/>
    <w:rsid w:val="008D276E"/>
    <w:rsid w:val="008D2907"/>
    <w:rsid w:val="008D2E16"/>
    <w:rsid w:val="008D2E86"/>
    <w:rsid w:val="008D363E"/>
    <w:rsid w:val="008D453A"/>
    <w:rsid w:val="008D5A2C"/>
    <w:rsid w:val="008D5BA3"/>
    <w:rsid w:val="008D6D68"/>
    <w:rsid w:val="008D6DA7"/>
    <w:rsid w:val="008D72A5"/>
    <w:rsid w:val="008E0497"/>
    <w:rsid w:val="008E0688"/>
    <w:rsid w:val="008E06AE"/>
    <w:rsid w:val="008E0A27"/>
    <w:rsid w:val="008E0DA6"/>
    <w:rsid w:val="008E2308"/>
    <w:rsid w:val="008E2654"/>
    <w:rsid w:val="008E2CDF"/>
    <w:rsid w:val="008E2D58"/>
    <w:rsid w:val="008E31DC"/>
    <w:rsid w:val="008E3227"/>
    <w:rsid w:val="008E38A5"/>
    <w:rsid w:val="008E4EC3"/>
    <w:rsid w:val="008E52C4"/>
    <w:rsid w:val="008E55FC"/>
    <w:rsid w:val="008E5A7B"/>
    <w:rsid w:val="008E6225"/>
    <w:rsid w:val="008E6E8B"/>
    <w:rsid w:val="008E6E9E"/>
    <w:rsid w:val="008E7C31"/>
    <w:rsid w:val="008F0CF2"/>
    <w:rsid w:val="008F11E3"/>
    <w:rsid w:val="008F1A32"/>
    <w:rsid w:val="008F1BA9"/>
    <w:rsid w:val="008F29B5"/>
    <w:rsid w:val="008F329B"/>
    <w:rsid w:val="008F497A"/>
    <w:rsid w:val="008F5362"/>
    <w:rsid w:val="008F6960"/>
    <w:rsid w:val="008F7048"/>
    <w:rsid w:val="008F73B2"/>
    <w:rsid w:val="008F7E1E"/>
    <w:rsid w:val="00900AAE"/>
    <w:rsid w:val="00900C6C"/>
    <w:rsid w:val="009010B7"/>
    <w:rsid w:val="00901BCC"/>
    <w:rsid w:val="00902080"/>
    <w:rsid w:val="0090258B"/>
    <w:rsid w:val="0090272C"/>
    <w:rsid w:val="0090284E"/>
    <w:rsid w:val="00902E70"/>
    <w:rsid w:val="00902F0D"/>
    <w:rsid w:val="00902F59"/>
    <w:rsid w:val="009033D0"/>
    <w:rsid w:val="009036C1"/>
    <w:rsid w:val="009044D3"/>
    <w:rsid w:val="00904EE7"/>
    <w:rsid w:val="009054DB"/>
    <w:rsid w:val="009054FB"/>
    <w:rsid w:val="00905CBA"/>
    <w:rsid w:val="0090659C"/>
    <w:rsid w:val="00906EA7"/>
    <w:rsid w:val="00906F29"/>
    <w:rsid w:val="009108E3"/>
    <w:rsid w:val="009129DD"/>
    <w:rsid w:val="009140B6"/>
    <w:rsid w:val="00914A90"/>
    <w:rsid w:val="009208AE"/>
    <w:rsid w:val="009213C7"/>
    <w:rsid w:val="0092147C"/>
    <w:rsid w:val="00922302"/>
    <w:rsid w:val="00922A85"/>
    <w:rsid w:val="00923062"/>
    <w:rsid w:val="009248AC"/>
    <w:rsid w:val="00925997"/>
    <w:rsid w:val="0092623F"/>
    <w:rsid w:val="00926259"/>
    <w:rsid w:val="0092658D"/>
    <w:rsid w:val="00926ADF"/>
    <w:rsid w:val="00927593"/>
    <w:rsid w:val="00927671"/>
    <w:rsid w:val="00927E89"/>
    <w:rsid w:val="009309BE"/>
    <w:rsid w:val="00930FAA"/>
    <w:rsid w:val="00932767"/>
    <w:rsid w:val="00933200"/>
    <w:rsid w:val="00933591"/>
    <w:rsid w:val="00933904"/>
    <w:rsid w:val="0093439C"/>
    <w:rsid w:val="00934A8D"/>
    <w:rsid w:val="00934E6A"/>
    <w:rsid w:val="00936D6F"/>
    <w:rsid w:val="00936FC1"/>
    <w:rsid w:val="009371F6"/>
    <w:rsid w:val="00937394"/>
    <w:rsid w:val="0094039F"/>
    <w:rsid w:val="009415B3"/>
    <w:rsid w:val="009452AC"/>
    <w:rsid w:val="0094555A"/>
    <w:rsid w:val="009462D2"/>
    <w:rsid w:val="0094681A"/>
    <w:rsid w:val="009472F8"/>
    <w:rsid w:val="00947C57"/>
    <w:rsid w:val="00947CBC"/>
    <w:rsid w:val="009500AF"/>
    <w:rsid w:val="0095108D"/>
    <w:rsid w:val="00951536"/>
    <w:rsid w:val="00951944"/>
    <w:rsid w:val="00952C34"/>
    <w:rsid w:val="0095420C"/>
    <w:rsid w:val="009550E6"/>
    <w:rsid w:val="00955126"/>
    <w:rsid w:val="0095581F"/>
    <w:rsid w:val="00957EC2"/>
    <w:rsid w:val="00960C12"/>
    <w:rsid w:val="00960E48"/>
    <w:rsid w:val="009610EA"/>
    <w:rsid w:val="009616DB"/>
    <w:rsid w:val="00962ECB"/>
    <w:rsid w:val="00963B6B"/>
    <w:rsid w:val="009657B7"/>
    <w:rsid w:val="0096607B"/>
    <w:rsid w:val="0096612E"/>
    <w:rsid w:val="0096626B"/>
    <w:rsid w:val="00966B1C"/>
    <w:rsid w:val="00967254"/>
    <w:rsid w:val="00967FB3"/>
    <w:rsid w:val="00970486"/>
    <w:rsid w:val="00970CFA"/>
    <w:rsid w:val="00971645"/>
    <w:rsid w:val="0097260E"/>
    <w:rsid w:val="0097369F"/>
    <w:rsid w:val="00973E3F"/>
    <w:rsid w:val="00973E64"/>
    <w:rsid w:val="009745ED"/>
    <w:rsid w:val="009750B8"/>
    <w:rsid w:val="009763C4"/>
    <w:rsid w:val="0097752D"/>
    <w:rsid w:val="0098195B"/>
    <w:rsid w:val="00981C85"/>
    <w:rsid w:val="00981FD3"/>
    <w:rsid w:val="0098208E"/>
    <w:rsid w:val="00982B75"/>
    <w:rsid w:val="009840A6"/>
    <w:rsid w:val="009843BA"/>
    <w:rsid w:val="00984D4A"/>
    <w:rsid w:val="00984D4E"/>
    <w:rsid w:val="009850FF"/>
    <w:rsid w:val="009855C6"/>
    <w:rsid w:val="009857CC"/>
    <w:rsid w:val="0098582B"/>
    <w:rsid w:val="00987099"/>
    <w:rsid w:val="0098710E"/>
    <w:rsid w:val="00991516"/>
    <w:rsid w:val="00992628"/>
    <w:rsid w:val="00993EA7"/>
    <w:rsid w:val="00994AC2"/>
    <w:rsid w:val="00995493"/>
    <w:rsid w:val="009956FA"/>
    <w:rsid w:val="00996145"/>
    <w:rsid w:val="00996990"/>
    <w:rsid w:val="00996D81"/>
    <w:rsid w:val="009A0265"/>
    <w:rsid w:val="009A0957"/>
    <w:rsid w:val="009A0FA4"/>
    <w:rsid w:val="009A1381"/>
    <w:rsid w:val="009A1E4D"/>
    <w:rsid w:val="009A37D2"/>
    <w:rsid w:val="009A37D3"/>
    <w:rsid w:val="009A3E4E"/>
    <w:rsid w:val="009A428C"/>
    <w:rsid w:val="009A54AA"/>
    <w:rsid w:val="009A5F8D"/>
    <w:rsid w:val="009A6512"/>
    <w:rsid w:val="009A65EE"/>
    <w:rsid w:val="009A6F2B"/>
    <w:rsid w:val="009A7555"/>
    <w:rsid w:val="009A7890"/>
    <w:rsid w:val="009B04A1"/>
    <w:rsid w:val="009B0973"/>
    <w:rsid w:val="009B0E6C"/>
    <w:rsid w:val="009B0F6D"/>
    <w:rsid w:val="009B17B8"/>
    <w:rsid w:val="009B2085"/>
    <w:rsid w:val="009B2320"/>
    <w:rsid w:val="009B27A6"/>
    <w:rsid w:val="009B4D43"/>
    <w:rsid w:val="009B5533"/>
    <w:rsid w:val="009B5A90"/>
    <w:rsid w:val="009B6F67"/>
    <w:rsid w:val="009B7597"/>
    <w:rsid w:val="009B7D49"/>
    <w:rsid w:val="009C0AC8"/>
    <w:rsid w:val="009C1EFC"/>
    <w:rsid w:val="009C2234"/>
    <w:rsid w:val="009C2C10"/>
    <w:rsid w:val="009C3F0B"/>
    <w:rsid w:val="009C3F49"/>
    <w:rsid w:val="009C4536"/>
    <w:rsid w:val="009C4996"/>
    <w:rsid w:val="009C4F22"/>
    <w:rsid w:val="009C6678"/>
    <w:rsid w:val="009C6BCD"/>
    <w:rsid w:val="009D00B5"/>
    <w:rsid w:val="009D0DD9"/>
    <w:rsid w:val="009D3252"/>
    <w:rsid w:val="009D35B9"/>
    <w:rsid w:val="009D38B0"/>
    <w:rsid w:val="009D3E00"/>
    <w:rsid w:val="009D4AC4"/>
    <w:rsid w:val="009D52FD"/>
    <w:rsid w:val="009D6E9B"/>
    <w:rsid w:val="009D718D"/>
    <w:rsid w:val="009D7413"/>
    <w:rsid w:val="009E0637"/>
    <w:rsid w:val="009E0C96"/>
    <w:rsid w:val="009E1167"/>
    <w:rsid w:val="009E11D2"/>
    <w:rsid w:val="009E2449"/>
    <w:rsid w:val="009E24B2"/>
    <w:rsid w:val="009E3696"/>
    <w:rsid w:val="009E3834"/>
    <w:rsid w:val="009E5B96"/>
    <w:rsid w:val="009E5DA1"/>
    <w:rsid w:val="009E6B1D"/>
    <w:rsid w:val="009E6EF2"/>
    <w:rsid w:val="009F052A"/>
    <w:rsid w:val="009F09BD"/>
    <w:rsid w:val="009F1BA2"/>
    <w:rsid w:val="009F27C7"/>
    <w:rsid w:val="009F2A93"/>
    <w:rsid w:val="009F2C26"/>
    <w:rsid w:val="009F3EDB"/>
    <w:rsid w:val="009F3FFC"/>
    <w:rsid w:val="009F489A"/>
    <w:rsid w:val="009F5C65"/>
    <w:rsid w:val="009F68E6"/>
    <w:rsid w:val="009F6B27"/>
    <w:rsid w:val="009F76D0"/>
    <w:rsid w:val="009F78BF"/>
    <w:rsid w:val="009F7C29"/>
    <w:rsid w:val="00A0161D"/>
    <w:rsid w:val="00A024B7"/>
    <w:rsid w:val="00A03779"/>
    <w:rsid w:val="00A04406"/>
    <w:rsid w:val="00A04B4F"/>
    <w:rsid w:val="00A05958"/>
    <w:rsid w:val="00A05D5A"/>
    <w:rsid w:val="00A07861"/>
    <w:rsid w:val="00A07A54"/>
    <w:rsid w:val="00A10217"/>
    <w:rsid w:val="00A1028A"/>
    <w:rsid w:val="00A107DC"/>
    <w:rsid w:val="00A10B5A"/>
    <w:rsid w:val="00A1285F"/>
    <w:rsid w:val="00A130B7"/>
    <w:rsid w:val="00A1356F"/>
    <w:rsid w:val="00A13E5A"/>
    <w:rsid w:val="00A1468F"/>
    <w:rsid w:val="00A14BE9"/>
    <w:rsid w:val="00A14DDF"/>
    <w:rsid w:val="00A16506"/>
    <w:rsid w:val="00A16AF1"/>
    <w:rsid w:val="00A17DEA"/>
    <w:rsid w:val="00A20970"/>
    <w:rsid w:val="00A2294A"/>
    <w:rsid w:val="00A234F8"/>
    <w:rsid w:val="00A23722"/>
    <w:rsid w:val="00A24D04"/>
    <w:rsid w:val="00A2658C"/>
    <w:rsid w:val="00A26C3D"/>
    <w:rsid w:val="00A2757B"/>
    <w:rsid w:val="00A275A2"/>
    <w:rsid w:val="00A306D0"/>
    <w:rsid w:val="00A31444"/>
    <w:rsid w:val="00A31AE0"/>
    <w:rsid w:val="00A336EC"/>
    <w:rsid w:val="00A33730"/>
    <w:rsid w:val="00A33A71"/>
    <w:rsid w:val="00A35215"/>
    <w:rsid w:val="00A355A4"/>
    <w:rsid w:val="00A364EF"/>
    <w:rsid w:val="00A36F06"/>
    <w:rsid w:val="00A37B95"/>
    <w:rsid w:val="00A37BB0"/>
    <w:rsid w:val="00A40858"/>
    <w:rsid w:val="00A41D7B"/>
    <w:rsid w:val="00A42732"/>
    <w:rsid w:val="00A454A5"/>
    <w:rsid w:val="00A503B1"/>
    <w:rsid w:val="00A51F7B"/>
    <w:rsid w:val="00A5256F"/>
    <w:rsid w:val="00A5297C"/>
    <w:rsid w:val="00A52A3B"/>
    <w:rsid w:val="00A52F46"/>
    <w:rsid w:val="00A53529"/>
    <w:rsid w:val="00A53A6B"/>
    <w:rsid w:val="00A54D5E"/>
    <w:rsid w:val="00A56427"/>
    <w:rsid w:val="00A57BED"/>
    <w:rsid w:val="00A60E1C"/>
    <w:rsid w:val="00A615FE"/>
    <w:rsid w:val="00A61CF4"/>
    <w:rsid w:val="00A63BAD"/>
    <w:rsid w:val="00A64503"/>
    <w:rsid w:val="00A645B1"/>
    <w:rsid w:val="00A650FE"/>
    <w:rsid w:val="00A658CF"/>
    <w:rsid w:val="00A65A40"/>
    <w:rsid w:val="00A6624E"/>
    <w:rsid w:val="00A66517"/>
    <w:rsid w:val="00A67C0F"/>
    <w:rsid w:val="00A70908"/>
    <w:rsid w:val="00A7115F"/>
    <w:rsid w:val="00A717BA"/>
    <w:rsid w:val="00A7281A"/>
    <w:rsid w:val="00A72FA0"/>
    <w:rsid w:val="00A73118"/>
    <w:rsid w:val="00A733AF"/>
    <w:rsid w:val="00A734FF"/>
    <w:rsid w:val="00A73753"/>
    <w:rsid w:val="00A74E25"/>
    <w:rsid w:val="00A7514E"/>
    <w:rsid w:val="00A754F9"/>
    <w:rsid w:val="00A7680C"/>
    <w:rsid w:val="00A76B96"/>
    <w:rsid w:val="00A77F03"/>
    <w:rsid w:val="00A80599"/>
    <w:rsid w:val="00A80CA7"/>
    <w:rsid w:val="00A81F2B"/>
    <w:rsid w:val="00A82951"/>
    <w:rsid w:val="00A82F60"/>
    <w:rsid w:val="00A834F3"/>
    <w:rsid w:val="00A840E6"/>
    <w:rsid w:val="00A859AF"/>
    <w:rsid w:val="00A85B5D"/>
    <w:rsid w:val="00A85D61"/>
    <w:rsid w:val="00A872DC"/>
    <w:rsid w:val="00A908B7"/>
    <w:rsid w:val="00A910E4"/>
    <w:rsid w:val="00A9183D"/>
    <w:rsid w:val="00A91C61"/>
    <w:rsid w:val="00A91F7C"/>
    <w:rsid w:val="00A920A9"/>
    <w:rsid w:val="00A9403E"/>
    <w:rsid w:val="00A94A17"/>
    <w:rsid w:val="00A96409"/>
    <w:rsid w:val="00A965CC"/>
    <w:rsid w:val="00A965D2"/>
    <w:rsid w:val="00AA02AF"/>
    <w:rsid w:val="00AA0943"/>
    <w:rsid w:val="00AA1DEB"/>
    <w:rsid w:val="00AA2D06"/>
    <w:rsid w:val="00AA2F41"/>
    <w:rsid w:val="00AA3030"/>
    <w:rsid w:val="00AA3A7F"/>
    <w:rsid w:val="00AA3CF6"/>
    <w:rsid w:val="00AA7578"/>
    <w:rsid w:val="00AB17E1"/>
    <w:rsid w:val="00AB25C3"/>
    <w:rsid w:val="00AB2632"/>
    <w:rsid w:val="00AB3A6C"/>
    <w:rsid w:val="00AB5F1C"/>
    <w:rsid w:val="00AB737F"/>
    <w:rsid w:val="00AB77F7"/>
    <w:rsid w:val="00AC0F94"/>
    <w:rsid w:val="00AC1E4C"/>
    <w:rsid w:val="00AC22C9"/>
    <w:rsid w:val="00AC4002"/>
    <w:rsid w:val="00AC4DD4"/>
    <w:rsid w:val="00AC5DC6"/>
    <w:rsid w:val="00AC6947"/>
    <w:rsid w:val="00AD0276"/>
    <w:rsid w:val="00AD0A12"/>
    <w:rsid w:val="00AD1535"/>
    <w:rsid w:val="00AD22FF"/>
    <w:rsid w:val="00AD2498"/>
    <w:rsid w:val="00AD27CF"/>
    <w:rsid w:val="00AD3289"/>
    <w:rsid w:val="00AD4724"/>
    <w:rsid w:val="00AD4F21"/>
    <w:rsid w:val="00AD5207"/>
    <w:rsid w:val="00AD55AA"/>
    <w:rsid w:val="00AD61A5"/>
    <w:rsid w:val="00AD62B5"/>
    <w:rsid w:val="00AD6748"/>
    <w:rsid w:val="00AD6954"/>
    <w:rsid w:val="00AD7657"/>
    <w:rsid w:val="00AE094B"/>
    <w:rsid w:val="00AE0C46"/>
    <w:rsid w:val="00AE116C"/>
    <w:rsid w:val="00AE2F6B"/>
    <w:rsid w:val="00AE35C9"/>
    <w:rsid w:val="00AE3F4C"/>
    <w:rsid w:val="00AE4853"/>
    <w:rsid w:val="00AE4E38"/>
    <w:rsid w:val="00AE55CB"/>
    <w:rsid w:val="00AE58E8"/>
    <w:rsid w:val="00AE5ABE"/>
    <w:rsid w:val="00AE5E51"/>
    <w:rsid w:val="00AE701C"/>
    <w:rsid w:val="00AE70AE"/>
    <w:rsid w:val="00AF0F44"/>
    <w:rsid w:val="00AF11E7"/>
    <w:rsid w:val="00AF134D"/>
    <w:rsid w:val="00AF3079"/>
    <w:rsid w:val="00AF4CC3"/>
    <w:rsid w:val="00AF5BB4"/>
    <w:rsid w:val="00AF6734"/>
    <w:rsid w:val="00AF6DDF"/>
    <w:rsid w:val="00B0080E"/>
    <w:rsid w:val="00B01223"/>
    <w:rsid w:val="00B014FA"/>
    <w:rsid w:val="00B01547"/>
    <w:rsid w:val="00B02230"/>
    <w:rsid w:val="00B033C1"/>
    <w:rsid w:val="00B0378D"/>
    <w:rsid w:val="00B03E46"/>
    <w:rsid w:val="00B0475A"/>
    <w:rsid w:val="00B1015A"/>
    <w:rsid w:val="00B10A0C"/>
    <w:rsid w:val="00B10F3D"/>
    <w:rsid w:val="00B123BD"/>
    <w:rsid w:val="00B160EA"/>
    <w:rsid w:val="00B16207"/>
    <w:rsid w:val="00B1627F"/>
    <w:rsid w:val="00B16525"/>
    <w:rsid w:val="00B201D3"/>
    <w:rsid w:val="00B2070E"/>
    <w:rsid w:val="00B207D8"/>
    <w:rsid w:val="00B2086B"/>
    <w:rsid w:val="00B20B73"/>
    <w:rsid w:val="00B20C50"/>
    <w:rsid w:val="00B20F97"/>
    <w:rsid w:val="00B2172C"/>
    <w:rsid w:val="00B21E7D"/>
    <w:rsid w:val="00B232FF"/>
    <w:rsid w:val="00B240F1"/>
    <w:rsid w:val="00B246EF"/>
    <w:rsid w:val="00B24982"/>
    <w:rsid w:val="00B26084"/>
    <w:rsid w:val="00B26CEB"/>
    <w:rsid w:val="00B26E32"/>
    <w:rsid w:val="00B27E77"/>
    <w:rsid w:val="00B301F0"/>
    <w:rsid w:val="00B31ACF"/>
    <w:rsid w:val="00B31EFE"/>
    <w:rsid w:val="00B3350A"/>
    <w:rsid w:val="00B339B8"/>
    <w:rsid w:val="00B33D18"/>
    <w:rsid w:val="00B33EFB"/>
    <w:rsid w:val="00B34797"/>
    <w:rsid w:val="00B34C74"/>
    <w:rsid w:val="00B3579B"/>
    <w:rsid w:val="00B35C9A"/>
    <w:rsid w:val="00B360DC"/>
    <w:rsid w:val="00B36F27"/>
    <w:rsid w:val="00B37738"/>
    <w:rsid w:val="00B37AC9"/>
    <w:rsid w:val="00B4016A"/>
    <w:rsid w:val="00B41E0A"/>
    <w:rsid w:val="00B422E9"/>
    <w:rsid w:val="00B42336"/>
    <w:rsid w:val="00B423E9"/>
    <w:rsid w:val="00B42D0D"/>
    <w:rsid w:val="00B43264"/>
    <w:rsid w:val="00B432C0"/>
    <w:rsid w:val="00B43C81"/>
    <w:rsid w:val="00B43F4B"/>
    <w:rsid w:val="00B4456E"/>
    <w:rsid w:val="00B446EE"/>
    <w:rsid w:val="00B44C87"/>
    <w:rsid w:val="00B45FDB"/>
    <w:rsid w:val="00B4642B"/>
    <w:rsid w:val="00B47631"/>
    <w:rsid w:val="00B4787F"/>
    <w:rsid w:val="00B47D2B"/>
    <w:rsid w:val="00B500C4"/>
    <w:rsid w:val="00B50ED2"/>
    <w:rsid w:val="00B52490"/>
    <w:rsid w:val="00B5411E"/>
    <w:rsid w:val="00B55A82"/>
    <w:rsid w:val="00B563AE"/>
    <w:rsid w:val="00B573F0"/>
    <w:rsid w:val="00B574E2"/>
    <w:rsid w:val="00B5752E"/>
    <w:rsid w:val="00B57CD6"/>
    <w:rsid w:val="00B57E32"/>
    <w:rsid w:val="00B602E7"/>
    <w:rsid w:val="00B609B6"/>
    <w:rsid w:val="00B6129D"/>
    <w:rsid w:val="00B61C47"/>
    <w:rsid w:val="00B61CAA"/>
    <w:rsid w:val="00B6255E"/>
    <w:rsid w:val="00B63BB3"/>
    <w:rsid w:val="00B63D7F"/>
    <w:rsid w:val="00B64930"/>
    <w:rsid w:val="00B64BA3"/>
    <w:rsid w:val="00B6516D"/>
    <w:rsid w:val="00B657D7"/>
    <w:rsid w:val="00B65AA7"/>
    <w:rsid w:val="00B6697A"/>
    <w:rsid w:val="00B70DF9"/>
    <w:rsid w:val="00B70ECD"/>
    <w:rsid w:val="00B724A7"/>
    <w:rsid w:val="00B72504"/>
    <w:rsid w:val="00B7262D"/>
    <w:rsid w:val="00B72B02"/>
    <w:rsid w:val="00B73339"/>
    <w:rsid w:val="00B73DB7"/>
    <w:rsid w:val="00B73F20"/>
    <w:rsid w:val="00B751AC"/>
    <w:rsid w:val="00B75974"/>
    <w:rsid w:val="00B75F27"/>
    <w:rsid w:val="00B770DE"/>
    <w:rsid w:val="00B77388"/>
    <w:rsid w:val="00B80757"/>
    <w:rsid w:val="00B80E88"/>
    <w:rsid w:val="00B81031"/>
    <w:rsid w:val="00B8278B"/>
    <w:rsid w:val="00B829D9"/>
    <w:rsid w:val="00B82B16"/>
    <w:rsid w:val="00B83A20"/>
    <w:rsid w:val="00B845E3"/>
    <w:rsid w:val="00B85951"/>
    <w:rsid w:val="00B86B36"/>
    <w:rsid w:val="00B916EF"/>
    <w:rsid w:val="00B9292A"/>
    <w:rsid w:val="00B93C71"/>
    <w:rsid w:val="00B9516B"/>
    <w:rsid w:val="00B959E6"/>
    <w:rsid w:val="00B959F7"/>
    <w:rsid w:val="00B95AEB"/>
    <w:rsid w:val="00B95CF1"/>
    <w:rsid w:val="00B9760E"/>
    <w:rsid w:val="00B97C45"/>
    <w:rsid w:val="00BA15E4"/>
    <w:rsid w:val="00BA1620"/>
    <w:rsid w:val="00BA3181"/>
    <w:rsid w:val="00BA3CE1"/>
    <w:rsid w:val="00BA3FC2"/>
    <w:rsid w:val="00BA44E2"/>
    <w:rsid w:val="00BA4697"/>
    <w:rsid w:val="00BA5A20"/>
    <w:rsid w:val="00BA72E4"/>
    <w:rsid w:val="00BA77E1"/>
    <w:rsid w:val="00BA7AB3"/>
    <w:rsid w:val="00BB09E1"/>
    <w:rsid w:val="00BB0C33"/>
    <w:rsid w:val="00BB1D28"/>
    <w:rsid w:val="00BB2378"/>
    <w:rsid w:val="00BB2FC2"/>
    <w:rsid w:val="00BB3717"/>
    <w:rsid w:val="00BB3C62"/>
    <w:rsid w:val="00BB41CE"/>
    <w:rsid w:val="00BB423F"/>
    <w:rsid w:val="00BB4444"/>
    <w:rsid w:val="00BB4584"/>
    <w:rsid w:val="00BB48FB"/>
    <w:rsid w:val="00BB4EEE"/>
    <w:rsid w:val="00BB5182"/>
    <w:rsid w:val="00BB51E6"/>
    <w:rsid w:val="00BB6E68"/>
    <w:rsid w:val="00BB7CC6"/>
    <w:rsid w:val="00BC0039"/>
    <w:rsid w:val="00BC0A11"/>
    <w:rsid w:val="00BC0F96"/>
    <w:rsid w:val="00BC220B"/>
    <w:rsid w:val="00BC323C"/>
    <w:rsid w:val="00BC3E30"/>
    <w:rsid w:val="00BC4BBE"/>
    <w:rsid w:val="00BC4BD8"/>
    <w:rsid w:val="00BC5EF6"/>
    <w:rsid w:val="00BC616C"/>
    <w:rsid w:val="00BC674C"/>
    <w:rsid w:val="00BC6E81"/>
    <w:rsid w:val="00BC7147"/>
    <w:rsid w:val="00BC7AD8"/>
    <w:rsid w:val="00BD0473"/>
    <w:rsid w:val="00BD0648"/>
    <w:rsid w:val="00BD0881"/>
    <w:rsid w:val="00BD2B2F"/>
    <w:rsid w:val="00BD3C6C"/>
    <w:rsid w:val="00BD4849"/>
    <w:rsid w:val="00BD495A"/>
    <w:rsid w:val="00BD56D8"/>
    <w:rsid w:val="00BD57E1"/>
    <w:rsid w:val="00BD5DF5"/>
    <w:rsid w:val="00BD7029"/>
    <w:rsid w:val="00BD7245"/>
    <w:rsid w:val="00BD7337"/>
    <w:rsid w:val="00BD73A6"/>
    <w:rsid w:val="00BD77C8"/>
    <w:rsid w:val="00BE0411"/>
    <w:rsid w:val="00BE1705"/>
    <w:rsid w:val="00BE21DD"/>
    <w:rsid w:val="00BE34A2"/>
    <w:rsid w:val="00BE4329"/>
    <w:rsid w:val="00BE4B40"/>
    <w:rsid w:val="00BE5A35"/>
    <w:rsid w:val="00BE5C3B"/>
    <w:rsid w:val="00BE5E5E"/>
    <w:rsid w:val="00BE640E"/>
    <w:rsid w:val="00BE67A8"/>
    <w:rsid w:val="00BE7127"/>
    <w:rsid w:val="00BE777F"/>
    <w:rsid w:val="00BF0648"/>
    <w:rsid w:val="00BF0C39"/>
    <w:rsid w:val="00BF1037"/>
    <w:rsid w:val="00BF103B"/>
    <w:rsid w:val="00BF1D1B"/>
    <w:rsid w:val="00BF2011"/>
    <w:rsid w:val="00BF2F5D"/>
    <w:rsid w:val="00BF3885"/>
    <w:rsid w:val="00BF48A1"/>
    <w:rsid w:val="00BF4A3F"/>
    <w:rsid w:val="00BF4BEE"/>
    <w:rsid w:val="00BF55C6"/>
    <w:rsid w:val="00BF590E"/>
    <w:rsid w:val="00BF5B73"/>
    <w:rsid w:val="00BF5DCE"/>
    <w:rsid w:val="00BF6CCF"/>
    <w:rsid w:val="00BF71B9"/>
    <w:rsid w:val="00C00219"/>
    <w:rsid w:val="00C0111C"/>
    <w:rsid w:val="00C02350"/>
    <w:rsid w:val="00C03A9D"/>
    <w:rsid w:val="00C03CCD"/>
    <w:rsid w:val="00C04647"/>
    <w:rsid w:val="00C05509"/>
    <w:rsid w:val="00C06922"/>
    <w:rsid w:val="00C07A93"/>
    <w:rsid w:val="00C07D1F"/>
    <w:rsid w:val="00C10089"/>
    <w:rsid w:val="00C1300F"/>
    <w:rsid w:val="00C1344C"/>
    <w:rsid w:val="00C13532"/>
    <w:rsid w:val="00C13D4E"/>
    <w:rsid w:val="00C14C28"/>
    <w:rsid w:val="00C14E1E"/>
    <w:rsid w:val="00C15208"/>
    <w:rsid w:val="00C15B24"/>
    <w:rsid w:val="00C15B81"/>
    <w:rsid w:val="00C15CAD"/>
    <w:rsid w:val="00C15EA0"/>
    <w:rsid w:val="00C17B11"/>
    <w:rsid w:val="00C2000D"/>
    <w:rsid w:val="00C2019C"/>
    <w:rsid w:val="00C20DAA"/>
    <w:rsid w:val="00C20E0F"/>
    <w:rsid w:val="00C2106A"/>
    <w:rsid w:val="00C22E1C"/>
    <w:rsid w:val="00C26C56"/>
    <w:rsid w:val="00C27F87"/>
    <w:rsid w:val="00C30C21"/>
    <w:rsid w:val="00C319D5"/>
    <w:rsid w:val="00C31A67"/>
    <w:rsid w:val="00C338E9"/>
    <w:rsid w:val="00C3442E"/>
    <w:rsid w:val="00C35277"/>
    <w:rsid w:val="00C354EF"/>
    <w:rsid w:val="00C3586E"/>
    <w:rsid w:val="00C3799E"/>
    <w:rsid w:val="00C406CD"/>
    <w:rsid w:val="00C413AA"/>
    <w:rsid w:val="00C417AD"/>
    <w:rsid w:val="00C42CB4"/>
    <w:rsid w:val="00C43810"/>
    <w:rsid w:val="00C43D78"/>
    <w:rsid w:val="00C440B7"/>
    <w:rsid w:val="00C447B6"/>
    <w:rsid w:val="00C44A43"/>
    <w:rsid w:val="00C44EEC"/>
    <w:rsid w:val="00C45837"/>
    <w:rsid w:val="00C45A99"/>
    <w:rsid w:val="00C466F6"/>
    <w:rsid w:val="00C469FC"/>
    <w:rsid w:val="00C46E5D"/>
    <w:rsid w:val="00C4751F"/>
    <w:rsid w:val="00C513F9"/>
    <w:rsid w:val="00C51978"/>
    <w:rsid w:val="00C52AEA"/>
    <w:rsid w:val="00C53244"/>
    <w:rsid w:val="00C532BC"/>
    <w:rsid w:val="00C5338A"/>
    <w:rsid w:val="00C53A15"/>
    <w:rsid w:val="00C54071"/>
    <w:rsid w:val="00C550BB"/>
    <w:rsid w:val="00C55660"/>
    <w:rsid w:val="00C566BA"/>
    <w:rsid w:val="00C574D2"/>
    <w:rsid w:val="00C57D6B"/>
    <w:rsid w:val="00C57E87"/>
    <w:rsid w:val="00C622A9"/>
    <w:rsid w:val="00C62E44"/>
    <w:rsid w:val="00C638BB"/>
    <w:rsid w:val="00C64E81"/>
    <w:rsid w:val="00C65599"/>
    <w:rsid w:val="00C67304"/>
    <w:rsid w:val="00C70791"/>
    <w:rsid w:val="00C715CD"/>
    <w:rsid w:val="00C71B91"/>
    <w:rsid w:val="00C72874"/>
    <w:rsid w:val="00C74815"/>
    <w:rsid w:val="00C750B4"/>
    <w:rsid w:val="00C7587C"/>
    <w:rsid w:val="00C759AD"/>
    <w:rsid w:val="00C76F4D"/>
    <w:rsid w:val="00C7740D"/>
    <w:rsid w:val="00C77865"/>
    <w:rsid w:val="00C77B04"/>
    <w:rsid w:val="00C81196"/>
    <w:rsid w:val="00C81E5F"/>
    <w:rsid w:val="00C82899"/>
    <w:rsid w:val="00C841E6"/>
    <w:rsid w:val="00C854D4"/>
    <w:rsid w:val="00C85F66"/>
    <w:rsid w:val="00C86164"/>
    <w:rsid w:val="00C873EB"/>
    <w:rsid w:val="00C87CC9"/>
    <w:rsid w:val="00C906EA"/>
    <w:rsid w:val="00C90825"/>
    <w:rsid w:val="00C922B5"/>
    <w:rsid w:val="00C93801"/>
    <w:rsid w:val="00C9475F"/>
    <w:rsid w:val="00C9494F"/>
    <w:rsid w:val="00C94B01"/>
    <w:rsid w:val="00C94F6A"/>
    <w:rsid w:val="00C95457"/>
    <w:rsid w:val="00CA0A6E"/>
    <w:rsid w:val="00CA0D5B"/>
    <w:rsid w:val="00CA2773"/>
    <w:rsid w:val="00CA4156"/>
    <w:rsid w:val="00CA462F"/>
    <w:rsid w:val="00CA4CA3"/>
    <w:rsid w:val="00CA79B5"/>
    <w:rsid w:val="00CA7AC6"/>
    <w:rsid w:val="00CB0838"/>
    <w:rsid w:val="00CB0AEE"/>
    <w:rsid w:val="00CB162F"/>
    <w:rsid w:val="00CB174B"/>
    <w:rsid w:val="00CB1A64"/>
    <w:rsid w:val="00CB1E76"/>
    <w:rsid w:val="00CB308A"/>
    <w:rsid w:val="00CB337A"/>
    <w:rsid w:val="00CB3A56"/>
    <w:rsid w:val="00CB51A4"/>
    <w:rsid w:val="00CB6A55"/>
    <w:rsid w:val="00CB769E"/>
    <w:rsid w:val="00CC050D"/>
    <w:rsid w:val="00CC0DA7"/>
    <w:rsid w:val="00CC11BE"/>
    <w:rsid w:val="00CC25E3"/>
    <w:rsid w:val="00CC2B93"/>
    <w:rsid w:val="00CC2D1E"/>
    <w:rsid w:val="00CC2EE6"/>
    <w:rsid w:val="00CC3427"/>
    <w:rsid w:val="00CC39BF"/>
    <w:rsid w:val="00CC44E8"/>
    <w:rsid w:val="00CC4EE2"/>
    <w:rsid w:val="00CC5D56"/>
    <w:rsid w:val="00CC60A7"/>
    <w:rsid w:val="00CC65BA"/>
    <w:rsid w:val="00CC65E9"/>
    <w:rsid w:val="00CC68A3"/>
    <w:rsid w:val="00CC6C69"/>
    <w:rsid w:val="00CC709F"/>
    <w:rsid w:val="00CC7670"/>
    <w:rsid w:val="00CC79A6"/>
    <w:rsid w:val="00CC7EEA"/>
    <w:rsid w:val="00CD0BCC"/>
    <w:rsid w:val="00CD0F01"/>
    <w:rsid w:val="00CD1039"/>
    <w:rsid w:val="00CD1566"/>
    <w:rsid w:val="00CD21C6"/>
    <w:rsid w:val="00CD24EA"/>
    <w:rsid w:val="00CD2871"/>
    <w:rsid w:val="00CD2D2B"/>
    <w:rsid w:val="00CD307F"/>
    <w:rsid w:val="00CD527B"/>
    <w:rsid w:val="00CD595E"/>
    <w:rsid w:val="00CD6C62"/>
    <w:rsid w:val="00CD6CE9"/>
    <w:rsid w:val="00CD7D75"/>
    <w:rsid w:val="00CE0658"/>
    <w:rsid w:val="00CE0DE1"/>
    <w:rsid w:val="00CE17B3"/>
    <w:rsid w:val="00CE2AD8"/>
    <w:rsid w:val="00CE2E05"/>
    <w:rsid w:val="00CE335A"/>
    <w:rsid w:val="00CE3426"/>
    <w:rsid w:val="00CE3C5C"/>
    <w:rsid w:val="00CE464C"/>
    <w:rsid w:val="00CE474D"/>
    <w:rsid w:val="00CE6A89"/>
    <w:rsid w:val="00CF012B"/>
    <w:rsid w:val="00CF0BA8"/>
    <w:rsid w:val="00CF0C0A"/>
    <w:rsid w:val="00CF23D7"/>
    <w:rsid w:val="00CF29CC"/>
    <w:rsid w:val="00CF2CF8"/>
    <w:rsid w:val="00CF36DB"/>
    <w:rsid w:val="00CF39A6"/>
    <w:rsid w:val="00CF48B6"/>
    <w:rsid w:val="00CF5583"/>
    <w:rsid w:val="00CF6A5E"/>
    <w:rsid w:val="00CF6B31"/>
    <w:rsid w:val="00CF75E4"/>
    <w:rsid w:val="00D00B87"/>
    <w:rsid w:val="00D00BA5"/>
    <w:rsid w:val="00D01280"/>
    <w:rsid w:val="00D01380"/>
    <w:rsid w:val="00D01F7E"/>
    <w:rsid w:val="00D0216E"/>
    <w:rsid w:val="00D025B7"/>
    <w:rsid w:val="00D02A9B"/>
    <w:rsid w:val="00D032FF"/>
    <w:rsid w:val="00D03363"/>
    <w:rsid w:val="00D0362F"/>
    <w:rsid w:val="00D03754"/>
    <w:rsid w:val="00D057E4"/>
    <w:rsid w:val="00D05BEF"/>
    <w:rsid w:val="00D06E0B"/>
    <w:rsid w:val="00D071CE"/>
    <w:rsid w:val="00D111AE"/>
    <w:rsid w:val="00D117E1"/>
    <w:rsid w:val="00D11868"/>
    <w:rsid w:val="00D12EAF"/>
    <w:rsid w:val="00D13D60"/>
    <w:rsid w:val="00D143F8"/>
    <w:rsid w:val="00D14BB6"/>
    <w:rsid w:val="00D14DAE"/>
    <w:rsid w:val="00D14F9E"/>
    <w:rsid w:val="00D1588E"/>
    <w:rsid w:val="00D16758"/>
    <w:rsid w:val="00D20057"/>
    <w:rsid w:val="00D204CC"/>
    <w:rsid w:val="00D22CCE"/>
    <w:rsid w:val="00D23D57"/>
    <w:rsid w:val="00D242B5"/>
    <w:rsid w:val="00D25212"/>
    <w:rsid w:val="00D26EA6"/>
    <w:rsid w:val="00D2704F"/>
    <w:rsid w:val="00D27DD6"/>
    <w:rsid w:val="00D3066E"/>
    <w:rsid w:val="00D3077C"/>
    <w:rsid w:val="00D3104C"/>
    <w:rsid w:val="00D31F96"/>
    <w:rsid w:val="00D32B0E"/>
    <w:rsid w:val="00D33955"/>
    <w:rsid w:val="00D33E9D"/>
    <w:rsid w:val="00D35169"/>
    <w:rsid w:val="00D3555C"/>
    <w:rsid w:val="00D3651D"/>
    <w:rsid w:val="00D404A6"/>
    <w:rsid w:val="00D42C18"/>
    <w:rsid w:val="00D43F6D"/>
    <w:rsid w:val="00D44571"/>
    <w:rsid w:val="00D44A7C"/>
    <w:rsid w:val="00D46420"/>
    <w:rsid w:val="00D4753C"/>
    <w:rsid w:val="00D47F0D"/>
    <w:rsid w:val="00D502FE"/>
    <w:rsid w:val="00D50603"/>
    <w:rsid w:val="00D50C57"/>
    <w:rsid w:val="00D541D3"/>
    <w:rsid w:val="00D54420"/>
    <w:rsid w:val="00D547CF"/>
    <w:rsid w:val="00D54874"/>
    <w:rsid w:val="00D55421"/>
    <w:rsid w:val="00D55434"/>
    <w:rsid w:val="00D5555E"/>
    <w:rsid w:val="00D55A0F"/>
    <w:rsid w:val="00D566D4"/>
    <w:rsid w:val="00D569AE"/>
    <w:rsid w:val="00D56E81"/>
    <w:rsid w:val="00D57CB1"/>
    <w:rsid w:val="00D6029B"/>
    <w:rsid w:val="00D61049"/>
    <w:rsid w:val="00D61105"/>
    <w:rsid w:val="00D61533"/>
    <w:rsid w:val="00D63721"/>
    <w:rsid w:val="00D637AE"/>
    <w:rsid w:val="00D6486C"/>
    <w:rsid w:val="00D649BF"/>
    <w:rsid w:val="00D6561A"/>
    <w:rsid w:val="00D657AF"/>
    <w:rsid w:val="00D65BCD"/>
    <w:rsid w:val="00D6605C"/>
    <w:rsid w:val="00D70255"/>
    <w:rsid w:val="00D70EB6"/>
    <w:rsid w:val="00D72CFF"/>
    <w:rsid w:val="00D73BD7"/>
    <w:rsid w:val="00D73CB0"/>
    <w:rsid w:val="00D74BA8"/>
    <w:rsid w:val="00D750C0"/>
    <w:rsid w:val="00D754A8"/>
    <w:rsid w:val="00D75CA9"/>
    <w:rsid w:val="00D75E21"/>
    <w:rsid w:val="00D8072E"/>
    <w:rsid w:val="00D8122E"/>
    <w:rsid w:val="00D82AD2"/>
    <w:rsid w:val="00D83324"/>
    <w:rsid w:val="00D8340C"/>
    <w:rsid w:val="00D8397F"/>
    <w:rsid w:val="00D84C72"/>
    <w:rsid w:val="00D85A58"/>
    <w:rsid w:val="00D87044"/>
    <w:rsid w:val="00D87902"/>
    <w:rsid w:val="00D9033E"/>
    <w:rsid w:val="00D90693"/>
    <w:rsid w:val="00D912B6"/>
    <w:rsid w:val="00D91AB9"/>
    <w:rsid w:val="00D91C68"/>
    <w:rsid w:val="00D92197"/>
    <w:rsid w:val="00D92278"/>
    <w:rsid w:val="00D9329D"/>
    <w:rsid w:val="00D942AF"/>
    <w:rsid w:val="00D95945"/>
    <w:rsid w:val="00D95BAB"/>
    <w:rsid w:val="00D9660F"/>
    <w:rsid w:val="00D96640"/>
    <w:rsid w:val="00D96A50"/>
    <w:rsid w:val="00D96B27"/>
    <w:rsid w:val="00DA04D9"/>
    <w:rsid w:val="00DA09C3"/>
    <w:rsid w:val="00DA110F"/>
    <w:rsid w:val="00DA133A"/>
    <w:rsid w:val="00DA1A2C"/>
    <w:rsid w:val="00DA29D2"/>
    <w:rsid w:val="00DA2C24"/>
    <w:rsid w:val="00DA2E48"/>
    <w:rsid w:val="00DA3133"/>
    <w:rsid w:val="00DA32D1"/>
    <w:rsid w:val="00DA340F"/>
    <w:rsid w:val="00DA3700"/>
    <w:rsid w:val="00DA3E60"/>
    <w:rsid w:val="00DA3FDD"/>
    <w:rsid w:val="00DA442A"/>
    <w:rsid w:val="00DA47F7"/>
    <w:rsid w:val="00DA4D46"/>
    <w:rsid w:val="00DA58FB"/>
    <w:rsid w:val="00DA6C49"/>
    <w:rsid w:val="00DB034B"/>
    <w:rsid w:val="00DB0502"/>
    <w:rsid w:val="00DB0F67"/>
    <w:rsid w:val="00DB1156"/>
    <w:rsid w:val="00DB23A9"/>
    <w:rsid w:val="00DB25E2"/>
    <w:rsid w:val="00DB331A"/>
    <w:rsid w:val="00DB3A98"/>
    <w:rsid w:val="00DB46F9"/>
    <w:rsid w:val="00DB5208"/>
    <w:rsid w:val="00DB588B"/>
    <w:rsid w:val="00DB5D34"/>
    <w:rsid w:val="00DB5FBB"/>
    <w:rsid w:val="00DB6E8D"/>
    <w:rsid w:val="00DB7121"/>
    <w:rsid w:val="00DC0F1B"/>
    <w:rsid w:val="00DC19E4"/>
    <w:rsid w:val="00DC1AA0"/>
    <w:rsid w:val="00DC1FB4"/>
    <w:rsid w:val="00DC24B7"/>
    <w:rsid w:val="00DC38C8"/>
    <w:rsid w:val="00DC3BD8"/>
    <w:rsid w:val="00DC4D9D"/>
    <w:rsid w:val="00DC4F96"/>
    <w:rsid w:val="00DC596D"/>
    <w:rsid w:val="00DC674C"/>
    <w:rsid w:val="00DC6760"/>
    <w:rsid w:val="00DC70A9"/>
    <w:rsid w:val="00DD011F"/>
    <w:rsid w:val="00DD05AB"/>
    <w:rsid w:val="00DD0ADA"/>
    <w:rsid w:val="00DD0EEF"/>
    <w:rsid w:val="00DD1749"/>
    <w:rsid w:val="00DD2188"/>
    <w:rsid w:val="00DD227A"/>
    <w:rsid w:val="00DD24E2"/>
    <w:rsid w:val="00DD2AF0"/>
    <w:rsid w:val="00DD2FCE"/>
    <w:rsid w:val="00DD30CA"/>
    <w:rsid w:val="00DD3B5D"/>
    <w:rsid w:val="00DD3C5B"/>
    <w:rsid w:val="00DD4A94"/>
    <w:rsid w:val="00DD5ABC"/>
    <w:rsid w:val="00DD5E67"/>
    <w:rsid w:val="00DD6483"/>
    <w:rsid w:val="00DD67E7"/>
    <w:rsid w:val="00DD6B1B"/>
    <w:rsid w:val="00DD6BDF"/>
    <w:rsid w:val="00DD725F"/>
    <w:rsid w:val="00DD7770"/>
    <w:rsid w:val="00DD7B3B"/>
    <w:rsid w:val="00DE14AC"/>
    <w:rsid w:val="00DE29B1"/>
    <w:rsid w:val="00DE3991"/>
    <w:rsid w:val="00DE39C2"/>
    <w:rsid w:val="00DE41AE"/>
    <w:rsid w:val="00DE5260"/>
    <w:rsid w:val="00DE5747"/>
    <w:rsid w:val="00DE588B"/>
    <w:rsid w:val="00DE6A5A"/>
    <w:rsid w:val="00DE71DC"/>
    <w:rsid w:val="00DE7263"/>
    <w:rsid w:val="00DE78F0"/>
    <w:rsid w:val="00DE7CF1"/>
    <w:rsid w:val="00DF1AA0"/>
    <w:rsid w:val="00DF2467"/>
    <w:rsid w:val="00DF29E8"/>
    <w:rsid w:val="00DF33D0"/>
    <w:rsid w:val="00DF36C0"/>
    <w:rsid w:val="00DF373A"/>
    <w:rsid w:val="00DF3742"/>
    <w:rsid w:val="00DF385D"/>
    <w:rsid w:val="00DF44C6"/>
    <w:rsid w:val="00DF4C5C"/>
    <w:rsid w:val="00DF4DF6"/>
    <w:rsid w:val="00DF5369"/>
    <w:rsid w:val="00DF65EE"/>
    <w:rsid w:val="00DF6849"/>
    <w:rsid w:val="00DF69A4"/>
    <w:rsid w:val="00DF6CE5"/>
    <w:rsid w:val="00DF6E21"/>
    <w:rsid w:val="00DF75D7"/>
    <w:rsid w:val="00E002E7"/>
    <w:rsid w:val="00E02052"/>
    <w:rsid w:val="00E02D95"/>
    <w:rsid w:val="00E03757"/>
    <w:rsid w:val="00E038A2"/>
    <w:rsid w:val="00E04F79"/>
    <w:rsid w:val="00E06826"/>
    <w:rsid w:val="00E121DB"/>
    <w:rsid w:val="00E126E8"/>
    <w:rsid w:val="00E13E36"/>
    <w:rsid w:val="00E13EBC"/>
    <w:rsid w:val="00E1457A"/>
    <w:rsid w:val="00E15691"/>
    <w:rsid w:val="00E15A9B"/>
    <w:rsid w:val="00E15E59"/>
    <w:rsid w:val="00E16737"/>
    <w:rsid w:val="00E1689C"/>
    <w:rsid w:val="00E16D30"/>
    <w:rsid w:val="00E16F70"/>
    <w:rsid w:val="00E175DB"/>
    <w:rsid w:val="00E17CB1"/>
    <w:rsid w:val="00E17CE1"/>
    <w:rsid w:val="00E17DDD"/>
    <w:rsid w:val="00E202D2"/>
    <w:rsid w:val="00E2073A"/>
    <w:rsid w:val="00E20DB6"/>
    <w:rsid w:val="00E217DE"/>
    <w:rsid w:val="00E218B3"/>
    <w:rsid w:val="00E21AD3"/>
    <w:rsid w:val="00E2246E"/>
    <w:rsid w:val="00E24029"/>
    <w:rsid w:val="00E242C2"/>
    <w:rsid w:val="00E265DA"/>
    <w:rsid w:val="00E2664B"/>
    <w:rsid w:val="00E267D1"/>
    <w:rsid w:val="00E270D8"/>
    <w:rsid w:val="00E30B0F"/>
    <w:rsid w:val="00E32709"/>
    <w:rsid w:val="00E32EA4"/>
    <w:rsid w:val="00E332A4"/>
    <w:rsid w:val="00E34637"/>
    <w:rsid w:val="00E36C9C"/>
    <w:rsid w:val="00E37891"/>
    <w:rsid w:val="00E379C8"/>
    <w:rsid w:val="00E37F89"/>
    <w:rsid w:val="00E406EB"/>
    <w:rsid w:val="00E4161E"/>
    <w:rsid w:val="00E420FD"/>
    <w:rsid w:val="00E424E8"/>
    <w:rsid w:val="00E45414"/>
    <w:rsid w:val="00E472CB"/>
    <w:rsid w:val="00E477D8"/>
    <w:rsid w:val="00E47C6F"/>
    <w:rsid w:val="00E47EB7"/>
    <w:rsid w:val="00E50660"/>
    <w:rsid w:val="00E507C7"/>
    <w:rsid w:val="00E50DF9"/>
    <w:rsid w:val="00E5134C"/>
    <w:rsid w:val="00E51ADA"/>
    <w:rsid w:val="00E520C1"/>
    <w:rsid w:val="00E52EC6"/>
    <w:rsid w:val="00E53481"/>
    <w:rsid w:val="00E53FCA"/>
    <w:rsid w:val="00E54878"/>
    <w:rsid w:val="00E54C4A"/>
    <w:rsid w:val="00E54C5C"/>
    <w:rsid w:val="00E55759"/>
    <w:rsid w:val="00E5678C"/>
    <w:rsid w:val="00E57BB3"/>
    <w:rsid w:val="00E610FA"/>
    <w:rsid w:val="00E61A62"/>
    <w:rsid w:val="00E62025"/>
    <w:rsid w:val="00E62ABE"/>
    <w:rsid w:val="00E62CFB"/>
    <w:rsid w:val="00E62D80"/>
    <w:rsid w:val="00E63259"/>
    <w:rsid w:val="00E65BF0"/>
    <w:rsid w:val="00E65BF4"/>
    <w:rsid w:val="00E67C72"/>
    <w:rsid w:val="00E708AA"/>
    <w:rsid w:val="00E71224"/>
    <w:rsid w:val="00E71EF9"/>
    <w:rsid w:val="00E73003"/>
    <w:rsid w:val="00E73645"/>
    <w:rsid w:val="00E73BF1"/>
    <w:rsid w:val="00E7433F"/>
    <w:rsid w:val="00E750AA"/>
    <w:rsid w:val="00E765E4"/>
    <w:rsid w:val="00E7708B"/>
    <w:rsid w:val="00E80E9C"/>
    <w:rsid w:val="00E8118F"/>
    <w:rsid w:val="00E817DA"/>
    <w:rsid w:val="00E81D0B"/>
    <w:rsid w:val="00E81DCD"/>
    <w:rsid w:val="00E823E6"/>
    <w:rsid w:val="00E8299E"/>
    <w:rsid w:val="00E834AA"/>
    <w:rsid w:val="00E84C60"/>
    <w:rsid w:val="00E84E86"/>
    <w:rsid w:val="00E85041"/>
    <w:rsid w:val="00E8561F"/>
    <w:rsid w:val="00E85D37"/>
    <w:rsid w:val="00E87550"/>
    <w:rsid w:val="00E90684"/>
    <w:rsid w:val="00E9071C"/>
    <w:rsid w:val="00E918A7"/>
    <w:rsid w:val="00E92325"/>
    <w:rsid w:val="00E933E8"/>
    <w:rsid w:val="00E94225"/>
    <w:rsid w:val="00E94292"/>
    <w:rsid w:val="00E955F6"/>
    <w:rsid w:val="00E95E6C"/>
    <w:rsid w:val="00E960F2"/>
    <w:rsid w:val="00E9648F"/>
    <w:rsid w:val="00E9689B"/>
    <w:rsid w:val="00E96901"/>
    <w:rsid w:val="00E96C6C"/>
    <w:rsid w:val="00E97425"/>
    <w:rsid w:val="00EA006B"/>
    <w:rsid w:val="00EA05A9"/>
    <w:rsid w:val="00EA0876"/>
    <w:rsid w:val="00EA10BD"/>
    <w:rsid w:val="00EA1756"/>
    <w:rsid w:val="00EA1F5B"/>
    <w:rsid w:val="00EA3EEB"/>
    <w:rsid w:val="00EA41C7"/>
    <w:rsid w:val="00EA48B3"/>
    <w:rsid w:val="00EA4D4A"/>
    <w:rsid w:val="00EA4F41"/>
    <w:rsid w:val="00EA53F4"/>
    <w:rsid w:val="00EA55AC"/>
    <w:rsid w:val="00EA566F"/>
    <w:rsid w:val="00EA65B1"/>
    <w:rsid w:val="00EA676C"/>
    <w:rsid w:val="00EA7524"/>
    <w:rsid w:val="00EA79FD"/>
    <w:rsid w:val="00EB0AA9"/>
    <w:rsid w:val="00EB0E44"/>
    <w:rsid w:val="00EB2BB9"/>
    <w:rsid w:val="00EB2C1A"/>
    <w:rsid w:val="00EB3093"/>
    <w:rsid w:val="00EB37F4"/>
    <w:rsid w:val="00EB3994"/>
    <w:rsid w:val="00EB44E4"/>
    <w:rsid w:val="00EB4BA6"/>
    <w:rsid w:val="00EB6931"/>
    <w:rsid w:val="00EB6C15"/>
    <w:rsid w:val="00EB6DCC"/>
    <w:rsid w:val="00EB6E8F"/>
    <w:rsid w:val="00EB7054"/>
    <w:rsid w:val="00EB7BCC"/>
    <w:rsid w:val="00EC0BAC"/>
    <w:rsid w:val="00EC29B9"/>
    <w:rsid w:val="00EC360B"/>
    <w:rsid w:val="00EC4C67"/>
    <w:rsid w:val="00EC6770"/>
    <w:rsid w:val="00EC7165"/>
    <w:rsid w:val="00ED1D35"/>
    <w:rsid w:val="00ED30F8"/>
    <w:rsid w:val="00ED395F"/>
    <w:rsid w:val="00ED4793"/>
    <w:rsid w:val="00ED55D4"/>
    <w:rsid w:val="00ED6B25"/>
    <w:rsid w:val="00ED74DB"/>
    <w:rsid w:val="00EE009E"/>
    <w:rsid w:val="00EE046B"/>
    <w:rsid w:val="00EE1923"/>
    <w:rsid w:val="00EE20DA"/>
    <w:rsid w:val="00EE246D"/>
    <w:rsid w:val="00EE2EDD"/>
    <w:rsid w:val="00EE34D9"/>
    <w:rsid w:val="00EE48B7"/>
    <w:rsid w:val="00EE4C3D"/>
    <w:rsid w:val="00EE4E3A"/>
    <w:rsid w:val="00EE5E11"/>
    <w:rsid w:val="00EF006B"/>
    <w:rsid w:val="00EF020E"/>
    <w:rsid w:val="00EF0E15"/>
    <w:rsid w:val="00EF2A95"/>
    <w:rsid w:val="00EF3196"/>
    <w:rsid w:val="00EF3806"/>
    <w:rsid w:val="00EF39E8"/>
    <w:rsid w:val="00EF3C25"/>
    <w:rsid w:val="00EF48CF"/>
    <w:rsid w:val="00EF5171"/>
    <w:rsid w:val="00EF5C36"/>
    <w:rsid w:val="00EF632A"/>
    <w:rsid w:val="00EF6615"/>
    <w:rsid w:val="00EF7CCF"/>
    <w:rsid w:val="00F00C74"/>
    <w:rsid w:val="00F01081"/>
    <w:rsid w:val="00F01E73"/>
    <w:rsid w:val="00F02309"/>
    <w:rsid w:val="00F025F1"/>
    <w:rsid w:val="00F02826"/>
    <w:rsid w:val="00F0308B"/>
    <w:rsid w:val="00F031A3"/>
    <w:rsid w:val="00F03608"/>
    <w:rsid w:val="00F04197"/>
    <w:rsid w:val="00F041B1"/>
    <w:rsid w:val="00F04519"/>
    <w:rsid w:val="00F04DD0"/>
    <w:rsid w:val="00F06737"/>
    <w:rsid w:val="00F073BF"/>
    <w:rsid w:val="00F0759B"/>
    <w:rsid w:val="00F07CA0"/>
    <w:rsid w:val="00F07F3A"/>
    <w:rsid w:val="00F1188D"/>
    <w:rsid w:val="00F12AC1"/>
    <w:rsid w:val="00F12D9D"/>
    <w:rsid w:val="00F13E5A"/>
    <w:rsid w:val="00F14ECD"/>
    <w:rsid w:val="00F162D6"/>
    <w:rsid w:val="00F17580"/>
    <w:rsid w:val="00F176F4"/>
    <w:rsid w:val="00F202F7"/>
    <w:rsid w:val="00F2075E"/>
    <w:rsid w:val="00F20FFE"/>
    <w:rsid w:val="00F21490"/>
    <w:rsid w:val="00F214F5"/>
    <w:rsid w:val="00F21F79"/>
    <w:rsid w:val="00F22AEC"/>
    <w:rsid w:val="00F2461E"/>
    <w:rsid w:val="00F26B50"/>
    <w:rsid w:val="00F30043"/>
    <w:rsid w:val="00F3031B"/>
    <w:rsid w:val="00F304BE"/>
    <w:rsid w:val="00F30698"/>
    <w:rsid w:val="00F30A8F"/>
    <w:rsid w:val="00F313D8"/>
    <w:rsid w:val="00F318AA"/>
    <w:rsid w:val="00F320E5"/>
    <w:rsid w:val="00F32E95"/>
    <w:rsid w:val="00F3386A"/>
    <w:rsid w:val="00F33A1E"/>
    <w:rsid w:val="00F3403A"/>
    <w:rsid w:val="00F34BC4"/>
    <w:rsid w:val="00F34E6D"/>
    <w:rsid w:val="00F36C4B"/>
    <w:rsid w:val="00F37CAA"/>
    <w:rsid w:val="00F41546"/>
    <w:rsid w:val="00F41AA9"/>
    <w:rsid w:val="00F42F6E"/>
    <w:rsid w:val="00F43135"/>
    <w:rsid w:val="00F4321F"/>
    <w:rsid w:val="00F4395D"/>
    <w:rsid w:val="00F45387"/>
    <w:rsid w:val="00F46A48"/>
    <w:rsid w:val="00F47343"/>
    <w:rsid w:val="00F51652"/>
    <w:rsid w:val="00F51C2B"/>
    <w:rsid w:val="00F52E53"/>
    <w:rsid w:val="00F52F67"/>
    <w:rsid w:val="00F5327D"/>
    <w:rsid w:val="00F5482F"/>
    <w:rsid w:val="00F55A2F"/>
    <w:rsid w:val="00F564CA"/>
    <w:rsid w:val="00F56AFA"/>
    <w:rsid w:val="00F57007"/>
    <w:rsid w:val="00F5712C"/>
    <w:rsid w:val="00F57255"/>
    <w:rsid w:val="00F60BA5"/>
    <w:rsid w:val="00F60C0C"/>
    <w:rsid w:val="00F60C34"/>
    <w:rsid w:val="00F61488"/>
    <w:rsid w:val="00F62757"/>
    <w:rsid w:val="00F63120"/>
    <w:rsid w:val="00F636CE"/>
    <w:rsid w:val="00F6522A"/>
    <w:rsid w:val="00F65A99"/>
    <w:rsid w:val="00F66BD7"/>
    <w:rsid w:val="00F7054E"/>
    <w:rsid w:val="00F70652"/>
    <w:rsid w:val="00F707A4"/>
    <w:rsid w:val="00F71948"/>
    <w:rsid w:val="00F723AC"/>
    <w:rsid w:val="00F72F7D"/>
    <w:rsid w:val="00F73196"/>
    <w:rsid w:val="00F73221"/>
    <w:rsid w:val="00F752EF"/>
    <w:rsid w:val="00F75B44"/>
    <w:rsid w:val="00F75BD9"/>
    <w:rsid w:val="00F76307"/>
    <w:rsid w:val="00F77489"/>
    <w:rsid w:val="00F7788B"/>
    <w:rsid w:val="00F81F96"/>
    <w:rsid w:val="00F82440"/>
    <w:rsid w:val="00F845F5"/>
    <w:rsid w:val="00F84861"/>
    <w:rsid w:val="00F853F3"/>
    <w:rsid w:val="00F85B96"/>
    <w:rsid w:val="00F85F0E"/>
    <w:rsid w:val="00F87309"/>
    <w:rsid w:val="00F87966"/>
    <w:rsid w:val="00F87E25"/>
    <w:rsid w:val="00F9009A"/>
    <w:rsid w:val="00F9222C"/>
    <w:rsid w:val="00F9282C"/>
    <w:rsid w:val="00F929A8"/>
    <w:rsid w:val="00F93516"/>
    <w:rsid w:val="00F94165"/>
    <w:rsid w:val="00F959F1"/>
    <w:rsid w:val="00F95B37"/>
    <w:rsid w:val="00F9627E"/>
    <w:rsid w:val="00F963AC"/>
    <w:rsid w:val="00F96C01"/>
    <w:rsid w:val="00F9703E"/>
    <w:rsid w:val="00F97AA6"/>
    <w:rsid w:val="00F97BDA"/>
    <w:rsid w:val="00FA032E"/>
    <w:rsid w:val="00FA07E3"/>
    <w:rsid w:val="00FA0B92"/>
    <w:rsid w:val="00FA0CB7"/>
    <w:rsid w:val="00FA40E6"/>
    <w:rsid w:val="00FA425D"/>
    <w:rsid w:val="00FA5B18"/>
    <w:rsid w:val="00FA7A51"/>
    <w:rsid w:val="00FA7F01"/>
    <w:rsid w:val="00FA7FBA"/>
    <w:rsid w:val="00FB00A0"/>
    <w:rsid w:val="00FB05E5"/>
    <w:rsid w:val="00FB06AD"/>
    <w:rsid w:val="00FB080E"/>
    <w:rsid w:val="00FB0AFB"/>
    <w:rsid w:val="00FB18DC"/>
    <w:rsid w:val="00FB23EB"/>
    <w:rsid w:val="00FB46EF"/>
    <w:rsid w:val="00FB482C"/>
    <w:rsid w:val="00FB4F6B"/>
    <w:rsid w:val="00FB56FF"/>
    <w:rsid w:val="00FB6DDC"/>
    <w:rsid w:val="00FC0EA3"/>
    <w:rsid w:val="00FC200B"/>
    <w:rsid w:val="00FC2812"/>
    <w:rsid w:val="00FC3444"/>
    <w:rsid w:val="00FC3732"/>
    <w:rsid w:val="00FC3C86"/>
    <w:rsid w:val="00FC41E8"/>
    <w:rsid w:val="00FC4417"/>
    <w:rsid w:val="00FC49DA"/>
    <w:rsid w:val="00FC4D30"/>
    <w:rsid w:val="00FC4DB0"/>
    <w:rsid w:val="00FC58DF"/>
    <w:rsid w:val="00FC5F47"/>
    <w:rsid w:val="00FC60A3"/>
    <w:rsid w:val="00FC6120"/>
    <w:rsid w:val="00FC6592"/>
    <w:rsid w:val="00FC75E0"/>
    <w:rsid w:val="00FC7FE6"/>
    <w:rsid w:val="00FD060F"/>
    <w:rsid w:val="00FD067A"/>
    <w:rsid w:val="00FD1BDB"/>
    <w:rsid w:val="00FD2416"/>
    <w:rsid w:val="00FD2FE6"/>
    <w:rsid w:val="00FD37EC"/>
    <w:rsid w:val="00FD3AF2"/>
    <w:rsid w:val="00FD6A9F"/>
    <w:rsid w:val="00FD7BBC"/>
    <w:rsid w:val="00FE04D9"/>
    <w:rsid w:val="00FE060D"/>
    <w:rsid w:val="00FE0C46"/>
    <w:rsid w:val="00FE1009"/>
    <w:rsid w:val="00FE1EDC"/>
    <w:rsid w:val="00FE271C"/>
    <w:rsid w:val="00FE2956"/>
    <w:rsid w:val="00FE2E18"/>
    <w:rsid w:val="00FE3822"/>
    <w:rsid w:val="00FE3CDA"/>
    <w:rsid w:val="00FE46BF"/>
    <w:rsid w:val="00FE4893"/>
    <w:rsid w:val="00FE5088"/>
    <w:rsid w:val="00FE54E9"/>
    <w:rsid w:val="00FE5DE4"/>
    <w:rsid w:val="00FE7D79"/>
    <w:rsid w:val="00FE7F56"/>
    <w:rsid w:val="00FE7FD3"/>
    <w:rsid w:val="00FF2D06"/>
    <w:rsid w:val="00FF39D5"/>
    <w:rsid w:val="00FF3E6E"/>
    <w:rsid w:val="00FF4A55"/>
    <w:rsid w:val="00FF4C20"/>
    <w:rsid w:val="00FF57EA"/>
    <w:rsid w:val="00FF5AA1"/>
    <w:rsid w:val="00FF7B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465953C0"/>
  <w15:docId w15:val="{34CFDDF5-A8B4-4D88-B414-F771D046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C98"/>
    <w:rPr>
      <w:sz w:val="24"/>
      <w:szCs w:val="24"/>
    </w:rPr>
  </w:style>
  <w:style w:type="paragraph" w:styleId="Titre1">
    <w:name w:val="heading 1"/>
    <w:aliases w:val="Heading 1"/>
    <w:basedOn w:val="Listenumros"/>
    <w:next w:val="Normal"/>
    <w:link w:val="Titre1Car"/>
    <w:uiPriority w:val="99"/>
    <w:qFormat/>
    <w:rsid w:val="00556E1B"/>
    <w:pPr>
      <w:keepNext/>
      <w:numPr>
        <w:numId w:val="0"/>
      </w:numPr>
      <w:outlineLvl w:val="0"/>
    </w:pPr>
    <w:rPr>
      <w:b/>
      <w:bCs/>
      <w:sz w:val="32"/>
    </w:rPr>
  </w:style>
  <w:style w:type="paragraph" w:styleId="Titre2">
    <w:name w:val="heading 2"/>
    <w:aliases w:val="Heading 2"/>
    <w:basedOn w:val="Normal"/>
    <w:next w:val="Normal"/>
    <w:link w:val="Titre2Car"/>
    <w:qFormat/>
    <w:rsid w:val="00842F89"/>
    <w:pPr>
      <w:keepNext/>
      <w:numPr>
        <w:ilvl w:val="1"/>
        <w:numId w:val="6"/>
      </w:numPr>
      <w:spacing w:before="240" w:after="60"/>
      <w:outlineLvl w:val="1"/>
    </w:pPr>
    <w:rPr>
      <w:rFonts w:ascii="Arial" w:hAnsi="Arial" w:cs="Arial"/>
      <w:b/>
      <w:bCs/>
      <w:iCs/>
      <w:sz w:val="28"/>
      <w:szCs w:val="28"/>
    </w:rPr>
  </w:style>
  <w:style w:type="paragraph" w:styleId="Titre3">
    <w:name w:val="heading 3"/>
    <w:aliases w:val="Heading 3"/>
    <w:basedOn w:val="Normal"/>
    <w:next w:val="Normal"/>
    <w:link w:val="Titre3Car"/>
    <w:qFormat/>
    <w:rsid w:val="00842F89"/>
    <w:pPr>
      <w:keepNext/>
      <w:numPr>
        <w:ilvl w:val="2"/>
        <w:numId w:val="4"/>
      </w:numPr>
      <w:spacing w:before="240" w:after="60"/>
      <w:outlineLvl w:val="2"/>
    </w:pPr>
    <w:rPr>
      <w:rFonts w:ascii="Arial" w:hAnsi="Arial" w:cs="Arial"/>
      <w:b/>
      <w:bCs/>
      <w:szCs w:val="26"/>
    </w:rPr>
  </w:style>
  <w:style w:type="paragraph" w:styleId="Titre4">
    <w:name w:val="heading 4"/>
    <w:aliases w:val="Titre 4 Car,Heading 4"/>
    <w:basedOn w:val="Normal"/>
    <w:next w:val="Normal"/>
    <w:link w:val="Titre4Car1"/>
    <w:qFormat/>
    <w:rsid w:val="001D3198"/>
    <w:pPr>
      <w:keepNext/>
      <w:numPr>
        <w:ilvl w:val="3"/>
        <w:numId w:val="5"/>
      </w:numPr>
      <w:spacing w:before="240" w:after="60"/>
      <w:outlineLvl w:val="3"/>
    </w:pPr>
    <w:rPr>
      <w:b/>
      <w:bCs/>
    </w:rPr>
  </w:style>
  <w:style w:type="paragraph" w:styleId="Titre5">
    <w:name w:val="heading 5"/>
    <w:basedOn w:val="Normal"/>
    <w:next w:val="Normal"/>
    <w:link w:val="Titre5Car"/>
    <w:qFormat/>
    <w:rsid w:val="001D3198"/>
    <w:pPr>
      <w:numPr>
        <w:ilvl w:val="4"/>
        <w:numId w:val="5"/>
      </w:numPr>
      <w:spacing w:before="240" w:after="60"/>
      <w:outlineLvl w:val="4"/>
    </w:pPr>
    <w:rPr>
      <w:b/>
      <w:bCs/>
      <w:i/>
      <w:iCs/>
      <w:szCs w:val="26"/>
    </w:rPr>
  </w:style>
  <w:style w:type="paragraph" w:styleId="Titre6">
    <w:name w:val="heading 6"/>
    <w:basedOn w:val="Normal"/>
    <w:next w:val="Normal"/>
    <w:link w:val="Titre6Car"/>
    <w:qFormat/>
    <w:rsid w:val="001D3198"/>
    <w:pPr>
      <w:spacing w:before="240" w:after="60"/>
      <w:ind w:left="708"/>
      <w:outlineLvl w:val="5"/>
    </w:pPr>
    <w:rPr>
      <w:b/>
      <w:bCs/>
      <w:szCs w:val="20"/>
    </w:rPr>
  </w:style>
  <w:style w:type="paragraph" w:styleId="Titre7">
    <w:name w:val="heading 7"/>
    <w:basedOn w:val="Normal"/>
    <w:next w:val="Normal"/>
    <w:link w:val="Titre7Car"/>
    <w:qFormat/>
    <w:rsid w:val="00556E1B"/>
    <w:pPr>
      <w:numPr>
        <w:ilvl w:val="6"/>
        <w:numId w:val="5"/>
      </w:numPr>
      <w:spacing w:before="240" w:after="60"/>
      <w:outlineLvl w:val="6"/>
    </w:pPr>
  </w:style>
  <w:style w:type="paragraph" w:styleId="Titre8">
    <w:name w:val="heading 8"/>
    <w:basedOn w:val="Normal"/>
    <w:next w:val="Normal"/>
    <w:link w:val="Titre8Car"/>
    <w:qFormat/>
    <w:rsid w:val="00556E1B"/>
    <w:pPr>
      <w:numPr>
        <w:ilvl w:val="7"/>
        <w:numId w:val="5"/>
      </w:numPr>
      <w:spacing w:before="240" w:after="60"/>
      <w:outlineLvl w:val="7"/>
    </w:pPr>
    <w:rPr>
      <w:i/>
      <w:iCs/>
    </w:rPr>
  </w:style>
  <w:style w:type="paragraph" w:styleId="Titre9">
    <w:name w:val="heading 9"/>
    <w:basedOn w:val="Normal"/>
    <w:next w:val="Normal"/>
    <w:link w:val="Titre9Car"/>
    <w:qFormat/>
    <w:rsid w:val="00556E1B"/>
    <w:pPr>
      <w:numPr>
        <w:ilvl w:val="8"/>
        <w:numId w:val="5"/>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E7537"/>
    <w:pPr>
      <w:tabs>
        <w:tab w:val="center" w:pos="4536"/>
        <w:tab w:val="right" w:pos="9072"/>
      </w:tabs>
    </w:pPr>
  </w:style>
  <w:style w:type="paragraph" w:styleId="Pieddepage">
    <w:name w:val="footer"/>
    <w:basedOn w:val="Normal"/>
    <w:link w:val="PieddepageCar"/>
    <w:rsid w:val="005E7537"/>
    <w:pPr>
      <w:tabs>
        <w:tab w:val="center" w:pos="4536"/>
        <w:tab w:val="right" w:pos="9072"/>
      </w:tabs>
    </w:pPr>
  </w:style>
  <w:style w:type="character" w:styleId="Numrodepage">
    <w:name w:val="page number"/>
    <w:basedOn w:val="Policepardfaut"/>
    <w:rsid w:val="006E7CC2"/>
  </w:style>
  <w:style w:type="character" w:styleId="Lienhypertexte">
    <w:name w:val="Hyperlink"/>
    <w:uiPriority w:val="99"/>
    <w:rsid w:val="00BB5182"/>
    <w:rPr>
      <w:color w:val="0000FF"/>
      <w:u w:val="single"/>
    </w:rPr>
  </w:style>
  <w:style w:type="paragraph" w:styleId="Corpsdetexte">
    <w:name w:val="Body Text"/>
    <w:basedOn w:val="Normal"/>
    <w:link w:val="CorpsdetexteCar"/>
    <w:rsid w:val="00127038"/>
    <w:pPr>
      <w:tabs>
        <w:tab w:val="left" w:pos="5103"/>
      </w:tabs>
      <w:jc w:val="both"/>
    </w:pPr>
    <w:rPr>
      <w:rFonts w:ascii="Arial" w:hAnsi="Arial"/>
      <w:noProof/>
      <w:sz w:val="20"/>
      <w:szCs w:val="20"/>
    </w:rPr>
  </w:style>
  <w:style w:type="character" w:customStyle="1" w:styleId="txtsmall">
    <w:name w:val="txtsmall"/>
    <w:basedOn w:val="Policepardfaut"/>
    <w:rsid w:val="00127038"/>
  </w:style>
  <w:style w:type="character" w:customStyle="1" w:styleId="txtverysmall">
    <w:name w:val="txtverysmall"/>
    <w:basedOn w:val="Policepardfaut"/>
    <w:rsid w:val="00127038"/>
  </w:style>
  <w:style w:type="paragraph" w:styleId="Sous-titre">
    <w:name w:val="Subtitle"/>
    <w:basedOn w:val="Normal"/>
    <w:qFormat/>
    <w:rsid w:val="00127038"/>
    <w:pPr>
      <w:jc w:val="center"/>
    </w:pPr>
    <w:rPr>
      <w:b/>
      <w:sz w:val="20"/>
      <w:szCs w:val="20"/>
    </w:rPr>
  </w:style>
  <w:style w:type="table" w:styleId="Grilledutableau">
    <w:name w:val="Table Grid"/>
    <w:basedOn w:val="TableauNormal"/>
    <w:uiPriority w:val="59"/>
    <w:rsid w:val="00A66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rsid w:val="00A6624E"/>
    <w:rPr>
      <w:sz w:val="20"/>
      <w:szCs w:val="20"/>
    </w:rPr>
  </w:style>
  <w:style w:type="character" w:styleId="Appelnotedebasdep">
    <w:name w:val="footnote reference"/>
    <w:uiPriority w:val="99"/>
    <w:rsid w:val="00A6624E"/>
    <w:rPr>
      <w:vertAlign w:val="superscript"/>
    </w:rPr>
  </w:style>
  <w:style w:type="paragraph" w:customStyle="1" w:styleId="CharCharCarCharCharCarCharCharCarCharCharCarCharCharCarCharCharCar">
    <w:name w:val="Char Char Car Char Char Car Char Char Car Char Char Car Char Char Car Char Char Car"/>
    <w:basedOn w:val="Normal"/>
    <w:rsid w:val="009010B7"/>
    <w:pPr>
      <w:spacing w:after="160" w:line="240" w:lineRule="exact"/>
    </w:pPr>
    <w:rPr>
      <w:rFonts w:ascii="Arial" w:hAnsi="Arial"/>
      <w:sz w:val="18"/>
      <w:szCs w:val="20"/>
      <w:lang w:eastAsia="en-US"/>
    </w:rPr>
  </w:style>
  <w:style w:type="paragraph" w:styleId="Textedebulles">
    <w:name w:val="Balloon Text"/>
    <w:basedOn w:val="Normal"/>
    <w:link w:val="TextedebullesCar"/>
    <w:uiPriority w:val="99"/>
    <w:semiHidden/>
    <w:rsid w:val="00670EA1"/>
    <w:rPr>
      <w:rFonts w:ascii="Tahoma" w:hAnsi="Tahoma" w:cs="Tahoma"/>
      <w:sz w:val="16"/>
      <w:szCs w:val="16"/>
    </w:rPr>
  </w:style>
  <w:style w:type="paragraph" w:styleId="Corpsdetexte2">
    <w:name w:val="Body Text 2"/>
    <w:basedOn w:val="Normal"/>
    <w:link w:val="Corpsdetexte2Car"/>
    <w:uiPriority w:val="99"/>
    <w:rsid w:val="00670EA1"/>
    <w:pPr>
      <w:spacing w:after="120" w:line="480" w:lineRule="auto"/>
    </w:pPr>
  </w:style>
  <w:style w:type="paragraph" w:styleId="TM1">
    <w:name w:val="toc 1"/>
    <w:basedOn w:val="Normal"/>
    <w:next w:val="Normal"/>
    <w:autoRedefine/>
    <w:uiPriority w:val="39"/>
    <w:rsid w:val="00A94A17"/>
    <w:pPr>
      <w:tabs>
        <w:tab w:val="left" w:pos="546"/>
        <w:tab w:val="right" w:leader="dot" w:pos="9192"/>
      </w:tabs>
    </w:pPr>
    <w:rPr>
      <w:b/>
      <w:bCs/>
      <w:caps/>
      <w:noProof/>
      <w:color w:val="000080"/>
      <w:sz w:val="22"/>
      <w:szCs w:val="22"/>
      <w:u w:val="single"/>
    </w:rPr>
  </w:style>
  <w:style w:type="paragraph" w:styleId="TM2">
    <w:name w:val="toc 2"/>
    <w:basedOn w:val="Normal"/>
    <w:next w:val="Normal"/>
    <w:autoRedefine/>
    <w:uiPriority w:val="39"/>
    <w:rsid w:val="00A94A17"/>
    <w:pPr>
      <w:tabs>
        <w:tab w:val="left" w:pos="515"/>
        <w:tab w:val="right" w:leader="dot" w:pos="9180"/>
      </w:tabs>
    </w:pPr>
    <w:rPr>
      <w:smallCaps/>
      <w:noProof/>
      <w:sz w:val="22"/>
      <w:szCs w:val="22"/>
    </w:rPr>
  </w:style>
  <w:style w:type="paragraph" w:styleId="TM3">
    <w:name w:val="toc 3"/>
    <w:basedOn w:val="Normal"/>
    <w:next w:val="Normal"/>
    <w:autoRedefine/>
    <w:uiPriority w:val="39"/>
    <w:rsid w:val="006C27DC"/>
    <w:pPr>
      <w:tabs>
        <w:tab w:val="left" w:pos="540"/>
        <w:tab w:val="right" w:leader="dot" w:pos="9180"/>
      </w:tabs>
    </w:pPr>
    <w:rPr>
      <w:smallCaps/>
      <w:sz w:val="22"/>
      <w:szCs w:val="22"/>
    </w:rPr>
  </w:style>
  <w:style w:type="paragraph" w:styleId="TM4">
    <w:name w:val="toc 4"/>
    <w:basedOn w:val="Normal"/>
    <w:next w:val="Normal"/>
    <w:autoRedefine/>
    <w:semiHidden/>
    <w:rsid w:val="00F57255"/>
    <w:rPr>
      <w:sz w:val="22"/>
      <w:szCs w:val="22"/>
    </w:rPr>
  </w:style>
  <w:style w:type="paragraph" w:styleId="TM5">
    <w:name w:val="toc 5"/>
    <w:basedOn w:val="Normal"/>
    <w:next w:val="Normal"/>
    <w:autoRedefine/>
    <w:semiHidden/>
    <w:rsid w:val="00F57255"/>
    <w:rPr>
      <w:sz w:val="22"/>
      <w:szCs w:val="22"/>
    </w:rPr>
  </w:style>
  <w:style w:type="paragraph" w:styleId="TM6">
    <w:name w:val="toc 6"/>
    <w:basedOn w:val="Normal"/>
    <w:next w:val="Normal"/>
    <w:autoRedefine/>
    <w:semiHidden/>
    <w:rsid w:val="00F57255"/>
    <w:rPr>
      <w:sz w:val="22"/>
      <w:szCs w:val="22"/>
    </w:rPr>
  </w:style>
  <w:style w:type="paragraph" w:styleId="TM7">
    <w:name w:val="toc 7"/>
    <w:basedOn w:val="Normal"/>
    <w:next w:val="Normal"/>
    <w:autoRedefine/>
    <w:semiHidden/>
    <w:rsid w:val="00F57255"/>
    <w:rPr>
      <w:sz w:val="22"/>
      <w:szCs w:val="22"/>
    </w:rPr>
  </w:style>
  <w:style w:type="paragraph" w:styleId="TM8">
    <w:name w:val="toc 8"/>
    <w:basedOn w:val="Normal"/>
    <w:next w:val="Normal"/>
    <w:autoRedefine/>
    <w:semiHidden/>
    <w:rsid w:val="00F57255"/>
    <w:rPr>
      <w:sz w:val="22"/>
      <w:szCs w:val="22"/>
    </w:rPr>
  </w:style>
  <w:style w:type="paragraph" w:styleId="TM9">
    <w:name w:val="toc 9"/>
    <w:basedOn w:val="Normal"/>
    <w:next w:val="Normal"/>
    <w:autoRedefine/>
    <w:semiHidden/>
    <w:rsid w:val="00F57255"/>
    <w:rPr>
      <w:sz w:val="22"/>
      <w:szCs w:val="22"/>
    </w:rPr>
  </w:style>
  <w:style w:type="paragraph" w:customStyle="1" w:styleId="StylePuce1erNiveau">
    <w:name w:val="Style Puce 1er Niveau"/>
    <w:basedOn w:val="Normal"/>
    <w:rsid w:val="007828ED"/>
    <w:pPr>
      <w:widowControl w:val="0"/>
      <w:numPr>
        <w:numId w:val="1"/>
      </w:numPr>
      <w:spacing w:before="120" w:after="120"/>
      <w:jc w:val="both"/>
    </w:pPr>
    <w:rPr>
      <w:rFonts w:ascii="Arial" w:hAnsi="Arial"/>
      <w:sz w:val="22"/>
      <w:szCs w:val="20"/>
    </w:rPr>
  </w:style>
  <w:style w:type="paragraph" w:styleId="Retraitcorpsdetexte">
    <w:name w:val="Body Text Indent"/>
    <w:basedOn w:val="Normal"/>
    <w:rsid w:val="00DA2C24"/>
    <w:pPr>
      <w:spacing w:after="120"/>
      <w:ind w:left="283"/>
    </w:pPr>
  </w:style>
  <w:style w:type="paragraph" w:styleId="Retraitcorpsdetexte2">
    <w:name w:val="Body Text Indent 2"/>
    <w:basedOn w:val="Normal"/>
    <w:rsid w:val="00DA2C24"/>
    <w:pPr>
      <w:spacing w:after="120" w:line="480" w:lineRule="auto"/>
      <w:ind w:left="283"/>
    </w:pPr>
  </w:style>
  <w:style w:type="paragraph" w:styleId="Retraitcorpsdetexte3">
    <w:name w:val="Body Text Indent 3"/>
    <w:basedOn w:val="Normal"/>
    <w:rsid w:val="00DA2C24"/>
    <w:pPr>
      <w:spacing w:after="120"/>
      <w:ind w:left="283"/>
    </w:pPr>
    <w:rPr>
      <w:sz w:val="16"/>
      <w:szCs w:val="16"/>
    </w:rPr>
  </w:style>
  <w:style w:type="paragraph" w:customStyle="1" w:styleId="AAAAAStyleStd">
    <w:name w:val="AAAAA Style Std"/>
    <w:basedOn w:val="Normal"/>
    <w:rsid w:val="00DA2C24"/>
    <w:pPr>
      <w:spacing w:before="120"/>
    </w:pPr>
    <w:rPr>
      <w:rFonts w:ascii="Arial" w:hAnsi="Arial" w:cs="Arial"/>
    </w:rPr>
  </w:style>
  <w:style w:type="paragraph" w:customStyle="1" w:styleId="LBPcorps">
    <w:name w:val="LBP_corps"/>
    <w:basedOn w:val="Normal"/>
    <w:rsid w:val="00934A8D"/>
    <w:pPr>
      <w:spacing w:line="240" w:lineRule="exact"/>
      <w:jc w:val="both"/>
    </w:pPr>
    <w:rPr>
      <w:rFonts w:ascii="Arial" w:hAnsi="Arial"/>
      <w:sz w:val="20"/>
    </w:rPr>
  </w:style>
  <w:style w:type="paragraph" w:styleId="Listenumros">
    <w:name w:val="List Number"/>
    <w:basedOn w:val="Normal"/>
    <w:rsid w:val="00556E1B"/>
    <w:pPr>
      <w:numPr>
        <w:numId w:val="2"/>
      </w:numPr>
    </w:pPr>
  </w:style>
  <w:style w:type="paragraph" w:customStyle="1" w:styleId="Puces">
    <w:name w:val="Puces"/>
    <w:basedOn w:val="Normal"/>
    <w:rsid w:val="006E03E3"/>
    <w:pPr>
      <w:widowControl w:val="0"/>
      <w:numPr>
        <w:numId w:val="3"/>
      </w:numPr>
      <w:adjustRightInd w:val="0"/>
      <w:spacing w:line="360" w:lineRule="atLeast"/>
      <w:jc w:val="both"/>
      <w:textAlignment w:val="baseline"/>
    </w:pPr>
  </w:style>
  <w:style w:type="paragraph" w:customStyle="1" w:styleId="intertitres">
    <w:name w:val="intertitres"/>
    <w:basedOn w:val="Normal"/>
    <w:rsid w:val="00021B28"/>
    <w:pPr>
      <w:jc w:val="both"/>
    </w:pPr>
    <w:rPr>
      <w:b/>
      <w:smallCaps/>
      <w:szCs w:val="20"/>
      <w:lang w:eastAsia="en-US"/>
    </w:rPr>
  </w:style>
  <w:style w:type="character" w:customStyle="1" w:styleId="Titre4Car1">
    <w:name w:val="Titre 4 Car1"/>
    <w:aliases w:val="Titre 4 Car Car,Heading 4 Car"/>
    <w:link w:val="Titre4"/>
    <w:rsid w:val="001D3198"/>
    <w:rPr>
      <w:b/>
      <w:bCs/>
      <w:sz w:val="24"/>
      <w:szCs w:val="24"/>
    </w:rPr>
  </w:style>
  <w:style w:type="paragraph" w:customStyle="1" w:styleId="TexteCarr">
    <w:name w:val="Texte Carré"/>
    <w:basedOn w:val="Normal"/>
    <w:rsid w:val="008D2E16"/>
    <w:pPr>
      <w:spacing w:after="120"/>
      <w:ind w:left="567"/>
      <w:jc w:val="both"/>
    </w:pPr>
    <w:rPr>
      <w:rFonts w:ascii="Arial" w:hAnsi="Arial"/>
      <w:szCs w:val="20"/>
    </w:rPr>
  </w:style>
  <w:style w:type="paragraph" w:customStyle="1" w:styleId="23BodyText">
    <w:name w:val="23 Body Text"/>
    <w:basedOn w:val="Normal"/>
    <w:rsid w:val="00F87309"/>
    <w:pPr>
      <w:spacing w:before="100" w:line="264" w:lineRule="auto"/>
    </w:pPr>
    <w:rPr>
      <w:rFonts w:ascii="Trebuchet MS" w:hAnsi="Trebuchet MS"/>
      <w:noProof/>
      <w:color w:val="000000"/>
      <w:sz w:val="20"/>
      <w:szCs w:val="20"/>
    </w:rPr>
  </w:style>
  <w:style w:type="character" w:customStyle="1" w:styleId="Titre2Car">
    <w:name w:val="Titre 2 Car"/>
    <w:aliases w:val="Heading 2 Car"/>
    <w:link w:val="Titre2"/>
    <w:rsid w:val="00E55759"/>
    <w:rPr>
      <w:rFonts w:ascii="Arial" w:hAnsi="Arial" w:cs="Arial"/>
      <w:b/>
      <w:bCs/>
      <w:iCs/>
      <w:sz w:val="28"/>
      <w:szCs w:val="28"/>
    </w:rPr>
  </w:style>
  <w:style w:type="character" w:styleId="lev">
    <w:name w:val="Strong"/>
    <w:uiPriority w:val="22"/>
    <w:qFormat/>
    <w:rsid w:val="00E17CE1"/>
    <w:rPr>
      <w:b/>
      <w:bCs/>
    </w:rPr>
  </w:style>
  <w:style w:type="paragraph" w:styleId="Corpsdetexte3">
    <w:name w:val="Body Text 3"/>
    <w:basedOn w:val="Normal"/>
    <w:rsid w:val="00E85041"/>
    <w:pPr>
      <w:spacing w:after="120"/>
    </w:pPr>
    <w:rPr>
      <w:sz w:val="16"/>
      <w:szCs w:val="16"/>
    </w:rPr>
  </w:style>
  <w:style w:type="paragraph" w:customStyle="1" w:styleId="CharCharCarCharCharCarCharCharCarCharCharCarCharCharCarCharCharCarCarCar">
    <w:name w:val="Char Char Car Char Char Car Char Char Car Char Char Car Char Char Car Char Char Car Car Car"/>
    <w:basedOn w:val="Normal"/>
    <w:rsid w:val="002B7927"/>
    <w:pPr>
      <w:spacing w:after="160" w:line="240" w:lineRule="exact"/>
    </w:pPr>
    <w:rPr>
      <w:rFonts w:ascii="Arial" w:hAnsi="Arial"/>
      <w:sz w:val="18"/>
      <w:szCs w:val="20"/>
      <w:lang w:eastAsia="en-US"/>
    </w:rPr>
  </w:style>
  <w:style w:type="paragraph" w:customStyle="1" w:styleId="CarCar1">
    <w:name w:val="Car Car1"/>
    <w:basedOn w:val="Normal"/>
    <w:rsid w:val="00FE060D"/>
    <w:pPr>
      <w:spacing w:after="160" w:line="240" w:lineRule="exact"/>
    </w:pPr>
    <w:rPr>
      <w:rFonts w:ascii="Tahoma" w:hAnsi="Tahoma" w:cs="Tahoma"/>
      <w:sz w:val="20"/>
      <w:szCs w:val="20"/>
      <w:lang w:val="en-US" w:eastAsia="zh-CN"/>
    </w:rPr>
  </w:style>
  <w:style w:type="paragraph" w:customStyle="1" w:styleId="CONSO1">
    <w:name w:val="CONSO1"/>
    <w:basedOn w:val="Titre1"/>
    <w:link w:val="CONSO1Car1"/>
    <w:rsid w:val="00E4161E"/>
    <w:pPr>
      <w:spacing w:before="240" w:after="60"/>
      <w:jc w:val="center"/>
    </w:pPr>
    <w:rPr>
      <w:rFonts w:ascii="Arial" w:hAnsi="Arial"/>
      <w:bCs w:val="0"/>
      <w:color w:val="000080"/>
      <w:kern w:val="32"/>
      <w:sz w:val="36"/>
      <w:szCs w:val="32"/>
    </w:rPr>
  </w:style>
  <w:style w:type="paragraph" w:customStyle="1" w:styleId="Conso3">
    <w:name w:val="Conso3"/>
    <w:basedOn w:val="Titre1"/>
    <w:rsid w:val="00E4161E"/>
    <w:pPr>
      <w:spacing w:before="360" w:after="240"/>
      <w:ind w:left="709"/>
    </w:pPr>
    <w:rPr>
      <w:rFonts w:ascii="Arial" w:hAnsi="Arial"/>
      <w:bCs w:val="0"/>
      <w:i/>
      <w:color w:val="000080"/>
      <w:kern w:val="32"/>
      <w:sz w:val="24"/>
      <w:szCs w:val="32"/>
    </w:rPr>
  </w:style>
  <w:style w:type="character" w:customStyle="1" w:styleId="CONSO1Car1">
    <w:name w:val="CONSO1 Car1"/>
    <w:link w:val="CONSO1"/>
    <w:rsid w:val="00E4161E"/>
    <w:rPr>
      <w:rFonts w:ascii="Arial" w:hAnsi="Arial"/>
      <w:b/>
      <w:color w:val="000080"/>
      <w:kern w:val="32"/>
      <w:sz w:val="36"/>
      <w:szCs w:val="32"/>
      <w:lang w:val="fr-FR" w:eastAsia="fr-FR" w:bidi="ar-SA"/>
    </w:rPr>
  </w:style>
  <w:style w:type="paragraph" w:customStyle="1" w:styleId="SGACP-enumerationniveau1">
    <w:name w:val="SGACP-enumeration niveau 1"/>
    <w:basedOn w:val="Normal"/>
    <w:qFormat/>
    <w:rsid w:val="00BB1D28"/>
    <w:pPr>
      <w:numPr>
        <w:numId w:val="7"/>
      </w:numPr>
      <w:spacing w:before="120"/>
      <w:ind w:left="284" w:hanging="284"/>
      <w:jc w:val="both"/>
    </w:pPr>
    <w:rPr>
      <w:sz w:val="22"/>
      <w:szCs w:val="20"/>
    </w:rPr>
  </w:style>
  <w:style w:type="paragraph" w:customStyle="1" w:styleId="CharCharCarCharCharCarCharCharCarCharCharCarCharCharCarCharChar">
    <w:name w:val="Char Char Car Char Char Car Char Char Car Char Char Car Char Char Car Char Char"/>
    <w:basedOn w:val="Normal"/>
    <w:rsid w:val="00DF1AA0"/>
    <w:pPr>
      <w:spacing w:after="160" w:line="240" w:lineRule="exact"/>
    </w:pPr>
    <w:rPr>
      <w:rFonts w:ascii="Arial" w:hAnsi="Arial"/>
      <w:sz w:val="18"/>
      <w:szCs w:val="20"/>
      <w:lang w:eastAsia="en-US"/>
    </w:rPr>
  </w:style>
  <w:style w:type="paragraph" w:customStyle="1" w:styleId="Default">
    <w:name w:val="Default"/>
    <w:rsid w:val="00DF1AA0"/>
    <w:pPr>
      <w:autoSpaceDE w:val="0"/>
      <w:autoSpaceDN w:val="0"/>
      <w:adjustRightInd w:val="0"/>
    </w:pPr>
    <w:rPr>
      <w:rFonts w:ascii="Verdana" w:hAnsi="Verdana" w:cs="Verdana"/>
      <w:color w:val="000000"/>
      <w:sz w:val="24"/>
      <w:szCs w:val="24"/>
    </w:rPr>
  </w:style>
  <w:style w:type="paragraph" w:styleId="Rvision">
    <w:name w:val="Revision"/>
    <w:hidden/>
    <w:uiPriority w:val="99"/>
    <w:semiHidden/>
    <w:rsid w:val="00DC1FB4"/>
    <w:rPr>
      <w:sz w:val="24"/>
      <w:szCs w:val="24"/>
    </w:rPr>
  </w:style>
  <w:style w:type="paragraph" w:customStyle="1" w:styleId="CharCharCarCharCharCarCharCharCarCharCharCarCharCharCarCharCharCarCarCar2CarCarCarCarCarCarCarCarCarCarCar">
    <w:name w:val="Char Char Car Char Char Car Char Char Car Char Char Car Char Char Car Char Char Car Car Car2 Car Car Car Car Car Car Car Car Car Car Car"/>
    <w:basedOn w:val="Normal"/>
    <w:rsid w:val="00BD57E1"/>
    <w:pPr>
      <w:spacing w:after="160" w:line="240" w:lineRule="exact"/>
    </w:pPr>
    <w:rPr>
      <w:rFonts w:ascii="Arial" w:hAnsi="Arial"/>
      <w:sz w:val="18"/>
      <w:szCs w:val="20"/>
      <w:lang w:eastAsia="en-US"/>
    </w:rPr>
  </w:style>
  <w:style w:type="paragraph" w:styleId="Paragraphedeliste">
    <w:name w:val="List Paragraph"/>
    <w:basedOn w:val="Normal"/>
    <w:link w:val="ParagraphedelisteCar"/>
    <w:uiPriority w:val="99"/>
    <w:qFormat/>
    <w:rsid w:val="00197597"/>
    <w:pPr>
      <w:ind w:left="720"/>
      <w:contextualSpacing/>
    </w:pPr>
  </w:style>
  <w:style w:type="paragraph" w:customStyle="1" w:styleId="CharCharCarCharCharCarCharCharCarCharCharCarCharCharCarCharCharCarCarCar2CarCarCarCarCarCarCarCarCarCarCar0">
    <w:name w:val="Char Char Car Char Char Car Char Char Car Char Char Car Char Char Car Char Char Car Car Car2 Car Car Car Car Car Car Car Car Car Car Car"/>
    <w:basedOn w:val="Normal"/>
    <w:rsid w:val="004A3DFF"/>
    <w:pPr>
      <w:spacing w:after="160" w:line="240" w:lineRule="exact"/>
    </w:pPr>
    <w:rPr>
      <w:rFonts w:ascii="Arial" w:hAnsi="Arial"/>
      <w:sz w:val="18"/>
      <w:szCs w:val="20"/>
      <w:lang w:eastAsia="en-US"/>
    </w:rPr>
  </w:style>
  <w:style w:type="character" w:styleId="Marquedecommentaire">
    <w:name w:val="annotation reference"/>
    <w:basedOn w:val="Policepardfaut"/>
    <w:uiPriority w:val="99"/>
    <w:semiHidden/>
    <w:unhideWhenUsed/>
    <w:rsid w:val="007E67A7"/>
    <w:rPr>
      <w:sz w:val="16"/>
      <w:szCs w:val="16"/>
    </w:rPr>
  </w:style>
  <w:style w:type="paragraph" w:styleId="Commentaire">
    <w:name w:val="annotation text"/>
    <w:basedOn w:val="Normal"/>
    <w:link w:val="CommentaireCar"/>
    <w:uiPriority w:val="99"/>
    <w:semiHidden/>
    <w:unhideWhenUsed/>
    <w:rsid w:val="007E67A7"/>
    <w:rPr>
      <w:sz w:val="20"/>
      <w:szCs w:val="20"/>
    </w:rPr>
  </w:style>
  <w:style w:type="character" w:customStyle="1" w:styleId="CommentaireCar">
    <w:name w:val="Commentaire Car"/>
    <w:basedOn w:val="Policepardfaut"/>
    <w:link w:val="Commentaire"/>
    <w:uiPriority w:val="99"/>
    <w:semiHidden/>
    <w:rsid w:val="007E67A7"/>
  </w:style>
  <w:style w:type="paragraph" w:styleId="Objetducommentaire">
    <w:name w:val="annotation subject"/>
    <w:basedOn w:val="Commentaire"/>
    <w:next w:val="Commentaire"/>
    <w:link w:val="ObjetducommentaireCar"/>
    <w:uiPriority w:val="99"/>
    <w:semiHidden/>
    <w:unhideWhenUsed/>
    <w:rsid w:val="007E67A7"/>
    <w:rPr>
      <w:b/>
      <w:bCs/>
    </w:rPr>
  </w:style>
  <w:style w:type="character" w:customStyle="1" w:styleId="ObjetducommentaireCar">
    <w:name w:val="Objet du commentaire Car"/>
    <w:basedOn w:val="CommentaireCar"/>
    <w:link w:val="Objetducommentaire"/>
    <w:uiPriority w:val="99"/>
    <w:semiHidden/>
    <w:rsid w:val="007E67A7"/>
    <w:rPr>
      <w:b/>
      <w:bCs/>
    </w:rPr>
  </w:style>
  <w:style w:type="character" w:customStyle="1" w:styleId="PieddepageCar">
    <w:name w:val="Pied de page Car"/>
    <w:basedOn w:val="Policepardfaut"/>
    <w:link w:val="Pieddepage"/>
    <w:rsid w:val="005F1658"/>
    <w:rPr>
      <w:sz w:val="24"/>
      <w:szCs w:val="24"/>
    </w:rPr>
  </w:style>
  <w:style w:type="character" w:customStyle="1" w:styleId="Titre1Car">
    <w:name w:val="Titre 1 Car"/>
    <w:aliases w:val="Heading 1 Car"/>
    <w:link w:val="Titre1"/>
    <w:uiPriority w:val="99"/>
    <w:locked/>
    <w:rsid w:val="0095581F"/>
    <w:rPr>
      <w:b/>
      <w:bCs/>
      <w:sz w:val="32"/>
      <w:szCs w:val="24"/>
    </w:rPr>
  </w:style>
  <w:style w:type="paragraph" w:customStyle="1" w:styleId="Lettre">
    <w:name w:val="Lettre"/>
    <w:rsid w:val="0095581F"/>
    <w:pPr>
      <w:jc w:val="both"/>
    </w:pPr>
    <w:rPr>
      <w:sz w:val="24"/>
    </w:rPr>
  </w:style>
  <w:style w:type="character" w:customStyle="1" w:styleId="En-tteCar">
    <w:name w:val="En-tête Car"/>
    <w:link w:val="En-tte"/>
    <w:uiPriority w:val="99"/>
    <w:locked/>
    <w:rsid w:val="0095581F"/>
    <w:rPr>
      <w:sz w:val="24"/>
      <w:szCs w:val="24"/>
    </w:rPr>
  </w:style>
  <w:style w:type="paragraph" w:customStyle="1" w:styleId="AJtitrechapitre">
    <w:name w:val="AJtitrechapitre"/>
    <w:rsid w:val="0095581F"/>
    <w:pPr>
      <w:widowControl w:val="0"/>
      <w:autoSpaceDE w:val="0"/>
      <w:autoSpaceDN w:val="0"/>
      <w:adjustRightInd w:val="0"/>
      <w:spacing w:before="680" w:after="440"/>
      <w:jc w:val="center"/>
    </w:pPr>
    <w:rPr>
      <w:rFonts w:ascii="Arial" w:hAnsi="Arial" w:cs="Arial"/>
      <w:b/>
      <w:bCs/>
    </w:rPr>
  </w:style>
  <w:style w:type="paragraph" w:customStyle="1" w:styleId="Body">
    <w:name w:val="Body"/>
    <w:basedOn w:val="Normal"/>
    <w:rsid w:val="00E03757"/>
    <w:pPr>
      <w:spacing w:after="140" w:line="290" w:lineRule="auto"/>
      <w:jc w:val="both"/>
    </w:pPr>
    <w:rPr>
      <w:rFonts w:ascii="Arial" w:hAnsi="Arial"/>
      <w:kern w:val="20"/>
      <w:sz w:val="20"/>
      <w:lang w:eastAsia="en-GB"/>
    </w:rPr>
  </w:style>
  <w:style w:type="paragraph" w:customStyle="1" w:styleId="Head">
    <w:name w:val="Head"/>
    <w:basedOn w:val="Normal"/>
    <w:next w:val="Body"/>
    <w:rsid w:val="00E03757"/>
    <w:pPr>
      <w:keepNext/>
      <w:spacing w:before="280" w:after="140" w:line="290" w:lineRule="auto"/>
      <w:jc w:val="both"/>
      <w:outlineLvl w:val="0"/>
    </w:pPr>
    <w:rPr>
      <w:rFonts w:ascii="Arial" w:hAnsi="Arial"/>
      <w:b/>
      <w:kern w:val="23"/>
      <w:sz w:val="23"/>
      <w:lang w:eastAsia="en-GB"/>
    </w:rPr>
  </w:style>
  <w:style w:type="character" w:customStyle="1" w:styleId="ParagraphedelisteCar">
    <w:name w:val="Paragraphe de liste Car"/>
    <w:link w:val="Paragraphedeliste"/>
    <w:uiPriority w:val="34"/>
    <w:rsid w:val="005B787D"/>
    <w:rPr>
      <w:sz w:val="24"/>
      <w:szCs w:val="24"/>
    </w:rPr>
  </w:style>
  <w:style w:type="paragraph" w:customStyle="1" w:styleId="StyleTitre3CorpsCalibri">
    <w:name w:val="Style Titre 3 + +Corps (Calibri)"/>
    <w:basedOn w:val="Titre3"/>
    <w:rsid w:val="00364702"/>
    <w:pPr>
      <w:numPr>
        <w:ilvl w:val="0"/>
        <w:numId w:val="0"/>
      </w:numPr>
    </w:pPr>
    <w:rPr>
      <w:rFonts w:asciiTheme="minorHAnsi" w:hAnsiTheme="minorHAnsi"/>
      <w:sz w:val="26"/>
    </w:rPr>
  </w:style>
  <w:style w:type="paragraph" w:styleId="NormalWeb">
    <w:name w:val="Normal (Web)"/>
    <w:basedOn w:val="Normal"/>
    <w:uiPriority w:val="99"/>
    <w:rsid w:val="00707EA5"/>
    <w:pPr>
      <w:widowControl w:val="0"/>
      <w:spacing w:before="100" w:beforeAutospacing="1" w:after="100" w:afterAutospacing="1"/>
      <w:jc w:val="both"/>
    </w:pPr>
    <w:rPr>
      <w:sz w:val="22"/>
    </w:rPr>
  </w:style>
  <w:style w:type="character" w:customStyle="1" w:styleId="txt">
    <w:name w:val="txt"/>
    <w:basedOn w:val="Policepardfaut"/>
    <w:uiPriority w:val="99"/>
    <w:rsid w:val="00707EA5"/>
  </w:style>
  <w:style w:type="paragraph" w:customStyle="1" w:styleId="AODocTxt">
    <w:name w:val="AODocTxt"/>
    <w:basedOn w:val="Normal"/>
    <w:uiPriority w:val="99"/>
    <w:rsid w:val="00707EA5"/>
    <w:pPr>
      <w:widowControl w:val="0"/>
      <w:numPr>
        <w:numId w:val="9"/>
      </w:numPr>
      <w:spacing w:before="240" w:line="260" w:lineRule="atLeast"/>
      <w:jc w:val="both"/>
    </w:pPr>
    <w:rPr>
      <w:rFonts w:eastAsia="SimSun"/>
      <w:sz w:val="22"/>
      <w:szCs w:val="22"/>
      <w:lang w:val="en-GB" w:eastAsia="en-US"/>
    </w:rPr>
  </w:style>
  <w:style w:type="paragraph" w:customStyle="1" w:styleId="AODocTxtL1">
    <w:name w:val="AODocTxtL1"/>
    <w:basedOn w:val="AODocTxt"/>
    <w:uiPriority w:val="99"/>
    <w:rsid w:val="00707EA5"/>
    <w:pPr>
      <w:numPr>
        <w:ilvl w:val="1"/>
      </w:numPr>
    </w:pPr>
  </w:style>
  <w:style w:type="paragraph" w:customStyle="1" w:styleId="AODocTxtL2">
    <w:name w:val="AODocTxtL2"/>
    <w:basedOn w:val="AODocTxt"/>
    <w:uiPriority w:val="99"/>
    <w:rsid w:val="00707EA5"/>
    <w:pPr>
      <w:numPr>
        <w:ilvl w:val="2"/>
      </w:numPr>
    </w:pPr>
  </w:style>
  <w:style w:type="paragraph" w:customStyle="1" w:styleId="AODocTxtL3">
    <w:name w:val="AODocTxtL3"/>
    <w:basedOn w:val="AODocTxt"/>
    <w:uiPriority w:val="99"/>
    <w:rsid w:val="00707EA5"/>
    <w:pPr>
      <w:numPr>
        <w:ilvl w:val="3"/>
      </w:numPr>
    </w:pPr>
  </w:style>
  <w:style w:type="paragraph" w:customStyle="1" w:styleId="AODocTxtL4">
    <w:name w:val="AODocTxtL4"/>
    <w:basedOn w:val="AODocTxt"/>
    <w:uiPriority w:val="99"/>
    <w:rsid w:val="00707EA5"/>
    <w:pPr>
      <w:numPr>
        <w:ilvl w:val="4"/>
      </w:numPr>
    </w:pPr>
  </w:style>
  <w:style w:type="paragraph" w:customStyle="1" w:styleId="AODocTxtL5">
    <w:name w:val="AODocTxtL5"/>
    <w:basedOn w:val="AODocTxt"/>
    <w:uiPriority w:val="99"/>
    <w:rsid w:val="00707EA5"/>
    <w:pPr>
      <w:numPr>
        <w:ilvl w:val="5"/>
      </w:numPr>
    </w:pPr>
  </w:style>
  <w:style w:type="paragraph" w:customStyle="1" w:styleId="AODocTxtL6">
    <w:name w:val="AODocTxtL6"/>
    <w:basedOn w:val="AODocTxt"/>
    <w:uiPriority w:val="99"/>
    <w:rsid w:val="00707EA5"/>
    <w:pPr>
      <w:numPr>
        <w:ilvl w:val="6"/>
      </w:numPr>
    </w:pPr>
  </w:style>
  <w:style w:type="paragraph" w:customStyle="1" w:styleId="AODocTxtL7">
    <w:name w:val="AODocTxtL7"/>
    <w:basedOn w:val="AODocTxt"/>
    <w:uiPriority w:val="99"/>
    <w:rsid w:val="00707EA5"/>
    <w:pPr>
      <w:numPr>
        <w:ilvl w:val="7"/>
      </w:numPr>
    </w:pPr>
  </w:style>
  <w:style w:type="paragraph" w:customStyle="1" w:styleId="AODocTxtL8">
    <w:name w:val="AODocTxtL8"/>
    <w:basedOn w:val="AODocTxt"/>
    <w:uiPriority w:val="99"/>
    <w:rsid w:val="00707EA5"/>
    <w:pPr>
      <w:numPr>
        <w:ilvl w:val="8"/>
      </w:numPr>
    </w:pPr>
  </w:style>
  <w:style w:type="paragraph" w:customStyle="1" w:styleId="AppendixHeading">
    <w:name w:val="Appendix Heading"/>
    <w:basedOn w:val="Titre1"/>
    <w:next w:val="Corpsdetexte"/>
    <w:rsid w:val="00DD5E67"/>
    <w:pPr>
      <w:numPr>
        <w:numId w:val="10"/>
      </w:numPr>
      <w:spacing w:before="400" w:line="360" w:lineRule="exact"/>
      <w:outlineLvl w:val="9"/>
    </w:pPr>
    <w:rPr>
      <w:bCs w:val="0"/>
      <w:sz w:val="26"/>
      <w:szCs w:val="20"/>
      <w:lang w:eastAsia="en-US"/>
    </w:rPr>
  </w:style>
  <w:style w:type="paragraph" w:customStyle="1" w:styleId="AppendixHeading2">
    <w:name w:val="Appendix Heading 2"/>
    <w:basedOn w:val="Titre2"/>
    <w:next w:val="Corpsdetexte"/>
    <w:rsid w:val="00DD5E67"/>
    <w:pPr>
      <w:numPr>
        <w:numId w:val="10"/>
      </w:numPr>
      <w:spacing w:before="400" w:after="0" w:line="320" w:lineRule="exact"/>
      <w:outlineLvl w:val="9"/>
    </w:pPr>
    <w:rPr>
      <w:rFonts w:ascii="Times New Roman" w:hAnsi="Times New Roman" w:cs="Times New Roman"/>
      <w:bCs w:val="0"/>
      <w:iCs w:val="0"/>
      <w:sz w:val="22"/>
      <w:szCs w:val="20"/>
      <w:lang w:eastAsia="en-US"/>
    </w:rPr>
  </w:style>
  <w:style w:type="paragraph" w:customStyle="1" w:styleId="AppendixHeading3">
    <w:name w:val="Appendix Heading 3"/>
    <w:basedOn w:val="Titre3"/>
    <w:next w:val="Corpsdetexte"/>
    <w:rsid w:val="00DD5E67"/>
    <w:pPr>
      <w:numPr>
        <w:numId w:val="10"/>
      </w:numPr>
      <w:spacing w:before="400" w:after="0" w:line="280" w:lineRule="exact"/>
      <w:outlineLvl w:val="9"/>
    </w:pPr>
    <w:rPr>
      <w:rFonts w:ascii="Times New Roman" w:hAnsi="Times New Roman" w:cs="Times New Roman"/>
      <w:bCs w:val="0"/>
      <w:i/>
      <w:sz w:val="22"/>
      <w:szCs w:val="20"/>
      <w:lang w:eastAsia="en-US"/>
    </w:rPr>
  </w:style>
  <w:style w:type="paragraph" w:customStyle="1" w:styleId="AppendixHeading4">
    <w:name w:val="Appendix Heading 4"/>
    <w:basedOn w:val="Titre4"/>
    <w:next w:val="Corpsdetexte"/>
    <w:rsid w:val="00DD5E67"/>
    <w:pPr>
      <w:numPr>
        <w:numId w:val="10"/>
      </w:numPr>
      <w:spacing w:before="400" w:after="0" w:line="280" w:lineRule="exact"/>
      <w:outlineLvl w:val="9"/>
    </w:pPr>
    <w:rPr>
      <w:b w:val="0"/>
      <w:bCs w:val="0"/>
      <w:i/>
      <w:sz w:val="22"/>
      <w:szCs w:val="20"/>
      <w:lang w:eastAsia="en-US"/>
    </w:rPr>
  </w:style>
  <w:style w:type="character" w:customStyle="1" w:styleId="NotedebasdepageCar">
    <w:name w:val="Note de bas de page Car"/>
    <w:basedOn w:val="Policepardfaut"/>
    <w:link w:val="Notedebasdepage"/>
    <w:uiPriority w:val="99"/>
    <w:rsid w:val="00DD5E67"/>
  </w:style>
  <w:style w:type="paragraph" w:customStyle="1" w:styleId="Texte">
    <w:name w:val="Texte"/>
    <w:basedOn w:val="Normal"/>
    <w:link w:val="TexteChar"/>
    <w:rsid w:val="00DD5E67"/>
    <w:pPr>
      <w:keepLines/>
      <w:overflowPunct w:val="0"/>
      <w:autoSpaceDE w:val="0"/>
      <w:autoSpaceDN w:val="0"/>
      <w:adjustRightInd w:val="0"/>
      <w:spacing w:after="240" w:line="260" w:lineRule="exact"/>
      <w:textAlignment w:val="baseline"/>
    </w:pPr>
    <w:rPr>
      <w:rFonts w:ascii="EYInterstate Light" w:hAnsi="EYInterstate Light"/>
      <w:kern w:val="12"/>
      <w:sz w:val="20"/>
      <w:szCs w:val="18"/>
      <w:lang w:eastAsia="en-US"/>
    </w:rPr>
  </w:style>
  <w:style w:type="paragraph" w:customStyle="1" w:styleId="TexteGrasItalic">
    <w:name w:val="Texte Gras Italic"/>
    <w:basedOn w:val="Texte"/>
    <w:next w:val="Texte"/>
    <w:rsid w:val="00DD5E67"/>
    <w:pPr>
      <w:keepNext/>
    </w:pPr>
    <w:rPr>
      <w:b/>
      <w:i/>
      <w:lang w:val="en-US"/>
    </w:rPr>
  </w:style>
  <w:style w:type="paragraph" w:customStyle="1" w:styleId="Bullet">
    <w:name w:val="Bullet"/>
    <w:basedOn w:val="Texte"/>
    <w:link w:val="BulletChar"/>
    <w:rsid w:val="00DD5E67"/>
    <w:pPr>
      <w:numPr>
        <w:numId w:val="11"/>
      </w:numPr>
      <w:tabs>
        <w:tab w:val="clear" w:pos="284"/>
        <w:tab w:val="num" w:pos="720"/>
      </w:tabs>
      <w:ind w:left="720" w:hanging="360"/>
    </w:pPr>
  </w:style>
  <w:style w:type="character" w:customStyle="1" w:styleId="BulletChar">
    <w:name w:val="Bullet Char"/>
    <w:basedOn w:val="Policepardfaut"/>
    <w:link w:val="Bullet"/>
    <w:rsid w:val="00DD5E67"/>
    <w:rPr>
      <w:rFonts w:ascii="EYInterstate Light" w:hAnsi="EYInterstate Light"/>
      <w:kern w:val="12"/>
      <w:szCs w:val="18"/>
      <w:lang w:eastAsia="en-US"/>
    </w:rPr>
  </w:style>
  <w:style w:type="paragraph" w:customStyle="1" w:styleId="TitreI">
    <w:name w:val="Titre I"/>
    <w:basedOn w:val="Normal"/>
    <w:rsid w:val="00DD5E67"/>
    <w:pPr>
      <w:keepNext/>
      <w:keepLines/>
      <w:overflowPunct w:val="0"/>
      <w:autoSpaceDE w:val="0"/>
      <w:autoSpaceDN w:val="0"/>
      <w:adjustRightInd w:val="0"/>
      <w:spacing w:before="480" w:after="240" w:line="240" w:lineRule="exact"/>
      <w:ind w:left="567" w:hanging="567"/>
      <w:textAlignment w:val="baseline"/>
    </w:pPr>
    <w:rPr>
      <w:rFonts w:ascii="EYInterstate" w:hAnsi="EYInterstate"/>
      <w:b/>
      <w:sz w:val="20"/>
      <w:szCs w:val="18"/>
      <w:lang w:eastAsia="en-US"/>
    </w:rPr>
  </w:style>
  <w:style w:type="character" w:customStyle="1" w:styleId="TexteChar">
    <w:name w:val="Texte Char"/>
    <w:link w:val="Texte"/>
    <w:locked/>
    <w:rsid w:val="00DD5E67"/>
    <w:rPr>
      <w:rFonts w:ascii="EYInterstate Light" w:hAnsi="EYInterstate Light"/>
      <w:kern w:val="12"/>
      <w:szCs w:val="18"/>
      <w:lang w:eastAsia="en-US"/>
    </w:rPr>
  </w:style>
  <w:style w:type="paragraph" w:styleId="Listepuces">
    <w:name w:val="List Bullet"/>
    <w:basedOn w:val="Corpsdetexte"/>
    <w:rsid w:val="00DD5E67"/>
    <w:pPr>
      <w:numPr>
        <w:numId w:val="12"/>
      </w:numPr>
      <w:tabs>
        <w:tab w:val="clear" w:pos="5103"/>
      </w:tabs>
      <w:spacing w:before="130" w:after="130" w:line="260" w:lineRule="atLeast"/>
      <w:jc w:val="left"/>
    </w:pPr>
    <w:rPr>
      <w:rFonts w:ascii="Times New Roman" w:hAnsi="Times New Roman"/>
      <w:noProof w:val="0"/>
      <w:sz w:val="22"/>
      <w:lang w:eastAsia="en-US"/>
    </w:rPr>
  </w:style>
  <w:style w:type="paragraph" w:customStyle="1" w:styleId="Textedenotedefin">
    <w:name w:val="Texte de note de fin"/>
    <w:basedOn w:val="Normal"/>
    <w:rsid w:val="005472FE"/>
    <w:pPr>
      <w:widowControl w:val="0"/>
    </w:pPr>
    <w:rPr>
      <w:rFonts w:ascii="Courier New" w:hAnsi="Courier New"/>
      <w:szCs w:val="20"/>
    </w:rPr>
  </w:style>
  <w:style w:type="paragraph" w:customStyle="1" w:styleId="Address">
    <w:name w:val="Address"/>
    <w:basedOn w:val="Normal"/>
    <w:rsid w:val="00C06922"/>
    <w:pPr>
      <w:framePr w:w="3005" w:h="567" w:hSpace="181" w:vSpace="181" w:wrap="around" w:hAnchor="page" w:xAlign="right" w:yAlign="top" w:anchorLock="1"/>
      <w:pBdr>
        <w:left w:val="single" w:sz="4" w:space="9" w:color="auto"/>
      </w:pBdr>
      <w:spacing w:line="200" w:lineRule="exact"/>
      <w:ind w:right="284"/>
    </w:pPr>
    <w:rPr>
      <w:sz w:val="16"/>
      <w:szCs w:val="20"/>
      <w:lang w:val="en-GB" w:eastAsia="en-US"/>
    </w:rPr>
  </w:style>
  <w:style w:type="character" w:customStyle="1" w:styleId="Titre3Car">
    <w:name w:val="Titre 3 Car"/>
    <w:aliases w:val="Heading 3 Car"/>
    <w:basedOn w:val="Policepardfaut"/>
    <w:link w:val="Titre3"/>
    <w:rsid w:val="00610BC9"/>
    <w:rPr>
      <w:rFonts w:ascii="Arial" w:hAnsi="Arial" w:cs="Arial"/>
      <w:b/>
      <w:bCs/>
      <w:sz w:val="24"/>
      <w:szCs w:val="26"/>
    </w:rPr>
  </w:style>
  <w:style w:type="character" w:customStyle="1" w:styleId="Titre5Car">
    <w:name w:val="Titre 5 Car"/>
    <w:basedOn w:val="Policepardfaut"/>
    <w:link w:val="Titre5"/>
    <w:rsid w:val="00610BC9"/>
    <w:rPr>
      <w:b/>
      <w:bCs/>
      <w:i/>
      <w:iCs/>
      <w:sz w:val="24"/>
      <w:szCs w:val="26"/>
    </w:rPr>
  </w:style>
  <w:style w:type="paragraph" w:styleId="Lgende">
    <w:name w:val="caption"/>
    <w:basedOn w:val="Normal"/>
    <w:next w:val="Normal"/>
    <w:qFormat/>
    <w:rsid w:val="00610BC9"/>
    <w:pPr>
      <w:jc w:val="both"/>
    </w:pPr>
    <w:rPr>
      <w:rFonts w:ascii="Arial" w:hAnsi="Arial"/>
      <w:b/>
      <w:sz w:val="20"/>
      <w:lang w:eastAsia="en-US"/>
    </w:rPr>
  </w:style>
  <w:style w:type="paragraph" w:styleId="Titre">
    <w:name w:val="Title"/>
    <w:basedOn w:val="Normal"/>
    <w:next w:val="Normal"/>
    <w:link w:val="TitreCar"/>
    <w:autoRedefine/>
    <w:qFormat/>
    <w:rsid w:val="00610BC9"/>
    <w:pPr>
      <w:pBdr>
        <w:bottom w:val="single" w:sz="8" w:space="4" w:color="4F81BD"/>
      </w:pBdr>
      <w:spacing w:after="300"/>
      <w:contextualSpacing/>
      <w:jc w:val="both"/>
    </w:pPr>
    <w:rPr>
      <w:rFonts w:ascii="Arial" w:hAnsi="Arial"/>
      <w:color w:val="17365D"/>
      <w:spacing w:val="5"/>
      <w:kern w:val="28"/>
      <w:sz w:val="52"/>
      <w:szCs w:val="52"/>
      <w:lang w:eastAsia="en-US"/>
    </w:rPr>
  </w:style>
  <w:style w:type="character" w:customStyle="1" w:styleId="TitreCar">
    <w:name w:val="Titre Car"/>
    <w:basedOn w:val="Policepardfaut"/>
    <w:link w:val="Titre"/>
    <w:rsid w:val="00610BC9"/>
    <w:rPr>
      <w:rFonts w:ascii="Arial" w:hAnsi="Arial"/>
      <w:color w:val="17365D"/>
      <w:spacing w:val="5"/>
      <w:kern w:val="28"/>
      <w:sz w:val="52"/>
      <w:szCs w:val="52"/>
      <w:lang w:eastAsia="en-US"/>
    </w:rPr>
  </w:style>
  <w:style w:type="character" w:styleId="Accentuation">
    <w:name w:val="Emphasis"/>
    <w:basedOn w:val="Policepardfaut"/>
    <w:uiPriority w:val="20"/>
    <w:qFormat/>
    <w:rsid w:val="00610BC9"/>
    <w:rPr>
      <w:i/>
      <w:iCs/>
    </w:rPr>
  </w:style>
  <w:style w:type="character" w:customStyle="1" w:styleId="TextedebullesCar">
    <w:name w:val="Texte de bulles Car"/>
    <w:basedOn w:val="Policepardfaut"/>
    <w:link w:val="Textedebulles"/>
    <w:uiPriority w:val="99"/>
    <w:semiHidden/>
    <w:rsid w:val="00610BC9"/>
    <w:rPr>
      <w:rFonts w:ascii="Tahoma" w:hAnsi="Tahoma" w:cs="Tahoma"/>
      <w:sz w:val="16"/>
      <w:szCs w:val="16"/>
    </w:rPr>
  </w:style>
  <w:style w:type="paragraph" w:customStyle="1" w:styleId="CorpsA">
    <w:name w:val="Corps A"/>
    <w:rsid w:val="00610BC9"/>
    <w:pPr>
      <w:pBdr>
        <w:top w:val="nil"/>
        <w:left w:val="nil"/>
        <w:bottom w:val="nil"/>
        <w:right w:val="nil"/>
        <w:between w:val="nil"/>
        <w:bar w:val="nil"/>
      </w:pBdr>
    </w:pPr>
    <w:rPr>
      <w:rFonts w:eastAsia="Arial Unicode MS" w:cs="Arial Unicode MS"/>
      <w:color w:val="000000"/>
      <w:sz w:val="24"/>
      <w:szCs w:val="24"/>
      <w:u w:color="000000"/>
      <w:bdr w:val="nil"/>
    </w:rPr>
  </w:style>
  <w:style w:type="character" w:customStyle="1" w:styleId="CorpsdetexteCar">
    <w:name w:val="Corps de texte Car"/>
    <w:basedOn w:val="Policepardfaut"/>
    <w:link w:val="Corpsdetexte"/>
    <w:rsid w:val="00610BC9"/>
    <w:rPr>
      <w:rFonts w:ascii="Arial" w:hAnsi="Arial"/>
      <w:noProof/>
    </w:rPr>
  </w:style>
  <w:style w:type="character" w:customStyle="1" w:styleId="Titre6Car">
    <w:name w:val="Titre 6 Car"/>
    <w:basedOn w:val="Policepardfaut"/>
    <w:link w:val="Titre6"/>
    <w:rsid w:val="00610BC9"/>
    <w:rPr>
      <w:b/>
      <w:bCs/>
      <w:sz w:val="24"/>
    </w:rPr>
  </w:style>
  <w:style w:type="character" w:customStyle="1" w:styleId="Titre7Car">
    <w:name w:val="Titre 7 Car"/>
    <w:basedOn w:val="Policepardfaut"/>
    <w:link w:val="Titre7"/>
    <w:rsid w:val="00610BC9"/>
    <w:rPr>
      <w:sz w:val="24"/>
      <w:szCs w:val="24"/>
    </w:rPr>
  </w:style>
  <w:style w:type="character" w:customStyle="1" w:styleId="Titre8Car">
    <w:name w:val="Titre 8 Car"/>
    <w:basedOn w:val="Policepardfaut"/>
    <w:link w:val="Titre8"/>
    <w:rsid w:val="00610BC9"/>
    <w:rPr>
      <w:i/>
      <w:iCs/>
      <w:sz w:val="24"/>
      <w:szCs w:val="24"/>
    </w:rPr>
  </w:style>
  <w:style w:type="character" w:customStyle="1" w:styleId="Titre9Car">
    <w:name w:val="Titre 9 Car"/>
    <w:basedOn w:val="Policepardfaut"/>
    <w:link w:val="Titre9"/>
    <w:rsid w:val="00610BC9"/>
    <w:rPr>
      <w:rFonts w:ascii="Arial" w:hAnsi="Arial" w:cs="Arial"/>
      <w:sz w:val="22"/>
      <w:szCs w:val="22"/>
    </w:rPr>
  </w:style>
  <w:style w:type="character" w:customStyle="1" w:styleId="Corpsdetexte2Car">
    <w:name w:val="Corps de texte 2 Car"/>
    <w:basedOn w:val="Policepardfaut"/>
    <w:link w:val="Corpsdetexte2"/>
    <w:uiPriority w:val="99"/>
    <w:rsid w:val="00610BC9"/>
    <w:rPr>
      <w:sz w:val="24"/>
      <w:szCs w:val="24"/>
    </w:rPr>
  </w:style>
  <w:style w:type="paragraph" w:customStyle="1" w:styleId="ParagraphPurple">
    <w:name w:val="ParagraphPurple"/>
    <w:link w:val="ParagraphPurpleCar"/>
    <w:uiPriority w:val="99"/>
    <w:rsid w:val="00ED30F8"/>
    <w:pPr>
      <w:widowControl w:val="0"/>
      <w:tabs>
        <w:tab w:val="left" w:pos="720"/>
      </w:tabs>
      <w:autoSpaceDE w:val="0"/>
      <w:autoSpaceDN w:val="0"/>
      <w:adjustRightInd w:val="0"/>
      <w:spacing w:before="72" w:after="72"/>
      <w:ind w:left="720" w:hanging="717"/>
    </w:pPr>
    <w:rPr>
      <w:rFonts w:eastAsiaTheme="minorEastAsia"/>
      <w:color w:val="800080"/>
      <w:sz w:val="24"/>
      <w:szCs w:val="24"/>
      <w:lang w:val="fr-CA" w:eastAsia="fr-CA"/>
    </w:rPr>
  </w:style>
  <w:style w:type="character" w:customStyle="1" w:styleId="ParagraphPurpleCar">
    <w:name w:val="ParagraphPurple Car"/>
    <w:basedOn w:val="Policepardfaut"/>
    <w:link w:val="ParagraphPurple"/>
    <w:uiPriority w:val="99"/>
    <w:rsid w:val="00ED30F8"/>
    <w:rPr>
      <w:rFonts w:eastAsiaTheme="minorEastAsia"/>
      <w:color w:val="800080"/>
      <w:sz w:val="24"/>
      <w:szCs w:val="24"/>
      <w:lang w:val="fr-CA" w:eastAsia="fr-CA"/>
    </w:rPr>
  </w:style>
  <w:style w:type="paragraph" w:customStyle="1" w:styleId="StylePuce">
    <w:name w:val="StylePuce"/>
    <w:basedOn w:val="Normal"/>
    <w:next w:val="Normal"/>
    <w:rsid w:val="00485666"/>
    <w:pPr>
      <w:numPr>
        <w:numId w:val="38"/>
      </w:numPr>
      <w:spacing w:after="120"/>
    </w:pPr>
    <w:rPr>
      <w:noProof/>
      <w:sz w:val="20"/>
      <w:szCs w:val="20"/>
    </w:rPr>
  </w:style>
  <w:style w:type="paragraph" w:styleId="Listepuces2">
    <w:name w:val="List Bullet 2"/>
    <w:basedOn w:val="Normal"/>
    <w:uiPriority w:val="99"/>
    <w:unhideWhenUsed/>
    <w:rsid w:val="00E16F70"/>
    <w:pPr>
      <w:numPr>
        <w:numId w:val="41"/>
      </w:numPr>
      <w:contextualSpacing/>
    </w:pPr>
  </w:style>
  <w:style w:type="paragraph" w:customStyle="1" w:styleId="Tableauentte">
    <w:name w:val="Tableau_entête"/>
    <w:basedOn w:val="Normal"/>
    <w:autoRedefine/>
    <w:qFormat/>
    <w:rsid w:val="00FE3CDA"/>
    <w:pPr>
      <w:jc w:val="center"/>
    </w:pPr>
    <w:rPr>
      <w:rFonts w:ascii="Arial" w:hAnsi="Arial" w:cs="Arial"/>
      <w:b/>
      <w:sz w:val="20"/>
      <w:szCs w:val="22"/>
    </w:rPr>
  </w:style>
  <w:style w:type="paragraph" w:customStyle="1" w:styleId="Tableau">
    <w:name w:val="Tableau"/>
    <w:basedOn w:val="Normal"/>
    <w:qFormat/>
    <w:rsid w:val="00FE3CDA"/>
    <w:pPr>
      <w:jc w:val="both"/>
    </w:pPr>
    <w:rPr>
      <w:rFonts w:ascii="Arial" w:hAnsi="Arial" w:cs="Arial"/>
      <w:sz w:val="20"/>
      <w:szCs w:val="22"/>
    </w:rPr>
  </w:style>
  <w:style w:type="paragraph" w:styleId="En-ttedetabledesmatires">
    <w:name w:val="TOC Heading"/>
    <w:basedOn w:val="Titre1"/>
    <w:next w:val="Normal"/>
    <w:uiPriority w:val="39"/>
    <w:unhideWhenUsed/>
    <w:qFormat/>
    <w:rsid w:val="002E3358"/>
    <w:pPr>
      <w:keepLines/>
      <w:spacing w:before="240" w:line="259" w:lineRule="auto"/>
      <w:outlineLvl w:val="9"/>
    </w:pPr>
    <w:rPr>
      <w:rFonts w:asciiTheme="majorHAnsi" w:eastAsiaTheme="majorEastAsia" w:hAnsiTheme="majorHAnsi" w:cstheme="majorBidi"/>
      <w:b w:val="0"/>
      <w:bCs w:val="0"/>
      <w:color w:val="365F91"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5889">
      <w:bodyDiv w:val="1"/>
      <w:marLeft w:val="0"/>
      <w:marRight w:val="0"/>
      <w:marTop w:val="0"/>
      <w:marBottom w:val="0"/>
      <w:divBdr>
        <w:top w:val="none" w:sz="0" w:space="0" w:color="auto"/>
        <w:left w:val="none" w:sz="0" w:space="0" w:color="auto"/>
        <w:bottom w:val="none" w:sz="0" w:space="0" w:color="auto"/>
        <w:right w:val="none" w:sz="0" w:space="0" w:color="auto"/>
      </w:divBdr>
    </w:div>
    <w:div w:id="16935010">
      <w:bodyDiv w:val="1"/>
      <w:marLeft w:val="0"/>
      <w:marRight w:val="0"/>
      <w:marTop w:val="0"/>
      <w:marBottom w:val="0"/>
      <w:divBdr>
        <w:top w:val="none" w:sz="0" w:space="0" w:color="auto"/>
        <w:left w:val="none" w:sz="0" w:space="0" w:color="auto"/>
        <w:bottom w:val="none" w:sz="0" w:space="0" w:color="auto"/>
        <w:right w:val="none" w:sz="0" w:space="0" w:color="auto"/>
      </w:divBdr>
    </w:div>
    <w:div w:id="82188320">
      <w:bodyDiv w:val="1"/>
      <w:marLeft w:val="0"/>
      <w:marRight w:val="0"/>
      <w:marTop w:val="0"/>
      <w:marBottom w:val="0"/>
      <w:divBdr>
        <w:top w:val="none" w:sz="0" w:space="0" w:color="auto"/>
        <w:left w:val="none" w:sz="0" w:space="0" w:color="auto"/>
        <w:bottom w:val="none" w:sz="0" w:space="0" w:color="auto"/>
        <w:right w:val="none" w:sz="0" w:space="0" w:color="auto"/>
      </w:divBdr>
    </w:div>
    <w:div w:id="98112616">
      <w:bodyDiv w:val="1"/>
      <w:marLeft w:val="0"/>
      <w:marRight w:val="0"/>
      <w:marTop w:val="0"/>
      <w:marBottom w:val="0"/>
      <w:divBdr>
        <w:top w:val="none" w:sz="0" w:space="0" w:color="auto"/>
        <w:left w:val="none" w:sz="0" w:space="0" w:color="auto"/>
        <w:bottom w:val="none" w:sz="0" w:space="0" w:color="auto"/>
        <w:right w:val="none" w:sz="0" w:space="0" w:color="auto"/>
      </w:divBdr>
      <w:divsChild>
        <w:div w:id="1159272636">
          <w:marLeft w:val="0"/>
          <w:marRight w:val="0"/>
          <w:marTop w:val="0"/>
          <w:marBottom w:val="0"/>
          <w:divBdr>
            <w:top w:val="none" w:sz="0" w:space="0" w:color="auto"/>
            <w:left w:val="none" w:sz="0" w:space="0" w:color="auto"/>
            <w:bottom w:val="none" w:sz="0" w:space="0" w:color="auto"/>
            <w:right w:val="none" w:sz="0" w:space="0" w:color="auto"/>
          </w:divBdr>
          <w:divsChild>
            <w:div w:id="10991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8127">
      <w:bodyDiv w:val="1"/>
      <w:marLeft w:val="0"/>
      <w:marRight w:val="0"/>
      <w:marTop w:val="0"/>
      <w:marBottom w:val="0"/>
      <w:divBdr>
        <w:top w:val="none" w:sz="0" w:space="0" w:color="auto"/>
        <w:left w:val="none" w:sz="0" w:space="0" w:color="auto"/>
        <w:bottom w:val="none" w:sz="0" w:space="0" w:color="auto"/>
        <w:right w:val="none" w:sz="0" w:space="0" w:color="auto"/>
      </w:divBdr>
    </w:div>
    <w:div w:id="190999688">
      <w:bodyDiv w:val="1"/>
      <w:marLeft w:val="0"/>
      <w:marRight w:val="0"/>
      <w:marTop w:val="0"/>
      <w:marBottom w:val="0"/>
      <w:divBdr>
        <w:top w:val="none" w:sz="0" w:space="0" w:color="auto"/>
        <w:left w:val="none" w:sz="0" w:space="0" w:color="auto"/>
        <w:bottom w:val="none" w:sz="0" w:space="0" w:color="auto"/>
        <w:right w:val="none" w:sz="0" w:space="0" w:color="auto"/>
      </w:divBdr>
      <w:divsChild>
        <w:div w:id="163711083">
          <w:marLeft w:val="0"/>
          <w:marRight w:val="0"/>
          <w:marTop w:val="0"/>
          <w:marBottom w:val="0"/>
          <w:divBdr>
            <w:top w:val="none" w:sz="0" w:space="0" w:color="auto"/>
            <w:left w:val="none" w:sz="0" w:space="0" w:color="auto"/>
            <w:bottom w:val="none" w:sz="0" w:space="0" w:color="auto"/>
            <w:right w:val="none" w:sz="0" w:space="0" w:color="auto"/>
          </w:divBdr>
        </w:div>
      </w:divsChild>
    </w:div>
    <w:div w:id="270287226">
      <w:bodyDiv w:val="1"/>
      <w:marLeft w:val="0"/>
      <w:marRight w:val="0"/>
      <w:marTop w:val="0"/>
      <w:marBottom w:val="0"/>
      <w:divBdr>
        <w:top w:val="none" w:sz="0" w:space="0" w:color="auto"/>
        <w:left w:val="none" w:sz="0" w:space="0" w:color="auto"/>
        <w:bottom w:val="none" w:sz="0" w:space="0" w:color="auto"/>
        <w:right w:val="none" w:sz="0" w:space="0" w:color="auto"/>
      </w:divBdr>
    </w:div>
    <w:div w:id="462041617">
      <w:bodyDiv w:val="1"/>
      <w:marLeft w:val="0"/>
      <w:marRight w:val="0"/>
      <w:marTop w:val="0"/>
      <w:marBottom w:val="0"/>
      <w:divBdr>
        <w:top w:val="none" w:sz="0" w:space="0" w:color="auto"/>
        <w:left w:val="none" w:sz="0" w:space="0" w:color="auto"/>
        <w:bottom w:val="none" w:sz="0" w:space="0" w:color="auto"/>
        <w:right w:val="none" w:sz="0" w:space="0" w:color="auto"/>
      </w:divBdr>
    </w:div>
    <w:div w:id="533426247">
      <w:bodyDiv w:val="1"/>
      <w:marLeft w:val="0"/>
      <w:marRight w:val="0"/>
      <w:marTop w:val="0"/>
      <w:marBottom w:val="0"/>
      <w:divBdr>
        <w:top w:val="none" w:sz="0" w:space="0" w:color="auto"/>
        <w:left w:val="none" w:sz="0" w:space="0" w:color="auto"/>
        <w:bottom w:val="none" w:sz="0" w:space="0" w:color="auto"/>
        <w:right w:val="none" w:sz="0" w:space="0" w:color="auto"/>
      </w:divBdr>
    </w:div>
    <w:div w:id="537862068">
      <w:bodyDiv w:val="1"/>
      <w:marLeft w:val="0"/>
      <w:marRight w:val="0"/>
      <w:marTop w:val="0"/>
      <w:marBottom w:val="0"/>
      <w:divBdr>
        <w:top w:val="none" w:sz="0" w:space="0" w:color="auto"/>
        <w:left w:val="none" w:sz="0" w:space="0" w:color="auto"/>
        <w:bottom w:val="none" w:sz="0" w:space="0" w:color="auto"/>
        <w:right w:val="none" w:sz="0" w:space="0" w:color="auto"/>
      </w:divBdr>
    </w:div>
    <w:div w:id="550919024">
      <w:bodyDiv w:val="1"/>
      <w:marLeft w:val="0"/>
      <w:marRight w:val="0"/>
      <w:marTop w:val="0"/>
      <w:marBottom w:val="0"/>
      <w:divBdr>
        <w:top w:val="none" w:sz="0" w:space="0" w:color="auto"/>
        <w:left w:val="none" w:sz="0" w:space="0" w:color="auto"/>
        <w:bottom w:val="none" w:sz="0" w:space="0" w:color="auto"/>
        <w:right w:val="none" w:sz="0" w:space="0" w:color="auto"/>
      </w:divBdr>
      <w:divsChild>
        <w:div w:id="2032565558">
          <w:marLeft w:val="0"/>
          <w:marRight w:val="0"/>
          <w:marTop w:val="0"/>
          <w:marBottom w:val="0"/>
          <w:divBdr>
            <w:top w:val="none" w:sz="0" w:space="0" w:color="auto"/>
            <w:left w:val="none" w:sz="0" w:space="0" w:color="auto"/>
            <w:bottom w:val="none" w:sz="0" w:space="0" w:color="auto"/>
            <w:right w:val="none" w:sz="0" w:space="0" w:color="auto"/>
          </w:divBdr>
          <w:divsChild>
            <w:div w:id="13492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8372">
      <w:bodyDiv w:val="1"/>
      <w:marLeft w:val="0"/>
      <w:marRight w:val="0"/>
      <w:marTop w:val="0"/>
      <w:marBottom w:val="0"/>
      <w:divBdr>
        <w:top w:val="none" w:sz="0" w:space="0" w:color="auto"/>
        <w:left w:val="none" w:sz="0" w:space="0" w:color="auto"/>
        <w:bottom w:val="none" w:sz="0" w:space="0" w:color="auto"/>
        <w:right w:val="none" w:sz="0" w:space="0" w:color="auto"/>
      </w:divBdr>
    </w:div>
    <w:div w:id="632635936">
      <w:bodyDiv w:val="1"/>
      <w:marLeft w:val="0"/>
      <w:marRight w:val="0"/>
      <w:marTop w:val="0"/>
      <w:marBottom w:val="0"/>
      <w:divBdr>
        <w:top w:val="none" w:sz="0" w:space="0" w:color="auto"/>
        <w:left w:val="none" w:sz="0" w:space="0" w:color="auto"/>
        <w:bottom w:val="none" w:sz="0" w:space="0" w:color="auto"/>
        <w:right w:val="none" w:sz="0" w:space="0" w:color="auto"/>
      </w:divBdr>
      <w:divsChild>
        <w:div w:id="997150510">
          <w:marLeft w:val="0"/>
          <w:marRight w:val="0"/>
          <w:marTop w:val="0"/>
          <w:marBottom w:val="0"/>
          <w:divBdr>
            <w:top w:val="none" w:sz="0" w:space="0" w:color="auto"/>
            <w:left w:val="none" w:sz="0" w:space="0" w:color="auto"/>
            <w:bottom w:val="none" w:sz="0" w:space="0" w:color="auto"/>
            <w:right w:val="none" w:sz="0" w:space="0" w:color="auto"/>
          </w:divBdr>
          <w:divsChild>
            <w:div w:id="14544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9756">
      <w:bodyDiv w:val="1"/>
      <w:marLeft w:val="0"/>
      <w:marRight w:val="0"/>
      <w:marTop w:val="0"/>
      <w:marBottom w:val="0"/>
      <w:divBdr>
        <w:top w:val="none" w:sz="0" w:space="0" w:color="auto"/>
        <w:left w:val="none" w:sz="0" w:space="0" w:color="auto"/>
        <w:bottom w:val="none" w:sz="0" w:space="0" w:color="auto"/>
        <w:right w:val="none" w:sz="0" w:space="0" w:color="auto"/>
      </w:divBdr>
    </w:div>
    <w:div w:id="725837497">
      <w:bodyDiv w:val="1"/>
      <w:marLeft w:val="0"/>
      <w:marRight w:val="0"/>
      <w:marTop w:val="0"/>
      <w:marBottom w:val="0"/>
      <w:divBdr>
        <w:top w:val="none" w:sz="0" w:space="0" w:color="auto"/>
        <w:left w:val="none" w:sz="0" w:space="0" w:color="auto"/>
        <w:bottom w:val="none" w:sz="0" w:space="0" w:color="auto"/>
        <w:right w:val="none" w:sz="0" w:space="0" w:color="auto"/>
      </w:divBdr>
    </w:div>
    <w:div w:id="726495412">
      <w:bodyDiv w:val="1"/>
      <w:marLeft w:val="0"/>
      <w:marRight w:val="0"/>
      <w:marTop w:val="0"/>
      <w:marBottom w:val="0"/>
      <w:divBdr>
        <w:top w:val="none" w:sz="0" w:space="0" w:color="auto"/>
        <w:left w:val="none" w:sz="0" w:space="0" w:color="auto"/>
        <w:bottom w:val="none" w:sz="0" w:space="0" w:color="auto"/>
        <w:right w:val="none" w:sz="0" w:space="0" w:color="auto"/>
      </w:divBdr>
    </w:div>
    <w:div w:id="901255744">
      <w:bodyDiv w:val="1"/>
      <w:marLeft w:val="0"/>
      <w:marRight w:val="0"/>
      <w:marTop w:val="0"/>
      <w:marBottom w:val="0"/>
      <w:divBdr>
        <w:top w:val="none" w:sz="0" w:space="0" w:color="auto"/>
        <w:left w:val="none" w:sz="0" w:space="0" w:color="auto"/>
        <w:bottom w:val="none" w:sz="0" w:space="0" w:color="auto"/>
        <w:right w:val="none" w:sz="0" w:space="0" w:color="auto"/>
      </w:divBdr>
    </w:div>
    <w:div w:id="905338648">
      <w:bodyDiv w:val="1"/>
      <w:marLeft w:val="0"/>
      <w:marRight w:val="0"/>
      <w:marTop w:val="0"/>
      <w:marBottom w:val="0"/>
      <w:divBdr>
        <w:top w:val="none" w:sz="0" w:space="0" w:color="auto"/>
        <w:left w:val="none" w:sz="0" w:space="0" w:color="auto"/>
        <w:bottom w:val="none" w:sz="0" w:space="0" w:color="auto"/>
        <w:right w:val="none" w:sz="0" w:space="0" w:color="auto"/>
      </w:divBdr>
    </w:div>
    <w:div w:id="1059936098">
      <w:bodyDiv w:val="1"/>
      <w:marLeft w:val="0"/>
      <w:marRight w:val="0"/>
      <w:marTop w:val="0"/>
      <w:marBottom w:val="0"/>
      <w:divBdr>
        <w:top w:val="none" w:sz="0" w:space="0" w:color="auto"/>
        <w:left w:val="none" w:sz="0" w:space="0" w:color="auto"/>
        <w:bottom w:val="none" w:sz="0" w:space="0" w:color="auto"/>
        <w:right w:val="none" w:sz="0" w:space="0" w:color="auto"/>
      </w:divBdr>
    </w:div>
    <w:div w:id="1144809480">
      <w:bodyDiv w:val="1"/>
      <w:marLeft w:val="0"/>
      <w:marRight w:val="0"/>
      <w:marTop w:val="0"/>
      <w:marBottom w:val="0"/>
      <w:divBdr>
        <w:top w:val="none" w:sz="0" w:space="0" w:color="auto"/>
        <w:left w:val="none" w:sz="0" w:space="0" w:color="auto"/>
        <w:bottom w:val="none" w:sz="0" w:space="0" w:color="auto"/>
        <w:right w:val="none" w:sz="0" w:space="0" w:color="auto"/>
      </w:divBdr>
    </w:div>
    <w:div w:id="1147474771">
      <w:bodyDiv w:val="1"/>
      <w:marLeft w:val="0"/>
      <w:marRight w:val="0"/>
      <w:marTop w:val="0"/>
      <w:marBottom w:val="0"/>
      <w:divBdr>
        <w:top w:val="none" w:sz="0" w:space="0" w:color="auto"/>
        <w:left w:val="none" w:sz="0" w:space="0" w:color="auto"/>
        <w:bottom w:val="none" w:sz="0" w:space="0" w:color="auto"/>
        <w:right w:val="none" w:sz="0" w:space="0" w:color="auto"/>
      </w:divBdr>
      <w:divsChild>
        <w:div w:id="1321620684">
          <w:marLeft w:val="0"/>
          <w:marRight w:val="0"/>
          <w:marTop w:val="0"/>
          <w:marBottom w:val="0"/>
          <w:divBdr>
            <w:top w:val="none" w:sz="0" w:space="0" w:color="auto"/>
            <w:left w:val="none" w:sz="0" w:space="0" w:color="auto"/>
            <w:bottom w:val="none" w:sz="0" w:space="0" w:color="auto"/>
            <w:right w:val="none" w:sz="0" w:space="0" w:color="auto"/>
          </w:divBdr>
          <w:divsChild>
            <w:div w:id="20673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5473">
      <w:bodyDiv w:val="1"/>
      <w:marLeft w:val="0"/>
      <w:marRight w:val="0"/>
      <w:marTop w:val="0"/>
      <w:marBottom w:val="0"/>
      <w:divBdr>
        <w:top w:val="none" w:sz="0" w:space="0" w:color="auto"/>
        <w:left w:val="none" w:sz="0" w:space="0" w:color="auto"/>
        <w:bottom w:val="none" w:sz="0" w:space="0" w:color="auto"/>
        <w:right w:val="none" w:sz="0" w:space="0" w:color="auto"/>
      </w:divBdr>
    </w:div>
    <w:div w:id="1214194539">
      <w:bodyDiv w:val="1"/>
      <w:marLeft w:val="0"/>
      <w:marRight w:val="0"/>
      <w:marTop w:val="0"/>
      <w:marBottom w:val="0"/>
      <w:divBdr>
        <w:top w:val="none" w:sz="0" w:space="0" w:color="auto"/>
        <w:left w:val="none" w:sz="0" w:space="0" w:color="auto"/>
        <w:bottom w:val="none" w:sz="0" w:space="0" w:color="auto"/>
        <w:right w:val="none" w:sz="0" w:space="0" w:color="auto"/>
      </w:divBdr>
    </w:div>
    <w:div w:id="1216964144">
      <w:bodyDiv w:val="1"/>
      <w:marLeft w:val="0"/>
      <w:marRight w:val="0"/>
      <w:marTop w:val="0"/>
      <w:marBottom w:val="0"/>
      <w:divBdr>
        <w:top w:val="none" w:sz="0" w:space="0" w:color="auto"/>
        <w:left w:val="none" w:sz="0" w:space="0" w:color="auto"/>
        <w:bottom w:val="none" w:sz="0" w:space="0" w:color="auto"/>
        <w:right w:val="none" w:sz="0" w:space="0" w:color="auto"/>
      </w:divBdr>
    </w:div>
    <w:div w:id="1252471334">
      <w:bodyDiv w:val="1"/>
      <w:marLeft w:val="0"/>
      <w:marRight w:val="0"/>
      <w:marTop w:val="0"/>
      <w:marBottom w:val="0"/>
      <w:divBdr>
        <w:top w:val="none" w:sz="0" w:space="0" w:color="auto"/>
        <w:left w:val="none" w:sz="0" w:space="0" w:color="auto"/>
        <w:bottom w:val="none" w:sz="0" w:space="0" w:color="auto"/>
        <w:right w:val="none" w:sz="0" w:space="0" w:color="auto"/>
      </w:divBdr>
    </w:div>
    <w:div w:id="1269774428">
      <w:bodyDiv w:val="1"/>
      <w:marLeft w:val="0"/>
      <w:marRight w:val="0"/>
      <w:marTop w:val="0"/>
      <w:marBottom w:val="0"/>
      <w:divBdr>
        <w:top w:val="none" w:sz="0" w:space="0" w:color="auto"/>
        <w:left w:val="none" w:sz="0" w:space="0" w:color="auto"/>
        <w:bottom w:val="none" w:sz="0" w:space="0" w:color="auto"/>
        <w:right w:val="none" w:sz="0" w:space="0" w:color="auto"/>
      </w:divBdr>
      <w:divsChild>
        <w:div w:id="1938128823">
          <w:marLeft w:val="0"/>
          <w:marRight w:val="0"/>
          <w:marTop w:val="0"/>
          <w:marBottom w:val="0"/>
          <w:divBdr>
            <w:top w:val="none" w:sz="0" w:space="0" w:color="auto"/>
            <w:left w:val="none" w:sz="0" w:space="0" w:color="auto"/>
            <w:bottom w:val="none" w:sz="0" w:space="0" w:color="auto"/>
            <w:right w:val="none" w:sz="0" w:space="0" w:color="auto"/>
          </w:divBdr>
          <w:divsChild>
            <w:div w:id="9886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78964">
      <w:bodyDiv w:val="1"/>
      <w:marLeft w:val="0"/>
      <w:marRight w:val="0"/>
      <w:marTop w:val="0"/>
      <w:marBottom w:val="0"/>
      <w:divBdr>
        <w:top w:val="none" w:sz="0" w:space="0" w:color="auto"/>
        <w:left w:val="none" w:sz="0" w:space="0" w:color="auto"/>
        <w:bottom w:val="none" w:sz="0" w:space="0" w:color="auto"/>
        <w:right w:val="none" w:sz="0" w:space="0" w:color="auto"/>
      </w:divBdr>
    </w:div>
    <w:div w:id="1346058552">
      <w:bodyDiv w:val="1"/>
      <w:marLeft w:val="0"/>
      <w:marRight w:val="0"/>
      <w:marTop w:val="0"/>
      <w:marBottom w:val="0"/>
      <w:divBdr>
        <w:top w:val="none" w:sz="0" w:space="0" w:color="auto"/>
        <w:left w:val="none" w:sz="0" w:space="0" w:color="auto"/>
        <w:bottom w:val="none" w:sz="0" w:space="0" w:color="auto"/>
        <w:right w:val="none" w:sz="0" w:space="0" w:color="auto"/>
      </w:divBdr>
    </w:div>
    <w:div w:id="1353409815">
      <w:bodyDiv w:val="1"/>
      <w:marLeft w:val="0"/>
      <w:marRight w:val="0"/>
      <w:marTop w:val="0"/>
      <w:marBottom w:val="0"/>
      <w:divBdr>
        <w:top w:val="none" w:sz="0" w:space="0" w:color="auto"/>
        <w:left w:val="none" w:sz="0" w:space="0" w:color="auto"/>
        <w:bottom w:val="none" w:sz="0" w:space="0" w:color="auto"/>
        <w:right w:val="none" w:sz="0" w:space="0" w:color="auto"/>
      </w:divBdr>
    </w:div>
    <w:div w:id="1384980682">
      <w:bodyDiv w:val="1"/>
      <w:marLeft w:val="0"/>
      <w:marRight w:val="0"/>
      <w:marTop w:val="0"/>
      <w:marBottom w:val="0"/>
      <w:divBdr>
        <w:top w:val="none" w:sz="0" w:space="0" w:color="auto"/>
        <w:left w:val="none" w:sz="0" w:space="0" w:color="auto"/>
        <w:bottom w:val="none" w:sz="0" w:space="0" w:color="auto"/>
        <w:right w:val="none" w:sz="0" w:space="0" w:color="auto"/>
      </w:divBdr>
    </w:div>
    <w:div w:id="1407336642">
      <w:bodyDiv w:val="1"/>
      <w:marLeft w:val="0"/>
      <w:marRight w:val="0"/>
      <w:marTop w:val="0"/>
      <w:marBottom w:val="0"/>
      <w:divBdr>
        <w:top w:val="none" w:sz="0" w:space="0" w:color="auto"/>
        <w:left w:val="none" w:sz="0" w:space="0" w:color="auto"/>
        <w:bottom w:val="none" w:sz="0" w:space="0" w:color="auto"/>
        <w:right w:val="none" w:sz="0" w:space="0" w:color="auto"/>
      </w:divBdr>
    </w:div>
    <w:div w:id="1430470909">
      <w:bodyDiv w:val="1"/>
      <w:marLeft w:val="0"/>
      <w:marRight w:val="0"/>
      <w:marTop w:val="0"/>
      <w:marBottom w:val="0"/>
      <w:divBdr>
        <w:top w:val="none" w:sz="0" w:space="0" w:color="auto"/>
        <w:left w:val="none" w:sz="0" w:space="0" w:color="auto"/>
        <w:bottom w:val="none" w:sz="0" w:space="0" w:color="auto"/>
        <w:right w:val="none" w:sz="0" w:space="0" w:color="auto"/>
      </w:divBdr>
    </w:div>
    <w:div w:id="1537618323">
      <w:bodyDiv w:val="1"/>
      <w:marLeft w:val="0"/>
      <w:marRight w:val="0"/>
      <w:marTop w:val="0"/>
      <w:marBottom w:val="0"/>
      <w:divBdr>
        <w:top w:val="none" w:sz="0" w:space="0" w:color="auto"/>
        <w:left w:val="none" w:sz="0" w:space="0" w:color="auto"/>
        <w:bottom w:val="none" w:sz="0" w:space="0" w:color="auto"/>
        <w:right w:val="none" w:sz="0" w:space="0" w:color="auto"/>
      </w:divBdr>
      <w:divsChild>
        <w:div w:id="836118103">
          <w:marLeft w:val="0"/>
          <w:marRight w:val="0"/>
          <w:marTop w:val="0"/>
          <w:marBottom w:val="0"/>
          <w:divBdr>
            <w:top w:val="none" w:sz="0" w:space="0" w:color="auto"/>
            <w:left w:val="none" w:sz="0" w:space="0" w:color="auto"/>
            <w:bottom w:val="none" w:sz="0" w:space="0" w:color="auto"/>
            <w:right w:val="none" w:sz="0" w:space="0" w:color="auto"/>
          </w:divBdr>
          <w:divsChild>
            <w:div w:id="144005681">
              <w:marLeft w:val="0"/>
              <w:marRight w:val="0"/>
              <w:marTop w:val="0"/>
              <w:marBottom w:val="0"/>
              <w:divBdr>
                <w:top w:val="none" w:sz="0" w:space="0" w:color="auto"/>
                <w:left w:val="none" w:sz="0" w:space="0" w:color="auto"/>
                <w:bottom w:val="none" w:sz="0" w:space="0" w:color="auto"/>
                <w:right w:val="none" w:sz="0" w:space="0" w:color="auto"/>
              </w:divBdr>
            </w:div>
            <w:div w:id="19710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3862">
      <w:bodyDiv w:val="1"/>
      <w:marLeft w:val="0"/>
      <w:marRight w:val="0"/>
      <w:marTop w:val="0"/>
      <w:marBottom w:val="0"/>
      <w:divBdr>
        <w:top w:val="none" w:sz="0" w:space="0" w:color="auto"/>
        <w:left w:val="none" w:sz="0" w:space="0" w:color="auto"/>
        <w:bottom w:val="none" w:sz="0" w:space="0" w:color="auto"/>
        <w:right w:val="none" w:sz="0" w:space="0" w:color="auto"/>
      </w:divBdr>
    </w:div>
    <w:div w:id="1575236992">
      <w:bodyDiv w:val="1"/>
      <w:marLeft w:val="0"/>
      <w:marRight w:val="0"/>
      <w:marTop w:val="0"/>
      <w:marBottom w:val="0"/>
      <w:divBdr>
        <w:top w:val="none" w:sz="0" w:space="0" w:color="auto"/>
        <w:left w:val="none" w:sz="0" w:space="0" w:color="auto"/>
        <w:bottom w:val="none" w:sz="0" w:space="0" w:color="auto"/>
        <w:right w:val="none" w:sz="0" w:space="0" w:color="auto"/>
      </w:divBdr>
    </w:div>
    <w:div w:id="1637838549">
      <w:bodyDiv w:val="1"/>
      <w:marLeft w:val="0"/>
      <w:marRight w:val="0"/>
      <w:marTop w:val="0"/>
      <w:marBottom w:val="0"/>
      <w:divBdr>
        <w:top w:val="none" w:sz="0" w:space="0" w:color="auto"/>
        <w:left w:val="none" w:sz="0" w:space="0" w:color="auto"/>
        <w:bottom w:val="none" w:sz="0" w:space="0" w:color="auto"/>
        <w:right w:val="none" w:sz="0" w:space="0" w:color="auto"/>
      </w:divBdr>
    </w:div>
    <w:div w:id="1648365184">
      <w:bodyDiv w:val="1"/>
      <w:marLeft w:val="0"/>
      <w:marRight w:val="0"/>
      <w:marTop w:val="0"/>
      <w:marBottom w:val="0"/>
      <w:divBdr>
        <w:top w:val="none" w:sz="0" w:space="0" w:color="auto"/>
        <w:left w:val="none" w:sz="0" w:space="0" w:color="auto"/>
        <w:bottom w:val="none" w:sz="0" w:space="0" w:color="auto"/>
        <w:right w:val="none" w:sz="0" w:space="0" w:color="auto"/>
      </w:divBdr>
    </w:div>
    <w:div w:id="1666590719">
      <w:bodyDiv w:val="1"/>
      <w:marLeft w:val="0"/>
      <w:marRight w:val="0"/>
      <w:marTop w:val="0"/>
      <w:marBottom w:val="0"/>
      <w:divBdr>
        <w:top w:val="none" w:sz="0" w:space="0" w:color="auto"/>
        <w:left w:val="none" w:sz="0" w:space="0" w:color="auto"/>
        <w:bottom w:val="none" w:sz="0" w:space="0" w:color="auto"/>
        <w:right w:val="none" w:sz="0" w:space="0" w:color="auto"/>
      </w:divBdr>
    </w:div>
    <w:div w:id="1685284269">
      <w:bodyDiv w:val="1"/>
      <w:marLeft w:val="0"/>
      <w:marRight w:val="0"/>
      <w:marTop w:val="0"/>
      <w:marBottom w:val="0"/>
      <w:divBdr>
        <w:top w:val="none" w:sz="0" w:space="0" w:color="auto"/>
        <w:left w:val="none" w:sz="0" w:space="0" w:color="auto"/>
        <w:bottom w:val="none" w:sz="0" w:space="0" w:color="auto"/>
        <w:right w:val="none" w:sz="0" w:space="0" w:color="auto"/>
      </w:divBdr>
    </w:div>
    <w:div w:id="1759280458">
      <w:bodyDiv w:val="1"/>
      <w:marLeft w:val="0"/>
      <w:marRight w:val="0"/>
      <w:marTop w:val="0"/>
      <w:marBottom w:val="0"/>
      <w:divBdr>
        <w:top w:val="none" w:sz="0" w:space="0" w:color="auto"/>
        <w:left w:val="none" w:sz="0" w:space="0" w:color="auto"/>
        <w:bottom w:val="none" w:sz="0" w:space="0" w:color="auto"/>
        <w:right w:val="none" w:sz="0" w:space="0" w:color="auto"/>
      </w:divBdr>
      <w:divsChild>
        <w:div w:id="2006398575">
          <w:marLeft w:val="0"/>
          <w:marRight w:val="0"/>
          <w:marTop w:val="0"/>
          <w:marBottom w:val="0"/>
          <w:divBdr>
            <w:top w:val="none" w:sz="0" w:space="0" w:color="auto"/>
            <w:left w:val="none" w:sz="0" w:space="0" w:color="auto"/>
            <w:bottom w:val="none" w:sz="0" w:space="0" w:color="auto"/>
            <w:right w:val="none" w:sz="0" w:space="0" w:color="auto"/>
          </w:divBdr>
          <w:divsChild>
            <w:div w:id="14350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57766">
      <w:bodyDiv w:val="1"/>
      <w:marLeft w:val="0"/>
      <w:marRight w:val="0"/>
      <w:marTop w:val="0"/>
      <w:marBottom w:val="0"/>
      <w:divBdr>
        <w:top w:val="none" w:sz="0" w:space="0" w:color="auto"/>
        <w:left w:val="none" w:sz="0" w:space="0" w:color="auto"/>
        <w:bottom w:val="none" w:sz="0" w:space="0" w:color="auto"/>
        <w:right w:val="none" w:sz="0" w:space="0" w:color="auto"/>
      </w:divBdr>
      <w:divsChild>
        <w:div w:id="1994484202">
          <w:marLeft w:val="0"/>
          <w:marRight w:val="0"/>
          <w:marTop w:val="0"/>
          <w:marBottom w:val="0"/>
          <w:divBdr>
            <w:top w:val="none" w:sz="0" w:space="0" w:color="auto"/>
            <w:left w:val="none" w:sz="0" w:space="0" w:color="auto"/>
            <w:bottom w:val="none" w:sz="0" w:space="0" w:color="auto"/>
            <w:right w:val="none" w:sz="0" w:space="0" w:color="auto"/>
          </w:divBdr>
          <w:divsChild>
            <w:div w:id="639069955">
              <w:marLeft w:val="0"/>
              <w:marRight w:val="0"/>
              <w:marTop w:val="0"/>
              <w:marBottom w:val="0"/>
              <w:divBdr>
                <w:top w:val="none" w:sz="0" w:space="0" w:color="auto"/>
                <w:left w:val="none" w:sz="0" w:space="0" w:color="auto"/>
                <w:bottom w:val="none" w:sz="0" w:space="0" w:color="auto"/>
                <w:right w:val="none" w:sz="0" w:space="0" w:color="auto"/>
              </w:divBdr>
            </w:div>
            <w:div w:id="981034003">
              <w:marLeft w:val="0"/>
              <w:marRight w:val="0"/>
              <w:marTop w:val="0"/>
              <w:marBottom w:val="0"/>
              <w:divBdr>
                <w:top w:val="none" w:sz="0" w:space="0" w:color="auto"/>
                <w:left w:val="none" w:sz="0" w:space="0" w:color="auto"/>
                <w:bottom w:val="none" w:sz="0" w:space="0" w:color="auto"/>
                <w:right w:val="none" w:sz="0" w:space="0" w:color="auto"/>
              </w:divBdr>
            </w:div>
            <w:div w:id="15047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1725">
      <w:bodyDiv w:val="1"/>
      <w:marLeft w:val="0"/>
      <w:marRight w:val="0"/>
      <w:marTop w:val="0"/>
      <w:marBottom w:val="0"/>
      <w:divBdr>
        <w:top w:val="none" w:sz="0" w:space="0" w:color="auto"/>
        <w:left w:val="none" w:sz="0" w:space="0" w:color="auto"/>
        <w:bottom w:val="none" w:sz="0" w:space="0" w:color="auto"/>
        <w:right w:val="none" w:sz="0" w:space="0" w:color="auto"/>
      </w:divBdr>
      <w:divsChild>
        <w:div w:id="1301304252">
          <w:marLeft w:val="0"/>
          <w:marRight w:val="0"/>
          <w:marTop w:val="0"/>
          <w:marBottom w:val="0"/>
          <w:divBdr>
            <w:top w:val="none" w:sz="0" w:space="0" w:color="auto"/>
            <w:left w:val="none" w:sz="0" w:space="0" w:color="auto"/>
            <w:bottom w:val="none" w:sz="0" w:space="0" w:color="auto"/>
            <w:right w:val="none" w:sz="0" w:space="0" w:color="auto"/>
          </w:divBdr>
          <w:divsChild>
            <w:div w:id="9555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7913">
      <w:bodyDiv w:val="1"/>
      <w:marLeft w:val="0"/>
      <w:marRight w:val="0"/>
      <w:marTop w:val="0"/>
      <w:marBottom w:val="0"/>
      <w:divBdr>
        <w:top w:val="none" w:sz="0" w:space="0" w:color="auto"/>
        <w:left w:val="none" w:sz="0" w:space="0" w:color="auto"/>
        <w:bottom w:val="none" w:sz="0" w:space="0" w:color="auto"/>
        <w:right w:val="none" w:sz="0" w:space="0" w:color="auto"/>
      </w:divBdr>
    </w:div>
    <w:div w:id="2039503338">
      <w:bodyDiv w:val="1"/>
      <w:marLeft w:val="0"/>
      <w:marRight w:val="0"/>
      <w:marTop w:val="0"/>
      <w:marBottom w:val="0"/>
      <w:divBdr>
        <w:top w:val="none" w:sz="0" w:space="0" w:color="auto"/>
        <w:left w:val="none" w:sz="0" w:space="0" w:color="auto"/>
        <w:bottom w:val="none" w:sz="0" w:space="0" w:color="auto"/>
        <w:right w:val="none" w:sz="0" w:space="0" w:color="auto"/>
      </w:divBdr>
    </w:div>
    <w:div w:id="2067800806">
      <w:bodyDiv w:val="1"/>
      <w:marLeft w:val="0"/>
      <w:marRight w:val="0"/>
      <w:marTop w:val="0"/>
      <w:marBottom w:val="0"/>
      <w:divBdr>
        <w:top w:val="none" w:sz="0" w:space="0" w:color="auto"/>
        <w:left w:val="none" w:sz="0" w:space="0" w:color="auto"/>
        <w:bottom w:val="none" w:sz="0" w:space="0" w:color="auto"/>
        <w:right w:val="none" w:sz="0" w:space="0" w:color="auto"/>
      </w:divBdr>
    </w:div>
    <w:div w:id="2128159975">
      <w:bodyDiv w:val="1"/>
      <w:marLeft w:val="0"/>
      <w:marRight w:val="0"/>
      <w:marTop w:val="0"/>
      <w:marBottom w:val="0"/>
      <w:divBdr>
        <w:top w:val="none" w:sz="0" w:space="0" w:color="auto"/>
        <w:left w:val="none" w:sz="0" w:space="0" w:color="auto"/>
        <w:bottom w:val="none" w:sz="0" w:space="0" w:color="auto"/>
        <w:right w:val="none" w:sz="0" w:space="0" w:color="auto"/>
      </w:divBdr>
      <w:divsChild>
        <w:div w:id="2103839648">
          <w:marLeft w:val="0"/>
          <w:marRight w:val="0"/>
          <w:marTop w:val="0"/>
          <w:marBottom w:val="0"/>
          <w:divBdr>
            <w:top w:val="none" w:sz="0" w:space="0" w:color="auto"/>
            <w:left w:val="none" w:sz="0" w:space="0" w:color="auto"/>
            <w:bottom w:val="none" w:sz="0" w:space="0" w:color="auto"/>
            <w:right w:val="none" w:sz="0" w:space="0" w:color="auto"/>
          </w:divBdr>
          <w:divsChild>
            <w:div w:id="21377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2.jpg@01D5E8D7.0EDBDBC0" TargetMode="External"/><Relationship Id="rId18" Type="http://schemas.openxmlformats.org/officeDocument/2006/relationships/header" Target="header3.xml"/><Relationship Id="rId26" Type="http://schemas.openxmlformats.org/officeDocument/2006/relationships/package" Target="embeddings/Feuille_de_calcul_Microsoft_Excel1.xlsx"/><Relationship Id="rId39" Type="http://schemas.openxmlformats.org/officeDocument/2006/relationships/oleObject" Target="embeddings/Feuille_Microsoft_Excel_97-20038.xls"/><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Feuille_Microsoft_Excel_97-200311.xls"/><Relationship Id="rId50" Type="http://schemas.openxmlformats.org/officeDocument/2006/relationships/image" Target="media/image22.emf"/><Relationship Id="rId55" Type="http://schemas.openxmlformats.org/officeDocument/2006/relationships/oleObject" Target="embeddings/Feuille_Microsoft_Excel_97-200314.xls"/><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Feuille_Microsoft_Excel_97-2003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Feuille_Microsoft_Excel_97-20032.xls"/><Relationship Id="rId32" Type="http://schemas.openxmlformats.org/officeDocument/2006/relationships/image" Target="media/image13.emf"/><Relationship Id="rId37" Type="http://schemas.openxmlformats.org/officeDocument/2006/relationships/oleObject" Target="embeddings/Feuille_Microsoft_Excel_97-20037.xls"/><Relationship Id="rId40" Type="http://schemas.openxmlformats.org/officeDocument/2006/relationships/image" Target="media/image17.emf"/><Relationship Id="rId45" Type="http://schemas.openxmlformats.org/officeDocument/2006/relationships/oleObject" Target="embeddings/Feuille_Microsoft_Excel_97-200310.xls"/><Relationship Id="rId53" Type="http://schemas.openxmlformats.org/officeDocument/2006/relationships/oleObject" Target="embeddings/Feuille_Microsoft_Excel_97-200313.xls"/><Relationship Id="rId58" Type="http://schemas.openxmlformats.org/officeDocument/2006/relationships/image" Target="media/image26.emf"/><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Feuille_Microsoft_Excel_97-200312.xls"/><Relationship Id="rId57" Type="http://schemas.openxmlformats.org/officeDocument/2006/relationships/oleObject" Target="embeddings/Feuille_Microsoft_Excel_97-200315.xls"/><Relationship Id="rId61" Type="http://schemas.openxmlformats.org/officeDocument/2006/relationships/oleObject" Target="embeddings/Feuille_Microsoft_Excel_97-200317.xls"/><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oleObject" Target="embeddings/Feuille_Microsoft_Excel_97-20034.xls"/><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oleObject" Target="embeddings/Feuille_Microsoft_Excel_97-20031.xls"/><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oleObject" Target="embeddings/Feuille_Microsoft_Excel_97-20036.xls"/><Relationship Id="rId43" Type="http://schemas.openxmlformats.org/officeDocument/2006/relationships/oleObject" Target="embeddings/Feuille_Microsoft_Excel_97-20039.xls"/><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package" Target="embeddings/Feuille_de_calcul_Microsoft_Excel3.xlsx"/><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oleObject" Target="embeddings/Feuille_Microsoft_Excel_97-20035.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Feuille_Microsoft_Excel_97-200316.xls"/><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package" Target="embeddings/Feuille_de_calcul_Microsoft_Excel2.xlsx"/><Relationship Id="rId54" Type="http://schemas.openxmlformats.org/officeDocument/2006/relationships/image" Target="media/image24.emf"/><Relationship Id="rId62"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28.jpeg"/></Relationships>
</file>

<file path=word/_rels/header5.xml.rels><?xml version="1.0" encoding="UTF-8" standalone="yes"?>
<Relationships xmlns="http://schemas.openxmlformats.org/package/2006/relationships"><Relationship Id="rId1" Type="http://schemas.openxmlformats.org/officeDocument/2006/relationships/image" Target="media/image28.jpeg"/></Relationships>
</file>

<file path=word/_rels/header7.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FAE9A-A025-4D9B-893E-8B6D21BF1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17283</Words>
  <Characters>94736</Characters>
  <Application>Microsoft Office Word</Application>
  <DocSecurity>4</DocSecurity>
  <Lines>789</Lines>
  <Paragraphs>223</Paragraphs>
  <ScaleCrop>false</ScaleCrop>
  <HeadingPairs>
    <vt:vector size="2" baseType="variant">
      <vt:variant>
        <vt:lpstr>Titre</vt:lpstr>
      </vt:variant>
      <vt:variant>
        <vt:i4>1</vt:i4>
      </vt:variant>
    </vt:vector>
  </HeadingPairs>
  <TitlesOfParts>
    <vt:vector size="1" baseType="lpstr">
      <vt:lpstr>Groupe des contributeurs au premier rapport annuel de La Banque Postale</vt:lpstr>
    </vt:vector>
  </TitlesOfParts>
  <Company>SF</Company>
  <LinksUpToDate>false</LinksUpToDate>
  <CharactersWithSpaces>111796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Groupe des contributeurs au premier rapport annuel de La Banque Postale</dc:title>
  <dc:creator>LAPOSTE</dc:creator>
  <cp:lastModifiedBy>MATURELL-ANDINO Estelle</cp:lastModifiedBy>
  <cp:revision>2</cp:revision>
  <cp:lastPrinted>2020-03-13T13:36:00Z</cp:lastPrinted>
  <dcterms:created xsi:type="dcterms:W3CDTF">2020-03-13T14:36:00Z</dcterms:created>
  <dcterms:modified xsi:type="dcterms:W3CDTF">2020-03-13T14:36:00Z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723218b-398e-4712-b898-85bbb1c57f49_Enabled">
    <vt:lpwstr>True</vt:lpwstr>
  </property>
  <property fmtid="{D5CDD505-2E9C-101B-9397-08002B2CF9AE}" pid="3" name="MSIP_Label_2723218b-398e-4712-b898-85bbb1c57f49_SiteId">
    <vt:lpwstr>80c03608-5f64-40bb-9c70-9394abe6011c</vt:lpwstr>
  </property>
  <property fmtid="{D5CDD505-2E9C-101B-9397-08002B2CF9AE}" pid="4" name="MSIP_Label_2723218b-398e-4712-b898-85bbb1c57f49_Owner">
    <vt:lpwstr>patrick.peaucelle@labanquepostale.fr</vt:lpwstr>
  </property>
  <property fmtid="{D5CDD505-2E9C-101B-9397-08002B2CF9AE}" pid="5" name="MSIP_Label_2723218b-398e-4712-b898-85bbb1c57f49_SetDate">
    <vt:lpwstr>2020-03-11T14:45:05.8864173Z</vt:lpwstr>
  </property>
  <property fmtid="{D5CDD505-2E9C-101B-9397-08002B2CF9AE}" pid="6" name="MSIP_Label_2723218b-398e-4712-b898-85bbb1c57f49_Name">
    <vt:lpwstr>C0 - Public</vt:lpwstr>
  </property>
  <property fmtid="{D5CDD505-2E9C-101B-9397-08002B2CF9AE}" pid="7" name="MSIP_Label_2723218b-398e-4712-b898-85bbb1c57f49_Application">
    <vt:lpwstr>Microsoft Azure Information Protection</vt:lpwstr>
  </property>
  <property fmtid="{D5CDD505-2E9C-101B-9397-08002B2CF9AE}" pid="8" name="MSIP_Label_2723218b-398e-4712-b898-85bbb1c57f49_ActionId">
    <vt:lpwstr>cbd48f80-8cd0-42fc-a455-c61b38c61174</vt:lpwstr>
  </property>
  <property fmtid="{D5CDD505-2E9C-101B-9397-08002B2CF9AE}" pid="9" name="MSIP_Label_2723218b-398e-4712-b898-85bbb1c57f49_Extended_MSFT_Method">
    <vt:lpwstr>Manual</vt:lpwstr>
  </property>
  <property fmtid="{D5CDD505-2E9C-101B-9397-08002B2CF9AE}" pid="10" name="Sensitivity">
    <vt:lpwstr>C0 - Public</vt:lpwstr>
  </property>
</Properties>
</file>