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3222" w14:textId="77FFE36F" w:rsidR="004D5534" w:rsidRPr="00DA7629" w:rsidRDefault="00000000">
      <w:pPr>
        <w:spacing w:before="240" w:after="240"/>
        <w:jc w:val="center"/>
        <w:rPr>
          <w:rFonts w:asciiTheme="minorHAnsi" w:hAnsiTheme="minorHAnsi"/>
          <w:sz w:val="32"/>
          <w:szCs w:val="32"/>
          <w:lang w:val="en-GB"/>
        </w:rPr>
      </w:pPr>
      <w:r w:rsidRPr="00DA7629">
        <w:rPr>
          <w:rFonts w:asciiTheme="minorHAnsi" w:eastAsia="Arial" w:hAnsiTheme="minorHAnsi" w:cs="Arial"/>
          <w:b/>
          <w:bCs/>
          <w:sz w:val="32"/>
          <w:szCs w:val="32"/>
          <w:lang w:val="en-GB"/>
        </w:rPr>
        <w:t xml:space="preserve">MHM </w:t>
      </w:r>
      <w:proofErr w:type="gramStart"/>
      <w:r w:rsidRPr="00DA7629">
        <w:rPr>
          <w:rFonts w:asciiTheme="minorHAnsi" w:eastAsia="Arial" w:hAnsiTheme="minorHAnsi" w:cs="Arial"/>
          <w:b/>
          <w:bCs/>
          <w:sz w:val="32"/>
          <w:szCs w:val="32"/>
          <w:lang w:val="en-GB"/>
        </w:rPr>
        <w:t>Corporate :</w:t>
      </w:r>
      <w:proofErr w:type="gramEnd"/>
      <w:r w:rsidRPr="00DA7629">
        <w:rPr>
          <w:rFonts w:asciiTheme="minorHAnsi" w:eastAsia="Arial" w:hAnsiTheme="minorHAnsi" w:cs="Arial"/>
          <w:b/>
          <w:bCs/>
          <w:sz w:val="32"/>
          <w:szCs w:val="32"/>
          <w:lang w:val="en-GB"/>
        </w:rPr>
        <w:t xml:space="preserve"> R</w:t>
      </w:r>
      <w:r w:rsidR="00DA7629">
        <w:rPr>
          <w:rFonts w:asciiTheme="minorHAnsi" w:eastAsia="Arial" w:hAnsiTheme="minorHAnsi" w:cs="Arial"/>
          <w:b/>
          <w:bCs/>
          <w:sz w:val="32"/>
          <w:szCs w:val="32"/>
          <w:lang w:val="en-GB"/>
        </w:rPr>
        <w:t xml:space="preserve">ésilation du </w:t>
      </w:r>
      <w:proofErr w:type="spellStart"/>
      <w:r w:rsidR="00DA7629">
        <w:rPr>
          <w:rFonts w:asciiTheme="minorHAnsi" w:eastAsia="Arial" w:hAnsiTheme="minorHAnsi" w:cs="Arial"/>
          <w:b/>
          <w:bCs/>
          <w:sz w:val="32"/>
          <w:szCs w:val="32"/>
          <w:lang w:val="en-GB"/>
        </w:rPr>
        <w:t>contrat</w:t>
      </w:r>
      <w:proofErr w:type="spellEnd"/>
      <w:r w:rsidR="00DA7629">
        <w:rPr>
          <w:rFonts w:asciiTheme="minorHAnsi" w:eastAsia="Arial" w:hAnsiTheme="minorHAnsi" w:cs="Arial"/>
          <w:b/>
          <w:bCs/>
          <w:sz w:val="32"/>
          <w:szCs w:val="32"/>
          <w:lang w:val="en-GB"/>
        </w:rPr>
        <w:t xml:space="preserve"> du </w:t>
      </w:r>
      <w:proofErr w:type="spellStart"/>
      <w:r w:rsidR="00DA7629">
        <w:rPr>
          <w:rFonts w:asciiTheme="minorHAnsi" w:eastAsia="Arial" w:hAnsiTheme="minorHAnsi" w:cs="Arial"/>
          <w:b/>
          <w:bCs/>
          <w:sz w:val="32"/>
          <w:szCs w:val="32"/>
          <w:lang w:val="en-GB"/>
        </w:rPr>
        <w:t>liquidité</w:t>
      </w:r>
      <w:proofErr w:type="spellEnd"/>
    </w:p>
    <w:p w14:paraId="29342555" w14:textId="77777777" w:rsidR="004D5534" w:rsidRPr="00B86DEA" w:rsidRDefault="004D5534">
      <w:pPr>
        <w:spacing w:after="80"/>
        <w:rPr>
          <w:lang w:val="en-GB"/>
        </w:rPr>
      </w:pPr>
    </w:p>
    <w:p w14:paraId="7EB8C54B" w14:textId="213B1AF5" w:rsidR="0087225D" w:rsidRPr="0087225D" w:rsidRDefault="00B86DEA" w:rsidP="0087225D">
      <w:pPr>
        <w:spacing w:after="120"/>
        <w:rPr>
          <w:rFonts w:asciiTheme="minorHAnsi" w:eastAsia="Arial" w:hAnsiTheme="minorHAnsi" w:cs="Arial"/>
          <w:sz w:val="24"/>
          <w:szCs w:val="24"/>
          <w:lang w:val="en-GB"/>
        </w:rPr>
      </w:pPr>
      <w:r w:rsidRPr="00DA7629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Paris, France – </w:t>
      </w:r>
      <w:r w:rsidR="00C22D84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8 </w:t>
      </w:r>
      <w:proofErr w:type="spellStart"/>
      <w:r w:rsidR="00C22D84">
        <w:rPr>
          <w:rFonts w:asciiTheme="minorHAnsi" w:hAnsiTheme="minorHAnsi" w:cs="Arial"/>
          <w:b/>
          <w:bCs/>
          <w:sz w:val="24"/>
          <w:szCs w:val="24"/>
          <w:lang w:val="en-GB"/>
        </w:rPr>
        <w:t>juin</w:t>
      </w:r>
      <w:proofErr w:type="spellEnd"/>
      <w:r w:rsidR="00C22D84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2026</w:t>
      </w:r>
      <w:r w:rsidRPr="00DA7629">
        <w:rPr>
          <w:rFonts w:asciiTheme="minorHAnsi" w:hAnsiTheme="minorHAnsi" w:cs="Arial"/>
          <w:b/>
          <w:bCs/>
          <w:sz w:val="24"/>
          <w:szCs w:val="24"/>
          <w:lang w:val="en-GB"/>
        </w:rPr>
        <w:t>, 8h00 – MHM CORPORATE («</w:t>
      </w:r>
      <w:r w:rsidRPr="00DA7629">
        <w:rPr>
          <w:rFonts w:ascii="Arial" w:hAnsi="Arial" w:cs="Arial"/>
          <w:b/>
          <w:bCs/>
          <w:sz w:val="24"/>
          <w:szCs w:val="24"/>
          <w:lang w:val="en-GB"/>
        </w:rPr>
        <w:t> </w:t>
      </w:r>
      <w:r w:rsidRPr="00DA7629">
        <w:rPr>
          <w:rFonts w:asciiTheme="minorHAnsi" w:hAnsiTheme="minorHAnsi" w:cs="Arial"/>
          <w:b/>
          <w:bCs/>
          <w:sz w:val="24"/>
          <w:szCs w:val="24"/>
          <w:lang w:val="en-GB"/>
        </w:rPr>
        <w:t>MHM</w:t>
      </w:r>
      <w:r w:rsidRPr="00DA7629">
        <w:rPr>
          <w:rFonts w:ascii="Arial" w:hAnsi="Arial" w:cs="Arial"/>
          <w:b/>
          <w:bCs/>
          <w:sz w:val="24"/>
          <w:szCs w:val="24"/>
          <w:lang w:val="en-GB"/>
        </w:rPr>
        <w:t> </w:t>
      </w:r>
      <w:r w:rsidRPr="00DA7629">
        <w:rPr>
          <w:rFonts w:ascii="Aptos" w:hAnsi="Aptos" w:cs="Aptos"/>
          <w:b/>
          <w:bCs/>
          <w:sz w:val="24"/>
          <w:szCs w:val="24"/>
          <w:lang w:val="en-GB"/>
        </w:rPr>
        <w:t>»</w:t>
      </w:r>
      <w:r w:rsidRPr="00DA7629">
        <w:rPr>
          <w:rFonts w:asciiTheme="minorHAnsi" w:hAnsiTheme="minorHAnsi" w:cs="Arial"/>
          <w:b/>
          <w:bCs/>
          <w:sz w:val="24"/>
          <w:szCs w:val="24"/>
          <w:lang w:val="en-GB"/>
        </w:rPr>
        <w:t>)</w:t>
      </w:r>
      <w:r w:rsid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</w:t>
      </w:r>
      <w:proofErr w:type="spellStart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>annonce</w:t>
      </w:r>
      <w:proofErr w:type="spellEnd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par </w:t>
      </w:r>
      <w:proofErr w:type="spellStart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>ailleurs</w:t>
      </w:r>
      <w:proofErr w:type="spellEnd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la </w:t>
      </w:r>
      <w:proofErr w:type="spellStart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>résiliation</w:t>
      </w:r>
      <w:proofErr w:type="spellEnd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du </w:t>
      </w:r>
      <w:proofErr w:type="spellStart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>contrat</w:t>
      </w:r>
      <w:proofErr w:type="spellEnd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de </w:t>
      </w:r>
      <w:proofErr w:type="spellStart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>liquidité</w:t>
      </w:r>
      <w:proofErr w:type="spellEnd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</w:t>
      </w:r>
      <w:proofErr w:type="spellStart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>conclu</w:t>
      </w:r>
      <w:proofErr w:type="spellEnd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avec le Crédit </w:t>
      </w:r>
      <w:proofErr w:type="spellStart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>Industriel</w:t>
      </w:r>
      <w:proofErr w:type="spellEnd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et Commercial. Cette </w:t>
      </w:r>
      <w:proofErr w:type="spellStart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>résiliation</w:t>
      </w:r>
      <w:proofErr w:type="spellEnd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a pris </w:t>
      </w:r>
      <w:proofErr w:type="spellStart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>effet</w:t>
      </w:r>
      <w:proofErr w:type="spellEnd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le 11 </w:t>
      </w:r>
      <w:proofErr w:type="spellStart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>mai</w:t>
      </w:r>
      <w:proofErr w:type="spellEnd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2026 après la </w:t>
      </w:r>
      <w:proofErr w:type="spellStart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>clôture</w:t>
      </w:r>
      <w:proofErr w:type="spellEnd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du </w:t>
      </w:r>
      <w:proofErr w:type="spellStart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>marché</w:t>
      </w:r>
      <w:proofErr w:type="spellEnd"/>
      <w:r w:rsidR="0087225D" w:rsidRPr="0087225D">
        <w:rPr>
          <w:rFonts w:asciiTheme="minorHAnsi" w:eastAsia="Arial" w:hAnsiTheme="minorHAnsi" w:cs="Arial"/>
          <w:sz w:val="24"/>
          <w:szCs w:val="24"/>
          <w:lang w:val="en-GB"/>
        </w:rPr>
        <w:t>.</w:t>
      </w:r>
    </w:p>
    <w:p w14:paraId="1175C2FD" w14:textId="77777777" w:rsidR="0087225D" w:rsidRDefault="0087225D" w:rsidP="0087225D">
      <w:pPr>
        <w:spacing w:after="120"/>
        <w:rPr>
          <w:rFonts w:asciiTheme="minorHAnsi" w:eastAsia="Arial" w:hAnsiTheme="minorHAnsi" w:cs="Arial"/>
          <w:sz w:val="24"/>
          <w:szCs w:val="24"/>
        </w:rPr>
      </w:pPr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Cette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>décision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>s'inscrit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dans le cadre du plan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>d'optimisation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des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>coûts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>entrepris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par la direction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>en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place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>depuis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>février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2026. Dans un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>contexte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de restructuration de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>l'actionnariat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et de simplification de la structure du capital, MHM </w:t>
      </w:r>
      <w:proofErr w:type="gramStart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>a</w:t>
      </w:r>
      <w:proofErr w:type="gramEnd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>entrepris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de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>réduire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>l'ensemble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de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>ses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charges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>opérationnelles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>afin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de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>préserver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>sa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>trésorerie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  <w:lang w:val="en-GB"/>
        </w:rPr>
        <w:t xml:space="preserve">. </w:t>
      </w:r>
      <w:r w:rsidRPr="0087225D">
        <w:rPr>
          <w:rFonts w:asciiTheme="minorHAnsi" w:eastAsia="Arial" w:hAnsiTheme="minorHAnsi" w:cs="Arial"/>
          <w:sz w:val="24"/>
          <w:szCs w:val="24"/>
        </w:rPr>
        <w:t xml:space="preserve">La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</w:rPr>
        <w:t>résiliation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</w:rPr>
        <w:t xml:space="preserve"> du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</w:rPr>
        <w:t>contrat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</w:rPr>
        <w:t xml:space="preserve"> de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</w:rPr>
        <w:t>liquidité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</w:rPr>
        <w:t xml:space="preserve">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</w:rPr>
        <w:t>constitue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</w:rPr>
        <w:t xml:space="preserve">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</w:rPr>
        <w:t>une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</w:rPr>
        <w:t xml:space="preserve">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</w:rPr>
        <w:t>mesure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</w:rPr>
        <w:t xml:space="preserve"> supplémentaire dans </w:t>
      </w:r>
      <w:proofErr w:type="spellStart"/>
      <w:r w:rsidRPr="0087225D">
        <w:rPr>
          <w:rFonts w:asciiTheme="minorHAnsi" w:eastAsia="Arial" w:hAnsiTheme="minorHAnsi" w:cs="Arial"/>
          <w:sz w:val="24"/>
          <w:szCs w:val="24"/>
        </w:rPr>
        <w:t>cette</w:t>
      </w:r>
      <w:proofErr w:type="spellEnd"/>
      <w:r w:rsidRPr="0087225D">
        <w:rPr>
          <w:rFonts w:asciiTheme="minorHAnsi" w:eastAsia="Arial" w:hAnsiTheme="minorHAnsi" w:cs="Arial"/>
          <w:sz w:val="24"/>
          <w:szCs w:val="24"/>
        </w:rPr>
        <w:t xml:space="preserve"> démarche.</w:t>
      </w:r>
    </w:p>
    <w:p w14:paraId="73901386" w14:textId="77777777" w:rsidR="0087225D" w:rsidRPr="0087225D" w:rsidRDefault="0087225D" w:rsidP="0087225D">
      <w:pPr>
        <w:spacing w:after="120"/>
        <w:rPr>
          <w:rFonts w:asciiTheme="minorHAnsi" w:eastAsia="Arial" w:hAnsiTheme="minorHAnsi" w:cs="Arial"/>
          <w:sz w:val="24"/>
          <w:szCs w:val="24"/>
        </w:rPr>
      </w:pPr>
    </w:p>
    <w:p w14:paraId="68F8C452" w14:textId="6DC61762" w:rsidR="004D5534" w:rsidRPr="00DA7629" w:rsidRDefault="00000000" w:rsidP="0087225D">
      <w:pPr>
        <w:spacing w:after="120"/>
        <w:rPr>
          <w:rFonts w:asciiTheme="minorHAnsi" w:hAnsiTheme="minorHAnsi"/>
          <w:sz w:val="24"/>
          <w:szCs w:val="24"/>
          <w:lang w:val="en-GB"/>
        </w:rPr>
      </w:pPr>
      <w:r w:rsidRPr="00DA7629">
        <w:rPr>
          <w:rFonts w:asciiTheme="minorHAnsi" w:eastAsia="Arial" w:hAnsiTheme="minorHAnsi" w:cs="Arial"/>
          <w:sz w:val="24"/>
          <w:szCs w:val="24"/>
          <w:lang w:val="en-GB"/>
        </w:rPr>
        <w:t xml:space="preserve">Situation du compte de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  <w:lang w:val="en-GB"/>
        </w:rPr>
        <w:t>liquidité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  <w:lang w:val="en-GB"/>
        </w:rPr>
        <w:t xml:space="preserve"> à la date de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  <w:lang w:val="en-GB"/>
        </w:rPr>
        <w:t>résiliation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  <w:lang w:val="en-GB"/>
        </w:rPr>
        <w:t xml:space="preserve"> (11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  <w:lang w:val="en-GB"/>
        </w:rPr>
        <w:t>mai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  <w:lang w:val="en-GB"/>
        </w:rPr>
        <w:t xml:space="preserve"> 202</w:t>
      </w:r>
      <w:r w:rsidR="00B86DEA" w:rsidRPr="00DA7629">
        <w:rPr>
          <w:rFonts w:asciiTheme="minorHAnsi" w:eastAsia="Arial" w:hAnsiTheme="minorHAnsi" w:cs="Arial"/>
          <w:sz w:val="24"/>
          <w:szCs w:val="24"/>
          <w:lang w:val="en-GB"/>
        </w:rPr>
        <w:t>6</w:t>
      </w:r>
      <w:proofErr w:type="gramStart"/>
      <w:r w:rsidRPr="00DA7629">
        <w:rPr>
          <w:rFonts w:asciiTheme="minorHAnsi" w:eastAsia="Arial" w:hAnsiTheme="minorHAnsi" w:cs="Arial"/>
          <w:sz w:val="24"/>
          <w:szCs w:val="24"/>
          <w:lang w:val="en-GB"/>
        </w:rPr>
        <w:t>) :</w:t>
      </w:r>
      <w:proofErr w:type="gramEnd"/>
    </w:p>
    <w:p w14:paraId="2A906EC8" w14:textId="77777777" w:rsidR="004D5534" w:rsidRPr="00DA7629" w:rsidRDefault="00000000">
      <w:pPr>
        <w:pStyle w:val="Lijstalinea"/>
        <w:numPr>
          <w:ilvl w:val="0"/>
          <w:numId w:val="2"/>
        </w:numPr>
        <w:spacing w:after="60"/>
        <w:rPr>
          <w:rFonts w:asciiTheme="minorHAnsi" w:hAnsiTheme="minorHAnsi"/>
          <w:sz w:val="24"/>
          <w:szCs w:val="24"/>
        </w:rPr>
      </w:pPr>
      <w:r w:rsidRPr="00DA7629">
        <w:rPr>
          <w:rFonts w:asciiTheme="minorHAnsi" w:eastAsia="Arial" w:hAnsiTheme="minorHAnsi" w:cs="Arial"/>
          <w:sz w:val="24"/>
          <w:szCs w:val="24"/>
        </w:rPr>
        <w:t xml:space="preserve">11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titres</w:t>
      </w:r>
      <w:proofErr w:type="spellEnd"/>
    </w:p>
    <w:p w14:paraId="01F6C534" w14:textId="77777777" w:rsidR="004D5534" w:rsidRPr="00DA7629" w:rsidRDefault="00000000">
      <w:pPr>
        <w:pStyle w:val="Lijstalinea"/>
        <w:numPr>
          <w:ilvl w:val="0"/>
          <w:numId w:val="2"/>
        </w:numPr>
        <w:spacing w:after="120"/>
        <w:rPr>
          <w:rFonts w:asciiTheme="minorHAnsi" w:hAnsiTheme="minorHAnsi"/>
          <w:sz w:val="24"/>
          <w:szCs w:val="24"/>
        </w:rPr>
      </w:pPr>
      <w:r w:rsidRPr="00DA7629">
        <w:rPr>
          <w:rFonts w:asciiTheme="minorHAnsi" w:eastAsia="Arial" w:hAnsiTheme="minorHAnsi" w:cs="Arial"/>
          <w:sz w:val="24"/>
          <w:szCs w:val="24"/>
        </w:rPr>
        <w:t xml:space="preserve">47,52 € en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espèces</w:t>
      </w:r>
      <w:proofErr w:type="spellEnd"/>
    </w:p>
    <w:p w14:paraId="1CD8ABA8" w14:textId="77777777" w:rsidR="00B86DEA" w:rsidRPr="00DA7629" w:rsidRDefault="00B86DEA" w:rsidP="00B86DEA">
      <w:pPr>
        <w:spacing w:after="80"/>
        <w:rPr>
          <w:rFonts w:asciiTheme="minorHAnsi" w:hAnsiTheme="minorHAnsi"/>
          <w:sz w:val="24"/>
          <w:szCs w:val="24"/>
        </w:rPr>
      </w:pPr>
      <w:r w:rsidRPr="00DA7629">
        <w:rPr>
          <w:rFonts w:asciiTheme="minorHAnsi" w:eastAsia="Arial" w:hAnsiTheme="minorHAnsi" w:cs="Arial"/>
          <w:sz w:val="24"/>
          <w:szCs w:val="24"/>
        </w:rPr>
        <w:t xml:space="preserve">Au cours de la période du 1er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janvier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2026 au 11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mai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2026,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il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a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été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négocié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un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total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</w:t>
      </w:r>
      <w:proofErr w:type="gramStart"/>
      <w:r w:rsidRPr="00DA7629">
        <w:rPr>
          <w:rFonts w:asciiTheme="minorHAnsi" w:eastAsia="Arial" w:hAnsiTheme="minorHAnsi" w:cs="Arial"/>
          <w:sz w:val="24"/>
          <w:szCs w:val="24"/>
        </w:rPr>
        <w:t>de :</w:t>
      </w:r>
      <w:proofErr w:type="gramEnd"/>
    </w:p>
    <w:p w14:paraId="3F3E2053" w14:textId="77777777" w:rsidR="00B86DEA" w:rsidRPr="00DA7629" w:rsidRDefault="00B86DEA" w:rsidP="00B86DEA">
      <w:pPr>
        <w:pStyle w:val="Lijstalinea"/>
        <w:numPr>
          <w:ilvl w:val="0"/>
          <w:numId w:val="3"/>
        </w:numPr>
        <w:spacing w:after="60"/>
        <w:rPr>
          <w:rFonts w:asciiTheme="minorHAnsi" w:hAnsiTheme="minorHAnsi"/>
          <w:sz w:val="24"/>
          <w:szCs w:val="24"/>
        </w:rPr>
      </w:pPr>
      <w:r w:rsidRPr="00DA7629">
        <w:rPr>
          <w:rFonts w:asciiTheme="minorHAnsi" w:eastAsia="Arial" w:hAnsiTheme="minorHAnsi" w:cs="Arial"/>
          <w:sz w:val="24"/>
          <w:szCs w:val="24"/>
        </w:rPr>
        <w:t xml:space="preserve">2 642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titres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à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l'achat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pour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un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montant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de 680,13 €</w:t>
      </w:r>
    </w:p>
    <w:p w14:paraId="4D6AF741" w14:textId="77777777" w:rsidR="00B86DEA" w:rsidRPr="00DA7629" w:rsidRDefault="00B86DEA" w:rsidP="00B86DEA">
      <w:pPr>
        <w:pStyle w:val="Lijstalinea"/>
        <w:numPr>
          <w:ilvl w:val="0"/>
          <w:numId w:val="3"/>
        </w:numPr>
        <w:spacing w:after="60"/>
        <w:rPr>
          <w:rFonts w:asciiTheme="minorHAnsi" w:hAnsiTheme="minorHAnsi"/>
          <w:sz w:val="24"/>
          <w:szCs w:val="24"/>
        </w:rPr>
      </w:pPr>
      <w:r w:rsidRPr="00DA7629">
        <w:rPr>
          <w:rFonts w:asciiTheme="minorHAnsi" w:eastAsia="Arial" w:hAnsiTheme="minorHAnsi" w:cs="Arial"/>
          <w:sz w:val="24"/>
          <w:szCs w:val="24"/>
        </w:rPr>
        <w:t xml:space="preserve">6 831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titres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à la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vente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pour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un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montant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de 1 830,23 €</w:t>
      </w:r>
    </w:p>
    <w:p w14:paraId="1B9C500F" w14:textId="77777777" w:rsidR="00B86DEA" w:rsidRPr="00DA7629" w:rsidRDefault="00B86DEA" w:rsidP="00B86DEA">
      <w:pPr>
        <w:spacing w:after="160"/>
        <w:rPr>
          <w:rFonts w:asciiTheme="minorHAnsi" w:hAnsiTheme="minorHAnsi"/>
          <w:sz w:val="24"/>
          <w:szCs w:val="24"/>
        </w:rPr>
      </w:pPr>
    </w:p>
    <w:p w14:paraId="56B801F3" w14:textId="77777777" w:rsidR="00B86DEA" w:rsidRPr="00DA7629" w:rsidRDefault="00B86DEA" w:rsidP="00B86DEA">
      <w:pPr>
        <w:spacing w:after="80"/>
        <w:rPr>
          <w:rFonts w:asciiTheme="minorHAnsi" w:hAnsiTheme="minorHAnsi"/>
          <w:sz w:val="24"/>
          <w:szCs w:val="24"/>
        </w:rPr>
      </w:pP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Sur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cette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même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période, ont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été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</w:t>
      </w:r>
      <w:proofErr w:type="spellStart"/>
      <w:proofErr w:type="gramStart"/>
      <w:r w:rsidRPr="00DA7629">
        <w:rPr>
          <w:rFonts w:asciiTheme="minorHAnsi" w:eastAsia="Arial" w:hAnsiTheme="minorHAnsi" w:cs="Arial"/>
          <w:sz w:val="24"/>
          <w:szCs w:val="24"/>
        </w:rPr>
        <w:t>exécutées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:</w:t>
      </w:r>
      <w:proofErr w:type="gramEnd"/>
    </w:p>
    <w:p w14:paraId="6C2FB173" w14:textId="77777777" w:rsidR="00B86DEA" w:rsidRPr="00DA7629" w:rsidRDefault="00B86DEA" w:rsidP="00B86DEA">
      <w:pPr>
        <w:pStyle w:val="Lijstalinea"/>
        <w:numPr>
          <w:ilvl w:val="0"/>
          <w:numId w:val="3"/>
        </w:numPr>
        <w:spacing w:after="60"/>
        <w:rPr>
          <w:rFonts w:asciiTheme="minorHAnsi" w:hAnsiTheme="minorHAnsi"/>
          <w:sz w:val="24"/>
          <w:szCs w:val="24"/>
        </w:rPr>
      </w:pPr>
      <w:r w:rsidRPr="00DA7629">
        <w:rPr>
          <w:rFonts w:asciiTheme="minorHAnsi" w:eastAsia="Arial" w:hAnsiTheme="minorHAnsi" w:cs="Arial"/>
          <w:sz w:val="24"/>
          <w:szCs w:val="24"/>
        </w:rPr>
        <w:t xml:space="preserve">84 transactions à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l'achat</w:t>
      </w:r>
      <w:proofErr w:type="spellEnd"/>
    </w:p>
    <w:p w14:paraId="7CB77160" w14:textId="77777777" w:rsidR="00B86DEA" w:rsidRPr="00DA7629" w:rsidRDefault="00B86DEA" w:rsidP="00B86DEA">
      <w:pPr>
        <w:pStyle w:val="Lijstalinea"/>
        <w:numPr>
          <w:ilvl w:val="0"/>
          <w:numId w:val="3"/>
        </w:numPr>
        <w:spacing w:after="60"/>
        <w:rPr>
          <w:rFonts w:asciiTheme="minorHAnsi" w:hAnsiTheme="minorHAnsi"/>
          <w:sz w:val="24"/>
          <w:szCs w:val="24"/>
        </w:rPr>
      </w:pPr>
      <w:r w:rsidRPr="00DA7629">
        <w:rPr>
          <w:rFonts w:asciiTheme="minorHAnsi" w:eastAsia="Arial" w:hAnsiTheme="minorHAnsi" w:cs="Arial"/>
          <w:sz w:val="24"/>
          <w:szCs w:val="24"/>
        </w:rPr>
        <w:t xml:space="preserve">86 transactions à la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vente</w:t>
      </w:r>
      <w:proofErr w:type="spellEnd"/>
    </w:p>
    <w:p w14:paraId="24855F98" w14:textId="77777777" w:rsidR="00B86DEA" w:rsidRPr="00DA7629" w:rsidRDefault="00B86DEA" w:rsidP="00B86DEA">
      <w:pPr>
        <w:spacing w:after="160"/>
        <w:rPr>
          <w:rFonts w:asciiTheme="minorHAnsi" w:hAnsiTheme="minorHAnsi"/>
          <w:sz w:val="24"/>
          <w:szCs w:val="24"/>
        </w:rPr>
      </w:pPr>
    </w:p>
    <w:p w14:paraId="2BB11D77" w14:textId="77777777" w:rsidR="00B86DEA" w:rsidRPr="00DA7629" w:rsidRDefault="00B86DEA" w:rsidP="00B86DEA">
      <w:pPr>
        <w:spacing w:after="80"/>
        <w:rPr>
          <w:rFonts w:asciiTheme="minorHAnsi" w:hAnsiTheme="minorHAnsi"/>
          <w:sz w:val="24"/>
          <w:szCs w:val="24"/>
        </w:rPr>
      </w:pP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Il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est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rappelé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qu'au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1er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janvier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2026, les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moyens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suivants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figuraient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au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compte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de </w:t>
      </w:r>
      <w:proofErr w:type="spellStart"/>
      <w:proofErr w:type="gramStart"/>
      <w:r w:rsidRPr="00DA7629">
        <w:rPr>
          <w:rFonts w:asciiTheme="minorHAnsi" w:eastAsia="Arial" w:hAnsiTheme="minorHAnsi" w:cs="Arial"/>
          <w:sz w:val="24"/>
          <w:szCs w:val="24"/>
        </w:rPr>
        <w:t>liquidité</w:t>
      </w:r>
      <w:proofErr w:type="spellEnd"/>
      <w:r w:rsidRPr="00DA7629">
        <w:rPr>
          <w:rFonts w:asciiTheme="minorHAnsi" w:eastAsia="Arial" w:hAnsiTheme="minorHAnsi" w:cs="Arial"/>
          <w:sz w:val="24"/>
          <w:szCs w:val="24"/>
        </w:rPr>
        <w:t xml:space="preserve"> :</w:t>
      </w:r>
      <w:proofErr w:type="gramEnd"/>
    </w:p>
    <w:p w14:paraId="44C43080" w14:textId="77777777" w:rsidR="00B86DEA" w:rsidRPr="00DA7629" w:rsidRDefault="00B86DEA" w:rsidP="00B86DEA">
      <w:pPr>
        <w:pStyle w:val="Lijstalinea"/>
        <w:numPr>
          <w:ilvl w:val="0"/>
          <w:numId w:val="3"/>
        </w:numPr>
        <w:spacing w:after="60"/>
        <w:rPr>
          <w:rFonts w:asciiTheme="minorHAnsi" w:hAnsiTheme="minorHAnsi"/>
          <w:sz w:val="24"/>
          <w:szCs w:val="24"/>
        </w:rPr>
      </w:pPr>
      <w:r w:rsidRPr="00DA7629">
        <w:rPr>
          <w:rFonts w:asciiTheme="minorHAnsi" w:eastAsia="Arial" w:hAnsiTheme="minorHAnsi" w:cs="Arial"/>
          <w:sz w:val="24"/>
          <w:szCs w:val="24"/>
        </w:rPr>
        <w:t xml:space="preserve">4 200 </w:t>
      </w:r>
      <w:proofErr w:type="spellStart"/>
      <w:r w:rsidRPr="00DA7629">
        <w:rPr>
          <w:rFonts w:asciiTheme="minorHAnsi" w:eastAsia="Arial" w:hAnsiTheme="minorHAnsi" w:cs="Arial"/>
          <w:sz w:val="24"/>
          <w:szCs w:val="24"/>
        </w:rPr>
        <w:t>titres</w:t>
      </w:r>
      <w:proofErr w:type="spellEnd"/>
    </w:p>
    <w:p w14:paraId="35858946" w14:textId="77777777" w:rsidR="00B86DEA" w:rsidRPr="00DA7629" w:rsidRDefault="00B86DEA" w:rsidP="00B86DEA">
      <w:pPr>
        <w:pStyle w:val="Lijstalinea"/>
        <w:numPr>
          <w:ilvl w:val="0"/>
          <w:numId w:val="3"/>
        </w:numPr>
        <w:spacing w:after="60"/>
        <w:rPr>
          <w:rFonts w:asciiTheme="minorHAnsi" w:hAnsiTheme="minorHAnsi"/>
          <w:sz w:val="24"/>
          <w:szCs w:val="24"/>
        </w:rPr>
      </w:pPr>
      <w:r w:rsidRPr="00DA7629">
        <w:rPr>
          <w:rFonts w:asciiTheme="minorHAnsi" w:eastAsia="Arial" w:hAnsiTheme="minorHAnsi" w:cs="Arial"/>
          <w:sz w:val="24"/>
          <w:szCs w:val="24"/>
        </w:rPr>
        <w:t>655,70 €</w:t>
      </w:r>
    </w:p>
    <w:p w14:paraId="27B59BCE" w14:textId="77777777" w:rsidR="00B86DEA" w:rsidRDefault="00B86DEA" w:rsidP="00B86DEA">
      <w:pPr>
        <w:spacing w:after="120"/>
      </w:pPr>
    </w:p>
    <w:p w14:paraId="422001C0" w14:textId="77777777" w:rsidR="00B86DEA" w:rsidRDefault="00B86DEA" w:rsidP="00B86DEA">
      <w:pPr>
        <w:pBdr>
          <w:bottom w:val="single" w:sz="6" w:space="1" w:color="000000"/>
        </w:pBdr>
        <w:spacing w:after="280"/>
      </w:pPr>
    </w:p>
    <w:p w14:paraId="60EFF851" w14:textId="77777777" w:rsidR="00B86DEA" w:rsidRDefault="00B86DEA" w:rsidP="00B86DEA">
      <w:pPr>
        <w:spacing w:after="160"/>
        <w:jc w:val="center"/>
      </w:pPr>
      <w:r>
        <w:rPr>
          <w:rFonts w:ascii="Arial" w:eastAsia="Arial" w:hAnsi="Arial" w:cs="Arial"/>
          <w:b/>
          <w:bCs/>
          <w:sz w:val="18"/>
          <w:szCs w:val="18"/>
        </w:rPr>
        <w:t xml:space="preserve">Détail des transactions par jour de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bourse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— 1er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janvier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2026 au 11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mai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2026</w:t>
      </w:r>
    </w:p>
    <w:tbl>
      <w:tblPr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5"/>
        <w:gridCol w:w="834"/>
        <w:gridCol w:w="990"/>
        <w:gridCol w:w="1146"/>
        <w:gridCol w:w="834"/>
        <w:gridCol w:w="995"/>
        <w:gridCol w:w="1146"/>
      </w:tblGrid>
      <w:tr w:rsidR="00B86DEA" w14:paraId="5F725304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11625E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Date</w:t>
            </w:r>
          </w:p>
        </w:tc>
        <w:tc>
          <w:tcPr>
            <w:tcW w:w="29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9B8C6A9" w14:textId="77777777" w:rsidR="00B86DEA" w:rsidRDefault="00B86DEA" w:rsidP="0086650B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Achats</w:t>
            </w:r>
            <w:proofErr w:type="spellEnd"/>
          </w:p>
        </w:tc>
        <w:tc>
          <w:tcPr>
            <w:tcW w:w="29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0AA46FE" w14:textId="77777777" w:rsidR="00B86DEA" w:rsidRDefault="00B86DEA" w:rsidP="0086650B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Ventes</w:t>
            </w:r>
            <w:proofErr w:type="spellEnd"/>
          </w:p>
        </w:tc>
      </w:tr>
      <w:tr w:rsidR="00B86DEA" w14:paraId="1BB49C6A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E7AB00" w14:textId="77777777" w:rsidR="00B86DEA" w:rsidRDefault="00B86DEA" w:rsidP="0086650B">
            <w:pPr>
              <w:jc w:val="center"/>
            </w:pP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598041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Nb de transactions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E14E6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Nb de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titres</w:t>
            </w:r>
            <w:proofErr w:type="spellEnd"/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588B449" w14:textId="77777777" w:rsidR="00B86DEA" w:rsidRDefault="00B86DEA" w:rsidP="0086650B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Capitaux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 en EUR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8790E3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Nb de transactions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723289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Nb de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titres</w:t>
            </w:r>
            <w:proofErr w:type="spellEnd"/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AD86C04" w14:textId="77777777" w:rsidR="00B86DEA" w:rsidRDefault="00B86DEA" w:rsidP="0086650B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Capitaux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 en EUR</w:t>
            </w:r>
          </w:p>
        </w:tc>
      </w:tr>
      <w:tr w:rsidR="00B86DEA" w14:paraId="250DD0BF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AE1428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EC1515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84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9594D0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2 642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1ED76D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680,13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DF3DEE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86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BB3FD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6 831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D8D694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1 830,23</w:t>
            </w:r>
          </w:p>
        </w:tc>
      </w:tr>
      <w:tr w:rsidR="00B86DEA" w14:paraId="43AB0D27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0DE91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02/01/2026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6B39F3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3F02A5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F9452B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3743C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B2EF8D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40D0CA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0,26</w:t>
            </w:r>
          </w:p>
        </w:tc>
      </w:tr>
      <w:tr w:rsidR="00B86DEA" w14:paraId="19A431F5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4246AA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05/01/2026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41B9E0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28AF9F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A551A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939447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5052F5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2F55AA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0,26</w:t>
            </w:r>
          </w:p>
        </w:tc>
      </w:tr>
      <w:tr w:rsidR="00B86DEA" w14:paraId="4B18A345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B1D43B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06/01/2026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CBADD4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7C7CFE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501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780767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130,26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64E668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8BF85F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683D89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0,26</w:t>
            </w:r>
          </w:p>
        </w:tc>
      </w:tr>
      <w:tr w:rsidR="00B86DEA" w14:paraId="42BC14AC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B3C716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07/01/2026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8D8108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3FEF22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9C4CE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53E52F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301B7E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F9018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0,26</w:t>
            </w:r>
          </w:p>
        </w:tc>
      </w:tr>
      <w:tr w:rsidR="00B86DEA" w14:paraId="78CA7E22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471DDA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08/01/2026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51415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B4448C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968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5A8A72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246,84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2223B9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656072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D5DF69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0,26</w:t>
            </w:r>
          </w:p>
        </w:tc>
      </w:tr>
      <w:tr w:rsidR="00B86DEA" w14:paraId="3C5D6D06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B55D8C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09/01/2026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76A695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859068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34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A5C38B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8,67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F7BB5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0DBA93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F67E7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0,26</w:t>
            </w:r>
          </w:p>
        </w:tc>
      </w:tr>
      <w:tr w:rsidR="00B86DEA" w14:paraId="1AB04533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72C4CF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12/01/2026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9911B5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ED18A6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B7700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528C6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0DFF6B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B07F0D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0,25</w:t>
            </w:r>
          </w:p>
        </w:tc>
      </w:tr>
      <w:tr w:rsidR="00B86DEA" w14:paraId="61074CC1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75B731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13/01/2026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A5C2B9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D0092F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A133BD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EEC6C3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F007F8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12845B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</w:tr>
      <w:tr w:rsidR="00B86DEA" w14:paraId="0D9A7527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01868B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14/01/2026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37553A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717D39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1DF7B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0B40A0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5F2A33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86D211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</w:tr>
      <w:tr w:rsidR="00B86DEA" w14:paraId="7AF351EF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98D02E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15/01/2026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1B5386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04285A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30DA87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04A67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71DBE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2 301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20EC04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649,19</w:t>
            </w:r>
          </w:p>
        </w:tc>
      </w:tr>
      <w:tr w:rsidR="00B86DEA" w14:paraId="4DC61A8B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39B3E7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16/01/2026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5B8A38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65C69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301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68034D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84,08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F781FD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E69EE4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201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0E78AD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57,78</w:t>
            </w:r>
          </w:p>
        </w:tc>
      </w:tr>
      <w:tr w:rsidR="00B86DEA" w14:paraId="405679FE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F5286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19/01/2026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F1CD26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FC0E6C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6632C7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0,29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5AD19D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CC5DDD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DDC87E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0,29</w:t>
            </w:r>
          </w:p>
        </w:tc>
      </w:tr>
      <w:tr w:rsidR="00B86DEA" w14:paraId="49E303EF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092CD6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20/01/2026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ADFCBB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97857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501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DE74F5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142,79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DDA954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59E20E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623DA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0,29</w:t>
            </w:r>
          </w:p>
        </w:tc>
      </w:tr>
      <w:tr w:rsidR="00B86DEA" w14:paraId="0E2128DB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1AB56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lastRenderedPageBreak/>
              <w:t>21/01/2026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CACFDA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38B474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13A72A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A4DD7F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7633AC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2 501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4D3D86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688,27</w:t>
            </w:r>
          </w:p>
        </w:tc>
      </w:tr>
      <w:tr w:rsidR="00B86DEA" w14:paraId="682D2E25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92919B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22/01/2026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8CBAE1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8E2557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DF5770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CE4BF6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8FCD8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751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DCC783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216,78</w:t>
            </w:r>
          </w:p>
        </w:tc>
      </w:tr>
      <w:tr w:rsidR="00B86DEA" w14:paraId="2851F6C9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85042E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23/01/2026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A24066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16F09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217BF4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41196A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1CE582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41943F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0,27</w:t>
            </w:r>
          </w:p>
        </w:tc>
      </w:tr>
      <w:tr w:rsidR="00B86DEA" w14:paraId="3736FB33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75477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26/01/2026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D44C21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1D7601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8E743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0,29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A0CAF8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3B7AB0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2A3B6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0,29</w:t>
            </w:r>
          </w:p>
        </w:tc>
      </w:tr>
      <w:tr w:rsidR="00B86DEA" w14:paraId="33423293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34FA04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27/01/2026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0C3B77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61AED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17C3AF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5EE70D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6CC06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21DFB6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0,27</w:t>
            </w:r>
          </w:p>
        </w:tc>
      </w:tr>
      <w:tr w:rsidR="00B86DEA" w14:paraId="7D5A000B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D9B05E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28/01/2026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F3F046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F97C85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CECA56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D92B33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FF136F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3D7801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0,25</w:t>
            </w:r>
          </w:p>
        </w:tc>
      </w:tr>
      <w:tr w:rsidR="00B86DEA" w14:paraId="6484EB4D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0C0925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29/01/2026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6BB069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FF9D4A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E5F2C2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42EDF1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3245C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4ABF93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0,25</w:t>
            </w:r>
          </w:p>
        </w:tc>
      </w:tr>
      <w:tr w:rsidR="00B86DEA" w14:paraId="25EA071A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A43E2E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02/02/2026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963BFE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2C51B6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B8A08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F2FC5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3C66C6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E3A195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0,27</w:t>
            </w:r>
          </w:p>
        </w:tc>
      </w:tr>
      <w:tr w:rsidR="00B86DEA" w14:paraId="2D3BE151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1F3FA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03/02/2026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FD9768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4A608B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0A93A3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72BDCE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8C639E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A7037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0,26</w:t>
            </w:r>
          </w:p>
        </w:tc>
      </w:tr>
      <w:tr w:rsidR="00B86DEA" w14:paraId="1BA30B46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D3F9D0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04/02/2026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C7886D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6D8AEE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1BACFD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6C4A27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099284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AA704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0,26</w:t>
            </w:r>
          </w:p>
        </w:tc>
      </w:tr>
      <w:tr w:rsidR="00B86DEA" w14:paraId="6D531234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8F4330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05/02/2026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B57638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291D17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1C93A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659189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311A8D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87BC6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0,26</w:t>
            </w:r>
          </w:p>
        </w:tc>
      </w:tr>
      <w:tr w:rsidR="00B86DEA" w14:paraId="1FE416B0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6EE58D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06/02/2026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0D3050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A73A31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145B91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ADACFF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6844E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628A23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0,26</w:t>
            </w:r>
          </w:p>
        </w:tc>
      </w:tr>
      <w:tr w:rsidR="00B86DEA" w14:paraId="7F8781CE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C47175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09/02/2026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56F6F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94D287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01622B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C3DA26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38B91E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C68E78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0,25</w:t>
            </w:r>
          </w:p>
        </w:tc>
      </w:tr>
      <w:tr w:rsidR="00B86DEA" w14:paraId="62A6E6FD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C8BB28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10/02/2026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4C8DB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1E60A9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131EE0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86010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6E1312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27319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0,25</w:t>
            </w:r>
          </w:p>
        </w:tc>
      </w:tr>
      <w:tr w:rsidR="00B86DEA" w14:paraId="16C6C1C2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F8766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11/02/2026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1E2A52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EE7C12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BEA078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C2EAFF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62150E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728796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0,25</w:t>
            </w:r>
          </w:p>
        </w:tc>
      </w:tr>
      <w:tr w:rsidR="00B86DEA" w14:paraId="2D0CFB1F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203F8A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12/02/2026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D6816C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D3FD6B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51E252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084BCE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F500BC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CE01ED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0,25</w:t>
            </w:r>
          </w:p>
        </w:tc>
      </w:tr>
      <w:tr w:rsidR="00B86DEA" w14:paraId="7A634432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0AB13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13/02/2026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3EA7B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5B3D0B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5A1A9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1BC3D6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D8D353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D3F8F2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0,26</w:t>
            </w:r>
          </w:p>
        </w:tc>
      </w:tr>
      <w:tr w:rsidR="00B86DEA" w14:paraId="16F2F833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D3C367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16/02/2026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A032AD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68FFE6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D1FB65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4A4252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831AC9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B821B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</w:tr>
      <w:tr w:rsidR="00B86DEA" w14:paraId="49977D4F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2287A4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17/02/2026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E7765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B2E5A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922366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08DE05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DE52C8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BEACBC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</w:tr>
      <w:tr w:rsidR="00B86DEA" w14:paraId="05360B6B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3AF238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18/02/2026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0F1E39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AB57FA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FF0364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D5E9DE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1DC809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3EA46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</w:tr>
      <w:tr w:rsidR="00B86DEA" w14:paraId="0DA2622E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560AEF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19/02/2026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925CC5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A1D1AC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999BAE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9A3417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13A2F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608A3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</w:tr>
      <w:tr w:rsidR="00B86DEA" w14:paraId="5E1DE358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99D332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20/02/2026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C08B6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BB1C52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DE4C92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D0687B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E90113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F1B0F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</w:tr>
      <w:tr w:rsidR="00B86DEA" w14:paraId="4441313B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BA77FF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23/02/2026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E5B84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EDBF59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76A056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95E7FA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95358A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D7D8AC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</w:tr>
      <w:tr w:rsidR="00B86DEA" w14:paraId="6E8E19E4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40A8ED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24/02/2026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416588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84EC9A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19B9FE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A533C2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636D9E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152BF9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</w:tr>
      <w:tr w:rsidR="00B86DEA" w14:paraId="73AAAE9B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C84259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25/02/2026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4A2926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D6777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DB2F7F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5DF747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83691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464A21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</w:tr>
      <w:tr w:rsidR="00B86DEA" w14:paraId="4C51EF1E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5F96C3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26/02/2026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CBA4AC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1D3C6C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47D9E5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22FD4C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002D57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7C3599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</w:tr>
      <w:tr w:rsidR="00B86DEA" w14:paraId="376736BF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E4F413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27/02/2026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186BE3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93C23F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3C885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447EBC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2D915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D2D216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</w:tr>
      <w:tr w:rsidR="00B86DEA" w14:paraId="211F9386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DAC1E6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02/03/2026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F17D15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FC650E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61B133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7BC5E7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08124B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56A7BE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</w:tr>
      <w:tr w:rsidR="00B86DEA" w14:paraId="5A58F3B3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36B504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03/03/2026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F36A0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337EEF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D6E10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582BF7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3F781B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936E76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</w:tr>
      <w:tr w:rsidR="00B86DEA" w14:paraId="7BB6CF62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189EF3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04/03/2026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AB255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7C446F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E3025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2DE901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F498D5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3BFAF5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</w:tr>
      <w:tr w:rsidR="00B86DEA" w14:paraId="79BC8813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F3ECB9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05/03/2026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714B2A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0175C6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3FE4A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D33DEB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9F3083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B8FE12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</w:tr>
      <w:tr w:rsidR="00B86DEA" w14:paraId="5CDBC5F4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0BD3FF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06/03/2026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4C5C6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78265B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101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084E61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23,84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57BB43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5BD236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51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4041D0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12,44</w:t>
            </w:r>
          </w:p>
        </w:tc>
      </w:tr>
      <w:tr w:rsidR="00B86DEA" w14:paraId="397F0F22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646051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09/03/2026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73D5EC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6AC19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29216C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807E0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16E983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AD1B0F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</w:tr>
      <w:tr w:rsidR="00B86DEA" w14:paraId="7F84AE57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A745A8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10/03/2026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CC2ACD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36D70E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9000C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0,23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77A2C4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0282A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C5B241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0,23</w:t>
            </w:r>
          </w:p>
        </w:tc>
      </w:tr>
      <w:tr w:rsidR="00B86DEA" w14:paraId="2487CD02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021491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11/03/2026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FE29E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C9AA3B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8775A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0,23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EBA51A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CDB4B6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3E8C98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0,23</w:t>
            </w:r>
          </w:p>
        </w:tc>
      </w:tr>
      <w:tr w:rsidR="00B86DEA" w14:paraId="7A2D3747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D0897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12/03/2026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36558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67ADCF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27C359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221BD3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36510D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4416D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</w:tr>
      <w:tr w:rsidR="00B86DEA" w14:paraId="148FFFA3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AEA4B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13/03/2026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DF0E48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D7CF5A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DE8C7E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48F62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8171F5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50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A1A0DC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11,40</w:t>
            </w:r>
          </w:p>
        </w:tc>
      </w:tr>
      <w:tr w:rsidR="00B86DEA" w14:paraId="250944D7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34ED05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16/03/2026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19BF91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7B0C77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3E0283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972E07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19974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402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CCA60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91,45</w:t>
            </w:r>
          </w:p>
        </w:tc>
      </w:tr>
      <w:tr w:rsidR="00B86DEA" w14:paraId="571D1E76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FA2A2E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17/03/2026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D4F631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99A0D3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F94A2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79F628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92FDF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A26371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</w:tr>
      <w:tr w:rsidR="00B86DEA" w14:paraId="4BD6AC08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326874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18/03/2026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820BD0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AFFC62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1608FA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0,23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073747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84917E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49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261A9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11,66</w:t>
            </w:r>
          </w:p>
        </w:tc>
      </w:tr>
      <w:tr w:rsidR="00B86DEA" w14:paraId="2EA8E496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59289F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19/03/2026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1C2D6F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ABE8C1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B11229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68418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9A7005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6C4958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0,24</w:t>
            </w:r>
          </w:p>
        </w:tc>
      </w:tr>
      <w:tr w:rsidR="00B86DEA" w14:paraId="6A62C50F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0561D1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20/03/2026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2A6E9F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869ED0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2B66ED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0,23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C73DE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9E437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8F454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0,23</w:t>
            </w:r>
          </w:p>
        </w:tc>
      </w:tr>
      <w:tr w:rsidR="00B86DEA" w14:paraId="217B1CB7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A2EB6B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23/03/2026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D24D51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90F8CD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49A60B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0,22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17CC25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A3955F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A4631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0,22</w:t>
            </w:r>
          </w:p>
        </w:tc>
      </w:tr>
      <w:tr w:rsidR="00B86DEA" w14:paraId="37A2D81F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B094F6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24/03/2026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F3801B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2A7183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F5888C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0,20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284779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EEBA28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0C81A3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0,20</w:t>
            </w:r>
          </w:p>
        </w:tc>
      </w:tr>
      <w:tr w:rsidR="00B86DEA" w14:paraId="6B913209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D49E7D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25/03/2026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74F0C8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E9F60B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34F357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0,20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0C3B56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F141F9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20BD90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0,20</w:t>
            </w:r>
          </w:p>
        </w:tc>
      </w:tr>
      <w:tr w:rsidR="00B86DEA" w14:paraId="17C9A9CB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C397D5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26/03/2026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489D55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6C910B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A930E3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0,20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95A76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644F11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DE0E54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0,20</w:t>
            </w:r>
          </w:p>
        </w:tc>
      </w:tr>
      <w:tr w:rsidR="00B86DEA" w14:paraId="0B4C32A2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E839D0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27/03/2026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A2BC59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C475C7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8B20BD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0,20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17CA76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62DBBC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38AB4F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0,20</w:t>
            </w:r>
          </w:p>
        </w:tc>
      </w:tr>
      <w:tr w:rsidR="00B86DEA" w14:paraId="6F15203A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53F235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30/03/2026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23C1DD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52B64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267E9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D3D37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F64E12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C1DD23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0,18</w:t>
            </w:r>
          </w:p>
        </w:tc>
      </w:tr>
      <w:tr w:rsidR="00B86DEA" w14:paraId="1E564586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882320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31/03/2026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5C6122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AB44E2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227B13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0,19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C5A26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3F34D8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F35D7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0,19</w:t>
            </w:r>
          </w:p>
        </w:tc>
      </w:tr>
      <w:tr w:rsidR="00B86DEA" w14:paraId="487FE083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B5F99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01/04/2026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354D3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5DFB00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170410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0,19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A7C610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0A2D9B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287A2D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0,19</w:t>
            </w:r>
          </w:p>
        </w:tc>
      </w:tr>
      <w:tr w:rsidR="00B86DEA" w14:paraId="5AEB86A3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CD4CE7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02/04/2026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B01930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6717D3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ADE218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6B9949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884FB3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0A6D2A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0,18</w:t>
            </w:r>
          </w:p>
        </w:tc>
      </w:tr>
      <w:tr w:rsidR="00B86DEA" w14:paraId="45B9D48B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89909B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07/04/2026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217481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23474B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26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16D6CD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4,71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DF532F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2B13D2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4838CB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0,18</w:t>
            </w:r>
          </w:p>
        </w:tc>
      </w:tr>
      <w:tr w:rsidR="00B86DEA" w14:paraId="68E5C7D9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51BBBB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08/04/2026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3FCAEC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C8C4B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3010A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2FAAA0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559E1E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43D25F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0,18</w:t>
            </w:r>
          </w:p>
        </w:tc>
      </w:tr>
      <w:tr w:rsidR="00B86DEA" w14:paraId="668912AB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230B15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09/04/2026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10F2FF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EAFF1C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EDAE0A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DE8D7C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AA01B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D0FE9C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0,18</w:t>
            </w:r>
          </w:p>
        </w:tc>
      </w:tr>
      <w:tr w:rsidR="00B86DEA" w14:paraId="16C4DE57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9E292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10/04/2026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59C85E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0C970C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AF8E3F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4ECB8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E3E96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26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87E77C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4,75</w:t>
            </w:r>
          </w:p>
        </w:tc>
      </w:tr>
      <w:tr w:rsidR="00B86DEA" w14:paraId="537E4160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9925E1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13/04/2026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F2F56F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62822A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CC7956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FBC483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52A78A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963C4B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0,17</w:t>
            </w:r>
          </w:p>
        </w:tc>
      </w:tr>
      <w:tr w:rsidR="00B86DEA" w14:paraId="4882ABA5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D9ECFC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14/04/2026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094C45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63D951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8DC93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16CCA0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58F24D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F86269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0,17</w:t>
            </w:r>
          </w:p>
        </w:tc>
      </w:tr>
      <w:tr w:rsidR="00B86DEA" w14:paraId="2B621B4B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FFB56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15/04/2026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DF0FC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36E0E1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01EF09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E012DE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E4A7DE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ACC519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0,17</w:t>
            </w:r>
          </w:p>
        </w:tc>
      </w:tr>
      <w:tr w:rsidR="00B86DEA" w14:paraId="701425CC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DBDCA2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16/04/2026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007BE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9E290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97EE4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9C9DE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A62F37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1233E2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0,17</w:t>
            </w:r>
          </w:p>
        </w:tc>
      </w:tr>
      <w:tr w:rsidR="00B86DEA" w14:paraId="0EE89D3F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FFAF5D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17/04/2026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9B57D1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28CA23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838D18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CC14D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49722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2ACEC0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0,17</w:t>
            </w:r>
          </w:p>
        </w:tc>
      </w:tr>
      <w:tr w:rsidR="00B86DEA" w14:paraId="2FB9E730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CE52A4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20/04/2026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E943FC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85EDE6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A85EE1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0C447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4AC88E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A0E3FF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0,16</w:t>
            </w:r>
          </w:p>
        </w:tc>
      </w:tr>
      <w:tr w:rsidR="00B86DEA" w14:paraId="27529D4F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9E6F63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21/04/2026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C7FF39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3B0EBB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55032C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0B9184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7E5D5D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49050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0,15</w:t>
            </w:r>
          </w:p>
        </w:tc>
      </w:tr>
      <w:tr w:rsidR="00B86DEA" w14:paraId="77E0B79D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69A94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22/04/2026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B8FF0D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C1859F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D3FAF4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F34BF5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59E3AE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247CF1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0,15</w:t>
            </w:r>
          </w:p>
        </w:tc>
      </w:tr>
      <w:tr w:rsidR="00B86DEA" w14:paraId="13597889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2F0F17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23/04/2026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06BCCE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29F902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69425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22E34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076661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110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936B8B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16,19</w:t>
            </w:r>
          </w:p>
        </w:tc>
      </w:tr>
      <w:tr w:rsidR="00B86DEA" w14:paraId="5816CA94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A71E5C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24/04/2026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E87E99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F1A175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6FDF5E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CFEA4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5B583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1543F8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0,14</w:t>
            </w:r>
          </w:p>
        </w:tc>
      </w:tr>
      <w:tr w:rsidR="00B86DEA" w14:paraId="4D66CC08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D667F1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lastRenderedPageBreak/>
              <w:t>27/04/2026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0272BD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9CA9D4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D002DB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0,14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AE5C00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04DFD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191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50C8C1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31,55</w:t>
            </w:r>
          </w:p>
        </w:tc>
      </w:tr>
      <w:tr w:rsidR="00B86DEA" w14:paraId="67456385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AE36E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29/04/2026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7D409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124BB4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80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930558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13,08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4DD64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21A75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80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51DE77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14,22</w:t>
            </w:r>
          </w:p>
        </w:tc>
      </w:tr>
      <w:tr w:rsidR="00B86DEA" w14:paraId="59505F92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C07D45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30/04/2026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36AAE9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EB93A6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10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302C0A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1,72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A4F5A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27193C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10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A3E766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1,74</w:t>
            </w:r>
          </w:p>
        </w:tc>
      </w:tr>
      <w:tr w:rsidR="00B86DEA" w14:paraId="7B3F9504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6F594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04/05/2026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9C1C31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965A38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46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3EE34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7,66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A2234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5318C1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D8ABB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</w:tr>
      <w:tr w:rsidR="00B86DEA" w14:paraId="53E3B77D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144B3F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05/05/2026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3B9BC5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77C124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DD5129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2380A6B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AF48E9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30F7AB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0,17</w:t>
            </w:r>
          </w:p>
        </w:tc>
      </w:tr>
      <w:tr w:rsidR="00B86DEA" w14:paraId="322A2BE4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2031DA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06/05/2026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C95C1C6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37998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80AA12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AD4EA0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521C88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C15FA25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0,17</w:t>
            </w:r>
          </w:p>
        </w:tc>
      </w:tr>
      <w:tr w:rsidR="00B86DEA" w14:paraId="6EA8AB37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6E2AA7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07/05/2026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0B33D0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738F130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898864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D4248E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2F2D6F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92D01B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0,16</w:t>
            </w:r>
          </w:p>
        </w:tc>
      </w:tr>
      <w:tr w:rsidR="00B86DEA" w14:paraId="5AD92EF2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BD4AF9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08/05/2026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3F2252D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B88E658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DF9A43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0,17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D1EDC67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FA3B41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36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1BFEC4E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6,59</w:t>
            </w:r>
          </w:p>
        </w:tc>
      </w:tr>
      <w:tr w:rsidR="00B86DEA" w14:paraId="3C0F7945" w14:textId="77777777" w:rsidTr="0086650B"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8EAE61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11/05/2026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68AA51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FECA39F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44DE80C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0,19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CBF3AA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A4FC2C2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0EF6C03" w14:textId="77777777" w:rsidR="00B86DEA" w:rsidRDefault="00B86DEA" w:rsidP="0086650B">
            <w:pPr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0,19</w:t>
            </w:r>
          </w:p>
        </w:tc>
      </w:tr>
    </w:tbl>
    <w:p w14:paraId="593D8F8D" w14:textId="77777777" w:rsidR="00DA7629" w:rsidRDefault="00DA7629" w:rsidP="00B86DEA"/>
    <w:p w14:paraId="3957AD8B" w14:textId="77777777" w:rsidR="00DA7629" w:rsidRDefault="00DA7629" w:rsidP="00B86DEA"/>
    <w:p w14:paraId="38AC1F2A" w14:textId="29B90092" w:rsidR="00B86DEA" w:rsidRDefault="00B86DEA" w:rsidP="00B86DEA">
      <w:r>
        <w:t>***</w:t>
      </w:r>
    </w:p>
    <w:p w14:paraId="7B60D946" w14:textId="77777777" w:rsidR="00B86DEA" w:rsidRDefault="00B86DEA" w:rsidP="00B86DEA">
      <w:pPr>
        <w:spacing w:after="120"/>
      </w:pPr>
    </w:p>
    <w:p w14:paraId="7DEC978E" w14:textId="77777777" w:rsidR="00B86DEA" w:rsidRPr="00B86DEA" w:rsidRDefault="00B86DEA" w:rsidP="00B86DEA">
      <w:pPr>
        <w:spacing w:after="160" w:line="278" w:lineRule="auto"/>
        <w:rPr>
          <w:rFonts w:ascii="Aptos" w:eastAsia="Aptos" w:hAnsi="Aptos"/>
          <w:kern w:val="2"/>
          <w:sz w:val="24"/>
          <w:szCs w:val="24"/>
          <w:lang w:val="fr-FR" w:eastAsia="en-US"/>
          <w14:ligatures w14:val="standardContextual"/>
        </w:rPr>
      </w:pPr>
      <w:r w:rsidRPr="00B86DEA">
        <w:rPr>
          <w:rFonts w:ascii="Aptos" w:eastAsia="Aptos" w:hAnsi="Aptos"/>
          <w:b/>
          <w:bCs/>
          <w:color w:val="EF7056"/>
          <w:kern w:val="2"/>
          <w:sz w:val="24"/>
          <w:szCs w:val="24"/>
          <w:lang w:val="fr-FR" w:eastAsia="en-US"/>
          <w14:ligatures w14:val="standardContextual"/>
        </w:rPr>
        <w:t>A propos de MHM CORPORATE</w:t>
      </w:r>
      <w:r w:rsidRPr="00B86DEA">
        <w:rPr>
          <w:rFonts w:ascii="Aptos" w:eastAsia="Aptos" w:hAnsi="Aptos"/>
          <w:b/>
          <w:bCs/>
          <w:color w:val="EF7056"/>
          <w:kern w:val="2"/>
          <w:sz w:val="24"/>
          <w:szCs w:val="24"/>
          <w:lang w:val="fr-FR" w:eastAsia="en-US"/>
          <w14:ligatures w14:val="standardContextual"/>
        </w:rPr>
        <w:br/>
      </w:r>
      <w:r w:rsidRPr="00B86DEA">
        <w:rPr>
          <w:rFonts w:ascii="Aptos" w:eastAsia="Aptos" w:hAnsi="Aptos"/>
          <w:kern w:val="2"/>
          <w:sz w:val="24"/>
          <w:szCs w:val="24"/>
          <w:lang w:val="fr-FR" w:eastAsia="en-US"/>
          <w14:ligatures w14:val="standardContextual"/>
        </w:rPr>
        <w:t>MHM CORPORATE est cotée sur le marché réglementé d’Euronext - compartiment C</w:t>
      </w:r>
      <w:r w:rsidRPr="00B86DEA">
        <w:rPr>
          <w:rFonts w:ascii="Aptos" w:eastAsia="Aptos" w:hAnsi="Aptos"/>
          <w:kern w:val="2"/>
          <w:sz w:val="24"/>
          <w:szCs w:val="24"/>
          <w:lang w:val="fr-FR" w:eastAsia="en-US"/>
          <w14:ligatures w14:val="standardContextual"/>
        </w:rPr>
        <w:br/>
        <w:t xml:space="preserve">ISIN : FR001400IE67 – MHM – Bloomberg : </w:t>
      </w:r>
      <w:proofErr w:type="gramStart"/>
      <w:r w:rsidRPr="00B86DEA">
        <w:rPr>
          <w:rFonts w:ascii="Aptos" w:eastAsia="Aptos" w:hAnsi="Aptos"/>
          <w:kern w:val="2"/>
          <w:sz w:val="24"/>
          <w:szCs w:val="24"/>
          <w:lang w:val="fr-FR" w:eastAsia="en-US"/>
          <w14:ligatures w14:val="standardContextual"/>
        </w:rPr>
        <w:t>MHM:FP</w:t>
      </w:r>
      <w:proofErr w:type="gramEnd"/>
      <w:r w:rsidRPr="00B86DEA">
        <w:rPr>
          <w:rFonts w:ascii="Aptos" w:eastAsia="Aptos" w:hAnsi="Aptos"/>
          <w:kern w:val="2"/>
          <w:sz w:val="24"/>
          <w:szCs w:val="24"/>
          <w:lang w:val="fr-FR" w:eastAsia="en-US"/>
          <w14:ligatures w14:val="standardContextual"/>
        </w:rPr>
        <w:br/>
        <w:t>MHM CORPORATE est éligible au PEA-PME.</w:t>
      </w:r>
    </w:p>
    <w:p w14:paraId="787F0C15" w14:textId="77777777" w:rsidR="00B86DEA" w:rsidRPr="00B86DEA" w:rsidRDefault="00B86DEA" w:rsidP="00B86DEA">
      <w:pPr>
        <w:spacing w:after="160" w:line="278" w:lineRule="auto"/>
        <w:jc w:val="both"/>
        <w:rPr>
          <w:rFonts w:ascii="Aptos" w:eastAsia="Aptos" w:hAnsi="Aptos"/>
          <w:kern w:val="2"/>
          <w:sz w:val="24"/>
          <w:szCs w:val="24"/>
          <w:lang w:val="fr-FR" w:eastAsia="en-US"/>
          <w14:ligatures w14:val="standardContextual"/>
        </w:rPr>
      </w:pPr>
      <w:r w:rsidRPr="00B86DEA">
        <w:rPr>
          <w:rFonts w:ascii="Aptos" w:eastAsia="Aptos" w:hAnsi="Aptos"/>
          <w:kern w:val="2"/>
          <w:sz w:val="24"/>
          <w:szCs w:val="24"/>
          <w:lang w:val="fr-FR" w:eastAsia="en-US"/>
          <w14:ligatures w14:val="standardContextual"/>
        </w:rPr>
        <w:t>Pour plus d'informations, merci de consulter le site https://mymatchingcompany.com/ (section Investisseurs).</w:t>
      </w:r>
    </w:p>
    <w:p w14:paraId="3CFF783E" w14:textId="77777777" w:rsidR="00B86DEA" w:rsidRPr="00B86DEA" w:rsidRDefault="00B86DEA" w:rsidP="00B86DEA">
      <w:pPr>
        <w:spacing w:after="160" w:line="278" w:lineRule="auto"/>
        <w:rPr>
          <w:rFonts w:ascii="Aptos" w:eastAsia="Aptos" w:hAnsi="Aptos"/>
          <w:kern w:val="2"/>
          <w:sz w:val="24"/>
          <w:szCs w:val="24"/>
          <w:lang w:val="fr-FR" w:eastAsia="en-US"/>
          <w14:ligatures w14:val="standardContextual"/>
        </w:rPr>
      </w:pPr>
      <w:r w:rsidRPr="00B86DEA">
        <w:rPr>
          <w:rFonts w:ascii="Aptos" w:eastAsia="Arial Unicode MS" w:hAnsi="Aptos" w:cs="Aptos"/>
          <w:b/>
          <w:bCs/>
          <w:color w:val="EF7056"/>
          <w:sz w:val="24"/>
          <w:szCs w:val="24"/>
          <w:u w:color="43A5BC"/>
          <w:bdr w:val="nil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Contact MHM CORPORATE</w:t>
      </w:r>
      <w:r w:rsidRPr="00B86DEA">
        <w:rPr>
          <w:rFonts w:ascii="Aptos" w:eastAsia="Arial Unicode MS" w:hAnsi="Aptos" w:cs="Aptos"/>
          <w:b/>
          <w:bCs/>
          <w:color w:val="EF7056"/>
          <w:sz w:val="24"/>
          <w:szCs w:val="24"/>
          <w:u w:color="43A5BC"/>
          <w:bdr w:val="nil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hyperlink r:id="rId5" w:history="1">
        <w:r w:rsidRPr="00B86DEA">
          <w:rPr>
            <w:rFonts w:ascii="Aptos" w:eastAsia="Aptos" w:hAnsi="Aptos"/>
            <w:color w:val="467886"/>
            <w:kern w:val="2"/>
            <w:sz w:val="24"/>
            <w:szCs w:val="24"/>
            <w:u w:val="single"/>
            <w:lang w:val="fr-FR" w:eastAsia="en-US"/>
            <w14:ligatures w14:val="standardContextual"/>
          </w:rPr>
          <w:t>contact@mhm-corporate.com</w:t>
        </w:r>
      </w:hyperlink>
    </w:p>
    <w:p w14:paraId="6FD300A3" w14:textId="07D7D3FF" w:rsidR="004D5534" w:rsidRPr="00B86DEA" w:rsidRDefault="004D5534" w:rsidP="00B86DEA">
      <w:pPr>
        <w:spacing w:after="80"/>
        <w:rPr>
          <w:lang w:val="en-GB"/>
        </w:rPr>
      </w:pPr>
    </w:p>
    <w:sectPr w:rsidR="004D5534" w:rsidRPr="00B86D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0AE7"/>
    <w:multiLevelType w:val="hybridMultilevel"/>
    <w:tmpl w:val="F99A24E2"/>
    <w:lvl w:ilvl="0" w:tplc="731EB206">
      <w:start w:val="1"/>
      <w:numFmt w:val="bullet"/>
      <w:lvlText w:val="•"/>
      <w:lvlJc w:val="left"/>
      <w:pPr>
        <w:ind w:left="720" w:hanging="360"/>
      </w:pPr>
    </w:lvl>
    <w:lvl w:ilvl="1" w:tplc="05D64314">
      <w:numFmt w:val="decimal"/>
      <w:lvlText w:val=""/>
      <w:lvlJc w:val="left"/>
    </w:lvl>
    <w:lvl w:ilvl="2" w:tplc="AE2EC39C">
      <w:numFmt w:val="decimal"/>
      <w:lvlText w:val=""/>
      <w:lvlJc w:val="left"/>
    </w:lvl>
    <w:lvl w:ilvl="3" w:tplc="E1CE1CEC">
      <w:numFmt w:val="decimal"/>
      <w:lvlText w:val=""/>
      <w:lvlJc w:val="left"/>
    </w:lvl>
    <w:lvl w:ilvl="4" w:tplc="FEA0F0C8">
      <w:numFmt w:val="decimal"/>
      <w:lvlText w:val=""/>
      <w:lvlJc w:val="left"/>
    </w:lvl>
    <w:lvl w:ilvl="5" w:tplc="ADE474FA">
      <w:numFmt w:val="decimal"/>
      <w:lvlText w:val=""/>
      <w:lvlJc w:val="left"/>
    </w:lvl>
    <w:lvl w:ilvl="6" w:tplc="2B50F90A">
      <w:numFmt w:val="decimal"/>
      <w:lvlText w:val=""/>
      <w:lvlJc w:val="left"/>
    </w:lvl>
    <w:lvl w:ilvl="7" w:tplc="A5484210">
      <w:numFmt w:val="decimal"/>
      <w:lvlText w:val=""/>
      <w:lvlJc w:val="left"/>
    </w:lvl>
    <w:lvl w:ilvl="8" w:tplc="F28C6C3C">
      <w:numFmt w:val="decimal"/>
      <w:lvlText w:val=""/>
      <w:lvlJc w:val="left"/>
    </w:lvl>
  </w:abstractNum>
  <w:abstractNum w:abstractNumId="1" w15:restartNumberingAfterBreak="0">
    <w:nsid w:val="47B40D16"/>
    <w:multiLevelType w:val="hybridMultilevel"/>
    <w:tmpl w:val="75ACDF8E"/>
    <w:lvl w:ilvl="0" w:tplc="D1C6501A">
      <w:start w:val="1"/>
      <w:numFmt w:val="bullet"/>
      <w:lvlText w:val="●"/>
      <w:lvlJc w:val="left"/>
      <w:pPr>
        <w:ind w:left="720" w:hanging="360"/>
      </w:pPr>
    </w:lvl>
    <w:lvl w:ilvl="1" w:tplc="59E647D0">
      <w:start w:val="1"/>
      <w:numFmt w:val="bullet"/>
      <w:lvlText w:val="○"/>
      <w:lvlJc w:val="left"/>
      <w:pPr>
        <w:ind w:left="1440" w:hanging="360"/>
      </w:pPr>
    </w:lvl>
    <w:lvl w:ilvl="2" w:tplc="6E04093A">
      <w:start w:val="1"/>
      <w:numFmt w:val="bullet"/>
      <w:lvlText w:val="■"/>
      <w:lvlJc w:val="left"/>
      <w:pPr>
        <w:ind w:left="2160" w:hanging="360"/>
      </w:pPr>
    </w:lvl>
    <w:lvl w:ilvl="3" w:tplc="7A0237D2">
      <w:start w:val="1"/>
      <w:numFmt w:val="bullet"/>
      <w:lvlText w:val="●"/>
      <w:lvlJc w:val="left"/>
      <w:pPr>
        <w:ind w:left="2880" w:hanging="360"/>
      </w:pPr>
    </w:lvl>
    <w:lvl w:ilvl="4" w:tplc="EFEE3528">
      <w:start w:val="1"/>
      <w:numFmt w:val="bullet"/>
      <w:lvlText w:val="○"/>
      <w:lvlJc w:val="left"/>
      <w:pPr>
        <w:ind w:left="3600" w:hanging="360"/>
      </w:pPr>
    </w:lvl>
    <w:lvl w:ilvl="5" w:tplc="C7023EC4">
      <w:start w:val="1"/>
      <w:numFmt w:val="bullet"/>
      <w:lvlText w:val="■"/>
      <w:lvlJc w:val="left"/>
      <w:pPr>
        <w:ind w:left="4320" w:hanging="360"/>
      </w:pPr>
    </w:lvl>
    <w:lvl w:ilvl="6" w:tplc="7012FFA2">
      <w:start w:val="1"/>
      <w:numFmt w:val="bullet"/>
      <w:lvlText w:val="●"/>
      <w:lvlJc w:val="left"/>
      <w:pPr>
        <w:ind w:left="5040" w:hanging="360"/>
      </w:pPr>
    </w:lvl>
    <w:lvl w:ilvl="7" w:tplc="B922BCA8">
      <w:start w:val="1"/>
      <w:numFmt w:val="bullet"/>
      <w:lvlText w:val="●"/>
      <w:lvlJc w:val="left"/>
      <w:pPr>
        <w:ind w:left="5760" w:hanging="360"/>
      </w:pPr>
    </w:lvl>
    <w:lvl w:ilvl="8" w:tplc="0DF6056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EDB6EBA"/>
    <w:multiLevelType w:val="hybridMultilevel"/>
    <w:tmpl w:val="5524DB44"/>
    <w:lvl w:ilvl="0" w:tplc="48EE4DE8">
      <w:start w:val="1"/>
      <w:numFmt w:val="bullet"/>
      <w:lvlText w:val="•"/>
      <w:lvlJc w:val="left"/>
      <w:pPr>
        <w:ind w:left="540" w:hanging="360"/>
      </w:pPr>
    </w:lvl>
    <w:lvl w:ilvl="1" w:tplc="0D4C5A08">
      <w:numFmt w:val="decimal"/>
      <w:lvlText w:val=""/>
      <w:lvlJc w:val="left"/>
    </w:lvl>
    <w:lvl w:ilvl="2" w:tplc="63A2981E">
      <w:numFmt w:val="decimal"/>
      <w:lvlText w:val=""/>
      <w:lvlJc w:val="left"/>
    </w:lvl>
    <w:lvl w:ilvl="3" w:tplc="5266A52C">
      <w:numFmt w:val="decimal"/>
      <w:lvlText w:val=""/>
      <w:lvlJc w:val="left"/>
    </w:lvl>
    <w:lvl w:ilvl="4" w:tplc="09DC9250">
      <w:numFmt w:val="decimal"/>
      <w:lvlText w:val=""/>
      <w:lvlJc w:val="left"/>
    </w:lvl>
    <w:lvl w:ilvl="5" w:tplc="9F921696">
      <w:numFmt w:val="decimal"/>
      <w:lvlText w:val=""/>
      <w:lvlJc w:val="left"/>
    </w:lvl>
    <w:lvl w:ilvl="6" w:tplc="C116E5C0">
      <w:numFmt w:val="decimal"/>
      <w:lvlText w:val=""/>
      <w:lvlJc w:val="left"/>
    </w:lvl>
    <w:lvl w:ilvl="7" w:tplc="77124D30">
      <w:numFmt w:val="decimal"/>
      <w:lvlText w:val=""/>
      <w:lvlJc w:val="left"/>
    </w:lvl>
    <w:lvl w:ilvl="8" w:tplc="A19C77F4">
      <w:numFmt w:val="decimal"/>
      <w:lvlText w:val=""/>
      <w:lvlJc w:val="left"/>
    </w:lvl>
  </w:abstractNum>
  <w:num w:numId="1" w16cid:durableId="1331056052">
    <w:abstractNumId w:val="1"/>
    <w:lvlOverride w:ilvl="0">
      <w:startOverride w:val="1"/>
    </w:lvlOverride>
  </w:num>
  <w:num w:numId="2" w16cid:durableId="2006594499">
    <w:abstractNumId w:val="0"/>
    <w:lvlOverride w:ilvl="0">
      <w:startOverride w:val="1"/>
    </w:lvlOverride>
  </w:num>
  <w:num w:numId="3" w16cid:durableId="210484102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34"/>
    <w:rsid w:val="002F72D1"/>
    <w:rsid w:val="004D5534"/>
    <w:rsid w:val="006F74BB"/>
    <w:rsid w:val="0087225D"/>
    <w:rsid w:val="00B86DEA"/>
    <w:rsid w:val="00C22D84"/>
    <w:rsid w:val="00DA7629"/>
    <w:rsid w:val="00FA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90E8"/>
  <w15:docId w15:val="{0D2E235C-5623-478C-B4D9-743380D2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mhm-corporat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943</Words>
  <Characters>3597</Characters>
  <Application>Microsoft Office Word</Application>
  <DocSecurity>0</DocSecurity>
  <Lines>719</Lines>
  <Paragraphs>756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Rudie Reedijk</cp:lastModifiedBy>
  <cp:revision>5</cp:revision>
  <dcterms:created xsi:type="dcterms:W3CDTF">2026-05-27T06:50:00Z</dcterms:created>
  <dcterms:modified xsi:type="dcterms:W3CDTF">2026-06-07T11:40:00Z</dcterms:modified>
</cp:coreProperties>
</file>