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161AE" w14:textId="77777777" w:rsidR="00484BE7" w:rsidRDefault="00484BE7" w:rsidP="001C0872">
      <w:pPr>
        <w:ind w:firstLine="567"/>
        <w:jc w:val="center"/>
        <w:rPr>
          <w:b/>
          <w:sz w:val="28"/>
          <w:lang w:val="fr-FR"/>
        </w:rPr>
      </w:pPr>
    </w:p>
    <w:p w14:paraId="4564BE4A" w14:textId="1AD1096D" w:rsidR="00690762" w:rsidRDefault="00C656AC" w:rsidP="00233D1E">
      <w:pPr>
        <w:ind w:firstLine="567"/>
        <w:jc w:val="center"/>
        <w:rPr>
          <w:b/>
          <w:sz w:val="28"/>
          <w:lang w:val="fr-FR"/>
        </w:rPr>
      </w:pPr>
      <w:r w:rsidRPr="00C656AC">
        <w:rPr>
          <w:b/>
          <w:sz w:val="28"/>
          <w:lang w:val="fr-FR"/>
        </w:rPr>
        <w:t xml:space="preserve">DOLPHIN INTEGRATION REVOIT SES PERSPECTIVES </w:t>
      </w:r>
      <w:r w:rsidR="005E6BB9">
        <w:rPr>
          <w:b/>
          <w:sz w:val="28"/>
          <w:lang w:val="fr-FR"/>
        </w:rPr>
        <w:t>SUITE AU</w:t>
      </w:r>
      <w:r w:rsidRPr="00C656AC">
        <w:rPr>
          <w:b/>
          <w:sz w:val="28"/>
          <w:lang w:val="fr-FR"/>
        </w:rPr>
        <w:t xml:space="preserve"> </w:t>
      </w:r>
      <w:r w:rsidR="00CA5936">
        <w:rPr>
          <w:b/>
          <w:sz w:val="28"/>
          <w:lang w:val="fr-FR"/>
        </w:rPr>
        <w:t>DÉCALAGE</w:t>
      </w:r>
      <w:r w:rsidRPr="00C656AC">
        <w:rPr>
          <w:b/>
          <w:sz w:val="28"/>
          <w:lang w:val="fr-FR"/>
        </w:rPr>
        <w:t xml:space="preserve"> D'UNE IMPORTANTE COMMANDE</w:t>
      </w:r>
    </w:p>
    <w:p w14:paraId="60634E12" w14:textId="77777777" w:rsidR="00233D1E" w:rsidRPr="00233D1E" w:rsidRDefault="00233D1E" w:rsidP="00233D1E">
      <w:pPr>
        <w:ind w:firstLine="567"/>
        <w:jc w:val="center"/>
        <w:rPr>
          <w:b/>
          <w:sz w:val="28"/>
          <w:lang w:val="fr-FR"/>
        </w:rPr>
      </w:pPr>
    </w:p>
    <w:p w14:paraId="6AE11520" w14:textId="77777777" w:rsidR="00970C27" w:rsidRDefault="00970C27" w:rsidP="007B46AA">
      <w:pPr>
        <w:spacing w:before="100" w:beforeAutospacing="1" w:after="100" w:afterAutospacing="1"/>
        <w:ind w:firstLine="567"/>
        <w:rPr>
          <w:lang w:val="fr-FR"/>
        </w:rPr>
      </w:pPr>
      <w:r>
        <w:rPr>
          <w:lang w:val="fr-FR"/>
        </w:rPr>
        <w:t>Grenoble, l</w:t>
      </w:r>
      <w:r w:rsidR="00690762">
        <w:rPr>
          <w:lang w:val="fr-FR"/>
        </w:rPr>
        <w:t>e 6</w:t>
      </w:r>
      <w:r w:rsidR="00C656AC" w:rsidRPr="00C656AC">
        <w:rPr>
          <w:lang w:val="fr-FR"/>
        </w:rPr>
        <w:t xml:space="preserve"> juin 2018. </w:t>
      </w:r>
      <w:r w:rsidR="001C0872">
        <w:rPr>
          <w:lang w:val="fr-FR"/>
        </w:rPr>
        <w:t xml:space="preserve"> </w:t>
      </w:r>
    </w:p>
    <w:p w14:paraId="4ED925B1" w14:textId="659E1725" w:rsidR="007B46AA" w:rsidRDefault="00C656AC" w:rsidP="007B46AA">
      <w:pPr>
        <w:spacing w:before="100" w:beforeAutospacing="1" w:after="100" w:afterAutospacing="1"/>
        <w:ind w:firstLine="567"/>
        <w:rPr>
          <w:lang w:val="fr-FR"/>
        </w:rPr>
      </w:pPr>
      <w:r w:rsidRPr="00C656AC">
        <w:rPr>
          <w:lang w:val="fr-FR"/>
        </w:rPr>
        <w:t xml:space="preserve">Dans </w:t>
      </w:r>
      <w:r w:rsidR="00934380">
        <w:rPr>
          <w:lang w:val="fr-FR"/>
        </w:rPr>
        <w:t>son</w:t>
      </w:r>
      <w:r w:rsidRPr="00C656AC">
        <w:rPr>
          <w:lang w:val="fr-FR"/>
        </w:rPr>
        <w:t xml:space="preserve"> communiqué du 11 janvier la société avait mentionné </w:t>
      </w:r>
      <w:r w:rsidR="006467F3">
        <w:rPr>
          <w:lang w:val="fr-FR"/>
        </w:rPr>
        <w:t>l’existence d’</w:t>
      </w:r>
      <w:r w:rsidRPr="00C656AC">
        <w:rPr>
          <w:lang w:val="fr-FR"/>
        </w:rPr>
        <w:t xml:space="preserve">un risque de liquidité, sa capacité à résorber ses retards d’échéance et </w:t>
      </w:r>
      <w:r w:rsidR="00652A2B">
        <w:rPr>
          <w:lang w:val="fr-FR"/>
        </w:rPr>
        <w:t>à</w:t>
      </w:r>
      <w:r w:rsidR="00652A2B" w:rsidRPr="00C656AC">
        <w:rPr>
          <w:lang w:val="fr-FR"/>
        </w:rPr>
        <w:t xml:space="preserve"> </w:t>
      </w:r>
      <w:r w:rsidRPr="00C656AC">
        <w:rPr>
          <w:lang w:val="fr-FR"/>
        </w:rPr>
        <w:t xml:space="preserve">poursuivre son activité </w:t>
      </w:r>
      <w:r w:rsidR="006467F3">
        <w:rPr>
          <w:lang w:val="fr-FR"/>
        </w:rPr>
        <w:t>reposant</w:t>
      </w:r>
      <w:r w:rsidR="00484BE7">
        <w:rPr>
          <w:lang w:val="fr-FR"/>
        </w:rPr>
        <w:t xml:space="preserve"> notamment</w:t>
      </w:r>
      <w:r w:rsidR="00233D1E">
        <w:rPr>
          <w:lang w:val="fr-FR"/>
        </w:rPr>
        <w:t xml:space="preserve"> s</w:t>
      </w:r>
      <w:bookmarkStart w:id="0" w:name="_GoBack"/>
      <w:bookmarkEnd w:id="0"/>
      <w:r w:rsidR="00233D1E">
        <w:rPr>
          <w:lang w:val="fr-FR"/>
        </w:rPr>
        <w:t>ur</w:t>
      </w:r>
      <w:r w:rsidR="006467F3" w:rsidRPr="00C656AC">
        <w:rPr>
          <w:lang w:val="fr-FR"/>
        </w:rPr>
        <w:t xml:space="preserve"> </w:t>
      </w:r>
      <w:r w:rsidRPr="00C656AC">
        <w:rPr>
          <w:lang w:val="fr-FR"/>
        </w:rPr>
        <w:t>d'une part la réalisation du budget</w:t>
      </w:r>
      <w:r w:rsidR="00484BE7">
        <w:rPr>
          <w:lang w:val="fr-FR"/>
        </w:rPr>
        <w:t xml:space="preserve"> 2018</w:t>
      </w:r>
      <w:r w:rsidRPr="00C656AC">
        <w:rPr>
          <w:lang w:val="fr-FR"/>
        </w:rPr>
        <w:t xml:space="preserve"> avec « la sécurisation des commandes de quelques clients historiques », </w:t>
      </w:r>
      <w:r w:rsidR="00652A2B">
        <w:rPr>
          <w:lang w:val="fr-FR"/>
        </w:rPr>
        <w:t xml:space="preserve">et </w:t>
      </w:r>
      <w:r w:rsidRPr="00C656AC">
        <w:rPr>
          <w:lang w:val="fr-FR"/>
        </w:rPr>
        <w:t xml:space="preserve">d'autre part la mise en œuvre de solutions à moyen terme de renforcement de ses fonds propres. </w:t>
      </w:r>
    </w:p>
    <w:p w14:paraId="451EE7A9" w14:textId="77777777" w:rsidR="00934380" w:rsidRDefault="00A43CC6" w:rsidP="00934380">
      <w:pPr>
        <w:ind w:firstLine="567"/>
        <w:rPr>
          <w:lang w:val="fr-FR"/>
        </w:rPr>
      </w:pPr>
      <w:r>
        <w:rPr>
          <w:lang w:val="fr-FR"/>
        </w:rPr>
        <w:t xml:space="preserve">Concernant </w:t>
      </w:r>
      <w:r w:rsidR="003E6DC7">
        <w:rPr>
          <w:lang w:val="fr-FR"/>
        </w:rPr>
        <w:t>l’exercice en cours</w:t>
      </w:r>
      <w:r>
        <w:rPr>
          <w:lang w:val="fr-FR"/>
        </w:rPr>
        <w:t xml:space="preserve">, </w:t>
      </w:r>
      <w:r w:rsidR="001C57B8">
        <w:rPr>
          <w:lang w:val="fr-FR"/>
        </w:rPr>
        <w:t>l</w:t>
      </w:r>
      <w:r w:rsidR="003C50A7" w:rsidRPr="00C656AC">
        <w:rPr>
          <w:lang w:val="fr-FR"/>
        </w:rPr>
        <w:t xml:space="preserve">a direction générale d'un client historique, totalement renouvelée au cours du premier trimestre, </w:t>
      </w:r>
      <w:r w:rsidR="003C50A7">
        <w:rPr>
          <w:lang w:val="fr-FR"/>
        </w:rPr>
        <w:t>a décidé de retarder</w:t>
      </w:r>
      <w:r w:rsidR="003C50A7" w:rsidRPr="00C656AC">
        <w:rPr>
          <w:lang w:val="fr-FR"/>
        </w:rPr>
        <w:t xml:space="preserve"> un de ses programmes stratégiques</w:t>
      </w:r>
      <w:r w:rsidR="003C50A7">
        <w:rPr>
          <w:lang w:val="fr-FR"/>
        </w:rPr>
        <w:t xml:space="preserve">. </w:t>
      </w:r>
    </w:p>
    <w:p w14:paraId="0097DC9B" w14:textId="4DAA0BF2" w:rsidR="00D5598B" w:rsidRPr="00C0355F" w:rsidRDefault="00A43CC6" w:rsidP="00934380">
      <w:pPr>
        <w:ind w:firstLine="567"/>
        <w:rPr>
          <w:lang w:val="fr-FR"/>
        </w:rPr>
      </w:pPr>
      <w:r>
        <w:rPr>
          <w:lang w:val="fr-FR"/>
        </w:rPr>
        <w:t xml:space="preserve">Dans ce contexte, </w:t>
      </w:r>
      <w:r w:rsidR="003E6DC7">
        <w:rPr>
          <w:lang w:val="fr-FR"/>
        </w:rPr>
        <w:t>a</w:t>
      </w:r>
      <w:r w:rsidR="00D5598B" w:rsidRPr="00C0355F">
        <w:rPr>
          <w:lang w:val="fr-FR"/>
        </w:rPr>
        <w:t>u 31 mai 2018,</w:t>
      </w:r>
      <w:r>
        <w:rPr>
          <w:lang w:val="fr-FR"/>
        </w:rPr>
        <w:t xml:space="preserve"> le risque de liquidité s’est accru. L</w:t>
      </w:r>
      <w:r w:rsidR="00233D1E">
        <w:rPr>
          <w:lang w:val="fr-FR"/>
        </w:rPr>
        <w:t>es comptes non-audités</w:t>
      </w:r>
      <w:r w:rsidR="00D5598B" w:rsidRPr="00C0355F">
        <w:rPr>
          <w:lang w:val="fr-FR"/>
        </w:rPr>
        <w:t xml:space="preserve"> font apparaitre des dettes fournisseurs et des dettes fiscales et sociales</w:t>
      </w:r>
      <w:r w:rsidR="00F3341A">
        <w:rPr>
          <w:lang w:val="fr-FR"/>
        </w:rPr>
        <w:t xml:space="preserve"> échues</w:t>
      </w:r>
      <w:r w:rsidR="007B46AA" w:rsidRPr="00C0355F">
        <w:rPr>
          <w:lang w:val="fr-FR"/>
        </w:rPr>
        <w:t>,</w:t>
      </w:r>
      <w:r w:rsidR="00D5598B" w:rsidRPr="00C0355F">
        <w:rPr>
          <w:lang w:val="fr-FR"/>
        </w:rPr>
        <w:t xml:space="preserve"> s’élevant respectivement à 2 M€ et 3,4 M € (contre 1,1 M€ et 2,5 M€ respectivement, </w:t>
      </w:r>
      <w:r w:rsidR="00F3341A">
        <w:rPr>
          <w:lang w:val="fr-FR"/>
        </w:rPr>
        <w:t>à la clôtures des comptes semestriels du 30 septembre 2017</w:t>
      </w:r>
      <w:r w:rsidR="00934380">
        <w:rPr>
          <w:lang w:val="fr-FR"/>
        </w:rPr>
        <w:t>,</w:t>
      </w:r>
      <w:r w:rsidR="00D5598B" w:rsidRPr="00C0355F">
        <w:rPr>
          <w:lang w:val="fr-FR"/>
        </w:rPr>
        <w:t xml:space="preserve"> et contre 1,5 M€ et 1,8 M€ respectivement, à la </w:t>
      </w:r>
      <w:r w:rsidR="00F3341A">
        <w:rPr>
          <w:lang w:val="fr-FR"/>
        </w:rPr>
        <w:t>clôture</w:t>
      </w:r>
      <w:r w:rsidR="00D5598B" w:rsidRPr="00C0355F">
        <w:rPr>
          <w:lang w:val="fr-FR"/>
        </w:rPr>
        <w:t xml:space="preserve"> des comptes annuels clos le 31 mars 2017). </w:t>
      </w:r>
    </w:p>
    <w:p w14:paraId="7E18537B" w14:textId="7FDB0E0A" w:rsidR="00A43CC6" w:rsidRPr="00484BE7" w:rsidRDefault="00A43CC6" w:rsidP="00484BE7">
      <w:pPr>
        <w:spacing w:before="100" w:beforeAutospacing="1" w:after="100" w:afterAutospacing="1"/>
        <w:ind w:firstLine="567"/>
        <w:rPr>
          <w:lang w:val="fr-FR"/>
        </w:rPr>
      </w:pPr>
      <w:r>
        <w:rPr>
          <w:lang w:val="fr-FR"/>
        </w:rPr>
        <w:t>Afin de pallier à cette situation</w:t>
      </w:r>
      <w:r w:rsidR="00484BE7">
        <w:rPr>
          <w:lang w:val="fr-FR"/>
        </w:rPr>
        <w:t>, l</w:t>
      </w:r>
      <w:r w:rsidRPr="00484BE7">
        <w:rPr>
          <w:lang w:val="fr-FR"/>
        </w:rPr>
        <w:t>a société</w:t>
      </w:r>
      <w:r w:rsidR="00934380">
        <w:rPr>
          <w:lang w:val="fr-FR"/>
        </w:rPr>
        <w:t>, en tant que fournisseur clé,</w:t>
      </w:r>
      <w:r w:rsidRPr="00484BE7">
        <w:rPr>
          <w:lang w:val="fr-FR"/>
        </w:rPr>
        <w:t xml:space="preserve"> étudie les solutions relais pour compenser</w:t>
      </w:r>
      <w:r w:rsidR="001C57B8" w:rsidRPr="00484BE7">
        <w:rPr>
          <w:lang w:val="fr-FR"/>
        </w:rPr>
        <w:t xml:space="preserve"> l</w:t>
      </w:r>
      <w:r w:rsidRPr="00484BE7">
        <w:rPr>
          <w:lang w:val="fr-FR"/>
        </w:rPr>
        <w:t>e retard</w:t>
      </w:r>
      <w:r w:rsidR="00233D1E">
        <w:rPr>
          <w:lang w:val="fr-FR"/>
        </w:rPr>
        <w:t xml:space="preserve"> du programme </w:t>
      </w:r>
      <w:r w:rsidR="00934380">
        <w:rPr>
          <w:lang w:val="fr-FR"/>
        </w:rPr>
        <w:t>retardé</w:t>
      </w:r>
      <w:r w:rsidR="00233D1E">
        <w:rPr>
          <w:lang w:val="fr-FR"/>
        </w:rPr>
        <w:t xml:space="preserve"> évoqué</w:t>
      </w:r>
      <w:r w:rsidR="001C57B8" w:rsidRPr="00484BE7">
        <w:rPr>
          <w:lang w:val="fr-FR"/>
        </w:rPr>
        <w:t xml:space="preserve"> ci-dessus</w:t>
      </w:r>
      <w:r w:rsidRPr="00484BE7">
        <w:rPr>
          <w:lang w:val="fr-FR"/>
        </w:rPr>
        <w:t>, en s'appuyant sur d'autres clients historiques aptes</w:t>
      </w:r>
      <w:r w:rsidR="00233D1E">
        <w:rPr>
          <w:lang w:val="fr-FR"/>
        </w:rPr>
        <w:t xml:space="preserve"> à accélérer leurs programmes. À</w:t>
      </w:r>
      <w:r w:rsidRPr="00484BE7">
        <w:rPr>
          <w:lang w:val="fr-FR"/>
        </w:rPr>
        <w:t xml:space="preserve"> ce stade, le chiffre d'affaires pour l’exercice en cours (facturation</w:t>
      </w:r>
      <w:r w:rsidR="00233D1E">
        <w:rPr>
          <w:lang w:val="fr-FR"/>
        </w:rPr>
        <w:t>s</w:t>
      </w:r>
      <w:r w:rsidRPr="00484BE7">
        <w:rPr>
          <w:lang w:val="fr-FR"/>
        </w:rPr>
        <w:t xml:space="preserve"> </w:t>
      </w:r>
      <w:r w:rsidR="00233D1E">
        <w:rPr>
          <w:lang w:val="fr-FR"/>
        </w:rPr>
        <w:t>effectuées</w:t>
      </w:r>
      <w:r w:rsidRPr="00484BE7">
        <w:rPr>
          <w:lang w:val="fr-FR"/>
        </w:rPr>
        <w:t xml:space="preserve"> plus facturation</w:t>
      </w:r>
      <w:r w:rsidR="00233D1E">
        <w:rPr>
          <w:lang w:val="fr-FR"/>
        </w:rPr>
        <w:t>s</w:t>
      </w:r>
      <w:r w:rsidRPr="00484BE7">
        <w:rPr>
          <w:lang w:val="fr-FR"/>
        </w:rPr>
        <w:t xml:space="preserve"> des contrats signés </w:t>
      </w:r>
      <w:r w:rsidR="00233D1E">
        <w:rPr>
          <w:lang w:val="fr-FR"/>
        </w:rPr>
        <w:t xml:space="preserve">et </w:t>
      </w:r>
      <w:r w:rsidRPr="00484BE7">
        <w:rPr>
          <w:lang w:val="fr-FR"/>
        </w:rPr>
        <w:t>en cours de réalisation) est ainsi sécurisé à hauteur d'environ 40 % de l’objectif annuel F19.</w:t>
      </w:r>
    </w:p>
    <w:p w14:paraId="271E4D85" w14:textId="3DA5C05A" w:rsidR="00986CDA" w:rsidRPr="00C656AC" w:rsidRDefault="00233D1E" w:rsidP="00233D1E">
      <w:pPr>
        <w:spacing w:before="100" w:beforeAutospacing="1" w:after="100" w:afterAutospacing="1"/>
        <w:ind w:firstLine="567"/>
        <w:rPr>
          <w:lang w:val="fr-FR"/>
        </w:rPr>
      </w:pPr>
      <w:r>
        <w:rPr>
          <w:lang w:val="fr-FR"/>
        </w:rPr>
        <w:t>En outre</w:t>
      </w:r>
      <w:r w:rsidR="00484BE7">
        <w:rPr>
          <w:lang w:val="fr-FR"/>
        </w:rPr>
        <w:t>, d</w:t>
      </w:r>
      <w:r w:rsidR="00CE6958" w:rsidRPr="00484BE7">
        <w:rPr>
          <w:lang w:val="fr-FR"/>
        </w:rPr>
        <w:t>ans</w:t>
      </w:r>
      <w:r w:rsidR="00212087" w:rsidRPr="00484BE7">
        <w:rPr>
          <w:lang w:val="fr-FR"/>
        </w:rPr>
        <w:t xml:space="preserve"> le cadre de l'autorisation donnée au c</w:t>
      </w:r>
      <w:r>
        <w:rPr>
          <w:lang w:val="fr-FR"/>
        </w:rPr>
        <w:t>onseil d'administration par l’assemblée générale</w:t>
      </w:r>
      <w:r w:rsidR="00212087" w:rsidRPr="00484BE7">
        <w:rPr>
          <w:lang w:val="fr-FR"/>
        </w:rPr>
        <w:t xml:space="preserve"> mixte du 8 février</w:t>
      </w:r>
      <w:r w:rsidR="00CE6958" w:rsidRPr="00484BE7">
        <w:rPr>
          <w:lang w:val="fr-FR"/>
        </w:rPr>
        <w:t xml:space="preserve"> 2018</w:t>
      </w:r>
      <w:r w:rsidR="00212087" w:rsidRPr="00484BE7">
        <w:rPr>
          <w:lang w:val="fr-FR"/>
        </w:rPr>
        <w:t xml:space="preserve"> pour réaliser une augmentation de capital</w:t>
      </w:r>
      <w:r w:rsidR="00CE6958" w:rsidRPr="00484BE7">
        <w:rPr>
          <w:lang w:val="fr-FR"/>
        </w:rPr>
        <w:t>,</w:t>
      </w:r>
      <w:r w:rsidR="00212087" w:rsidRPr="00484BE7">
        <w:rPr>
          <w:lang w:val="fr-FR"/>
        </w:rPr>
        <w:t xml:space="preserve"> </w:t>
      </w:r>
      <w:r>
        <w:rPr>
          <w:lang w:val="fr-FR"/>
        </w:rPr>
        <w:t>la s</w:t>
      </w:r>
      <w:r w:rsidR="00A43CC6" w:rsidRPr="00484BE7">
        <w:rPr>
          <w:lang w:val="fr-FR"/>
        </w:rPr>
        <w:t>ociété poursuit s</w:t>
      </w:r>
      <w:r w:rsidR="007B46AA" w:rsidRPr="00484BE7">
        <w:rPr>
          <w:lang w:val="fr-FR"/>
        </w:rPr>
        <w:t>es démarches</w:t>
      </w:r>
      <w:r w:rsidR="00B96EB2" w:rsidRPr="00484BE7">
        <w:rPr>
          <w:lang w:val="fr-FR"/>
        </w:rPr>
        <w:t xml:space="preserve"> capitalistiques ou de financement bancaire</w:t>
      </w:r>
      <w:r w:rsidR="007B46AA" w:rsidRPr="00484BE7">
        <w:rPr>
          <w:lang w:val="fr-FR"/>
        </w:rPr>
        <w:t>, en vue de renforcer les fonds propr</w:t>
      </w:r>
      <w:r w:rsidR="00B96EB2" w:rsidRPr="00484BE7">
        <w:rPr>
          <w:lang w:val="fr-FR"/>
        </w:rPr>
        <w:t>es de l’entreprise</w:t>
      </w:r>
      <w:r w:rsidR="007B46AA" w:rsidRPr="00484BE7">
        <w:rPr>
          <w:lang w:val="fr-FR"/>
        </w:rPr>
        <w:t>.</w:t>
      </w:r>
      <w:r>
        <w:rPr>
          <w:lang w:val="fr-FR"/>
        </w:rPr>
        <w:t xml:space="preserve"> </w:t>
      </w:r>
    </w:p>
    <w:p w14:paraId="41D3EF40" w14:textId="76250B26" w:rsidR="003036C7" w:rsidRPr="00C656AC" w:rsidRDefault="00B96EB2" w:rsidP="007B46AA">
      <w:pPr>
        <w:tabs>
          <w:tab w:val="left" w:pos="708"/>
        </w:tabs>
        <w:rPr>
          <w:b/>
          <w:lang w:val="fr-FR"/>
        </w:rPr>
      </w:pPr>
      <w:r w:rsidRPr="00C656AC">
        <w:rPr>
          <w:b/>
          <w:lang w:val="fr-FR"/>
        </w:rPr>
        <w:t>Le</w:t>
      </w:r>
      <w:r w:rsidR="002A7E35" w:rsidRPr="00C656AC">
        <w:rPr>
          <w:b/>
          <w:lang w:val="fr-FR"/>
        </w:rPr>
        <w:t xml:space="preserve"> président</w:t>
      </w:r>
    </w:p>
    <w:p w14:paraId="3C7F99E7" w14:textId="77777777" w:rsidR="002A7E35" w:rsidRPr="00C656AC" w:rsidRDefault="002A7E35" w:rsidP="00861BE2">
      <w:pPr>
        <w:ind w:firstLine="567"/>
        <w:rPr>
          <w:b/>
          <w:lang w:val="fr-FR"/>
        </w:rPr>
      </w:pPr>
    </w:p>
    <w:p w14:paraId="35D747DD" w14:textId="77777777" w:rsidR="002A7E35" w:rsidRPr="00C656AC" w:rsidRDefault="002A7E35" w:rsidP="00861BE2">
      <w:pPr>
        <w:ind w:firstLine="567"/>
        <w:rPr>
          <w:b/>
          <w:lang w:val="fr-FR"/>
        </w:rPr>
      </w:pPr>
    </w:p>
    <w:p w14:paraId="1EECCB12" w14:textId="77777777" w:rsidR="002A7E35" w:rsidRPr="00C656AC" w:rsidRDefault="002A7E35" w:rsidP="00861BE2">
      <w:pPr>
        <w:ind w:firstLine="567"/>
        <w:rPr>
          <w:b/>
          <w:lang w:val="fr-FR"/>
        </w:rPr>
      </w:pPr>
    </w:p>
    <w:p w14:paraId="064011B5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A propos de A propos de Dolphin Integration </w:t>
      </w:r>
      <w:r w:rsidRPr="00C656AC">
        <w:rPr>
          <w:i/>
          <w:noProof/>
          <w:sz w:val="22"/>
          <w:lang w:eastAsia="en-US"/>
        </w:rPr>
        <w:drawing>
          <wp:inline distT="0" distB="0" distL="0" distR="0" wp14:anchorId="0DF8DC07" wp14:editId="1F1DC0C7">
            <wp:extent cx="635000" cy="635000"/>
            <wp:effectExtent l="0" t="0" r="0" b="0"/>
            <wp:docPr id="3" name="Image 1" descr="EU-16159_PEA-PME label_blue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16159_PEA-PME label_blue_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F79C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446F17FA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Créée en 1985, la société est un leader technologique reconnu mondialement dans l’industrie de la conception en microélectronique pour les produits à faible consommation. </w:t>
      </w:r>
    </w:p>
    <w:p w14:paraId="74F7B8C5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Elle capitalise 30 années de R&amp;D, protégée par une vingtaine de brevets et par des solutions de CAO propriétaires, pour commercialiser de nouveaux produits, en standard ou à la demande, à la fois pour des applications grand public et pour les secteurs de l’industrie et de l’aéronautique. </w:t>
      </w:r>
    </w:p>
    <w:p w14:paraId="5E784D6F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lastRenderedPageBreak/>
        <w:t xml:space="preserve">Elle est implantée à Meylan dans la région grenobloise, à Laval au Québec et à Netanya en Israël. Elle compte environ 190 collaborateurs, dont 160 ingénieurs et scientifiques : </w:t>
      </w:r>
      <w:hyperlink r:id="rId9" w:history="1">
        <w:r w:rsidRPr="00C656AC">
          <w:rPr>
            <w:rStyle w:val="Hyperlink"/>
            <w:i/>
            <w:color w:val="auto"/>
            <w:sz w:val="22"/>
            <w:lang w:val="fr-FR"/>
          </w:rPr>
          <w:t>www.dolphin.fr</w:t>
        </w:r>
      </w:hyperlink>
    </w:p>
    <w:p w14:paraId="483F7C82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46985141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La société confirme respecter les critères d'éligibilité au PEA-PME, précisés par le décret d'application en date du 4 mars 2014 (n°2014-283).</w:t>
      </w:r>
    </w:p>
    <w:p w14:paraId="5C721622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1FC8094B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Listée sur Alternext depuis 2007, maintenant EURONEXT GROWTH.</w:t>
      </w:r>
    </w:p>
    <w:p w14:paraId="58194E26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Code ISIN : FR0004022754/ ALDOL – Bloomberg : ALDOL FP – Reuters : ALDOL.PA - ICB 9576. Semiconductors.</w:t>
      </w:r>
    </w:p>
    <w:p w14:paraId="5DD7E1B8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Contacts : </w:t>
      </w:r>
    </w:p>
    <w:p w14:paraId="3DFB287C" w14:textId="1285753D" w:rsidR="002A7E35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Michel DEPEYROT, Président – </w:t>
      </w:r>
      <w:hyperlink r:id="rId10" w:history="1">
        <w:r w:rsidR="00934380" w:rsidRPr="002C3EE0">
          <w:rPr>
            <w:rStyle w:val="Hyperlink"/>
            <w:i/>
            <w:sz w:val="22"/>
            <w:lang w:val="fr-FR"/>
          </w:rPr>
          <w:t>myd@dolphin.fr</w:t>
        </w:r>
      </w:hyperlink>
      <w:r w:rsidRPr="00C656AC">
        <w:rPr>
          <w:i/>
          <w:sz w:val="22"/>
          <w:lang w:val="fr-FR"/>
        </w:rPr>
        <w:t xml:space="preserve"> </w:t>
      </w:r>
    </w:p>
    <w:p w14:paraId="3BA69198" w14:textId="699BDFC7" w:rsidR="00934380" w:rsidRPr="00C656AC" w:rsidRDefault="00934380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Denis SCHERRER, Directeur Financier </w:t>
      </w:r>
      <w:r w:rsidRPr="00C656AC">
        <w:rPr>
          <w:i/>
          <w:sz w:val="22"/>
          <w:lang w:val="fr-FR"/>
        </w:rPr>
        <w:t>–</w:t>
      </w:r>
      <w:r>
        <w:rPr>
          <w:i/>
          <w:sz w:val="22"/>
          <w:lang w:val="fr-FR"/>
        </w:rPr>
        <w:t xml:space="preserve"> denis.scherrer@dolphin.fr</w:t>
      </w:r>
    </w:p>
    <w:p w14:paraId="674CF250" w14:textId="77777777" w:rsidR="002A7E35" w:rsidRPr="00C656AC" w:rsidRDefault="002A7E35" w:rsidP="00861BE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Amaury DADA, INVEST SECURITIES – Listing Sponsor – adada@invest-securities.com </w:t>
      </w:r>
    </w:p>
    <w:p w14:paraId="7A8E480F" w14:textId="77777777" w:rsidR="00283A1E" w:rsidRPr="00C656AC" w:rsidRDefault="00283A1E" w:rsidP="00861BE2">
      <w:pPr>
        <w:ind w:firstLine="567"/>
        <w:rPr>
          <w:lang w:val="fr-FR"/>
        </w:rPr>
      </w:pPr>
    </w:p>
    <w:sectPr w:rsidR="00283A1E" w:rsidRPr="00C656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84F2C" w15:done="0"/>
  <w15:commentEx w15:paraId="5451415C" w15:done="0"/>
  <w15:commentEx w15:paraId="402C9376" w15:done="0"/>
  <w15:commentEx w15:paraId="20014C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0CB" w14:textId="77777777" w:rsidR="003E779E" w:rsidRDefault="003E779E" w:rsidP="002A7E35">
      <w:r>
        <w:separator/>
      </w:r>
    </w:p>
  </w:endnote>
  <w:endnote w:type="continuationSeparator" w:id="0">
    <w:p w14:paraId="4D3BFAB0" w14:textId="77777777" w:rsidR="003E779E" w:rsidRDefault="003E779E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99D" w14:textId="77777777" w:rsidR="003E779E" w:rsidRDefault="003E779E" w:rsidP="002A7E35">
      <w:r>
        <w:separator/>
      </w:r>
    </w:p>
  </w:footnote>
  <w:footnote w:type="continuationSeparator" w:id="0">
    <w:p w14:paraId="14640217" w14:textId="77777777" w:rsidR="003E779E" w:rsidRDefault="003E779E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44FA" w14:textId="135DA7F9" w:rsidR="00690762" w:rsidRDefault="00690762">
    <w:pPr>
      <w:pStyle w:val="Header"/>
    </w:pPr>
    <w:r>
      <w:rPr>
        <w:noProof/>
        <w:lang w:eastAsia="en-US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690762" w:rsidRDefault="006907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vin, Stephane">
    <w15:presenceInfo w15:providerId="AD" w15:userId="S-1-5-21-1849641580-502103650-619646970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7"/>
    <w:rsid w:val="001B6810"/>
    <w:rsid w:val="001C0872"/>
    <w:rsid w:val="001C57B8"/>
    <w:rsid w:val="0020106D"/>
    <w:rsid w:val="00212087"/>
    <w:rsid w:val="00233D1E"/>
    <w:rsid w:val="00283A1E"/>
    <w:rsid w:val="00290822"/>
    <w:rsid w:val="002A7E35"/>
    <w:rsid w:val="003036C7"/>
    <w:rsid w:val="003355F9"/>
    <w:rsid w:val="003C50A7"/>
    <w:rsid w:val="003E6DC7"/>
    <w:rsid w:val="003E779E"/>
    <w:rsid w:val="00484BE7"/>
    <w:rsid w:val="004C01AE"/>
    <w:rsid w:val="005E6BB9"/>
    <w:rsid w:val="006467F3"/>
    <w:rsid w:val="00652A2B"/>
    <w:rsid w:val="006666E2"/>
    <w:rsid w:val="00690762"/>
    <w:rsid w:val="0072628D"/>
    <w:rsid w:val="007B46AA"/>
    <w:rsid w:val="007F1B2C"/>
    <w:rsid w:val="0084570F"/>
    <w:rsid w:val="00861BE2"/>
    <w:rsid w:val="00934380"/>
    <w:rsid w:val="00970C27"/>
    <w:rsid w:val="00986CDA"/>
    <w:rsid w:val="00A43CC6"/>
    <w:rsid w:val="00A57219"/>
    <w:rsid w:val="00AA6DC5"/>
    <w:rsid w:val="00B05BB6"/>
    <w:rsid w:val="00B8762F"/>
    <w:rsid w:val="00B96EB2"/>
    <w:rsid w:val="00C0355F"/>
    <w:rsid w:val="00C656AC"/>
    <w:rsid w:val="00C67537"/>
    <w:rsid w:val="00C700D0"/>
    <w:rsid w:val="00C75647"/>
    <w:rsid w:val="00CA5936"/>
    <w:rsid w:val="00CE6958"/>
    <w:rsid w:val="00D5598B"/>
    <w:rsid w:val="00DE1F64"/>
    <w:rsid w:val="00E10E67"/>
    <w:rsid w:val="00F3341A"/>
    <w:rsid w:val="00F57DC4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3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ListParagraph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Footer">
    <w:name w:val="footer"/>
    <w:basedOn w:val="Normal"/>
    <w:link w:val="FooterCh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Hyperlink">
    <w:name w:val="Hyperlink"/>
    <w:rsid w:val="002A7E3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343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ListParagraph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Footer">
    <w:name w:val="footer"/>
    <w:basedOn w:val="Normal"/>
    <w:link w:val="FooterCh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Hyperlink">
    <w:name w:val="Hyperlink"/>
    <w:rsid w:val="002A7E3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34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olphin.fr" TargetMode="External"/><Relationship Id="rId10" Type="http://schemas.openxmlformats.org/officeDocument/2006/relationships/hyperlink" Target="mailto:myd@dolph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Scherrer</cp:lastModifiedBy>
  <cp:revision>8</cp:revision>
  <cp:lastPrinted>2018-06-06T14:48:00Z</cp:lastPrinted>
  <dcterms:created xsi:type="dcterms:W3CDTF">2018-06-06T14:50:00Z</dcterms:created>
  <dcterms:modified xsi:type="dcterms:W3CDTF">2018-06-07T06:42:00Z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</Properties>
</file>