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8D" w:rsidRDefault="00B4168D" w:rsidP="00B4168D">
      <w:pPr>
        <w:rPr>
          <w:rFonts w:ascii="Arial Narrow" w:hAnsi="Arial Narrow" w:cs="Arial"/>
          <w:b/>
          <w:color w:val="3366FF"/>
          <w:sz w:val="36"/>
          <w:szCs w:val="36"/>
        </w:rPr>
      </w:pPr>
      <w:r w:rsidRPr="0023618F">
        <w:rPr>
          <w:noProof/>
        </w:rPr>
        <w:drawing>
          <wp:inline distT="0" distB="0" distL="0" distR="0">
            <wp:extent cx="2295525" cy="590550"/>
            <wp:effectExtent l="19050" t="0" r="9525" b="0"/>
            <wp:docPr id="4" name="Image 4" descr="http://www.reseau-aquila.fr/Files/23278/Img/23/Logo-Aquila-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eau-aquila.fr/Files/23278/Img/23/Logo-Aquila-2018.png"/>
                    <pic:cNvPicPr>
                      <a:picLocks noChangeAspect="1" noChangeArrowheads="1"/>
                    </pic:cNvPicPr>
                  </pic:nvPicPr>
                  <pic:blipFill>
                    <a:blip r:embed="rId6"/>
                    <a:srcRect/>
                    <a:stretch>
                      <a:fillRect/>
                    </a:stretch>
                  </pic:blipFill>
                  <pic:spPr bwMode="auto">
                    <a:xfrm>
                      <a:off x="0" y="0"/>
                      <a:ext cx="2295525" cy="590550"/>
                    </a:xfrm>
                    <a:prstGeom prst="rect">
                      <a:avLst/>
                    </a:prstGeom>
                    <a:noFill/>
                    <a:ln w="9525">
                      <a:noFill/>
                      <a:miter lim="800000"/>
                      <a:headEnd/>
                      <a:tailEnd/>
                    </a:ln>
                  </pic:spPr>
                </pic:pic>
              </a:graphicData>
            </a:graphic>
          </wp:inline>
        </w:drawing>
      </w:r>
    </w:p>
    <w:p w:rsidR="00B4168D" w:rsidRDefault="00B4168D" w:rsidP="0094739D">
      <w:pPr>
        <w:jc w:val="right"/>
        <w:rPr>
          <w:rFonts w:ascii="Arial Narrow" w:hAnsi="Arial Narrow" w:cs="Arial"/>
          <w:b/>
          <w:color w:val="808080"/>
          <w:sz w:val="36"/>
          <w:szCs w:val="36"/>
        </w:rPr>
      </w:pPr>
    </w:p>
    <w:p w:rsidR="00B4168D" w:rsidRDefault="00B4168D" w:rsidP="0094739D">
      <w:pPr>
        <w:jc w:val="right"/>
        <w:rPr>
          <w:rFonts w:ascii="Arial Narrow" w:hAnsi="Arial Narrow" w:cs="Arial"/>
          <w:b/>
          <w:color w:val="808080"/>
          <w:sz w:val="36"/>
          <w:szCs w:val="36"/>
        </w:rPr>
      </w:pPr>
    </w:p>
    <w:p w:rsidR="0094739D" w:rsidRPr="000A2DCC" w:rsidRDefault="0094739D" w:rsidP="0094739D">
      <w:pPr>
        <w:jc w:val="right"/>
        <w:rPr>
          <w:rFonts w:ascii="Arial Narrow" w:hAnsi="Arial Narrow" w:cs="Arial"/>
          <w:b/>
          <w:color w:val="808080"/>
          <w:sz w:val="36"/>
          <w:szCs w:val="36"/>
        </w:rPr>
      </w:pPr>
      <w:r w:rsidRPr="000A2DCC">
        <w:rPr>
          <w:rFonts w:ascii="Arial Narrow" w:hAnsi="Arial Narrow" w:cs="Arial"/>
          <w:b/>
          <w:color w:val="808080"/>
          <w:sz w:val="36"/>
          <w:szCs w:val="36"/>
        </w:rPr>
        <w:t xml:space="preserve">COMMUNIQUE </w:t>
      </w:r>
    </w:p>
    <w:p w:rsidR="0094739D" w:rsidRDefault="0094739D" w:rsidP="0094739D">
      <w:pPr>
        <w:rPr>
          <w:rFonts w:ascii="Arial Narrow" w:hAnsi="Arial Narrow" w:cs="Arial"/>
        </w:rPr>
      </w:pPr>
    </w:p>
    <w:p w:rsidR="0094739D" w:rsidRPr="00187CEE" w:rsidRDefault="0094739D" w:rsidP="0094739D">
      <w:pPr>
        <w:jc w:val="right"/>
        <w:rPr>
          <w:rFonts w:ascii="Verdana" w:hAnsi="Verdana" w:cs="Arial"/>
          <w:color w:val="808080"/>
        </w:rPr>
      </w:pPr>
      <w:r w:rsidRPr="00187CEE">
        <w:rPr>
          <w:rFonts w:ascii="Verdana" w:hAnsi="Verdana" w:cs="Arial"/>
          <w:color w:val="808080"/>
        </w:rPr>
        <w:t xml:space="preserve">Avignon, le </w:t>
      </w:r>
      <w:r>
        <w:rPr>
          <w:rFonts w:ascii="Verdana" w:hAnsi="Verdana" w:cs="Arial"/>
          <w:color w:val="808080"/>
        </w:rPr>
        <w:t>22</w:t>
      </w:r>
      <w:r w:rsidRPr="00187CEE">
        <w:rPr>
          <w:rFonts w:ascii="Verdana" w:hAnsi="Verdana" w:cs="Arial"/>
          <w:color w:val="808080"/>
        </w:rPr>
        <w:t xml:space="preserve"> novembre 201</w:t>
      </w:r>
      <w:r>
        <w:rPr>
          <w:rFonts w:ascii="Verdana" w:hAnsi="Verdana" w:cs="Arial"/>
          <w:color w:val="808080"/>
        </w:rPr>
        <w:t>9</w:t>
      </w:r>
    </w:p>
    <w:p w:rsidR="0094739D" w:rsidRDefault="0094739D" w:rsidP="0094739D">
      <w:pPr>
        <w:jc w:val="both"/>
        <w:rPr>
          <w:rFonts w:ascii="Arial Narrow" w:hAnsi="Arial Narrow" w:cs="Arial"/>
          <w:b/>
          <w:sz w:val="16"/>
          <w:szCs w:val="16"/>
        </w:rPr>
      </w:pPr>
    </w:p>
    <w:p w:rsidR="0094739D" w:rsidRDefault="0094739D" w:rsidP="0094739D">
      <w:pPr>
        <w:rPr>
          <w:rStyle w:val="apple-converted-space"/>
          <w:szCs w:val="48"/>
          <w:shd w:val="clear" w:color="auto" w:fill="FDFDFD"/>
        </w:rPr>
      </w:pPr>
    </w:p>
    <w:p w:rsidR="0094739D" w:rsidRDefault="0094739D" w:rsidP="0094739D">
      <w:pPr>
        <w:rPr>
          <w:rStyle w:val="apple-converted-space"/>
          <w:szCs w:val="48"/>
          <w:shd w:val="clear" w:color="auto" w:fill="FDFDFD"/>
        </w:rPr>
      </w:pPr>
    </w:p>
    <w:p w:rsidR="0094739D" w:rsidRPr="000A2DCC" w:rsidRDefault="0094739D" w:rsidP="0094739D">
      <w:pPr>
        <w:spacing w:after="120"/>
        <w:jc w:val="center"/>
        <w:rPr>
          <w:rFonts w:ascii="Arial Narrow" w:hAnsi="Arial Narrow" w:cs="Arial"/>
          <w:b/>
          <w:color w:val="808080"/>
          <w:sz w:val="36"/>
          <w:szCs w:val="36"/>
        </w:rPr>
      </w:pPr>
      <w:r w:rsidRPr="000A2DCC">
        <w:rPr>
          <w:rFonts w:ascii="Arial Narrow" w:hAnsi="Arial Narrow" w:cs="Arial"/>
          <w:b/>
          <w:color w:val="808080"/>
          <w:sz w:val="36"/>
          <w:szCs w:val="36"/>
        </w:rPr>
        <w:t>Chiffre d’affaires du 3</w:t>
      </w:r>
      <w:r w:rsidRPr="000A2DCC">
        <w:rPr>
          <w:rFonts w:ascii="Arial Narrow" w:hAnsi="Arial Narrow" w:cs="Arial"/>
          <w:b/>
          <w:color w:val="808080"/>
          <w:sz w:val="36"/>
          <w:szCs w:val="36"/>
          <w:vertAlign w:val="superscript"/>
        </w:rPr>
        <w:t>e</w:t>
      </w:r>
      <w:r w:rsidRPr="000A2DCC">
        <w:rPr>
          <w:rFonts w:ascii="Arial Narrow" w:hAnsi="Arial Narrow" w:cs="Arial"/>
          <w:b/>
          <w:color w:val="808080"/>
          <w:sz w:val="36"/>
          <w:szCs w:val="36"/>
        </w:rPr>
        <w:t xml:space="preserve"> trimestre </w:t>
      </w:r>
      <w:r>
        <w:rPr>
          <w:rFonts w:ascii="Arial Narrow" w:hAnsi="Arial Narrow" w:cs="Arial"/>
          <w:b/>
          <w:color w:val="808080"/>
          <w:sz w:val="36"/>
          <w:szCs w:val="36"/>
        </w:rPr>
        <w:t>2019</w:t>
      </w:r>
      <w:r w:rsidRPr="000A2DCC">
        <w:rPr>
          <w:rFonts w:ascii="Arial Narrow" w:hAnsi="Arial Narrow" w:cs="Arial"/>
          <w:b/>
          <w:color w:val="808080"/>
          <w:sz w:val="36"/>
          <w:szCs w:val="36"/>
        </w:rPr>
        <w:t> </w:t>
      </w:r>
    </w:p>
    <w:p w:rsidR="0094739D" w:rsidRDefault="0094739D" w:rsidP="0094739D">
      <w:pPr>
        <w:spacing w:after="120"/>
        <w:jc w:val="center"/>
      </w:pPr>
    </w:p>
    <w:p w:rsidR="0094739D" w:rsidRDefault="0094739D" w:rsidP="0094739D">
      <w:pPr>
        <w:jc w:val="center"/>
        <w:rPr>
          <w:rFonts w:ascii="Arial Narrow" w:hAnsi="Arial Narrow" w:cs="Arial"/>
          <w:b/>
          <w:color w:val="3366FF"/>
          <w:sz w:val="20"/>
          <w:szCs w:val="20"/>
        </w:rPr>
      </w:pPr>
      <w:r>
        <w:rPr>
          <w:rFonts w:ascii="Arial Narrow" w:hAnsi="Arial Narrow" w:cs="Arial"/>
          <w:b/>
          <w:color w:val="3366FF"/>
          <w:sz w:val="20"/>
          <w:szCs w:val="20"/>
        </w:rPr>
        <w:t> </w:t>
      </w:r>
    </w:p>
    <w:p w:rsidR="0094739D" w:rsidRDefault="0094739D" w:rsidP="0094739D">
      <w:pPr>
        <w:jc w:val="both"/>
        <w:rPr>
          <w:rFonts w:ascii="Verdana" w:hAnsi="Verdana" w:cs="Arial"/>
          <w:b/>
          <w:color w:val="000000"/>
          <w:sz w:val="20"/>
          <w:szCs w:val="20"/>
        </w:rPr>
      </w:pPr>
      <w:r>
        <w:rPr>
          <w:rFonts w:ascii="Verdana" w:hAnsi="Verdana" w:cs="Arial"/>
          <w:b/>
          <w:color w:val="000000"/>
          <w:sz w:val="20"/>
          <w:szCs w:val="20"/>
        </w:rPr>
        <w:t>Aquila, 1</w:t>
      </w:r>
      <w:r>
        <w:rPr>
          <w:rFonts w:ascii="Verdana" w:hAnsi="Verdana" w:cs="Arial"/>
          <w:b/>
          <w:color w:val="000000"/>
          <w:sz w:val="20"/>
          <w:szCs w:val="20"/>
          <w:vertAlign w:val="superscript"/>
        </w:rPr>
        <w:t>er</w:t>
      </w:r>
      <w:r>
        <w:rPr>
          <w:rFonts w:ascii="Verdana" w:hAnsi="Verdana" w:cs="Arial"/>
          <w:b/>
          <w:color w:val="000000"/>
          <w:sz w:val="20"/>
          <w:szCs w:val="20"/>
        </w:rPr>
        <w:t xml:space="preserve"> réseau d’intervention sur alarme en France, publie son chiffre d’affaires du 3</w:t>
      </w:r>
      <w:r>
        <w:rPr>
          <w:rFonts w:ascii="Verdana" w:hAnsi="Verdana" w:cs="Arial"/>
          <w:b/>
          <w:color w:val="000000"/>
          <w:sz w:val="20"/>
          <w:szCs w:val="20"/>
          <w:vertAlign w:val="superscript"/>
        </w:rPr>
        <w:t>e</w:t>
      </w:r>
      <w:r w:rsidR="00B4168D">
        <w:rPr>
          <w:rFonts w:ascii="Verdana" w:hAnsi="Verdana" w:cs="Arial"/>
          <w:b/>
          <w:color w:val="000000"/>
          <w:sz w:val="20"/>
          <w:szCs w:val="20"/>
        </w:rPr>
        <w:t xml:space="preserve"> trimestre 2019</w:t>
      </w:r>
      <w:r>
        <w:rPr>
          <w:rFonts w:ascii="Verdana" w:hAnsi="Verdana" w:cs="Arial"/>
          <w:b/>
          <w:color w:val="000000"/>
          <w:sz w:val="20"/>
          <w:szCs w:val="20"/>
        </w:rPr>
        <w:t xml:space="preserve"> </w:t>
      </w:r>
      <w:r>
        <w:rPr>
          <w:rFonts w:ascii="Verdana" w:hAnsi="Verdana" w:cs="Arial"/>
          <w:color w:val="000000"/>
          <w:sz w:val="16"/>
          <w:szCs w:val="16"/>
        </w:rPr>
        <w:t>(chiffres non audités)</w:t>
      </w:r>
      <w:r>
        <w:rPr>
          <w:rFonts w:ascii="Verdana" w:hAnsi="Verdana" w:cs="Arial"/>
          <w:b/>
          <w:color w:val="000000"/>
          <w:sz w:val="20"/>
          <w:szCs w:val="20"/>
        </w:rPr>
        <w:t>.</w:t>
      </w:r>
    </w:p>
    <w:p w:rsidR="0094739D" w:rsidRDefault="0094739D" w:rsidP="0094739D">
      <w:pPr>
        <w:jc w:val="both"/>
        <w:rPr>
          <w:rFonts w:ascii="Verdana" w:hAnsi="Verdana" w:cs="Arial"/>
          <w:b/>
          <w:color w:val="000000"/>
          <w:sz w:val="18"/>
          <w:szCs w:val="18"/>
        </w:rPr>
      </w:pPr>
    </w:p>
    <w:tbl>
      <w:tblPr>
        <w:tblW w:w="9571" w:type="dxa"/>
        <w:tblInd w:w="-10" w:type="dxa"/>
        <w:tblLayout w:type="fixed"/>
        <w:tblLook w:val="0000"/>
      </w:tblPr>
      <w:tblGrid>
        <w:gridCol w:w="3227"/>
        <w:gridCol w:w="2140"/>
        <w:gridCol w:w="2092"/>
        <w:gridCol w:w="2112"/>
      </w:tblGrid>
      <w:tr w:rsidR="0094739D" w:rsidTr="00B4168D">
        <w:trPr>
          <w:trHeight w:val="384"/>
        </w:trPr>
        <w:tc>
          <w:tcPr>
            <w:tcW w:w="3227" w:type="dxa"/>
            <w:tcBorders>
              <w:top w:val="single" w:sz="4" w:space="0" w:color="000000"/>
              <w:left w:val="single" w:sz="4" w:space="0" w:color="000000"/>
              <w:bottom w:val="single" w:sz="4" w:space="0" w:color="000000"/>
            </w:tcBorders>
            <w:shd w:val="clear" w:color="auto" w:fill="FF6600"/>
          </w:tcPr>
          <w:p w:rsidR="0094739D" w:rsidRDefault="0094739D" w:rsidP="00B4168D">
            <w:pPr>
              <w:snapToGrid w:val="0"/>
              <w:spacing w:before="40"/>
              <w:jc w:val="both"/>
              <w:rPr>
                <w:rFonts w:ascii="Verdana" w:hAnsi="Verdana" w:cs="Arial"/>
                <w:b/>
                <w:color w:val="000000"/>
                <w:sz w:val="20"/>
                <w:szCs w:val="20"/>
              </w:rPr>
            </w:pPr>
            <w:r>
              <w:rPr>
                <w:rFonts w:ascii="Verdana" w:hAnsi="Verdana" w:cs="Arial"/>
                <w:b/>
                <w:color w:val="000000"/>
                <w:sz w:val="20"/>
                <w:szCs w:val="20"/>
              </w:rPr>
              <w:t>En M€</w:t>
            </w:r>
          </w:p>
        </w:tc>
        <w:tc>
          <w:tcPr>
            <w:tcW w:w="2140" w:type="dxa"/>
            <w:tcBorders>
              <w:top w:val="single" w:sz="4" w:space="0" w:color="000000"/>
              <w:left w:val="single" w:sz="4" w:space="0" w:color="000000"/>
              <w:bottom w:val="single" w:sz="4" w:space="0" w:color="000000"/>
            </w:tcBorders>
            <w:shd w:val="clear" w:color="auto" w:fill="FF6600"/>
          </w:tcPr>
          <w:p w:rsidR="0094739D" w:rsidRDefault="0094739D" w:rsidP="00B4168D">
            <w:pPr>
              <w:snapToGrid w:val="0"/>
              <w:spacing w:before="40"/>
              <w:jc w:val="center"/>
              <w:rPr>
                <w:rFonts w:ascii="Verdana" w:hAnsi="Verdana" w:cs="Arial"/>
                <w:b/>
                <w:color w:val="000000"/>
                <w:sz w:val="20"/>
                <w:szCs w:val="20"/>
              </w:rPr>
            </w:pPr>
            <w:r>
              <w:rPr>
                <w:rFonts w:ascii="Verdana" w:hAnsi="Verdana" w:cs="Arial"/>
                <w:b/>
                <w:color w:val="000000"/>
                <w:sz w:val="20"/>
                <w:szCs w:val="20"/>
              </w:rPr>
              <w:t>2019</w:t>
            </w:r>
          </w:p>
        </w:tc>
        <w:tc>
          <w:tcPr>
            <w:tcW w:w="2092" w:type="dxa"/>
            <w:tcBorders>
              <w:top w:val="single" w:sz="4" w:space="0" w:color="000000"/>
              <w:left w:val="single" w:sz="4" w:space="0" w:color="000000"/>
              <w:bottom w:val="single" w:sz="4" w:space="0" w:color="000000"/>
              <w:right w:val="single" w:sz="4" w:space="0" w:color="000000"/>
            </w:tcBorders>
            <w:shd w:val="clear" w:color="auto" w:fill="FF6600"/>
          </w:tcPr>
          <w:p w:rsidR="0094739D" w:rsidRDefault="0094739D" w:rsidP="00B4168D">
            <w:pPr>
              <w:snapToGrid w:val="0"/>
              <w:spacing w:before="40"/>
              <w:jc w:val="center"/>
              <w:rPr>
                <w:rFonts w:ascii="Verdana" w:hAnsi="Verdana" w:cs="Arial"/>
                <w:b/>
                <w:color w:val="000000"/>
                <w:sz w:val="20"/>
                <w:szCs w:val="20"/>
              </w:rPr>
            </w:pPr>
            <w:r>
              <w:rPr>
                <w:rFonts w:ascii="Verdana" w:hAnsi="Verdana" w:cs="Arial"/>
                <w:b/>
                <w:color w:val="000000"/>
                <w:sz w:val="20"/>
                <w:szCs w:val="20"/>
              </w:rPr>
              <w:t>2018</w:t>
            </w:r>
          </w:p>
        </w:tc>
        <w:tc>
          <w:tcPr>
            <w:tcW w:w="2112" w:type="dxa"/>
            <w:tcBorders>
              <w:top w:val="single" w:sz="4" w:space="0" w:color="000000"/>
              <w:left w:val="single" w:sz="4" w:space="0" w:color="000000"/>
              <w:bottom w:val="single" w:sz="4" w:space="0" w:color="000000"/>
              <w:right w:val="single" w:sz="4" w:space="0" w:color="000000"/>
            </w:tcBorders>
            <w:shd w:val="clear" w:color="auto" w:fill="FF6600"/>
          </w:tcPr>
          <w:p w:rsidR="0094739D" w:rsidRDefault="0094739D" w:rsidP="00B4168D">
            <w:pPr>
              <w:snapToGrid w:val="0"/>
              <w:spacing w:before="40"/>
              <w:jc w:val="center"/>
              <w:rPr>
                <w:rFonts w:ascii="Verdana" w:hAnsi="Verdana" w:cs="Arial"/>
                <w:b/>
                <w:color w:val="000000"/>
                <w:sz w:val="20"/>
                <w:szCs w:val="20"/>
              </w:rPr>
            </w:pPr>
            <w:r>
              <w:rPr>
                <w:rFonts w:ascii="Verdana" w:hAnsi="Verdana" w:cs="Arial"/>
                <w:b/>
                <w:color w:val="000000"/>
                <w:sz w:val="20"/>
                <w:szCs w:val="20"/>
              </w:rPr>
              <w:t>Variation</w:t>
            </w:r>
          </w:p>
          <w:p w:rsidR="0094739D" w:rsidRDefault="0094739D" w:rsidP="00B4168D">
            <w:pPr>
              <w:spacing w:before="40"/>
              <w:jc w:val="center"/>
              <w:rPr>
                <w:rFonts w:ascii="Verdana" w:hAnsi="Verdana" w:cs="Arial"/>
                <w:b/>
                <w:color w:val="000000"/>
                <w:sz w:val="20"/>
                <w:szCs w:val="20"/>
              </w:rPr>
            </w:pPr>
            <w:r>
              <w:rPr>
                <w:rFonts w:ascii="Verdana" w:hAnsi="Verdana" w:cs="Arial"/>
                <w:b/>
                <w:color w:val="000000"/>
                <w:sz w:val="20"/>
                <w:szCs w:val="20"/>
              </w:rPr>
              <w:t>19/18</w:t>
            </w:r>
          </w:p>
        </w:tc>
      </w:tr>
      <w:tr w:rsidR="0094739D" w:rsidTr="00B4168D">
        <w:trPr>
          <w:trHeight w:val="401"/>
        </w:trPr>
        <w:tc>
          <w:tcPr>
            <w:tcW w:w="3227" w:type="dxa"/>
            <w:tcBorders>
              <w:top w:val="single" w:sz="4" w:space="0" w:color="000000"/>
              <w:left w:val="single" w:sz="4" w:space="0" w:color="000000"/>
              <w:bottom w:val="single" w:sz="4" w:space="0" w:color="000000"/>
            </w:tcBorders>
            <w:shd w:val="clear" w:color="auto" w:fill="auto"/>
            <w:vAlign w:val="center"/>
          </w:tcPr>
          <w:p w:rsidR="0094739D" w:rsidRDefault="0094739D" w:rsidP="00B4168D">
            <w:pPr>
              <w:snapToGrid w:val="0"/>
              <w:jc w:val="center"/>
              <w:rPr>
                <w:rFonts w:ascii="Verdana" w:hAnsi="Verdana" w:cs="Arial"/>
                <w:b/>
                <w:color w:val="000000"/>
                <w:sz w:val="20"/>
                <w:szCs w:val="20"/>
              </w:rPr>
            </w:pPr>
            <w:r>
              <w:rPr>
                <w:rFonts w:ascii="Verdana" w:hAnsi="Verdana" w:cs="Arial"/>
                <w:b/>
                <w:color w:val="000000"/>
                <w:sz w:val="20"/>
                <w:szCs w:val="20"/>
              </w:rPr>
              <w:t>1</w:t>
            </w:r>
            <w:r>
              <w:rPr>
                <w:rFonts w:ascii="Verdana" w:hAnsi="Verdana" w:cs="Arial"/>
                <w:b/>
                <w:color w:val="000000"/>
                <w:sz w:val="20"/>
                <w:szCs w:val="20"/>
                <w:vertAlign w:val="superscript"/>
              </w:rPr>
              <w:t>er</w:t>
            </w:r>
            <w:r>
              <w:rPr>
                <w:rFonts w:ascii="Verdana" w:hAnsi="Verdana" w:cs="Arial"/>
                <w:b/>
                <w:color w:val="000000"/>
                <w:sz w:val="20"/>
                <w:szCs w:val="20"/>
              </w:rPr>
              <w:t xml:space="preserve"> trimestre</w:t>
            </w:r>
          </w:p>
        </w:tc>
        <w:tc>
          <w:tcPr>
            <w:tcW w:w="2140" w:type="dxa"/>
            <w:tcBorders>
              <w:top w:val="single" w:sz="4" w:space="0" w:color="000000"/>
              <w:left w:val="single" w:sz="4" w:space="0" w:color="000000"/>
              <w:bottom w:val="single" w:sz="4" w:space="0" w:color="000000"/>
            </w:tcBorders>
            <w:shd w:val="clear" w:color="auto" w:fill="auto"/>
            <w:vAlign w:val="center"/>
          </w:tcPr>
          <w:p w:rsidR="0094739D" w:rsidRPr="004E299C" w:rsidRDefault="00B4168D" w:rsidP="00B4168D">
            <w:pPr>
              <w:snapToGrid w:val="0"/>
              <w:ind w:right="615"/>
              <w:jc w:val="right"/>
              <w:rPr>
                <w:rFonts w:ascii="Verdana" w:hAnsi="Verdana" w:cs="Arial"/>
                <w:b/>
                <w:color w:val="000000"/>
                <w:sz w:val="20"/>
                <w:szCs w:val="20"/>
              </w:rPr>
            </w:pPr>
            <w:r>
              <w:rPr>
                <w:rFonts w:ascii="Verdana" w:hAnsi="Verdana" w:cs="Arial"/>
                <w:b/>
                <w:color w:val="000000"/>
                <w:sz w:val="20"/>
                <w:szCs w:val="20"/>
              </w:rPr>
              <w:t>5,76</w:t>
            </w:r>
          </w:p>
        </w:tc>
        <w:tc>
          <w:tcPr>
            <w:tcW w:w="2092" w:type="dxa"/>
            <w:tcBorders>
              <w:top w:val="single" w:sz="4" w:space="0" w:color="000000"/>
              <w:left w:val="single" w:sz="4" w:space="0" w:color="000000"/>
              <w:bottom w:val="single" w:sz="4" w:space="0" w:color="000000"/>
              <w:right w:val="single" w:sz="4" w:space="0" w:color="000000"/>
            </w:tcBorders>
            <w:vAlign w:val="center"/>
          </w:tcPr>
          <w:p w:rsidR="0094739D" w:rsidRPr="00E92CC4" w:rsidRDefault="0094739D" w:rsidP="00B4168D">
            <w:pPr>
              <w:snapToGrid w:val="0"/>
              <w:ind w:right="615"/>
              <w:jc w:val="right"/>
              <w:rPr>
                <w:rFonts w:ascii="Verdana" w:hAnsi="Verdana" w:cs="Arial"/>
                <w:b/>
                <w:color w:val="000000"/>
                <w:sz w:val="20"/>
                <w:szCs w:val="20"/>
              </w:rPr>
            </w:pPr>
            <w:r>
              <w:rPr>
                <w:rFonts w:ascii="Verdana" w:hAnsi="Verdana" w:cs="Arial"/>
                <w:b/>
                <w:color w:val="000000"/>
                <w:sz w:val="20"/>
                <w:szCs w:val="20"/>
              </w:rPr>
              <w:t>4,</w:t>
            </w:r>
            <w:r w:rsidR="00B4168D">
              <w:rPr>
                <w:rFonts w:ascii="Verdana" w:hAnsi="Verdana" w:cs="Arial"/>
                <w:b/>
                <w:color w:val="000000"/>
                <w:sz w:val="20"/>
                <w:szCs w:val="20"/>
              </w:rPr>
              <w:t>67</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94739D" w:rsidRPr="00692817" w:rsidRDefault="00836607" w:rsidP="00B4168D">
            <w:pPr>
              <w:jc w:val="center"/>
              <w:rPr>
                <w:rFonts w:ascii="Verdana" w:hAnsi="Verdana" w:cs="Arial"/>
                <w:b/>
                <w:sz w:val="20"/>
                <w:szCs w:val="20"/>
              </w:rPr>
            </w:pPr>
            <w:r>
              <w:rPr>
                <w:rFonts w:ascii="Verdana" w:hAnsi="Verdana" w:cs="Arial"/>
                <w:b/>
                <w:sz w:val="20"/>
                <w:szCs w:val="20"/>
              </w:rPr>
              <w:t>23,34</w:t>
            </w:r>
            <w:r w:rsidR="0094739D" w:rsidRPr="00692817">
              <w:rPr>
                <w:rFonts w:ascii="Verdana" w:hAnsi="Verdana" w:cs="Arial"/>
                <w:b/>
                <w:sz w:val="20"/>
                <w:szCs w:val="20"/>
              </w:rPr>
              <w:t>%</w:t>
            </w:r>
          </w:p>
        </w:tc>
      </w:tr>
      <w:tr w:rsidR="0094739D" w:rsidTr="00B4168D">
        <w:trPr>
          <w:trHeight w:val="401"/>
        </w:trPr>
        <w:tc>
          <w:tcPr>
            <w:tcW w:w="3227" w:type="dxa"/>
            <w:tcBorders>
              <w:top w:val="single" w:sz="4" w:space="0" w:color="000000"/>
              <w:left w:val="single" w:sz="4" w:space="0" w:color="000000"/>
              <w:bottom w:val="single" w:sz="4" w:space="0" w:color="000000"/>
            </w:tcBorders>
            <w:shd w:val="clear" w:color="auto" w:fill="auto"/>
            <w:vAlign w:val="center"/>
          </w:tcPr>
          <w:p w:rsidR="0094739D" w:rsidRDefault="0094739D" w:rsidP="00B4168D">
            <w:pPr>
              <w:snapToGrid w:val="0"/>
              <w:jc w:val="center"/>
              <w:rPr>
                <w:rFonts w:ascii="Verdana" w:hAnsi="Verdana" w:cs="Arial"/>
                <w:b/>
                <w:color w:val="000000"/>
                <w:sz w:val="20"/>
                <w:szCs w:val="20"/>
              </w:rPr>
            </w:pPr>
            <w:r>
              <w:rPr>
                <w:rFonts w:ascii="Verdana" w:hAnsi="Verdana" w:cs="Arial"/>
                <w:b/>
                <w:color w:val="000000"/>
                <w:sz w:val="20"/>
                <w:szCs w:val="20"/>
              </w:rPr>
              <w:t>2</w:t>
            </w:r>
            <w:r>
              <w:rPr>
                <w:rFonts w:ascii="Verdana" w:hAnsi="Verdana" w:cs="Arial"/>
                <w:b/>
                <w:color w:val="000000"/>
                <w:sz w:val="20"/>
                <w:szCs w:val="20"/>
                <w:vertAlign w:val="superscript"/>
              </w:rPr>
              <w:t>e</w:t>
            </w:r>
            <w:r>
              <w:rPr>
                <w:rFonts w:ascii="Verdana" w:hAnsi="Verdana" w:cs="Arial"/>
                <w:b/>
                <w:color w:val="000000"/>
                <w:sz w:val="20"/>
                <w:szCs w:val="20"/>
              </w:rPr>
              <w:t xml:space="preserve"> trimestre</w:t>
            </w:r>
          </w:p>
        </w:tc>
        <w:tc>
          <w:tcPr>
            <w:tcW w:w="2140" w:type="dxa"/>
            <w:tcBorders>
              <w:top w:val="single" w:sz="4" w:space="0" w:color="000000"/>
              <w:left w:val="single" w:sz="4" w:space="0" w:color="000000"/>
              <w:bottom w:val="single" w:sz="4" w:space="0" w:color="000000"/>
            </w:tcBorders>
            <w:shd w:val="clear" w:color="auto" w:fill="auto"/>
            <w:vAlign w:val="center"/>
          </w:tcPr>
          <w:p w:rsidR="0094739D" w:rsidRPr="004E299C" w:rsidRDefault="00B4168D" w:rsidP="00B4168D">
            <w:pPr>
              <w:snapToGrid w:val="0"/>
              <w:ind w:right="615"/>
              <w:jc w:val="right"/>
              <w:rPr>
                <w:rFonts w:ascii="Verdana" w:hAnsi="Verdana" w:cs="Arial"/>
                <w:b/>
                <w:color w:val="000000"/>
                <w:sz w:val="20"/>
                <w:szCs w:val="20"/>
              </w:rPr>
            </w:pPr>
            <w:r>
              <w:rPr>
                <w:rFonts w:ascii="Verdana" w:hAnsi="Verdana" w:cs="Arial"/>
                <w:b/>
                <w:color w:val="000000"/>
                <w:sz w:val="20"/>
                <w:szCs w:val="20"/>
              </w:rPr>
              <w:t>6,18</w:t>
            </w:r>
          </w:p>
        </w:tc>
        <w:tc>
          <w:tcPr>
            <w:tcW w:w="2092" w:type="dxa"/>
            <w:tcBorders>
              <w:top w:val="single" w:sz="4" w:space="0" w:color="000000"/>
              <w:left w:val="single" w:sz="4" w:space="0" w:color="000000"/>
              <w:bottom w:val="single" w:sz="4" w:space="0" w:color="000000"/>
              <w:right w:val="single" w:sz="4" w:space="0" w:color="000000"/>
            </w:tcBorders>
            <w:vAlign w:val="center"/>
          </w:tcPr>
          <w:p w:rsidR="0094739D" w:rsidRPr="00E92CC4" w:rsidRDefault="00B4168D" w:rsidP="00B4168D">
            <w:pPr>
              <w:snapToGrid w:val="0"/>
              <w:ind w:right="615"/>
              <w:jc w:val="right"/>
              <w:rPr>
                <w:rFonts w:ascii="Verdana" w:hAnsi="Verdana" w:cs="Arial"/>
                <w:b/>
                <w:color w:val="000000"/>
                <w:sz w:val="20"/>
                <w:szCs w:val="20"/>
              </w:rPr>
            </w:pPr>
            <w:r w:rsidRPr="004E299C">
              <w:rPr>
                <w:rFonts w:ascii="Verdana" w:hAnsi="Verdana" w:cs="Arial"/>
                <w:b/>
                <w:color w:val="000000"/>
                <w:sz w:val="20"/>
                <w:szCs w:val="20"/>
              </w:rPr>
              <w:t>5,81</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94739D" w:rsidRPr="00692817" w:rsidRDefault="00836607" w:rsidP="00B4168D">
            <w:pPr>
              <w:jc w:val="center"/>
              <w:rPr>
                <w:rFonts w:ascii="Verdana" w:hAnsi="Verdana" w:cs="Arial"/>
                <w:b/>
                <w:sz w:val="20"/>
                <w:szCs w:val="20"/>
              </w:rPr>
            </w:pPr>
            <w:r>
              <w:rPr>
                <w:rFonts w:ascii="Verdana" w:hAnsi="Verdana" w:cs="Arial"/>
                <w:b/>
                <w:sz w:val="20"/>
                <w:szCs w:val="20"/>
              </w:rPr>
              <w:t>6,37</w:t>
            </w:r>
            <w:r w:rsidR="0094739D" w:rsidRPr="00692817">
              <w:rPr>
                <w:rFonts w:ascii="Verdana" w:hAnsi="Verdana" w:cs="Arial"/>
                <w:b/>
                <w:sz w:val="20"/>
                <w:szCs w:val="20"/>
              </w:rPr>
              <w:t>%</w:t>
            </w:r>
          </w:p>
        </w:tc>
      </w:tr>
      <w:tr w:rsidR="0094739D" w:rsidTr="00B4168D">
        <w:trPr>
          <w:trHeight w:val="401"/>
        </w:trPr>
        <w:tc>
          <w:tcPr>
            <w:tcW w:w="3227" w:type="dxa"/>
            <w:tcBorders>
              <w:top w:val="single" w:sz="4" w:space="0" w:color="000000"/>
              <w:left w:val="single" w:sz="4" w:space="0" w:color="000000"/>
              <w:bottom w:val="double" w:sz="1" w:space="0" w:color="000000"/>
            </w:tcBorders>
            <w:shd w:val="clear" w:color="auto" w:fill="auto"/>
            <w:vAlign w:val="center"/>
          </w:tcPr>
          <w:p w:rsidR="0094739D" w:rsidRDefault="0094739D" w:rsidP="00B4168D">
            <w:pPr>
              <w:snapToGrid w:val="0"/>
              <w:jc w:val="center"/>
              <w:rPr>
                <w:rFonts w:ascii="Verdana" w:hAnsi="Verdana" w:cs="Arial"/>
                <w:b/>
                <w:color w:val="000000"/>
                <w:sz w:val="20"/>
                <w:szCs w:val="20"/>
              </w:rPr>
            </w:pPr>
            <w:r>
              <w:rPr>
                <w:rFonts w:ascii="Verdana" w:hAnsi="Verdana" w:cs="Arial"/>
                <w:b/>
                <w:color w:val="000000"/>
                <w:sz w:val="20"/>
                <w:szCs w:val="20"/>
              </w:rPr>
              <w:t>3</w:t>
            </w:r>
            <w:r>
              <w:rPr>
                <w:rFonts w:ascii="Verdana" w:hAnsi="Verdana" w:cs="Arial"/>
                <w:b/>
                <w:color w:val="000000"/>
                <w:sz w:val="20"/>
                <w:szCs w:val="20"/>
                <w:vertAlign w:val="superscript"/>
              </w:rPr>
              <w:t>e</w:t>
            </w:r>
            <w:r>
              <w:rPr>
                <w:rFonts w:ascii="Verdana" w:hAnsi="Verdana" w:cs="Arial"/>
                <w:b/>
                <w:color w:val="000000"/>
                <w:sz w:val="20"/>
                <w:szCs w:val="20"/>
              </w:rPr>
              <w:t xml:space="preserve"> trimestre</w:t>
            </w:r>
          </w:p>
        </w:tc>
        <w:tc>
          <w:tcPr>
            <w:tcW w:w="2140" w:type="dxa"/>
            <w:tcBorders>
              <w:top w:val="single" w:sz="4" w:space="0" w:color="000000"/>
              <w:left w:val="single" w:sz="4" w:space="0" w:color="000000"/>
              <w:bottom w:val="double" w:sz="1" w:space="0" w:color="000000"/>
            </w:tcBorders>
            <w:shd w:val="clear" w:color="auto" w:fill="auto"/>
            <w:vAlign w:val="center"/>
          </w:tcPr>
          <w:p w:rsidR="0094739D" w:rsidRPr="00692817" w:rsidRDefault="0094739D" w:rsidP="00B4168D">
            <w:pPr>
              <w:snapToGrid w:val="0"/>
              <w:ind w:right="615"/>
              <w:jc w:val="right"/>
              <w:rPr>
                <w:rFonts w:ascii="Verdana" w:hAnsi="Verdana" w:cs="Arial"/>
                <w:b/>
                <w:color w:val="000000"/>
                <w:sz w:val="20"/>
                <w:szCs w:val="20"/>
                <w:highlight w:val="yellow"/>
              </w:rPr>
            </w:pPr>
            <w:r w:rsidRPr="004E299C">
              <w:rPr>
                <w:rFonts w:ascii="Verdana" w:hAnsi="Verdana" w:cs="Arial"/>
                <w:b/>
                <w:color w:val="000000"/>
                <w:sz w:val="20"/>
                <w:szCs w:val="20"/>
              </w:rPr>
              <w:t>6,</w:t>
            </w:r>
            <w:r w:rsidR="00B4168D">
              <w:rPr>
                <w:rFonts w:ascii="Verdana" w:hAnsi="Verdana" w:cs="Arial"/>
                <w:b/>
                <w:color w:val="000000"/>
                <w:sz w:val="20"/>
                <w:szCs w:val="20"/>
              </w:rPr>
              <w:t>58</w:t>
            </w:r>
          </w:p>
        </w:tc>
        <w:tc>
          <w:tcPr>
            <w:tcW w:w="2092" w:type="dxa"/>
            <w:tcBorders>
              <w:top w:val="single" w:sz="4" w:space="0" w:color="000000"/>
              <w:left w:val="single" w:sz="4" w:space="0" w:color="000000"/>
              <w:bottom w:val="double" w:sz="1" w:space="0" w:color="000000"/>
              <w:right w:val="single" w:sz="4" w:space="0" w:color="000000"/>
            </w:tcBorders>
            <w:vAlign w:val="center"/>
          </w:tcPr>
          <w:p w:rsidR="0094739D" w:rsidRPr="002C41DF" w:rsidRDefault="00B4168D" w:rsidP="00B4168D">
            <w:pPr>
              <w:snapToGrid w:val="0"/>
              <w:ind w:right="615"/>
              <w:jc w:val="right"/>
              <w:rPr>
                <w:rFonts w:ascii="Verdana" w:hAnsi="Verdana" w:cs="Arial"/>
                <w:b/>
                <w:color w:val="000000"/>
                <w:sz w:val="20"/>
                <w:szCs w:val="20"/>
              </w:rPr>
            </w:pPr>
            <w:r w:rsidRPr="004E299C">
              <w:rPr>
                <w:rFonts w:ascii="Verdana" w:hAnsi="Verdana" w:cs="Arial"/>
                <w:b/>
                <w:color w:val="000000"/>
                <w:sz w:val="20"/>
                <w:szCs w:val="20"/>
              </w:rPr>
              <w:t>6,01</w:t>
            </w:r>
          </w:p>
        </w:tc>
        <w:tc>
          <w:tcPr>
            <w:tcW w:w="2112" w:type="dxa"/>
            <w:tcBorders>
              <w:top w:val="single" w:sz="4" w:space="0" w:color="000000"/>
              <w:left w:val="single" w:sz="4" w:space="0" w:color="000000"/>
              <w:bottom w:val="double" w:sz="1" w:space="0" w:color="000000"/>
              <w:right w:val="single" w:sz="4" w:space="0" w:color="000000"/>
            </w:tcBorders>
            <w:shd w:val="clear" w:color="auto" w:fill="auto"/>
            <w:vAlign w:val="center"/>
          </w:tcPr>
          <w:p w:rsidR="0094739D" w:rsidRPr="00692817" w:rsidRDefault="00836607" w:rsidP="00B4168D">
            <w:pPr>
              <w:snapToGrid w:val="0"/>
              <w:jc w:val="center"/>
              <w:rPr>
                <w:rFonts w:ascii="Verdana" w:hAnsi="Verdana" w:cs="Arial"/>
                <w:b/>
                <w:color w:val="000000"/>
                <w:sz w:val="20"/>
                <w:szCs w:val="20"/>
                <w:highlight w:val="yellow"/>
              </w:rPr>
            </w:pPr>
            <w:r>
              <w:rPr>
                <w:rFonts w:ascii="Verdana" w:hAnsi="Verdana" w:cs="Arial"/>
                <w:b/>
                <w:color w:val="000000"/>
                <w:sz w:val="20"/>
                <w:szCs w:val="20"/>
              </w:rPr>
              <w:t>9,48</w:t>
            </w:r>
            <w:r w:rsidR="0094739D" w:rsidRPr="004E299C">
              <w:rPr>
                <w:rFonts w:ascii="Verdana" w:hAnsi="Verdana" w:cs="Arial"/>
                <w:b/>
                <w:color w:val="000000"/>
                <w:sz w:val="20"/>
                <w:szCs w:val="20"/>
              </w:rPr>
              <w:t>%</w:t>
            </w:r>
          </w:p>
        </w:tc>
      </w:tr>
      <w:tr w:rsidR="0094739D" w:rsidTr="00B4168D">
        <w:trPr>
          <w:trHeight w:val="401"/>
        </w:trPr>
        <w:tc>
          <w:tcPr>
            <w:tcW w:w="3227" w:type="dxa"/>
            <w:tcBorders>
              <w:top w:val="double" w:sz="1" w:space="0" w:color="000000"/>
              <w:left w:val="single" w:sz="4" w:space="0" w:color="000000"/>
              <w:bottom w:val="single" w:sz="4" w:space="0" w:color="000000"/>
            </w:tcBorders>
            <w:shd w:val="clear" w:color="auto" w:fill="auto"/>
            <w:vAlign w:val="center"/>
          </w:tcPr>
          <w:p w:rsidR="0094739D" w:rsidRDefault="0094739D" w:rsidP="00B4168D">
            <w:pPr>
              <w:snapToGrid w:val="0"/>
              <w:jc w:val="center"/>
              <w:rPr>
                <w:rFonts w:ascii="Verdana" w:hAnsi="Verdana" w:cs="Arial"/>
                <w:b/>
                <w:color w:val="000000"/>
                <w:sz w:val="20"/>
                <w:szCs w:val="20"/>
              </w:rPr>
            </w:pPr>
            <w:r>
              <w:rPr>
                <w:rFonts w:ascii="Verdana" w:hAnsi="Verdana" w:cs="Arial"/>
                <w:b/>
                <w:color w:val="000000"/>
                <w:sz w:val="20"/>
                <w:szCs w:val="20"/>
              </w:rPr>
              <w:t>Total cumulé 9 mois</w:t>
            </w:r>
          </w:p>
        </w:tc>
        <w:tc>
          <w:tcPr>
            <w:tcW w:w="2140" w:type="dxa"/>
            <w:tcBorders>
              <w:top w:val="double" w:sz="1" w:space="0" w:color="000000"/>
              <w:left w:val="single" w:sz="4" w:space="0" w:color="000000"/>
              <w:bottom w:val="single" w:sz="4" w:space="0" w:color="000000"/>
            </w:tcBorders>
            <w:shd w:val="clear" w:color="auto" w:fill="auto"/>
            <w:vAlign w:val="center"/>
          </w:tcPr>
          <w:p w:rsidR="0094739D" w:rsidRPr="00692817" w:rsidRDefault="0094739D" w:rsidP="00836607">
            <w:pPr>
              <w:snapToGrid w:val="0"/>
              <w:ind w:right="615"/>
              <w:jc w:val="right"/>
              <w:rPr>
                <w:rFonts w:ascii="Verdana" w:hAnsi="Verdana" w:cs="Arial"/>
                <w:b/>
                <w:color w:val="000000"/>
                <w:sz w:val="20"/>
                <w:szCs w:val="20"/>
                <w:highlight w:val="yellow"/>
              </w:rPr>
            </w:pPr>
            <w:r w:rsidRPr="004E299C">
              <w:rPr>
                <w:rFonts w:ascii="Verdana" w:hAnsi="Verdana" w:cs="Arial"/>
                <w:b/>
                <w:color w:val="000000"/>
                <w:sz w:val="20"/>
                <w:szCs w:val="20"/>
              </w:rPr>
              <w:t>1</w:t>
            </w:r>
            <w:r w:rsidR="00836607">
              <w:rPr>
                <w:rFonts w:ascii="Verdana" w:hAnsi="Verdana" w:cs="Arial"/>
                <w:b/>
                <w:color w:val="000000"/>
                <w:sz w:val="20"/>
                <w:szCs w:val="20"/>
              </w:rPr>
              <w:t>8</w:t>
            </w:r>
            <w:r w:rsidRPr="004E299C">
              <w:rPr>
                <w:rFonts w:ascii="Verdana" w:hAnsi="Verdana" w:cs="Arial"/>
                <w:b/>
                <w:color w:val="000000"/>
                <w:sz w:val="20"/>
                <w:szCs w:val="20"/>
              </w:rPr>
              <w:t>,</w:t>
            </w:r>
            <w:r w:rsidR="00836607">
              <w:rPr>
                <w:rFonts w:ascii="Verdana" w:hAnsi="Verdana" w:cs="Arial"/>
                <w:b/>
                <w:color w:val="000000"/>
                <w:sz w:val="20"/>
                <w:szCs w:val="20"/>
              </w:rPr>
              <w:t>52</w:t>
            </w:r>
          </w:p>
        </w:tc>
        <w:tc>
          <w:tcPr>
            <w:tcW w:w="2092" w:type="dxa"/>
            <w:tcBorders>
              <w:top w:val="double" w:sz="1" w:space="0" w:color="000000"/>
              <w:left w:val="single" w:sz="4" w:space="0" w:color="000000"/>
              <w:bottom w:val="single" w:sz="4" w:space="0" w:color="000000"/>
              <w:right w:val="single" w:sz="4" w:space="0" w:color="000000"/>
            </w:tcBorders>
            <w:vAlign w:val="center"/>
          </w:tcPr>
          <w:p w:rsidR="0094739D" w:rsidRPr="002C41DF" w:rsidRDefault="00B4168D" w:rsidP="00B4168D">
            <w:pPr>
              <w:snapToGrid w:val="0"/>
              <w:ind w:right="615"/>
              <w:jc w:val="right"/>
              <w:rPr>
                <w:rFonts w:ascii="Verdana" w:hAnsi="Verdana" w:cs="Arial"/>
                <w:b/>
                <w:color w:val="000000"/>
                <w:sz w:val="20"/>
                <w:szCs w:val="20"/>
              </w:rPr>
            </w:pPr>
            <w:r w:rsidRPr="004E299C">
              <w:rPr>
                <w:rFonts w:ascii="Verdana" w:hAnsi="Verdana" w:cs="Arial"/>
                <w:b/>
                <w:color w:val="000000"/>
                <w:sz w:val="20"/>
                <w:szCs w:val="20"/>
              </w:rPr>
              <w:t>16,49</w:t>
            </w:r>
          </w:p>
        </w:tc>
        <w:tc>
          <w:tcPr>
            <w:tcW w:w="2112" w:type="dxa"/>
            <w:tcBorders>
              <w:top w:val="double" w:sz="1" w:space="0" w:color="000000"/>
              <w:left w:val="single" w:sz="4" w:space="0" w:color="000000"/>
              <w:bottom w:val="single" w:sz="4" w:space="0" w:color="000000"/>
              <w:right w:val="single" w:sz="4" w:space="0" w:color="000000"/>
            </w:tcBorders>
            <w:shd w:val="clear" w:color="auto" w:fill="auto"/>
            <w:vAlign w:val="center"/>
          </w:tcPr>
          <w:p w:rsidR="0094739D" w:rsidRPr="00692817" w:rsidRDefault="00836607" w:rsidP="00B4168D">
            <w:pPr>
              <w:snapToGrid w:val="0"/>
              <w:jc w:val="center"/>
              <w:rPr>
                <w:rFonts w:ascii="Verdana" w:hAnsi="Verdana" w:cs="Arial"/>
                <w:b/>
                <w:color w:val="000000"/>
                <w:sz w:val="20"/>
                <w:szCs w:val="20"/>
                <w:highlight w:val="yellow"/>
              </w:rPr>
            </w:pPr>
            <w:r>
              <w:rPr>
                <w:rFonts w:ascii="Verdana" w:hAnsi="Verdana" w:cs="Arial"/>
                <w:b/>
                <w:color w:val="000000"/>
                <w:sz w:val="20"/>
                <w:szCs w:val="20"/>
              </w:rPr>
              <w:t>12,31</w:t>
            </w:r>
            <w:r w:rsidR="0094739D" w:rsidRPr="004E299C">
              <w:rPr>
                <w:rFonts w:ascii="Verdana" w:hAnsi="Verdana" w:cs="Arial"/>
                <w:b/>
                <w:color w:val="000000"/>
                <w:sz w:val="20"/>
                <w:szCs w:val="20"/>
              </w:rPr>
              <w:t>%</w:t>
            </w:r>
          </w:p>
        </w:tc>
      </w:tr>
    </w:tbl>
    <w:p w:rsidR="0094739D" w:rsidRPr="00926408" w:rsidRDefault="0094739D" w:rsidP="0094739D">
      <w:pPr>
        <w:jc w:val="both"/>
        <w:rPr>
          <w:rFonts w:ascii="Verdana" w:hAnsi="Verdana" w:cs="Arial"/>
          <w:color w:val="000000"/>
        </w:rPr>
      </w:pPr>
    </w:p>
    <w:p w:rsidR="0094739D" w:rsidRPr="00926408" w:rsidRDefault="0094739D" w:rsidP="0094739D">
      <w:pPr>
        <w:jc w:val="both"/>
        <w:rPr>
          <w:rFonts w:ascii="Arial Narrow" w:hAnsi="Arial Narrow" w:cs="Arial"/>
          <w:b/>
          <w:bCs/>
          <w:u w:val="single"/>
        </w:rPr>
      </w:pPr>
      <w:r>
        <w:rPr>
          <w:rFonts w:ascii="Arial Narrow" w:hAnsi="Arial Narrow" w:cs="Arial"/>
          <w:b/>
          <w:bCs/>
          <w:u w:val="single"/>
        </w:rPr>
        <w:t xml:space="preserve">Le développement en cours </w:t>
      </w:r>
      <w:r w:rsidR="006B2E26">
        <w:rPr>
          <w:rFonts w:ascii="Arial Narrow" w:hAnsi="Arial Narrow" w:cs="Arial"/>
          <w:b/>
          <w:bCs/>
          <w:u w:val="single"/>
        </w:rPr>
        <w:t>se poursuit</w:t>
      </w:r>
    </w:p>
    <w:p w:rsidR="0094739D" w:rsidRDefault="0094739D" w:rsidP="0094739D">
      <w:pPr>
        <w:jc w:val="both"/>
        <w:rPr>
          <w:rFonts w:ascii="Arial Narrow" w:hAnsi="Arial Narrow" w:cs="Arial"/>
          <w:bCs/>
        </w:rPr>
      </w:pPr>
    </w:p>
    <w:p w:rsidR="0094739D" w:rsidRDefault="0094739D" w:rsidP="0094739D">
      <w:pPr>
        <w:jc w:val="both"/>
        <w:rPr>
          <w:rFonts w:ascii="Arial Narrow" w:hAnsi="Arial Narrow" w:cs="Arial"/>
          <w:bCs/>
        </w:rPr>
      </w:pPr>
      <w:r>
        <w:rPr>
          <w:rFonts w:ascii="Arial Narrow" w:hAnsi="Arial Narrow" w:cs="Arial"/>
          <w:bCs/>
        </w:rPr>
        <w:t xml:space="preserve">Avec un chiffre d’affaires cumulé de </w:t>
      </w:r>
      <w:r w:rsidR="00664E56">
        <w:rPr>
          <w:rFonts w:ascii="Arial Narrow" w:hAnsi="Arial Narrow" w:cs="Arial"/>
          <w:bCs/>
        </w:rPr>
        <w:t>18,52</w:t>
      </w:r>
      <w:r>
        <w:rPr>
          <w:rFonts w:ascii="Arial Narrow" w:hAnsi="Arial Narrow" w:cs="Arial"/>
          <w:bCs/>
        </w:rPr>
        <w:t xml:space="preserve"> millions d’euros à la fin du troisième trimestre, c’est </w:t>
      </w:r>
      <w:r w:rsidR="00664E56">
        <w:rPr>
          <w:rFonts w:ascii="Arial Narrow" w:hAnsi="Arial Narrow" w:cs="Arial"/>
          <w:bCs/>
        </w:rPr>
        <w:t xml:space="preserve">encore une </w:t>
      </w:r>
      <w:r>
        <w:rPr>
          <w:rFonts w:ascii="Arial Narrow" w:hAnsi="Arial Narrow" w:cs="Arial"/>
          <w:bCs/>
        </w:rPr>
        <w:t xml:space="preserve">croissance </w:t>
      </w:r>
      <w:r w:rsidR="00664E56">
        <w:rPr>
          <w:rFonts w:ascii="Arial Narrow" w:hAnsi="Arial Narrow" w:cs="Arial"/>
          <w:bCs/>
        </w:rPr>
        <w:t xml:space="preserve">soutenue </w:t>
      </w:r>
      <w:r>
        <w:rPr>
          <w:rFonts w:ascii="Arial Narrow" w:hAnsi="Arial Narrow" w:cs="Arial"/>
          <w:bCs/>
        </w:rPr>
        <w:t xml:space="preserve">de plus de </w:t>
      </w:r>
      <w:r w:rsidR="00664E56">
        <w:rPr>
          <w:rFonts w:ascii="Arial Narrow" w:hAnsi="Arial Narrow" w:cs="Arial"/>
          <w:bCs/>
        </w:rPr>
        <w:t>12</w:t>
      </w:r>
      <w:r>
        <w:rPr>
          <w:rFonts w:ascii="Arial Narrow" w:hAnsi="Arial Narrow" w:cs="Arial"/>
          <w:bCs/>
        </w:rPr>
        <w:t xml:space="preserve">% que nous enregistrons par rapport à l’exercice précédent. </w:t>
      </w:r>
    </w:p>
    <w:p w:rsidR="00664E56" w:rsidRDefault="00664E56" w:rsidP="0094739D">
      <w:pPr>
        <w:jc w:val="both"/>
        <w:rPr>
          <w:rFonts w:ascii="Arial Narrow" w:hAnsi="Arial Narrow" w:cs="Arial"/>
          <w:bCs/>
        </w:rPr>
      </w:pPr>
    </w:p>
    <w:p w:rsidR="00664E56" w:rsidRDefault="00664E56" w:rsidP="0094739D">
      <w:pPr>
        <w:jc w:val="both"/>
        <w:rPr>
          <w:rFonts w:ascii="Arial Narrow" w:hAnsi="Arial Narrow" w:cs="Arial"/>
          <w:bCs/>
        </w:rPr>
      </w:pPr>
      <w:r>
        <w:rPr>
          <w:rFonts w:ascii="Arial Narrow" w:hAnsi="Arial Narrow" w:cs="Arial"/>
          <w:bCs/>
        </w:rPr>
        <w:t>Ce rythme de croissance important et durable est le signe manifeste de la confiance du marché à l’égard de notre organisation et de nos méthodes.</w:t>
      </w:r>
    </w:p>
    <w:p w:rsidR="00664E56" w:rsidRDefault="00664E56" w:rsidP="0094739D">
      <w:pPr>
        <w:jc w:val="both"/>
        <w:rPr>
          <w:rFonts w:ascii="Arial Narrow" w:hAnsi="Arial Narrow" w:cs="Arial"/>
          <w:bCs/>
        </w:rPr>
      </w:pPr>
    </w:p>
    <w:p w:rsidR="0094739D" w:rsidRDefault="00664E56" w:rsidP="0094739D">
      <w:pPr>
        <w:jc w:val="both"/>
        <w:rPr>
          <w:rFonts w:ascii="Arial Narrow" w:hAnsi="Arial Narrow" w:cs="Arial"/>
          <w:bCs/>
        </w:rPr>
      </w:pPr>
      <w:r>
        <w:rPr>
          <w:rFonts w:ascii="Arial Narrow" w:hAnsi="Arial Narrow" w:cs="Arial"/>
          <w:bCs/>
        </w:rPr>
        <w:t>Nous mesurons, trimestre après trimestre, la responsabilité qui est la nôtre avec sérieux, modestie et un très grand enthousiasme.</w:t>
      </w:r>
    </w:p>
    <w:p w:rsidR="0094739D" w:rsidRDefault="0094739D" w:rsidP="0094739D">
      <w:pPr>
        <w:jc w:val="both"/>
        <w:rPr>
          <w:rFonts w:ascii="Arial Narrow" w:hAnsi="Arial Narrow" w:cs="Arial"/>
          <w:bCs/>
        </w:rPr>
      </w:pPr>
    </w:p>
    <w:p w:rsidR="0094739D" w:rsidRDefault="0094739D" w:rsidP="0094739D">
      <w:pPr>
        <w:jc w:val="both"/>
        <w:rPr>
          <w:rFonts w:ascii="Arial Narrow" w:hAnsi="Arial Narrow" w:cs="Arial"/>
          <w:bCs/>
        </w:rPr>
      </w:pPr>
      <w:r>
        <w:rPr>
          <w:rFonts w:ascii="Arial Narrow" w:hAnsi="Arial Narrow" w:cs="Arial"/>
          <w:bCs/>
        </w:rPr>
        <w:t xml:space="preserve">A l’approche de la fin de cet exercice, tous les contrats </w:t>
      </w:r>
      <w:r w:rsidR="00664E56">
        <w:rPr>
          <w:rFonts w:ascii="Arial Narrow" w:hAnsi="Arial Narrow" w:cs="Arial"/>
          <w:bCs/>
        </w:rPr>
        <w:t xml:space="preserve">en cours </w:t>
      </w:r>
      <w:r>
        <w:rPr>
          <w:rFonts w:ascii="Arial Narrow" w:hAnsi="Arial Narrow" w:cs="Arial"/>
          <w:bCs/>
        </w:rPr>
        <w:t xml:space="preserve">ont été reconduits. </w:t>
      </w:r>
    </w:p>
    <w:p w:rsidR="0094739D" w:rsidRDefault="0094739D" w:rsidP="0094739D">
      <w:pPr>
        <w:jc w:val="both"/>
        <w:rPr>
          <w:rFonts w:ascii="Arial Narrow" w:hAnsi="Arial Narrow" w:cs="Arial"/>
          <w:bCs/>
        </w:rPr>
      </w:pPr>
    </w:p>
    <w:p w:rsidR="0094739D" w:rsidRDefault="0094739D" w:rsidP="0094739D">
      <w:pPr>
        <w:jc w:val="both"/>
        <w:rPr>
          <w:rFonts w:ascii="Arial Narrow" w:hAnsi="Arial Narrow" w:cs="Arial"/>
          <w:bCs/>
        </w:rPr>
      </w:pPr>
    </w:p>
    <w:p w:rsidR="0094739D" w:rsidRDefault="0094739D" w:rsidP="0094739D">
      <w:pPr>
        <w:jc w:val="center"/>
        <w:rPr>
          <w:rFonts w:ascii="Verdana" w:hAnsi="Verdana" w:cs="Arial"/>
          <w:b/>
          <w:i/>
          <w:color w:val="000000"/>
          <w:sz w:val="20"/>
          <w:szCs w:val="20"/>
        </w:rPr>
      </w:pPr>
      <w:r>
        <w:rPr>
          <w:rFonts w:ascii="Verdana" w:hAnsi="Verdana" w:cs="Arial"/>
          <w:b/>
          <w:i/>
          <w:color w:val="000000"/>
          <w:sz w:val="20"/>
          <w:szCs w:val="20"/>
        </w:rPr>
        <w:t>Prochain rendez-vous : 30 janvier 2020 Chiffre d’affaires annuel 2019</w:t>
      </w:r>
    </w:p>
    <w:p w:rsidR="0094739D" w:rsidRDefault="0094739D" w:rsidP="0094739D">
      <w:pPr>
        <w:jc w:val="center"/>
        <w:rPr>
          <w:rFonts w:ascii="Arial Narrow" w:hAnsi="Arial Narrow" w:cs="Arial"/>
          <w:b/>
          <w:sz w:val="16"/>
          <w:szCs w:val="16"/>
        </w:rPr>
      </w:pPr>
    </w:p>
    <w:p w:rsidR="00B4168D" w:rsidRPr="00B64B6C" w:rsidRDefault="00B4168D" w:rsidP="00B4168D">
      <w:pPr>
        <w:pBdr>
          <w:top w:val="single" w:sz="4" w:space="1" w:color="FF6600"/>
          <w:left w:val="single" w:sz="4" w:space="0" w:color="FF6600"/>
          <w:bottom w:val="single" w:sz="4" w:space="1" w:color="FF6600"/>
          <w:right w:val="single" w:sz="4" w:space="4" w:color="FF6600"/>
        </w:pBdr>
        <w:shd w:val="clear" w:color="auto" w:fill="FFFFFF"/>
        <w:autoSpaceDE w:val="0"/>
        <w:autoSpaceDN w:val="0"/>
        <w:adjustRightInd w:val="0"/>
        <w:jc w:val="both"/>
        <w:rPr>
          <w:rFonts w:ascii="ArialNarrow" w:hAnsi="ArialNarrow" w:cs="ArialNarrow"/>
          <w:sz w:val="16"/>
          <w:szCs w:val="16"/>
        </w:rPr>
      </w:pPr>
      <w:r>
        <w:rPr>
          <w:rFonts w:ascii="Verdana" w:hAnsi="Verdana" w:cs="Verdana"/>
          <w:sz w:val="16"/>
          <w:szCs w:val="16"/>
        </w:rPr>
        <w:t xml:space="preserve">AQUILA est né en 1993 sur un concept original et unique de mise en commun de compétences et de moyens autour d'une plateforme mutualisée menant au lancement du premier réseau national d'indépendants d'assistance et d'intervention sur alarme. Aujourd'hui, le réseau national d'AQUILA regroupe près de 300 entreprises partenaires spécialisées dans l’intervention sur alarme, le gardiennage et la surveillance, couvrant 94 % de la population ce qui positionne la société dans le peloton de tête du marché de l'intervention sur alarme. Fort de son succès d’entreprise « urgentiste », AQUILA détient à ce jour plus de 600 000 abonnés. </w:t>
      </w:r>
      <w:r>
        <w:rPr>
          <w:rFonts w:ascii="ArialNarrow" w:hAnsi="ArialNarrow" w:cs="ArialNarrow"/>
          <w:sz w:val="16"/>
          <w:szCs w:val="16"/>
        </w:rPr>
        <w:t xml:space="preserve">AQUILA est coté sur </w:t>
      </w:r>
      <w:proofErr w:type="spellStart"/>
      <w:r>
        <w:rPr>
          <w:rFonts w:ascii="ArialNarrow" w:hAnsi="ArialNarrow" w:cs="ArialNarrow"/>
          <w:sz w:val="16"/>
          <w:szCs w:val="16"/>
        </w:rPr>
        <w:t>Alternext</w:t>
      </w:r>
      <w:proofErr w:type="spellEnd"/>
      <w:r>
        <w:rPr>
          <w:rFonts w:ascii="ArialNarrow" w:hAnsi="ArialNarrow" w:cs="ArialNarrow"/>
          <w:sz w:val="16"/>
          <w:szCs w:val="16"/>
        </w:rPr>
        <w:t xml:space="preserve"> depuis 21 juin 2006 (code FR0010340711, code MNEMO : ALAQU).</w:t>
      </w:r>
    </w:p>
    <w:p w:rsidR="0094739D" w:rsidRPr="005B6067" w:rsidRDefault="0094739D" w:rsidP="0094739D">
      <w:pPr>
        <w:pBdr>
          <w:bottom w:val="single" w:sz="4" w:space="1" w:color="auto"/>
        </w:pBdr>
        <w:spacing w:before="60"/>
        <w:jc w:val="center"/>
        <w:rPr>
          <w:rFonts w:ascii="Verdana" w:hAnsi="Verdana" w:cs="Verdana"/>
          <w:b/>
          <w:bCs/>
          <w:color w:val="808080"/>
          <w:sz w:val="22"/>
          <w:szCs w:val="22"/>
        </w:rPr>
      </w:pPr>
      <w:r w:rsidRPr="005B6067">
        <w:rPr>
          <w:rFonts w:ascii="Verdana" w:hAnsi="Verdana" w:cs="Verdana"/>
          <w:b/>
          <w:bCs/>
          <w:color w:val="808080"/>
          <w:sz w:val="22"/>
          <w:szCs w:val="22"/>
        </w:rPr>
        <w:t>Contacts</w:t>
      </w:r>
    </w:p>
    <w:p w:rsidR="0094739D" w:rsidRDefault="0094739D" w:rsidP="0094739D">
      <w:pPr>
        <w:tabs>
          <w:tab w:val="center" w:pos="851"/>
          <w:tab w:val="center" w:pos="4820"/>
          <w:tab w:val="center" w:pos="8505"/>
        </w:tabs>
        <w:spacing w:before="60"/>
        <w:rPr>
          <w:rFonts w:ascii="Arial Narrow" w:hAnsi="Arial Narrow" w:cs="Tahoma"/>
          <w:b/>
          <w:sz w:val="22"/>
        </w:rPr>
      </w:pPr>
      <w:r>
        <w:rPr>
          <w:rFonts w:ascii="Arial Narrow" w:hAnsi="Arial Narrow" w:cs="Tahoma"/>
          <w:b/>
          <w:sz w:val="22"/>
        </w:rPr>
        <w:lastRenderedPageBreak/>
        <w:t>Aquila</w:t>
      </w:r>
    </w:p>
    <w:p w:rsidR="0094739D" w:rsidRDefault="0094739D" w:rsidP="0094739D">
      <w:pPr>
        <w:tabs>
          <w:tab w:val="center" w:pos="851"/>
          <w:tab w:val="center" w:pos="4820"/>
          <w:tab w:val="center" w:pos="8505"/>
        </w:tabs>
        <w:rPr>
          <w:rFonts w:ascii="Arial Narrow" w:hAnsi="Arial Narrow" w:cs="Tahoma"/>
          <w:sz w:val="19"/>
          <w:szCs w:val="19"/>
        </w:rPr>
      </w:pPr>
      <w:r>
        <w:rPr>
          <w:rFonts w:ascii="Arial Narrow" w:hAnsi="Arial Narrow" w:cs="Tahoma"/>
          <w:sz w:val="19"/>
          <w:szCs w:val="19"/>
        </w:rPr>
        <w:t xml:space="preserve">Olivier </w:t>
      </w:r>
      <w:proofErr w:type="spellStart"/>
      <w:r>
        <w:rPr>
          <w:rFonts w:ascii="Arial Narrow" w:hAnsi="Arial Narrow" w:cs="Tahoma"/>
          <w:sz w:val="19"/>
          <w:szCs w:val="19"/>
        </w:rPr>
        <w:t>Bevilacqua</w:t>
      </w:r>
      <w:proofErr w:type="spellEnd"/>
      <w:r>
        <w:rPr>
          <w:rFonts w:ascii="Arial Narrow" w:hAnsi="Arial Narrow" w:cs="Tahoma"/>
          <w:sz w:val="19"/>
          <w:szCs w:val="19"/>
        </w:rPr>
        <w:tab/>
      </w:r>
      <w:r>
        <w:rPr>
          <w:rFonts w:ascii="Arial Narrow" w:hAnsi="Arial Narrow" w:cs="Tahoma"/>
          <w:sz w:val="19"/>
          <w:szCs w:val="19"/>
        </w:rPr>
        <w:tab/>
      </w:r>
    </w:p>
    <w:p w:rsidR="0094739D" w:rsidRDefault="0094739D" w:rsidP="0094739D">
      <w:pPr>
        <w:tabs>
          <w:tab w:val="center" w:pos="851"/>
          <w:tab w:val="center" w:pos="4820"/>
          <w:tab w:val="center" w:pos="8505"/>
        </w:tabs>
        <w:rPr>
          <w:rFonts w:ascii="Arial Narrow" w:hAnsi="Arial Narrow" w:cs="Tahoma"/>
          <w:sz w:val="19"/>
          <w:szCs w:val="19"/>
        </w:rPr>
      </w:pPr>
      <w:r>
        <w:rPr>
          <w:rFonts w:ascii="Arial Narrow" w:hAnsi="Arial Narrow" w:cs="Tahoma"/>
          <w:sz w:val="19"/>
          <w:szCs w:val="19"/>
        </w:rPr>
        <w:t>Président Directeur Général</w:t>
      </w:r>
    </w:p>
    <w:p w:rsidR="0094739D" w:rsidRPr="001C4939" w:rsidRDefault="0094739D" w:rsidP="0094739D">
      <w:pPr>
        <w:tabs>
          <w:tab w:val="center" w:pos="851"/>
          <w:tab w:val="center" w:pos="4820"/>
          <w:tab w:val="center" w:pos="8505"/>
        </w:tabs>
        <w:rPr>
          <w:rFonts w:ascii="Arial Narrow" w:hAnsi="Arial Narrow" w:cs="Tahoma"/>
          <w:sz w:val="19"/>
          <w:szCs w:val="19"/>
          <w:lang w:val="en-GB"/>
        </w:rPr>
      </w:pPr>
      <w:r w:rsidRPr="001C4939">
        <w:rPr>
          <w:rFonts w:ascii="Arial Narrow" w:hAnsi="Arial Narrow" w:cs="Tahoma"/>
          <w:sz w:val="19"/>
          <w:szCs w:val="19"/>
          <w:lang w:val="en-GB"/>
        </w:rPr>
        <w:t>0 825 800 887</w:t>
      </w:r>
    </w:p>
    <w:p w:rsidR="0094739D" w:rsidRPr="001C4939" w:rsidRDefault="0094739D" w:rsidP="0094739D">
      <w:pPr>
        <w:tabs>
          <w:tab w:val="center" w:pos="851"/>
          <w:tab w:val="center" w:pos="4820"/>
          <w:tab w:val="center" w:pos="8505"/>
        </w:tabs>
        <w:rPr>
          <w:rFonts w:ascii="Arial Narrow" w:hAnsi="Arial Narrow" w:cs="Tahoma"/>
          <w:sz w:val="19"/>
          <w:szCs w:val="19"/>
          <w:lang w:val="en-GB"/>
        </w:rPr>
      </w:pPr>
      <w:r w:rsidRPr="001C4939">
        <w:rPr>
          <w:rFonts w:ascii="Arial Narrow" w:hAnsi="Arial Narrow" w:cs="Tahoma"/>
          <w:sz w:val="19"/>
          <w:szCs w:val="19"/>
          <w:lang w:val="en-GB"/>
        </w:rPr>
        <w:t>olivier.bevilacqua@reseau-aquila.fr</w:t>
      </w:r>
    </w:p>
    <w:p w:rsidR="0094739D" w:rsidRPr="001C4939" w:rsidRDefault="0094739D" w:rsidP="0094739D">
      <w:pPr>
        <w:tabs>
          <w:tab w:val="center" w:pos="851"/>
          <w:tab w:val="center" w:pos="4820"/>
          <w:tab w:val="center" w:pos="8505"/>
        </w:tabs>
        <w:rPr>
          <w:rFonts w:ascii="Arial Narrow" w:hAnsi="Arial Narrow" w:cs="Tahoma"/>
          <w:sz w:val="19"/>
          <w:szCs w:val="19"/>
          <w:lang w:val="en-GB"/>
        </w:rPr>
      </w:pPr>
    </w:p>
    <w:p w:rsidR="0094739D" w:rsidRPr="00FA33C4" w:rsidRDefault="0094739D" w:rsidP="0094739D">
      <w:pPr>
        <w:tabs>
          <w:tab w:val="center" w:pos="851"/>
          <w:tab w:val="center" w:pos="4820"/>
          <w:tab w:val="center" w:pos="8505"/>
        </w:tabs>
        <w:spacing w:before="60"/>
        <w:rPr>
          <w:rFonts w:ascii="Arial Narrow" w:hAnsi="Arial Narrow" w:cs="Tahoma"/>
          <w:b/>
          <w:sz w:val="22"/>
          <w:szCs w:val="22"/>
          <w:lang w:val="en-GB"/>
        </w:rPr>
      </w:pPr>
      <w:r w:rsidRPr="00FA33C4">
        <w:rPr>
          <w:rFonts w:ascii="Arial Narrow" w:hAnsi="Arial Narrow" w:cs="Tahoma"/>
          <w:b/>
          <w:sz w:val="22"/>
          <w:szCs w:val="22"/>
          <w:lang w:val="en-GB"/>
        </w:rPr>
        <w:t>NFINANCE SECURITIES</w:t>
      </w:r>
    </w:p>
    <w:p w:rsidR="0094739D" w:rsidRPr="001447B4" w:rsidRDefault="0094739D" w:rsidP="0094739D">
      <w:pPr>
        <w:tabs>
          <w:tab w:val="center" w:pos="851"/>
          <w:tab w:val="center" w:pos="4820"/>
          <w:tab w:val="center" w:pos="8505"/>
        </w:tabs>
        <w:spacing w:before="60"/>
        <w:rPr>
          <w:rFonts w:ascii="Arial Narrow" w:hAnsi="Arial Narrow" w:cs="Tahoma"/>
          <w:sz w:val="19"/>
          <w:szCs w:val="19"/>
          <w:lang w:val="en-GB"/>
        </w:rPr>
      </w:pPr>
      <w:r w:rsidRPr="001447B4">
        <w:rPr>
          <w:rFonts w:ascii="Arial Narrow" w:hAnsi="Arial Narrow" w:cs="Tahoma"/>
          <w:sz w:val="19"/>
          <w:szCs w:val="19"/>
          <w:lang w:val="en-GB"/>
        </w:rPr>
        <w:t>Corporate Finance / Listing sponsor</w:t>
      </w:r>
    </w:p>
    <w:p w:rsidR="0094739D" w:rsidRPr="00FA33C4" w:rsidRDefault="0094739D" w:rsidP="0094739D">
      <w:pPr>
        <w:tabs>
          <w:tab w:val="center" w:pos="851"/>
          <w:tab w:val="center" w:pos="4820"/>
          <w:tab w:val="center" w:pos="8505"/>
        </w:tabs>
        <w:spacing w:before="60"/>
        <w:rPr>
          <w:rFonts w:ascii="Arial Narrow" w:hAnsi="Arial Narrow" w:cs="Tahoma"/>
          <w:sz w:val="19"/>
          <w:szCs w:val="19"/>
          <w:lang w:val="en-GB"/>
        </w:rPr>
      </w:pPr>
      <w:proofErr w:type="spellStart"/>
      <w:r w:rsidRPr="00FA33C4">
        <w:rPr>
          <w:rFonts w:ascii="Arial Narrow" w:hAnsi="Arial Narrow" w:cs="Arial"/>
          <w:sz w:val="18"/>
          <w:szCs w:val="18"/>
          <w:lang w:val="en-GB"/>
        </w:rPr>
        <w:t>Nataliya</w:t>
      </w:r>
      <w:proofErr w:type="spellEnd"/>
      <w:r w:rsidRPr="00FA33C4">
        <w:rPr>
          <w:rFonts w:ascii="Arial Narrow" w:hAnsi="Arial Narrow" w:cs="Arial"/>
          <w:sz w:val="18"/>
          <w:szCs w:val="18"/>
          <w:lang w:val="en-GB"/>
        </w:rPr>
        <w:t xml:space="preserve"> </w:t>
      </w:r>
      <w:proofErr w:type="spellStart"/>
      <w:r w:rsidRPr="00FA33C4">
        <w:rPr>
          <w:rFonts w:ascii="Arial Narrow" w:hAnsi="Arial Narrow" w:cs="Arial"/>
          <w:sz w:val="18"/>
          <w:szCs w:val="18"/>
          <w:lang w:val="en-GB"/>
        </w:rPr>
        <w:t>Steinkreitzer</w:t>
      </w:r>
      <w:proofErr w:type="spellEnd"/>
    </w:p>
    <w:p w:rsidR="0094739D" w:rsidRPr="00FA33C4" w:rsidRDefault="0094739D" w:rsidP="0094739D">
      <w:pPr>
        <w:tabs>
          <w:tab w:val="center" w:pos="851"/>
          <w:tab w:val="center" w:pos="4820"/>
          <w:tab w:val="center" w:pos="8505"/>
        </w:tabs>
        <w:spacing w:before="60"/>
        <w:rPr>
          <w:rFonts w:ascii="Arial Narrow" w:hAnsi="Arial Narrow" w:cs="Tahoma"/>
          <w:sz w:val="19"/>
          <w:szCs w:val="19"/>
          <w:lang w:val="en-GB"/>
        </w:rPr>
      </w:pPr>
      <w:proofErr w:type="spellStart"/>
      <w:proofErr w:type="gramStart"/>
      <w:r w:rsidRPr="00FA33C4">
        <w:rPr>
          <w:rFonts w:ascii="Arial Narrow" w:hAnsi="Arial Narrow" w:cs="Tahoma"/>
          <w:sz w:val="19"/>
          <w:szCs w:val="19"/>
          <w:lang w:val="en-GB"/>
        </w:rPr>
        <w:t>Tél</w:t>
      </w:r>
      <w:proofErr w:type="spellEnd"/>
      <w:r w:rsidRPr="00FA33C4">
        <w:rPr>
          <w:rFonts w:ascii="Arial Narrow" w:hAnsi="Arial Narrow" w:cs="Tahoma"/>
          <w:sz w:val="19"/>
          <w:szCs w:val="19"/>
          <w:lang w:val="en-GB"/>
        </w:rPr>
        <w:t> :</w:t>
      </w:r>
      <w:proofErr w:type="gramEnd"/>
      <w:r w:rsidRPr="00FA33C4">
        <w:rPr>
          <w:rFonts w:ascii="Arial Narrow" w:hAnsi="Arial Narrow" w:cs="Tahoma"/>
          <w:sz w:val="19"/>
          <w:szCs w:val="19"/>
          <w:lang w:val="en-GB"/>
        </w:rPr>
        <w:t xml:space="preserve"> 01 53 05 92 84</w:t>
      </w:r>
    </w:p>
    <w:p w:rsidR="0094739D" w:rsidRPr="00F375C2" w:rsidRDefault="0094739D" w:rsidP="0094739D">
      <w:pPr>
        <w:tabs>
          <w:tab w:val="center" w:pos="851"/>
          <w:tab w:val="center" w:pos="4820"/>
          <w:tab w:val="center" w:pos="8505"/>
        </w:tabs>
        <w:spacing w:before="60"/>
        <w:rPr>
          <w:lang w:val="en-GB"/>
        </w:rPr>
      </w:pPr>
      <w:r>
        <w:rPr>
          <w:rFonts w:ascii="Arial Narrow" w:hAnsi="Arial Narrow" w:cs="Tahoma"/>
          <w:sz w:val="19"/>
          <w:szCs w:val="19"/>
          <w:lang w:val="en-GB"/>
        </w:rPr>
        <w:t>nataliya</w:t>
      </w:r>
      <w:r w:rsidRPr="00FA33C4">
        <w:rPr>
          <w:rFonts w:ascii="Arial Narrow" w:hAnsi="Arial Narrow" w:cs="Tahoma"/>
          <w:sz w:val="19"/>
          <w:szCs w:val="19"/>
          <w:lang w:val="en-GB"/>
        </w:rPr>
        <w:t>@nfinance.fr</w:t>
      </w:r>
    </w:p>
    <w:p w:rsidR="009D0D04" w:rsidRDefault="009D0D04" w:rsidP="0094739D">
      <w:pPr>
        <w:tabs>
          <w:tab w:val="center" w:pos="851"/>
          <w:tab w:val="center" w:pos="4820"/>
          <w:tab w:val="center" w:pos="8505"/>
        </w:tabs>
        <w:spacing w:before="60"/>
      </w:pPr>
    </w:p>
    <w:sectPr w:rsidR="009D0D04" w:rsidSect="009D0D0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C0B" w:rsidRDefault="00004C0B" w:rsidP="007A4DA0">
      <w:r>
        <w:separator/>
      </w:r>
    </w:p>
  </w:endnote>
  <w:endnote w:type="continuationSeparator" w:id="1">
    <w:p w:rsidR="00004C0B" w:rsidRDefault="00004C0B" w:rsidP="007A4D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C0B" w:rsidRDefault="00004C0B" w:rsidP="007A4DA0">
      <w:r>
        <w:separator/>
      </w:r>
    </w:p>
  </w:footnote>
  <w:footnote w:type="continuationSeparator" w:id="1">
    <w:p w:rsidR="00004C0B" w:rsidRDefault="00004C0B" w:rsidP="007A4D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94739D"/>
    <w:rsid w:val="00004C0B"/>
    <w:rsid w:val="00297954"/>
    <w:rsid w:val="002A65A2"/>
    <w:rsid w:val="00327649"/>
    <w:rsid w:val="003A2900"/>
    <w:rsid w:val="004F39DF"/>
    <w:rsid w:val="00664E56"/>
    <w:rsid w:val="006B2E26"/>
    <w:rsid w:val="007563B4"/>
    <w:rsid w:val="007A4DA0"/>
    <w:rsid w:val="008023AC"/>
    <w:rsid w:val="00836607"/>
    <w:rsid w:val="0094739D"/>
    <w:rsid w:val="009D0D04"/>
    <w:rsid w:val="00A326DA"/>
    <w:rsid w:val="00AB0E75"/>
    <w:rsid w:val="00B4168D"/>
    <w:rsid w:val="00B63044"/>
    <w:rsid w:val="00F020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9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4739D"/>
  </w:style>
  <w:style w:type="paragraph" w:styleId="Textedebulles">
    <w:name w:val="Balloon Text"/>
    <w:basedOn w:val="Normal"/>
    <w:link w:val="TextedebullesCar"/>
    <w:uiPriority w:val="99"/>
    <w:semiHidden/>
    <w:unhideWhenUsed/>
    <w:rsid w:val="00B4168D"/>
    <w:rPr>
      <w:rFonts w:ascii="Tahoma" w:hAnsi="Tahoma" w:cs="Tahoma"/>
      <w:sz w:val="16"/>
      <w:szCs w:val="16"/>
    </w:rPr>
  </w:style>
  <w:style w:type="character" w:customStyle="1" w:styleId="TextedebullesCar">
    <w:name w:val="Texte de bulles Car"/>
    <w:basedOn w:val="Policepardfaut"/>
    <w:link w:val="Textedebulles"/>
    <w:uiPriority w:val="99"/>
    <w:semiHidden/>
    <w:rsid w:val="00B4168D"/>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1722</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AQUILA</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Patrice</cp:lastModifiedBy>
  <cp:revision>2</cp:revision>
  <dcterms:created xsi:type="dcterms:W3CDTF">2019-11-21T08:19:00Z</dcterms:created>
  <dcterms:modified xsi:type="dcterms:W3CDTF">2019-11-21T08:19:00Z</dcterms:modified>
</cp:coreProperties>
</file>